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6921" w14:textId="27E520BB" w:rsidR="009A2C9E" w:rsidRPr="006B2326" w:rsidRDefault="009A2C9E" w:rsidP="004C6478">
      <w:pPr>
        <w:pStyle w:val="BodyText1"/>
        <w:spacing w:after="240"/>
        <w:jc w:val="left"/>
        <w:rPr>
          <w:noProof/>
          <w:szCs w:val="22"/>
        </w:rPr>
      </w:pPr>
      <w:r w:rsidRPr="006B2326">
        <w:rPr>
          <w:noProof/>
          <w:szCs w:val="22"/>
        </w:rPr>
        <mc:AlternateContent>
          <mc:Choice Requires="wps">
            <w:drawing>
              <wp:inline distT="0" distB="0" distL="0" distR="0" wp14:anchorId="30147D70" wp14:editId="5E19CFA1">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D4CF3" w14:textId="77777777" w:rsidR="00676448" w:rsidRDefault="00676448" w:rsidP="009A2C9E">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0147D70"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l9gEAAN4DAAAOAAAAZHJzL2Uyb0RvYy54bWysU8Fu2zAMvQ/YPwi6L05SdNiMOEWXIsOA&#10;bivQ7gNkSbaFyaJGKbGzrx8lx2nR3Yb5IFAU+chHPm9uxt6yo8ZgwFV8tVhypp0EZVxb8R9P+3cf&#10;OAtROCUsOF3xkw78Zvv2zWbwpV5DB1ZpZATiQjn4incx+rIogux0L8ICvHb02AD2ItIV20KhGAi9&#10;t8V6uXxfDIDKI0gdAnnvpke+zfhNo2X83jRBR2YrTr3FfGI+63QW240oWxS+M/LchviHLnphHBW9&#10;QN2JKNgBzV9QvZEIAZq4kNAX0DRG6syB2KyWr9g8dsLrzIWGE/xlTOH/wcpvxwdkRlX8ijMnelrR&#10;kx4j+wQju0rTGXwoKejRU1gcyU1bzkyDvwf5MzAHu064Vt8iwtBpoai7VcosXqROOCGB1MNXUFRG&#10;HCJkoLHBPo2OhsEInbZ0umwmtSLJub5eLz9ecybp6WynCqKckz2G+FlDz5JRcaTFZ3BxvA9xCp1D&#10;Uq0A1qi9sTZfsK13FtlRkEj2+cv9vwqzLgU7SGkTYvJklonYRDGO9UiPiXoN6kR8ESbR0U9CRgf4&#10;m7OBBFfx8OsgUHNmvziaWVLnbOBs1LMhnKTUikfOJnMXJxUfPJq2I+RpKw5uaa6NyZyfuzj3SSLK&#10;UzsLPqn05T1HPf+W2z8AAAD//wMAUEsDBBQABgAIAAAAIQBj9U4M2QAAAAMBAAAPAAAAZHJzL2Rv&#10;d25yZXYueG1sTI9BT8JAEIXvJvyHzZB4MbAVE5TaLUHQmxxAwnnojm1Dd7bZ3dLy7131oJd5mbzJ&#10;e99ky8E04kLO15YV3E8TEMSF1TWXCg4fb5MnED4ga2wsk4IreVjmo5sMU2173tFlH0oRQ9inqKAK&#10;oU2l9EVFBv3UtsTR+7TOYIirK6V22Mdw08hZksylwZpjQ4UtrSsqzvvOKJhvXNfveH23Oby+47Yt&#10;Z8eX61Gp2/GwegYRaAh/x/CNH9Ehj0wn27H2olEQHwk/M3oPi0cQp1+VeSb/s+dfAAAA//8DAFBL&#10;AQItABQABgAIAAAAIQC2gziS/gAAAOEBAAATAAAAAAAAAAAAAAAAAAAAAABbQ29udGVudF9UeXBl&#10;c10ueG1sUEsBAi0AFAAGAAgAAAAhADj9If/WAAAAlAEAAAsAAAAAAAAAAAAAAAAALwEAAF9yZWxz&#10;Ly5yZWxzUEsBAi0AFAAGAAgAAAAhABT6GCX2AQAA3gMAAA4AAAAAAAAAAAAAAAAALgIAAGRycy9l&#10;Mm9Eb2MueG1sUEsBAi0AFAAGAAgAAAAhAGP1TgzZAAAAAwEAAA8AAAAAAAAAAAAAAAAAUAQAAGRy&#10;cy9kb3ducmV2LnhtbFBLBQYAAAAABAAEAPMAAABWBQAAAAA=&#10;" stroked="f">
                <v:textbox inset="0,0,0,0">
                  <w:txbxContent>
                    <w:p w14:paraId="7B6D4CF3" w14:textId="77777777" w:rsidR="00676448" w:rsidRDefault="00676448" w:rsidP="009A2C9E">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sidRPr="006B2326">
        <w:rPr>
          <w:noProof/>
          <w:szCs w:val="22"/>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6B2326">
          <w:rPr>
            <w:rStyle w:val="Hyperlink"/>
            <w:noProof/>
            <w:color w:val="auto"/>
            <w:szCs w:val="22"/>
          </w:rPr>
          <w:t>www.tga.gov.au/reporting-problems</w:t>
        </w:r>
      </w:hyperlink>
      <w:r w:rsidRPr="006B2326">
        <w:rPr>
          <w:noProof/>
          <w:szCs w:val="22"/>
        </w:rPr>
        <w:t>.</w:t>
      </w:r>
    </w:p>
    <w:p w14:paraId="03C7F911" w14:textId="77777777" w:rsidR="009A2C9E" w:rsidRPr="006B2326" w:rsidRDefault="009A2C9E" w:rsidP="004C6478">
      <w:pPr>
        <w:pStyle w:val="Title"/>
        <w:spacing w:before="120"/>
        <w:jc w:val="left"/>
        <w:rPr>
          <w:rFonts w:ascii="Arial" w:hAnsi="Arial" w:cs="Arial"/>
          <w:b/>
          <w:bCs/>
          <w:noProof/>
          <w:sz w:val="22"/>
          <w:szCs w:val="22"/>
          <w:lang w:val="en-AU"/>
        </w:rPr>
      </w:pPr>
    </w:p>
    <w:p w14:paraId="5BE850BB" w14:textId="0C5714DC" w:rsidR="00622BA9" w:rsidRPr="006B2326" w:rsidRDefault="00EA3F97" w:rsidP="004C6478">
      <w:pPr>
        <w:pStyle w:val="Title"/>
        <w:spacing w:before="120"/>
        <w:jc w:val="left"/>
        <w:rPr>
          <w:rFonts w:ascii="Arial" w:hAnsi="Arial" w:cs="Arial"/>
          <w:b/>
          <w:bCs/>
          <w:noProof/>
          <w:sz w:val="40"/>
          <w:szCs w:val="40"/>
          <w:lang w:val="en-AU"/>
        </w:rPr>
      </w:pPr>
      <w:r w:rsidRPr="006B2326">
        <w:rPr>
          <w:rFonts w:ascii="Arial" w:hAnsi="Arial" w:cs="Arial"/>
          <w:b/>
          <w:bCs/>
          <w:noProof/>
          <w:sz w:val="40"/>
          <w:szCs w:val="40"/>
          <w:lang w:val="en-AU"/>
        </w:rPr>
        <mc:AlternateContent>
          <mc:Choice Requires="wps">
            <w:drawing>
              <wp:anchor distT="0" distB="0" distL="114300" distR="114300" simplePos="0" relativeHeight="251659264" behindDoc="0" locked="0" layoutInCell="1" allowOverlap="1" wp14:anchorId="0B244168" wp14:editId="08EDE5A9">
                <wp:simplePos x="0" y="0"/>
                <wp:positionH relativeFrom="column">
                  <wp:posOffset>-276225</wp:posOffset>
                </wp:positionH>
                <wp:positionV relativeFrom="paragraph">
                  <wp:posOffset>-57150</wp:posOffset>
                </wp:positionV>
                <wp:extent cx="65341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D58016"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75pt,-4.5pt" to="49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613QEAABEEAAAOAAAAZHJzL2Uyb0RvYy54bWysU01vEzEQvSPxHyzfyW4CKe0qmx5SlQuC&#10;iJbeXe84a8n2WLbJx79n7N1sKkCVQFwsf8x7M+/NeHV7tIbtIUSNruXzWc0ZOImddruWf3+8f3fN&#10;WUzCdcKgg5afIPLb9ds3q4NvYIE9mg4CIxIXm4NveZ+Sb6oqyh6siDP04OhRYbAi0THsqi6IA7Fb&#10;Uy3q+qo6YOh8QAkx0u3d8MjXhV8pkOmrUhESMy2n2lJZQ1mf81qtV6LZBeF7LccyxD9UYYV2lHSi&#10;uhNJsB9B/0ZltQwYUaWZRFuhUlpC0UBq5vUvah564aFoIXOin2yK/49WftlvA9Ndy284c8JSix5S&#10;EHrXJ7ZB58hADOwm+3TwsaHwjduG8RT9NmTRRxUsU0b7JxqBYgMJY8fi8mlyGY6JSbq8Wr7/MF9S&#10;MyS9La6XH5eZvRpoMp0PMX0CtCxvWm60yyaIRuw/xzSEnkPytXF5jWh0d6+NKYc8PrAxge0FNT4d&#10;52OKF1GUMCOrLGsQUnbpZGBg/QaKjKGCB0llJC+cQkpw6cxrHEVnmKIKJmBdyn4VOMZnKJRx/Rvw&#10;hCiZ0aUJbLXD8KfsFyvUEH92YNCdLXjG7lRaXKyhuSvNGf9IHuyX5wK//OT1TwAAAP//AwBQSwME&#10;FAAGAAgAAAAhAC7mTmzfAAAACQEAAA8AAABkcnMvZG93bnJldi54bWxMj0FPwzAMhe9I/IfISNy2&#10;dEDRVppOCIkD0jTGxgFuWWLaQuOUJN3Kv8c7wc32e3r+XrkcXScOGGLrScFsmoFAMt62VCt43T1O&#10;5iBi0mR15wkV/GCEZXV+VurC+iO94GGbasEhFAutoEmpL6SMpkGn49T3SKx9+OB04jXU0gZ95HDX&#10;yassu5VOt8QfGt3jQ4Pmazs4BW+zp++N6T83u2ezeg+rtF5jGpS6vBjv70AkHNOfGU74jA4VM+39&#10;QDaKTsHk5jpnKw8L7sSGxTznw/6k5CCrUv5vUP0CAAD//wMAUEsBAi0AFAAGAAgAAAAhALaDOJL+&#10;AAAA4QEAABMAAAAAAAAAAAAAAAAAAAAAAFtDb250ZW50X1R5cGVzXS54bWxQSwECLQAUAAYACAAA&#10;ACEAOP0h/9YAAACUAQAACwAAAAAAAAAAAAAAAAAvAQAAX3JlbHMvLnJlbHNQSwECLQAUAAYACAAA&#10;ACEAeIrutd0BAAARBAAADgAAAAAAAAAAAAAAAAAuAgAAZHJzL2Uyb0RvYy54bWxQSwECLQAUAAYA&#10;CAAAACEALuZObN8AAAAJAQAADwAAAAAAAAAAAAAAAAA3BAAAZHJzL2Rvd25yZXYueG1sUEsFBgAA&#10;AAAEAAQA8wAAAEMFAAAAAA==&#10;" strokecolor="black [3213]" strokeweight=".5pt">
                <v:stroke joinstyle="miter"/>
              </v:line>
            </w:pict>
          </mc:Fallback>
        </mc:AlternateContent>
      </w:r>
      <w:r w:rsidR="00622BA9" w:rsidRPr="006B2326">
        <w:rPr>
          <w:rFonts w:ascii="Arial" w:hAnsi="Arial" w:cs="Arial"/>
          <w:b/>
          <w:bCs/>
          <w:noProof/>
          <w:sz w:val="40"/>
          <w:szCs w:val="40"/>
          <w:lang w:val="en-AU"/>
        </w:rPr>
        <w:t>AUSTRALIAN PRODUCT iNFOrmation</w:t>
      </w:r>
    </w:p>
    <w:p w14:paraId="3592482D" w14:textId="28A485E5" w:rsidR="00D92B0C" w:rsidRPr="006B2326" w:rsidRDefault="00387EBC" w:rsidP="004C6478">
      <w:pPr>
        <w:pStyle w:val="Title"/>
        <w:spacing w:before="120"/>
        <w:jc w:val="left"/>
        <w:rPr>
          <w:sz w:val="56"/>
          <w:lang w:val="en-AU"/>
        </w:rPr>
      </w:pPr>
      <w:r w:rsidRPr="006B2326">
        <w:rPr>
          <w:noProof/>
          <w:sz w:val="56"/>
          <w:lang w:val="en-AU"/>
        </w:rPr>
        <w:t>PONVORY</w:t>
      </w:r>
      <w:r w:rsidR="00D07DBE" w:rsidRPr="006B2326">
        <w:rPr>
          <w:noProof/>
          <w:sz w:val="56"/>
          <w:vertAlign w:val="superscript"/>
          <w:lang w:val="en-AU"/>
        </w:rPr>
        <w:t>®</w:t>
      </w:r>
    </w:p>
    <w:p w14:paraId="21E4362E" w14:textId="1A2676E6" w:rsidR="00BA1291" w:rsidRPr="006B2326" w:rsidRDefault="00A7741E" w:rsidP="004C6478">
      <w:pPr>
        <w:pStyle w:val="Subtitle"/>
        <w:contextualSpacing/>
        <w:jc w:val="left"/>
        <w:rPr>
          <w:sz w:val="40"/>
          <w:szCs w:val="40"/>
          <w:lang w:val="en-AU"/>
        </w:rPr>
      </w:pPr>
      <w:r w:rsidRPr="006B2326">
        <w:rPr>
          <w:noProof/>
          <w:sz w:val="40"/>
          <w:szCs w:val="40"/>
          <w:lang w:val="en-AU"/>
        </w:rPr>
        <mc:AlternateContent>
          <mc:Choice Requires="wps">
            <w:drawing>
              <wp:anchor distT="0" distB="0" distL="114300" distR="114300" simplePos="0" relativeHeight="251661312" behindDoc="0" locked="0" layoutInCell="1" allowOverlap="1" wp14:anchorId="299044AF" wp14:editId="4D9D9530">
                <wp:simplePos x="0" y="0"/>
                <wp:positionH relativeFrom="column">
                  <wp:posOffset>-238125</wp:posOffset>
                </wp:positionH>
                <wp:positionV relativeFrom="paragraph">
                  <wp:posOffset>363855</wp:posOffset>
                </wp:positionV>
                <wp:extent cx="6534150" cy="2857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5341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20820"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75pt,28.65pt" to="495.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qU3AEAABMEAAAOAAAAZHJzL2Uyb0RvYy54bWysU02P0zAQvSPxHyzfadJCl1XUdA9dLRcE&#10;Fbtw9zrjxpLtsWzTpP+esdOmK0BIIC6WP+a9mfdmvLkbrWFHCFGja/lyUXMGTmKn3aHlX58e3txy&#10;FpNwnTDooOUniPxu+/rVZvANrLBH00FgROJiM/iW9yn5pqqi7MGKuEAPjh4VBisSHcOh6oIYiN2a&#10;alXXN9WAofMBJcRIt/fTI98WfqVAps9KRUjMtJxqS2UNZX3Oa7XdiOYQhO+1PJch/qEKK7SjpDPV&#10;vUiCfQ/6FyqrZcCIKi0k2gqV0hKKBlKzrH9S89gLD0ULmRP9bFP8f7Ty03EfmO6od2SPE5Z69JiC&#10;0Ic+sR06Rw5iYPRITg0+NgTYuX04n6Lfhyx7VMEyZbT/RkTFCJLGxuLzafYZxsQkXd6s375brimf&#10;pLfV7fr9OrNXE02m8yGmD4CW5U3LjXbZBtGI48eYptBLSL42Lq8Rje4etDHlkAcIdiawo6DWp3F5&#10;TvEiihJmZJVlTULKLp0MTKxfQJE1VPAkqQzllVNICS5deI2j6AxTVMEMrEvZfwSe4zMUysD+DXhG&#10;lMzo0gy22mH4XfarFWqKvzgw6c4WPGN3Ki0u1tDkleacf0ke7ZfnAr/+5e0PAAAA//8DAFBLAwQU&#10;AAYACAAAACEA19ymSeEAAAAJAQAADwAAAGRycy9kb3ducmV2LnhtbEyPTU/DMAyG70j8h8hI3La0&#10;TPvq6k4IiQPSNMbGgd2yxLSFxilNupV/TzjB0faj18+brwfbiDN1vnaMkI4TEMTamZpLhNfD42gB&#10;wgfFRjWOCeGbPKyL66tcZcZd+IXO+1CKGMI+UwhVCG0mpdcVWeXHriWOt3fXWRXi2JXSdOoSw20j&#10;75JkJq2qOX6oVEsPFenPfW8R3tKnr51uP3aHZ705dpuw3VLoEW9vhvsViEBD+IPhVz+qQxGdTq5n&#10;40WDMJrMpxFFmM4nICKwXKZxcUKYpQuQRS7/Nyh+AAAA//8DAFBLAQItABQABgAIAAAAIQC2gziS&#10;/gAAAOEBAAATAAAAAAAAAAAAAAAAAAAAAABbQ29udGVudF9UeXBlc10ueG1sUEsBAi0AFAAGAAgA&#10;AAAhADj9If/WAAAAlAEAAAsAAAAAAAAAAAAAAAAALwEAAF9yZWxzLy5yZWxzUEsBAi0AFAAGAAgA&#10;AAAhALzCSpTcAQAAEwQAAA4AAAAAAAAAAAAAAAAALgIAAGRycy9lMm9Eb2MueG1sUEsBAi0AFAAG&#10;AAgAAAAhANfcpknhAAAACQEAAA8AAAAAAAAAAAAAAAAANgQAAGRycy9kb3ducmV2LnhtbFBLBQYA&#10;AAAABAAEAPMAAABEBQAAAAA=&#10;" strokecolor="black [3213]" strokeweight=".5pt">
                <v:stroke joinstyle="miter"/>
              </v:line>
            </w:pict>
          </mc:Fallback>
        </mc:AlternateContent>
      </w:r>
      <w:r w:rsidR="00622BA9" w:rsidRPr="006B2326">
        <w:rPr>
          <w:sz w:val="40"/>
          <w:szCs w:val="40"/>
          <w:lang w:val="en-AU"/>
        </w:rPr>
        <w:t>(PONESIMOD)</w:t>
      </w:r>
    </w:p>
    <w:p w14:paraId="4AFF3FA1" w14:textId="523D0087" w:rsidR="00D92B0C" w:rsidRPr="006B2326" w:rsidRDefault="00D92B0C" w:rsidP="004C6478">
      <w:pPr>
        <w:pStyle w:val="Heading1"/>
        <w:rPr>
          <w:lang w:val="en-AU"/>
        </w:rPr>
      </w:pPr>
      <w:r w:rsidRPr="006B2326">
        <w:rPr>
          <w:lang w:val="en-AU"/>
        </w:rPr>
        <w:t>NAME OF THE MEDICINE</w:t>
      </w:r>
    </w:p>
    <w:p w14:paraId="094A22E6" w14:textId="483FC62A" w:rsidR="00622BA9" w:rsidRPr="006B2326" w:rsidRDefault="00622BA9" w:rsidP="004C6478">
      <w:pPr>
        <w:jc w:val="left"/>
        <w:rPr>
          <w:lang w:val="en-AU"/>
        </w:rPr>
      </w:pPr>
      <w:proofErr w:type="spellStart"/>
      <w:r w:rsidRPr="006B2326">
        <w:rPr>
          <w:lang w:val="en-AU"/>
        </w:rPr>
        <w:t>Ponesimod</w:t>
      </w:r>
      <w:proofErr w:type="spellEnd"/>
    </w:p>
    <w:p w14:paraId="51A20755" w14:textId="77777777" w:rsidR="00A7741E" w:rsidRPr="006B2326" w:rsidRDefault="00A7741E" w:rsidP="004C6478">
      <w:pPr>
        <w:jc w:val="left"/>
        <w:rPr>
          <w:lang w:val="en-AU"/>
        </w:rPr>
      </w:pPr>
    </w:p>
    <w:p w14:paraId="389E4416" w14:textId="3921764F" w:rsidR="00D92B0C" w:rsidRPr="006B2326" w:rsidRDefault="008459BA" w:rsidP="004C6478">
      <w:pPr>
        <w:pStyle w:val="Heading1"/>
        <w:rPr>
          <w:lang w:val="en-AU"/>
        </w:rPr>
      </w:pPr>
      <w:r w:rsidRPr="006B2326">
        <w:rPr>
          <w:lang w:val="en-AU"/>
        </w:rPr>
        <w:t>Qualitative and quantitative composition</w:t>
      </w:r>
    </w:p>
    <w:p w14:paraId="794B4AEC" w14:textId="3C39156F" w:rsidR="00E133A5" w:rsidRDefault="00E133A5" w:rsidP="004C6478">
      <w:pPr>
        <w:jc w:val="left"/>
        <w:rPr>
          <w:noProof/>
        </w:rPr>
      </w:pPr>
      <w:r w:rsidRPr="006B2326">
        <w:rPr>
          <w:noProof/>
        </w:rPr>
        <w:t>Each film-coated tablet</w:t>
      </w:r>
      <w:r w:rsidR="00622BA9" w:rsidRPr="006B2326">
        <w:rPr>
          <w:noProof/>
        </w:rPr>
        <w:t xml:space="preserve"> contain</w:t>
      </w:r>
      <w:r w:rsidR="00A7741E" w:rsidRPr="006B2326">
        <w:rPr>
          <w:noProof/>
        </w:rPr>
        <w:t>s</w:t>
      </w:r>
      <w:r w:rsidR="003E4670" w:rsidRPr="006B2326">
        <w:rPr>
          <w:noProof/>
        </w:rPr>
        <w:t xml:space="preserve"> 2 mg, 3 mg, 4 mg,</w:t>
      </w:r>
      <w:r w:rsidR="00C371A0" w:rsidRPr="006B2326">
        <w:rPr>
          <w:noProof/>
        </w:rPr>
        <w:t xml:space="preserve"> </w:t>
      </w:r>
      <w:r w:rsidR="003E4670" w:rsidRPr="006B2326">
        <w:rPr>
          <w:noProof/>
        </w:rPr>
        <w:t>5 mg, 6</w:t>
      </w:r>
      <w:r w:rsidR="00C371A0" w:rsidRPr="006B2326">
        <w:rPr>
          <w:noProof/>
        </w:rPr>
        <w:t xml:space="preserve"> mg </w:t>
      </w:r>
      <w:r w:rsidR="003E4670" w:rsidRPr="006B2326">
        <w:rPr>
          <w:noProof/>
        </w:rPr>
        <w:t>, 7</w:t>
      </w:r>
      <w:r w:rsidR="00C371A0" w:rsidRPr="006B2326">
        <w:rPr>
          <w:noProof/>
        </w:rPr>
        <w:t xml:space="preserve"> mg</w:t>
      </w:r>
      <w:r w:rsidR="003E4670" w:rsidRPr="006B2326">
        <w:rPr>
          <w:noProof/>
        </w:rPr>
        <w:t>, 8</w:t>
      </w:r>
      <w:r w:rsidR="00C371A0" w:rsidRPr="006B2326">
        <w:rPr>
          <w:noProof/>
        </w:rPr>
        <w:t xml:space="preserve"> mg</w:t>
      </w:r>
      <w:r w:rsidR="003E4670" w:rsidRPr="006B2326">
        <w:rPr>
          <w:noProof/>
        </w:rPr>
        <w:t>, 9</w:t>
      </w:r>
      <w:r w:rsidR="00C371A0" w:rsidRPr="006B2326">
        <w:rPr>
          <w:noProof/>
        </w:rPr>
        <w:t xml:space="preserve"> mg,</w:t>
      </w:r>
      <w:r w:rsidR="003E4670" w:rsidRPr="006B2326">
        <w:rPr>
          <w:noProof/>
        </w:rPr>
        <w:t>10 mg</w:t>
      </w:r>
      <w:r w:rsidR="00C371A0" w:rsidRPr="006B2326">
        <w:rPr>
          <w:noProof/>
        </w:rPr>
        <w:t xml:space="preserve"> </w:t>
      </w:r>
      <w:r w:rsidR="005A442F" w:rsidRPr="006B2326">
        <w:rPr>
          <w:noProof/>
        </w:rPr>
        <w:t>o</w:t>
      </w:r>
      <w:r w:rsidR="00C371A0" w:rsidRPr="006B2326">
        <w:rPr>
          <w:noProof/>
        </w:rPr>
        <w:t>r 20 mg of ponesimod.</w:t>
      </w:r>
    </w:p>
    <w:p w14:paraId="74F8179E" w14:textId="7866ABDD" w:rsidR="004A6D8D" w:rsidRPr="006B2326" w:rsidRDefault="004A6D8D" w:rsidP="004C6478">
      <w:pPr>
        <w:jc w:val="left"/>
        <w:rPr>
          <w:noProof/>
        </w:rPr>
      </w:pPr>
      <w:r>
        <w:rPr>
          <w:noProof/>
        </w:rPr>
        <w:t>Ponesimod is a white to light yellowish colour powder with solubility of 0.669 microgram/ mL in water at 20</w:t>
      </w:r>
      <w:r>
        <w:rPr>
          <w:rFonts w:cs="Arial"/>
          <w:noProof/>
        </w:rPr>
        <w:t>°</w:t>
      </w:r>
      <w:r>
        <w:rPr>
          <w:noProof/>
        </w:rPr>
        <w:t>C and practically insoluble or insoluble in aqueous media with pH of 1.23 to 12.79.</w:t>
      </w:r>
    </w:p>
    <w:p w14:paraId="34B46BCB" w14:textId="3FF80117" w:rsidR="00622BA9" w:rsidRPr="006B2326" w:rsidRDefault="00622BA9" w:rsidP="004C6478">
      <w:pPr>
        <w:jc w:val="left"/>
        <w:rPr>
          <w:noProof/>
        </w:rPr>
      </w:pPr>
      <w:r w:rsidRPr="006B2326">
        <w:rPr>
          <w:noProof/>
        </w:rPr>
        <w:t xml:space="preserve">Excipient with know effect: </w:t>
      </w:r>
      <w:r w:rsidR="00C371A0" w:rsidRPr="006B2326">
        <w:rPr>
          <w:noProof/>
        </w:rPr>
        <w:t xml:space="preserve">sugars as </w:t>
      </w:r>
      <w:r w:rsidRPr="006B2326">
        <w:rPr>
          <w:noProof/>
        </w:rPr>
        <w:t>lactose.</w:t>
      </w:r>
    </w:p>
    <w:p w14:paraId="78F8781F" w14:textId="0217954C" w:rsidR="00622BA9" w:rsidRPr="006B2326" w:rsidRDefault="00622BA9" w:rsidP="004C6478">
      <w:pPr>
        <w:jc w:val="left"/>
        <w:rPr>
          <w:noProof/>
        </w:rPr>
      </w:pPr>
      <w:r w:rsidRPr="006B2326">
        <w:rPr>
          <w:noProof/>
        </w:rPr>
        <w:t xml:space="preserve">For the full list of excipients, see Section 6.1 List of </w:t>
      </w:r>
      <w:r w:rsidR="00032EDC" w:rsidRPr="006B2326">
        <w:rPr>
          <w:noProof/>
        </w:rPr>
        <w:t>E</w:t>
      </w:r>
      <w:r w:rsidRPr="006B2326">
        <w:rPr>
          <w:noProof/>
        </w:rPr>
        <w:t>xcipients</w:t>
      </w:r>
      <w:r w:rsidR="00A7741E" w:rsidRPr="006B2326">
        <w:rPr>
          <w:noProof/>
        </w:rPr>
        <w:t>.</w:t>
      </w:r>
    </w:p>
    <w:p w14:paraId="7110F340" w14:textId="77777777" w:rsidR="00A7741E" w:rsidRPr="006B2326" w:rsidRDefault="00A7741E" w:rsidP="004C6478">
      <w:pPr>
        <w:jc w:val="left"/>
        <w:rPr>
          <w:lang w:val="en-AU"/>
        </w:rPr>
      </w:pPr>
    </w:p>
    <w:p w14:paraId="7C4F8BA7" w14:textId="1597CE6A" w:rsidR="00D92B0C" w:rsidRPr="006B2326" w:rsidRDefault="00967A14" w:rsidP="004C6478">
      <w:pPr>
        <w:pStyle w:val="Heading1"/>
        <w:rPr>
          <w:lang w:val="en-AU"/>
        </w:rPr>
      </w:pPr>
      <w:r w:rsidRPr="006B2326">
        <w:rPr>
          <w:lang w:val="en-AU"/>
        </w:rPr>
        <w:t>Pharmaceutical form</w:t>
      </w:r>
    </w:p>
    <w:p w14:paraId="7BD67DBD" w14:textId="53C278B1" w:rsidR="00622BA9" w:rsidRPr="006B2326" w:rsidRDefault="00622BA9" w:rsidP="004C6478">
      <w:pPr>
        <w:jc w:val="left"/>
        <w:rPr>
          <w:noProof/>
        </w:rPr>
      </w:pPr>
      <w:r w:rsidRPr="006B2326">
        <w:rPr>
          <w:noProof/>
        </w:rPr>
        <w:t>Film-coated tablet.</w:t>
      </w:r>
    </w:p>
    <w:p w14:paraId="2ED42FA8" w14:textId="2B1C4A86" w:rsidR="00AF3860" w:rsidRPr="006B2326" w:rsidRDefault="00387EBC" w:rsidP="004C6478">
      <w:pPr>
        <w:pStyle w:val="Basic12"/>
        <w:jc w:val="left"/>
        <w:rPr>
          <w:rFonts w:ascii="Arial" w:hAnsi="Arial" w:cs="Arial"/>
          <w:sz w:val="22"/>
          <w:szCs w:val="22"/>
        </w:rPr>
      </w:pPr>
      <w:bookmarkStart w:id="0" w:name="_Hlk16239693"/>
      <w:r w:rsidRPr="006B2326">
        <w:rPr>
          <w:rFonts w:ascii="Arial" w:hAnsi="Arial" w:cs="Arial"/>
          <w:sz w:val="22"/>
          <w:szCs w:val="22"/>
        </w:rPr>
        <w:t>PONVORY</w:t>
      </w:r>
      <w:r w:rsidR="00AF3860" w:rsidRPr="006B2326">
        <w:rPr>
          <w:rFonts w:ascii="Arial" w:hAnsi="Arial" w:cs="Arial"/>
          <w:sz w:val="22"/>
          <w:szCs w:val="22"/>
        </w:rPr>
        <w:t xml:space="preserve"> is available as round, biconvex, film-coated tablets for oral use. </w:t>
      </w:r>
      <w:r w:rsidRPr="006B2326">
        <w:rPr>
          <w:rFonts w:ascii="Arial" w:hAnsi="Arial" w:cs="Arial"/>
          <w:sz w:val="22"/>
          <w:szCs w:val="22"/>
        </w:rPr>
        <w:t>PONVORY</w:t>
      </w:r>
      <w:r w:rsidR="00AF3860" w:rsidRPr="006B2326">
        <w:rPr>
          <w:rFonts w:ascii="Arial" w:hAnsi="Arial" w:cs="Arial"/>
          <w:sz w:val="22"/>
          <w:szCs w:val="22"/>
        </w:rPr>
        <w:t xml:space="preserve"> contains </w:t>
      </w:r>
      <w:proofErr w:type="spellStart"/>
      <w:r w:rsidR="00AF3860" w:rsidRPr="006B2326">
        <w:rPr>
          <w:rFonts w:ascii="Arial" w:hAnsi="Arial" w:cs="Arial"/>
          <w:sz w:val="22"/>
          <w:szCs w:val="22"/>
        </w:rPr>
        <w:t>ponesimod</w:t>
      </w:r>
      <w:proofErr w:type="spellEnd"/>
      <w:r w:rsidR="00AF3860" w:rsidRPr="006B2326">
        <w:rPr>
          <w:rFonts w:ascii="Arial" w:hAnsi="Arial" w:cs="Arial"/>
          <w:sz w:val="22"/>
          <w:szCs w:val="22"/>
        </w:rPr>
        <w:t xml:space="preserve"> in the following dosage strengths (see </w:t>
      </w:r>
      <w:r w:rsidR="00AF3860" w:rsidRPr="006B2326">
        <w:rPr>
          <w:rFonts w:ascii="Arial" w:hAnsi="Arial" w:cs="Arial"/>
          <w:iCs/>
          <w:sz w:val="22"/>
          <w:szCs w:val="22"/>
        </w:rPr>
        <w:t>Table 1</w:t>
      </w:r>
      <w:r w:rsidR="00AF3860" w:rsidRPr="006B2326">
        <w:rPr>
          <w:rFonts w:ascii="Arial" w:hAnsi="Arial" w:cs="Arial"/>
          <w:sz w:val="22"/>
          <w:szCs w:val="22"/>
        </w:rPr>
        <w:t>).</w:t>
      </w:r>
      <w:bookmarkStart w:id="1" w:name="_Hlk15547803"/>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284"/>
        <w:gridCol w:w="1198"/>
        <w:gridCol w:w="5657"/>
      </w:tblGrid>
      <w:tr w:rsidR="00AF3860" w:rsidRPr="006B2326" w14:paraId="17B002E3" w14:textId="77777777" w:rsidTr="005D558F">
        <w:trPr>
          <w:trHeight w:val="317"/>
        </w:trPr>
        <w:tc>
          <w:tcPr>
            <w:tcW w:w="9508" w:type="dxa"/>
            <w:gridSpan w:val="4"/>
            <w:tcBorders>
              <w:top w:val="nil"/>
              <w:left w:val="nil"/>
              <w:right w:val="nil"/>
            </w:tcBorders>
            <w:shd w:val="clear" w:color="auto" w:fill="auto"/>
          </w:tcPr>
          <w:p w14:paraId="1D350FE8" w14:textId="478EBAAA" w:rsidR="00AF3860" w:rsidRPr="006B2326" w:rsidRDefault="00AF3860" w:rsidP="004C6478">
            <w:pPr>
              <w:pStyle w:val="TableTitle"/>
              <w:jc w:val="left"/>
              <w:rPr>
                <w:rFonts w:ascii="Arial" w:hAnsi="Arial" w:cs="Arial"/>
                <w:b w:val="0"/>
                <w:sz w:val="22"/>
                <w:szCs w:val="22"/>
              </w:rPr>
            </w:pPr>
            <w:r w:rsidRPr="006B2326">
              <w:rPr>
                <w:rFonts w:ascii="Arial" w:hAnsi="Arial" w:cs="Arial"/>
                <w:sz w:val="22"/>
                <w:szCs w:val="22"/>
              </w:rPr>
              <w:t>Table </w:t>
            </w:r>
            <w:r w:rsidRPr="006B2326">
              <w:rPr>
                <w:rFonts w:ascii="Arial" w:hAnsi="Arial" w:cs="Arial"/>
                <w:noProof/>
                <w:sz w:val="22"/>
                <w:szCs w:val="22"/>
              </w:rPr>
              <w:fldChar w:fldCharType="begin"/>
            </w:r>
            <w:r w:rsidRPr="006B2326">
              <w:rPr>
                <w:rFonts w:ascii="Arial" w:hAnsi="Arial" w:cs="Arial"/>
                <w:noProof/>
                <w:sz w:val="22"/>
                <w:szCs w:val="22"/>
              </w:rPr>
              <w:instrText xml:space="preserve"> SEQ Table \* ARABIC </w:instrText>
            </w:r>
            <w:r w:rsidRPr="006B2326">
              <w:rPr>
                <w:rFonts w:ascii="Arial" w:hAnsi="Arial" w:cs="Arial"/>
                <w:noProof/>
                <w:sz w:val="22"/>
                <w:szCs w:val="22"/>
              </w:rPr>
              <w:fldChar w:fldCharType="separate"/>
            </w:r>
            <w:r w:rsidRPr="006B2326">
              <w:rPr>
                <w:rFonts w:ascii="Arial" w:hAnsi="Arial" w:cs="Arial"/>
                <w:noProof/>
                <w:sz w:val="22"/>
                <w:szCs w:val="22"/>
              </w:rPr>
              <w:t>1</w:t>
            </w:r>
            <w:r w:rsidRPr="006B2326">
              <w:rPr>
                <w:rFonts w:ascii="Arial" w:hAnsi="Arial" w:cs="Arial"/>
                <w:noProof/>
                <w:sz w:val="22"/>
                <w:szCs w:val="22"/>
              </w:rPr>
              <w:fldChar w:fldCharType="end"/>
            </w:r>
            <w:r w:rsidRPr="006B2326">
              <w:rPr>
                <w:rFonts w:ascii="Arial" w:hAnsi="Arial" w:cs="Arial"/>
                <w:sz w:val="22"/>
                <w:szCs w:val="22"/>
              </w:rPr>
              <w:t>:</w:t>
            </w:r>
            <w:r w:rsidRPr="006B2326">
              <w:rPr>
                <w:rFonts w:ascii="Arial" w:hAnsi="Arial" w:cs="Arial"/>
                <w:sz w:val="22"/>
                <w:szCs w:val="22"/>
              </w:rPr>
              <w:tab/>
              <w:t xml:space="preserve">Dosage Form and Strengths for </w:t>
            </w:r>
            <w:r w:rsidR="00387EBC" w:rsidRPr="006B2326">
              <w:rPr>
                <w:rFonts w:ascii="Arial" w:hAnsi="Arial" w:cs="Arial"/>
                <w:sz w:val="22"/>
                <w:szCs w:val="22"/>
              </w:rPr>
              <w:t>PONVORY</w:t>
            </w:r>
          </w:p>
        </w:tc>
      </w:tr>
      <w:tr w:rsidR="00AF3860" w:rsidRPr="006B2326" w14:paraId="5E20AA4B" w14:textId="77777777" w:rsidTr="005D558F">
        <w:trPr>
          <w:trHeight w:val="873"/>
        </w:trPr>
        <w:tc>
          <w:tcPr>
            <w:tcW w:w="1369" w:type="dxa"/>
            <w:shd w:val="clear" w:color="auto" w:fill="auto"/>
          </w:tcPr>
          <w:p w14:paraId="566B7C81" w14:textId="77777777" w:rsidR="00AF3860" w:rsidRPr="006B2326" w:rsidRDefault="00AF3860" w:rsidP="004C6478">
            <w:pPr>
              <w:spacing w:after="200"/>
              <w:jc w:val="left"/>
              <w:rPr>
                <w:rFonts w:cs="Arial"/>
                <w:b/>
              </w:rPr>
            </w:pPr>
            <w:bookmarkStart w:id="2" w:name="_Hlk15547846"/>
            <w:bookmarkEnd w:id="1"/>
            <w:r w:rsidRPr="006B2326">
              <w:rPr>
                <w:rFonts w:cs="Arial"/>
                <w:b/>
              </w:rPr>
              <w:t>Tablet Strength</w:t>
            </w:r>
          </w:p>
        </w:tc>
        <w:tc>
          <w:tcPr>
            <w:tcW w:w="1284" w:type="dxa"/>
            <w:shd w:val="clear" w:color="auto" w:fill="auto"/>
          </w:tcPr>
          <w:p w14:paraId="749449FC" w14:textId="77777777" w:rsidR="00AF3860" w:rsidRPr="006B2326" w:rsidRDefault="00AF3860" w:rsidP="004C6478">
            <w:pPr>
              <w:spacing w:after="200"/>
              <w:jc w:val="left"/>
              <w:rPr>
                <w:rFonts w:cs="Arial"/>
                <w:b/>
              </w:rPr>
            </w:pPr>
            <w:r w:rsidRPr="006B2326">
              <w:rPr>
                <w:rFonts w:cs="Arial"/>
                <w:b/>
              </w:rPr>
              <w:t>Tablet Color</w:t>
            </w:r>
          </w:p>
        </w:tc>
        <w:tc>
          <w:tcPr>
            <w:tcW w:w="1198" w:type="dxa"/>
          </w:tcPr>
          <w:p w14:paraId="77E742AD" w14:textId="77777777" w:rsidR="00AF3860" w:rsidRPr="006B2326" w:rsidRDefault="00AF3860" w:rsidP="004C6478">
            <w:pPr>
              <w:spacing w:after="200"/>
              <w:jc w:val="left"/>
              <w:rPr>
                <w:rFonts w:cs="Arial"/>
                <w:b/>
              </w:rPr>
            </w:pPr>
            <w:r w:rsidRPr="006B2326">
              <w:rPr>
                <w:rFonts w:cs="Arial"/>
                <w:b/>
              </w:rPr>
              <w:t>Tablet Size</w:t>
            </w:r>
          </w:p>
        </w:tc>
        <w:tc>
          <w:tcPr>
            <w:tcW w:w="5655" w:type="dxa"/>
            <w:shd w:val="clear" w:color="auto" w:fill="auto"/>
          </w:tcPr>
          <w:p w14:paraId="7DF5EA0B" w14:textId="77777777" w:rsidR="00AF3860" w:rsidRPr="006B2326" w:rsidRDefault="00AF3860" w:rsidP="004C6478">
            <w:pPr>
              <w:spacing w:after="200"/>
              <w:jc w:val="left"/>
              <w:rPr>
                <w:rFonts w:cs="Arial"/>
                <w:b/>
              </w:rPr>
            </w:pPr>
            <w:r w:rsidRPr="006B2326">
              <w:rPr>
                <w:rFonts w:cs="Arial"/>
                <w:b/>
              </w:rPr>
              <w:t>Tablet Debossing</w:t>
            </w:r>
          </w:p>
        </w:tc>
      </w:tr>
      <w:tr w:rsidR="00AF3860" w:rsidRPr="006B2326" w14:paraId="349748F9" w14:textId="77777777" w:rsidTr="005D558F">
        <w:trPr>
          <w:trHeight w:val="314"/>
        </w:trPr>
        <w:tc>
          <w:tcPr>
            <w:tcW w:w="1369" w:type="dxa"/>
            <w:shd w:val="clear" w:color="auto" w:fill="auto"/>
          </w:tcPr>
          <w:p w14:paraId="2631FAA8" w14:textId="77777777" w:rsidR="00AF3860" w:rsidRPr="006B2326" w:rsidRDefault="00AF3860" w:rsidP="004C6478">
            <w:pPr>
              <w:jc w:val="left"/>
              <w:rPr>
                <w:rFonts w:cs="Arial"/>
              </w:rPr>
            </w:pPr>
            <w:bookmarkStart w:id="3" w:name="_Hlk2531098"/>
            <w:r w:rsidRPr="006B2326">
              <w:rPr>
                <w:rFonts w:cs="Arial"/>
              </w:rPr>
              <w:t>2 mg</w:t>
            </w:r>
          </w:p>
        </w:tc>
        <w:tc>
          <w:tcPr>
            <w:tcW w:w="1284" w:type="dxa"/>
            <w:shd w:val="clear" w:color="auto" w:fill="auto"/>
          </w:tcPr>
          <w:p w14:paraId="6669B8B9" w14:textId="77777777" w:rsidR="00AF3860" w:rsidRPr="006B2326" w:rsidRDefault="00AF3860" w:rsidP="004C6478">
            <w:pPr>
              <w:jc w:val="left"/>
              <w:rPr>
                <w:rFonts w:cs="Arial"/>
              </w:rPr>
            </w:pPr>
            <w:r w:rsidRPr="006B2326">
              <w:rPr>
                <w:rFonts w:cs="Arial"/>
              </w:rPr>
              <w:t>White</w:t>
            </w:r>
          </w:p>
        </w:tc>
        <w:tc>
          <w:tcPr>
            <w:tcW w:w="1198" w:type="dxa"/>
          </w:tcPr>
          <w:p w14:paraId="00E08C2B" w14:textId="77777777" w:rsidR="00AF3860" w:rsidRPr="006B2326" w:rsidRDefault="00AF3860" w:rsidP="004C6478">
            <w:pPr>
              <w:jc w:val="left"/>
              <w:rPr>
                <w:rFonts w:cs="Arial"/>
              </w:rPr>
            </w:pPr>
            <w:r w:rsidRPr="006B2326">
              <w:rPr>
                <w:rFonts w:cs="Arial"/>
              </w:rPr>
              <w:t>5.0 mm</w:t>
            </w:r>
          </w:p>
        </w:tc>
        <w:tc>
          <w:tcPr>
            <w:tcW w:w="5655" w:type="dxa"/>
            <w:shd w:val="clear" w:color="auto" w:fill="auto"/>
          </w:tcPr>
          <w:p w14:paraId="416E03DF" w14:textId="77777777" w:rsidR="00AF3860" w:rsidRPr="006B2326" w:rsidRDefault="00AF3860" w:rsidP="004C6478">
            <w:pPr>
              <w:jc w:val="left"/>
              <w:rPr>
                <w:rFonts w:cs="Arial"/>
              </w:rPr>
            </w:pPr>
            <w:r w:rsidRPr="006B2326">
              <w:rPr>
                <w:rFonts w:cs="Arial"/>
              </w:rPr>
              <w:t>"2" on one side and an arch on the other side.</w:t>
            </w:r>
          </w:p>
        </w:tc>
      </w:tr>
      <w:bookmarkEnd w:id="3"/>
      <w:tr w:rsidR="00AF3860" w:rsidRPr="006B2326" w14:paraId="2E92F0DC" w14:textId="77777777" w:rsidTr="005D558F">
        <w:trPr>
          <w:trHeight w:val="218"/>
        </w:trPr>
        <w:tc>
          <w:tcPr>
            <w:tcW w:w="1369" w:type="dxa"/>
            <w:shd w:val="clear" w:color="auto" w:fill="auto"/>
          </w:tcPr>
          <w:p w14:paraId="2AD737EC" w14:textId="77777777" w:rsidR="00AF3860" w:rsidRPr="006B2326" w:rsidRDefault="00AF3860" w:rsidP="004C6478">
            <w:pPr>
              <w:jc w:val="left"/>
              <w:rPr>
                <w:rFonts w:cs="Arial"/>
              </w:rPr>
            </w:pPr>
            <w:r w:rsidRPr="006B2326">
              <w:rPr>
                <w:rFonts w:cs="Arial"/>
              </w:rPr>
              <w:t>3 mg</w:t>
            </w:r>
          </w:p>
        </w:tc>
        <w:tc>
          <w:tcPr>
            <w:tcW w:w="1284" w:type="dxa"/>
            <w:shd w:val="clear" w:color="auto" w:fill="auto"/>
          </w:tcPr>
          <w:p w14:paraId="1D892CCE" w14:textId="77777777" w:rsidR="00AF3860" w:rsidRPr="006B2326" w:rsidRDefault="00AF3860" w:rsidP="004C6478">
            <w:pPr>
              <w:jc w:val="left"/>
              <w:rPr>
                <w:rFonts w:cs="Arial"/>
              </w:rPr>
            </w:pPr>
            <w:r w:rsidRPr="006B2326">
              <w:rPr>
                <w:rFonts w:cs="Arial"/>
              </w:rPr>
              <w:t>Red</w:t>
            </w:r>
          </w:p>
        </w:tc>
        <w:tc>
          <w:tcPr>
            <w:tcW w:w="1198" w:type="dxa"/>
          </w:tcPr>
          <w:p w14:paraId="3288AD09" w14:textId="77777777" w:rsidR="00AF3860" w:rsidRPr="006B2326" w:rsidRDefault="00AF3860" w:rsidP="004C6478">
            <w:pPr>
              <w:jc w:val="left"/>
              <w:rPr>
                <w:rFonts w:cs="Arial"/>
              </w:rPr>
            </w:pPr>
            <w:r w:rsidRPr="006B2326">
              <w:rPr>
                <w:rFonts w:cs="Arial"/>
              </w:rPr>
              <w:t>5.0 mm</w:t>
            </w:r>
          </w:p>
        </w:tc>
        <w:tc>
          <w:tcPr>
            <w:tcW w:w="5655" w:type="dxa"/>
            <w:shd w:val="clear" w:color="auto" w:fill="auto"/>
          </w:tcPr>
          <w:p w14:paraId="4062EFB6" w14:textId="77777777" w:rsidR="00AF3860" w:rsidRPr="006B2326" w:rsidRDefault="00AF3860" w:rsidP="004C6478">
            <w:pPr>
              <w:jc w:val="left"/>
              <w:rPr>
                <w:rFonts w:cs="Arial"/>
              </w:rPr>
            </w:pPr>
            <w:r w:rsidRPr="006B2326">
              <w:rPr>
                <w:rFonts w:cs="Arial"/>
              </w:rPr>
              <w:t>"3" on one side and an arch on the other side.</w:t>
            </w:r>
          </w:p>
        </w:tc>
      </w:tr>
      <w:tr w:rsidR="00AF3860" w:rsidRPr="006B2326" w14:paraId="52297C84" w14:textId="77777777" w:rsidTr="005D558F">
        <w:trPr>
          <w:trHeight w:val="314"/>
        </w:trPr>
        <w:tc>
          <w:tcPr>
            <w:tcW w:w="1369" w:type="dxa"/>
            <w:shd w:val="clear" w:color="auto" w:fill="auto"/>
          </w:tcPr>
          <w:p w14:paraId="562EF64C" w14:textId="77777777" w:rsidR="00AF3860" w:rsidRPr="006B2326" w:rsidRDefault="00AF3860" w:rsidP="004C6478">
            <w:pPr>
              <w:jc w:val="left"/>
              <w:rPr>
                <w:rFonts w:cs="Arial"/>
              </w:rPr>
            </w:pPr>
            <w:r w:rsidRPr="006B2326">
              <w:rPr>
                <w:rFonts w:cs="Arial"/>
              </w:rPr>
              <w:t>4 mg</w:t>
            </w:r>
          </w:p>
        </w:tc>
        <w:tc>
          <w:tcPr>
            <w:tcW w:w="1284" w:type="dxa"/>
            <w:shd w:val="clear" w:color="auto" w:fill="auto"/>
          </w:tcPr>
          <w:p w14:paraId="62AB9B4C" w14:textId="77777777" w:rsidR="00AF3860" w:rsidRPr="006B2326" w:rsidRDefault="00AF3860" w:rsidP="004C6478">
            <w:pPr>
              <w:jc w:val="left"/>
              <w:rPr>
                <w:rFonts w:cs="Arial"/>
              </w:rPr>
            </w:pPr>
            <w:r w:rsidRPr="006B2326">
              <w:rPr>
                <w:rFonts w:cs="Arial"/>
              </w:rPr>
              <w:t>Purple</w:t>
            </w:r>
          </w:p>
        </w:tc>
        <w:tc>
          <w:tcPr>
            <w:tcW w:w="1198" w:type="dxa"/>
          </w:tcPr>
          <w:p w14:paraId="6C719CB5" w14:textId="77777777" w:rsidR="00AF3860" w:rsidRPr="006B2326" w:rsidRDefault="00AF3860" w:rsidP="004C6478">
            <w:pPr>
              <w:jc w:val="left"/>
              <w:rPr>
                <w:rFonts w:cs="Arial"/>
              </w:rPr>
            </w:pPr>
            <w:r w:rsidRPr="006B2326">
              <w:rPr>
                <w:rFonts w:cs="Arial"/>
              </w:rPr>
              <w:t>5.0 mm</w:t>
            </w:r>
          </w:p>
        </w:tc>
        <w:tc>
          <w:tcPr>
            <w:tcW w:w="5655" w:type="dxa"/>
            <w:shd w:val="clear" w:color="auto" w:fill="auto"/>
          </w:tcPr>
          <w:p w14:paraId="5D95AD62" w14:textId="77777777" w:rsidR="00AF3860" w:rsidRPr="006B2326" w:rsidRDefault="00AF3860" w:rsidP="004C6478">
            <w:pPr>
              <w:jc w:val="left"/>
              <w:rPr>
                <w:rFonts w:cs="Arial"/>
              </w:rPr>
            </w:pPr>
            <w:r w:rsidRPr="006B2326">
              <w:rPr>
                <w:rFonts w:cs="Arial"/>
              </w:rPr>
              <w:t>"4" on one side and an arch on the other side.</w:t>
            </w:r>
          </w:p>
        </w:tc>
      </w:tr>
      <w:tr w:rsidR="00AF3860" w:rsidRPr="006B2326" w14:paraId="56C8070F" w14:textId="77777777" w:rsidTr="005D558F">
        <w:trPr>
          <w:trHeight w:val="314"/>
        </w:trPr>
        <w:tc>
          <w:tcPr>
            <w:tcW w:w="1369" w:type="dxa"/>
            <w:shd w:val="clear" w:color="auto" w:fill="auto"/>
          </w:tcPr>
          <w:p w14:paraId="1C9AADB8" w14:textId="77777777" w:rsidR="00AF3860" w:rsidRPr="006B2326" w:rsidRDefault="00AF3860" w:rsidP="004C6478">
            <w:pPr>
              <w:jc w:val="left"/>
              <w:rPr>
                <w:rFonts w:cs="Arial"/>
              </w:rPr>
            </w:pPr>
            <w:r w:rsidRPr="006B2326">
              <w:rPr>
                <w:rFonts w:cs="Arial"/>
              </w:rPr>
              <w:lastRenderedPageBreak/>
              <w:t>5 mg</w:t>
            </w:r>
          </w:p>
        </w:tc>
        <w:tc>
          <w:tcPr>
            <w:tcW w:w="1284" w:type="dxa"/>
            <w:shd w:val="clear" w:color="auto" w:fill="auto"/>
          </w:tcPr>
          <w:p w14:paraId="7507368B" w14:textId="77777777" w:rsidR="00AF3860" w:rsidRPr="006B2326" w:rsidRDefault="00AF3860" w:rsidP="004C6478">
            <w:pPr>
              <w:jc w:val="left"/>
              <w:rPr>
                <w:rFonts w:cs="Arial"/>
              </w:rPr>
            </w:pPr>
            <w:r w:rsidRPr="006B2326">
              <w:rPr>
                <w:rFonts w:cs="Arial"/>
              </w:rPr>
              <w:t>Green</w:t>
            </w:r>
          </w:p>
        </w:tc>
        <w:tc>
          <w:tcPr>
            <w:tcW w:w="1198" w:type="dxa"/>
          </w:tcPr>
          <w:p w14:paraId="30C4765F"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7BFDE85C" w14:textId="77777777" w:rsidR="00AF3860" w:rsidRPr="006B2326" w:rsidRDefault="00AF3860" w:rsidP="004C6478">
            <w:pPr>
              <w:jc w:val="left"/>
              <w:rPr>
                <w:rFonts w:cs="Arial"/>
              </w:rPr>
            </w:pPr>
            <w:r w:rsidRPr="006B2326">
              <w:rPr>
                <w:rFonts w:cs="Arial"/>
              </w:rPr>
              <w:t>"5" on one side and an arch and an "A" on the other side.</w:t>
            </w:r>
          </w:p>
        </w:tc>
      </w:tr>
      <w:tr w:rsidR="00AF3860" w:rsidRPr="006B2326" w14:paraId="69349B0F" w14:textId="77777777" w:rsidTr="005D558F">
        <w:trPr>
          <w:trHeight w:val="314"/>
        </w:trPr>
        <w:tc>
          <w:tcPr>
            <w:tcW w:w="1369" w:type="dxa"/>
            <w:shd w:val="clear" w:color="auto" w:fill="auto"/>
          </w:tcPr>
          <w:p w14:paraId="52C3AB2E" w14:textId="77777777" w:rsidR="00AF3860" w:rsidRPr="006B2326" w:rsidRDefault="00AF3860" w:rsidP="004C6478">
            <w:pPr>
              <w:jc w:val="left"/>
              <w:rPr>
                <w:rFonts w:cs="Arial"/>
              </w:rPr>
            </w:pPr>
            <w:r w:rsidRPr="006B2326">
              <w:rPr>
                <w:rFonts w:cs="Arial"/>
              </w:rPr>
              <w:t>6 mg</w:t>
            </w:r>
          </w:p>
        </w:tc>
        <w:tc>
          <w:tcPr>
            <w:tcW w:w="1284" w:type="dxa"/>
            <w:shd w:val="clear" w:color="auto" w:fill="auto"/>
          </w:tcPr>
          <w:p w14:paraId="378AF0A8" w14:textId="77777777" w:rsidR="00AF3860" w:rsidRPr="006B2326" w:rsidRDefault="00AF3860" w:rsidP="004C6478">
            <w:pPr>
              <w:jc w:val="left"/>
              <w:rPr>
                <w:rFonts w:cs="Arial"/>
              </w:rPr>
            </w:pPr>
            <w:r w:rsidRPr="006B2326">
              <w:rPr>
                <w:rFonts w:cs="Arial"/>
              </w:rPr>
              <w:t>White</w:t>
            </w:r>
          </w:p>
        </w:tc>
        <w:tc>
          <w:tcPr>
            <w:tcW w:w="1198" w:type="dxa"/>
          </w:tcPr>
          <w:p w14:paraId="683F3AEA"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5CC413B3" w14:textId="77777777" w:rsidR="00AF3860" w:rsidRPr="006B2326" w:rsidRDefault="00AF3860" w:rsidP="004C6478">
            <w:pPr>
              <w:jc w:val="left"/>
              <w:rPr>
                <w:rFonts w:cs="Arial"/>
              </w:rPr>
            </w:pPr>
            <w:r w:rsidRPr="006B2326">
              <w:rPr>
                <w:rFonts w:cs="Arial"/>
              </w:rPr>
              <w:t>"</w:t>
            </w:r>
            <w:r w:rsidRPr="006B2326">
              <w:rPr>
                <w:rFonts w:cs="Arial"/>
                <w:u w:val="single"/>
              </w:rPr>
              <w:t>6</w:t>
            </w:r>
            <w:r w:rsidRPr="006B2326">
              <w:rPr>
                <w:rFonts w:cs="Arial"/>
              </w:rPr>
              <w:t>" on one side and an arch and an "A" on the other side.</w:t>
            </w:r>
          </w:p>
        </w:tc>
      </w:tr>
      <w:tr w:rsidR="00AF3860" w:rsidRPr="006B2326" w14:paraId="64DCF89F" w14:textId="77777777" w:rsidTr="005D558F">
        <w:trPr>
          <w:trHeight w:val="314"/>
        </w:trPr>
        <w:tc>
          <w:tcPr>
            <w:tcW w:w="1369" w:type="dxa"/>
            <w:shd w:val="clear" w:color="auto" w:fill="auto"/>
          </w:tcPr>
          <w:p w14:paraId="222D70E8" w14:textId="77777777" w:rsidR="00AF3860" w:rsidRPr="006B2326" w:rsidRDefault="00AF3860" w:rsidP="004C6478">
            <w:pPr>
              <w:jc w:val="left"/>
              <w:rPr>
                <w:rFonts w:cs="Arial"/>
              </w:rPr>
            </w:pPr>
            <w:r w:rsidRPr="006B2326">
              <w:rPr>
                <w:rFonts w:cs="Arial"/>
              </w:rPr>
              <w:t>7 mg</w:t>
            </w:r>
          </w:p>
        </w:tc>
        <w:tc>
          <w:tcPr>
            <w:tcW w:w="1284" w:type="dxa"/>
            <w:shd w:val="clear" w:color="auto" w:fill="auto"/>
          </w:tcPr>
          <w:p w14:paraId="445141AF" w14:textId="77777777" w:rsidR="00AF3860" w:rsidRPr="006B2326" w:rsidRDefault="00AF3860" w:rsidP="004C6478">
            <w:pPr>
              <w:jc w:val="left"/>
              <w:rPr>
                <w:rFonts w:cs="Arial"/>
              </w:rPr>
            </w:pPr>
            <w:r w:rsidRPr="006B2326">
              <w:rPr>
                <w:rFonts w:cs="Arial"/>
              </w:rPr>
              <w:t>Red</w:t>
            </w:r>
          </w:p>
        </w:tc>
        <w:tc>
          <w:tcPr>
            <w:tcW w:w="1198" w:type="dxa"/>
          </w:tcPr>
          <w:p w14:paraId="7C51A266"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62D01C5D" w14:textId="77777777" w:rsidR="00AF3860" w:rsidRPr="006B2326" w:rsidRDefault="00AF3860" w:rsidP="004C6478">
            <w:pPr>
              <w:jc w:val="left"/>
              <w:rPr>
                <w:rFonts w:cs="Arial"/>
              </w:rPr>
            </w:pPr>
            <w:r w:rsidRPr="006B2326">
              <w:rPr>
                <w:rFonts w:cs="Arial"/>
              </w:rPr>
              <w:t>"7" on one side and an arch and an "A" on the other side.</w:t>
            </w:r>
          </w:p>
        </w:tc>
      </w:tr>
      <w:tr w:rsidR="00AF3860" w:rsidRPr="006B2326" w14:paraId="65074E63" w14:textId="77777777" w:rsidTr="005D558F">
        <w:trPr>
          <w:trHeight w:val="314"/>
        </w:trPr>
        <w:tc>
          <w:tcPr>
            <w:tcW w:w="1369" w:type="dxa"/>
            <w:shd w:val="clear" w:color="auto" w:fill="auto"/>
          </w:tcPr>
          <w:p w14:paraId="0C3AC7A1" w14:textId="77777777" w:rsidR="00AF3860" w:rsidRPr="006B2326" w:rsidRDefault="00AF3860" w:rsidP="004C6478">
            <w:pPr>
              <w:jc w:val="left"/>
              <w:rPr>
                <w:rFonts w:cs="Arial"/>
              </w:rPr>
            </w:pPr>
            <w:r w:rsidRPr="006B2326">
              <w:rPr>
                <w:rFonts w:cs="Arial"/>
              </w:rPr>
              <w:t>8 mg</w:t>
            </w:r>
          </w:p>
        </w:tc>
        <w:tc>
          <w:tcPr>
            <w:tcW w:w="1284" w:type="dxa"/>
            <w:shd w:val="clear" w:color="auto" w:fill="auto"/>
          </w:tcPr>
          <w:p w14:paraId="46091320" w14:textId="77777777" w:rsidR="00AF3860" w:rsidRPr="006B2326" w:rsidRDefault="00AF3860" w:rsidP="004C6478">
            <w:pPr>
              <w:jc w:val="left"/>
              <w:rPr>
                <w:rFonts w:cs="Arial"/>
              </w:rPr>
            </w:pPr>
            <w:r w:rsidRPr="006B2326">
              <w:rPr>
                <w:rFonts w:cs="Arial"/>
              </w:rPr>
              <w:t>Purple</w:t>
            </w:r>
          </w:p>
        </w:tc>
        <w:tc>
          <w:tcPr>
            <w:tcW w:w="1198" w:type="dxa"/>
          </w:tcPr>
          <w:p w14:paraId="652F8FD5"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6CADDD15" w14:textId="77777777" w:rsidR="00AF3860" w:rsidRPr="006B2326" w:rsidRDefault="00AF3860" w:rsidP="004C6478">
            <w:pPr>
              <w:jc w:val="left"/>
              <w:rPr>
                <w:rFonts w:cs="Arial"/>
              </w:rPr>
            </w:pPr>
            <w:r w:rsidRPr="006B2326">
              <w:rPr>
                <w:rFonts w:cs="Arial"/>
              </w:rPr>
              <w:t>"8" on one side and an arch and an "A" on the other side.</w:t>
            </w:r>
          </w:p>
        </w:tc>
      </w:tr>
      <w:tr w:rsidR="00AF3860" w:rsidRPr="006B2326" w14:paraId="5CB56050" w14:textId="77777777" w:rsidTr="005D558F">
        <w:trPr>
          <w:trHeight w:val="314"/>
        </w:trPr>
        <w:tc>
          <w:tcPr>
            <w:tcW w:w="1369" w:type="dxa"/>
            <w:shd w:val="clear" w:color="auto" w:fill="auto"/>
          </w:tcPr>
          <w:p w14:paraId="64570B32" w14:textId="77777777" w:rsidR="00AF3860" w:rsidRPr="006B2326" w:rsidRDefault="00AF3860" w:rsidP="004C6478">
            <w:pPr>
              <w:jc w:val="left"/>
              <w:rPr>
                <w:rFonts w:cs="Arial"/>
              </w:rPr>
            </w:pPr>
            <w:r w:rsidRPr="006B2326">
              <w:rPr>
                <w:rFonts w:cs="Arial"/>
              </w:rPr>
              <w:t>9 mg</w:t>
            </w:r>
          </w:p>
        </w:tc>
        <w:tc>
          <w:tcPr>
            <w:tcW w:w="1284" w:type="dxa"/>
            <w:shd w:val="clear" w:color="auto" w:fill="auto"/>
          </w:tcPr>
          <w:p w14:paraId="7A557831" w14:textId="77777777" w:rsidR="00AF3860" w:rsidRPr="006B2326" w:rsidRDefault="00AF3860" w:rsidP="004C6478">
            <w:pPr>
              <w:jc w:val="left"/>
              <w:rPr>
                <w:rFonts w:cs="Arial"/>
              </w:rPr>
            </w:pPr>
            <w:r w:rsidRPr="006B2326">
              <w:rPr>
                <w:rFonts w:cs="Arial"/>
              </w:rPr>
              <w:t>Brown</w:t>
            </w:r>
          </w:p>
        </w:tc>
        <w:tc>
          <w:tcPr>
            <w:tcW w:w="1198" w:type="dxa"/>
          </w:tcPr>
          <w:p w14:paraId="3BF0F9BF"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26A9D74D" w14:textId="77777777" w:rsidR="00AF3860" w:rsidRPr="006B2326" w:rsidRDefault="00AF3860" w:rsidP="004C6478">
            <w:pPr>
              <w:jc w:val="left"/>
              <w:rPr>
                <w:rFonts w:cs="Arial"/>
              </w:rPr>
            </w:pPr>
            <w:r w:rsidRPr="006B2326">
              <w:rPr>
                <w:rFonts w:cs="Arial"/>
              </w:rPr>
              <w:t>"</w:t>
            </w:r>
            <w:r w:rsidRPr="006B2326">
              <w:rPr>
                <w:rFonts w:cs="Arial"/>
                <w:u w:val="single"/>
              </w:rPr>
              <w:t>9</w:t>
            </w:r>
            <w:r w:rsidRPr="006B2326">
              <w:rPr>
                <w:rFonts w:cs="Arial"/>
              </w:rPr>
              <w:t>" on one side and an arch and an "A" on the other side.</w:t>
            </w:r>
          </w:p>
        </w:tc>
      </w:tr>
      <w:tr w:rsidR="00AF3860" w:rsidRPr="006B2326" w14:paraId="61519C97" w14:textId="77777777" w:rsidTr="005D558F">
        <w:trPr>
          <w:trHeight w:val="314"/>
        </w:trPr>
        <w:tc>
          <w:tcPr>
            <w:tcW w:w="1369" w:type="dxa"/>
            <w:shd w:val="clear" w:color="auto" w:fill="auto"/>
          </w:tcPr>
          <w:p w14:paraId="353CD7DF" w14:textId="77777777" w:rsidR="00AF3860" w:rsidRPr="006B2326" w:rsidRDefault="00AF3860" w:rsidP="004C6478">
            <w:pPr>
              <w:jc w:val="left"/>
              <w:rPr>
                <w:rFonts w:cs="Arial"/>
              </w:rPr>
            </w:pPr>
            <w:r w:rsidRPr="006B2326">
              <w:rPr>
                <w:rFonts w:cs="Arial"/>
              </w:rPr>
              <w:t>10 mg</w:t>
            </w:r>
          </w:p>
        </w:tc>
        <w:tc>
          <w:tcPr>
            <w:tcW w:w="1284" w:type="dxa"/>
            <w:shd w:val="clear" w:color="auto" w:fill="auto"/>
          </w:tcPr>
          <w:p w14:paraId="7A3254AF" w14:textId="77777777" w:rsidR="00AF3860" w:rsidRPr="006B2326" w:rsidRDefault="00AF3860" w:rsidP="004C6478">
            <w:pPr>
              <w:jc w:val="left"/>
              <w:rPr>
                <w:rFonts w:cs="Arial"/>
              </w:rPr>
            </w:pPr>
            <w:r w:rsidRPr="006B2326">
              <w:rPr>
                <w:rFonts w:cs="Arial"/>
              </w:rPr>
              <w:t>Orange</w:t>
            </w:r>
          </w:p>
        </w:tc>
        <w:tc>
          <w:tcPr>
            <w:tcW w:w="1198" w:type="dxa"/>
          </w:tcPr>
          <w:p w14:paraId="77E7B322"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0ED01F68" w14:textId="77777777" w:rsidR="00AF3860" w:rsidRPr="006B2326" w:rsidRDefault="00AF3860" w:rsidP="004C6478">
            <w:pPr>
              <w:jc w:val="left"/>
              <w:rPr>
                <w:rFonts w:cs="Arial"/>
              </w:rPr>
            </w:pPr>
            <w:r w:rsidRPr="006B2326">
              <w:rPr>
                <w:rFonts w:cs="Arial"/>
              </w:rPr>
              <w:t>"10" on one side and an arch and an "A" on the other side.</w:t>
            </w:r>
          </w:p>
        </w:tc>
      </w:tr>
      <w:tr w:rsidR="00AF3860" w:rsidRPr="006B2326" w14:paraId="16CC3FCA" w14:textId="77777777" w:rsidTr="005D558F">
        <w:trPr>
          <w:trHeight w:val="314"/>
        </w:trPr>
        <w:tc>
          <w:tcPr>
            <w:tcW w:w="1369" w:type="dxa"/>
            <w:shd w:val="clear" w:color="auto" w:fill="auto"/>
          </w:tcPr>
          <w:p w14:paraId="12F13575" w14:textId="77777777" w:rsidR="00AF3860" w:rsidRPr="006B2326" w:rsidRDefault="00AF3860" w:rsidP="004C6478">
            <w:pPr>
              <w:jc w:val="left"/>
              <w:rPr>
                <w:rFonts w:cs="Arial"/>
              </w:rPr>
            </w:pPr>
            <w:r w:rsidRPr="006B2326">
              <w:rPr>
                <w:rFonts w:cs="Arial"/>
              </w:rPr>
              <w:t>20 mg</w:t>
            </w:r>
          </w:p>
        </w:tc>
        <w:tc>
          <w:tcPr>
            <w:tcW w:w="1284" w:type="dxa"/>
            <w:shd w:val="clear" w:color="auto" w:fill="auto"/>
          </w:tcPr>
          <w:p w14:paraId="4A9C92DC" w14:textId="77777777" w:rsidR="00AF3860" w:rsidRPr="006B2326" w:rsidRDefault="00AF3860" w:rsidP="004C6478">
            <w:pPr>
              <w:jc w:val="left"/>
              <w:rPr>
                <w:rFonts w:cs="Arial"/>
              </w:rPr>
            </w:pPr>
            <w:r w:rsidRPr="006B2326">
              <w:rPr>
                <w:rFonts w:cs="Arial"/>
              </w:rPr>
              <w:t>Yellow</w:t>
            </w:r>
          </w:p>
        </w:tc>
        <w:tc>
          <w:tcPr>
            <w:tcW w:w="1198" w:type="dxa"/>
          </w:tcPr>
          <w:p w14:paraId="73BAD517" w14:textId="77777777" w:rsidR="00AF3860" w:rsidRPr="006B2326" w:rsidRDefault="00AF3860" w:rsidP="004C6478">
            <w:pPr>
              <w:jc w:val="left"/>
              <w:rPr>
                <w:rFonts w:cs="Arial"/>
              </w:rPr>
            </w:pPr>
            <w:r w:rsidRPr="006B2326">
              <w:rPr>
                <w:rFonts w:cs="Arial"/>
              </w:rPr>
              <w:t>8.6 mm</w:t>
            </w:r>
          </w:p>
        </w:tc>
        <w:tc>
          <w:tcPr>
            <w:tcW w:w="5655" w:type="dxa"/>
            <w:shd w:val="clear" w:color="auto" w:fill="auto"/>
          </w:tcPr>
          <w:p w14:paraId="618DC505" w14:textId="77777777" w:rsidR="00AF3860" w:rsidRPr="006B2326" w:rsidRDefault="00AF3860" w:rsidP="004C6478">
            <w:pPr>
              <w:jc w:val="left"/>
              <w:rPr>
                <w:rFonts w:cs="Arial"/>
              </w:rPr>
            </w:pPr>
            <w:r w:rsidRPr="006B2326">
              <w:rPr>
                <w:rFonts w:cs="Arial"/>
              </w:rPr>
              <w:t>"20" on one side and an arch and an "A" on the other side.</w:t>
            </w:r>
          </w:p>
        </w:tc>
      </w:tr>
      <w:bookmarkEnd w:id="0"/>
      <w:bookmarkEnd w:id="2"/>
    </w:tbl>
    <w:p w14:paraId="3DD5A5A0" w14:textId="77777777" w:rsidR="00A7741E" w:rsidRPr="006B2326" w:rsidRDefault="00A7741E" w:rsidP="004C6478">
      <w:pPr>
        <w:jc w:val="left"/>
        <w:rPr>
          <w:noProof/>
        </w:rPr>
      </w:pPr>
    </w:p>
    <w:p w14:paraId="2788C32C" w14:textId="77777777" w:rsidR="00D92B0C" w:rsidRPr="006B2326" w:rsidRDefault="00D92B0C" w:rsidP="004C6478">
      <w:pPr>
        <w:pStyle w:val="Heading1"/>
        <w:rPr>
          <w:lang w:val="en-AU"/>
        </w:rPr>
      </w:pPr>
      <w:r w:rsidRPr="006B2326">
        <w:rPr>
          <w:lang w:val="en-AU"/>
        </w:rPr>
        <w:t>CLINICAL PARTICULARS</w:t>
      </w:r>
    </w:p>
    <w:p w14:paraId="44B42828" w14:textId="353122BC" w:rsidR="00D92B0C" w:rsidRPr="006B2326" w:rsidRDefault="00845045" w:rsidP="004C6478">
      <w:pPr>
        <w:pStyle w:val="Heading2"/>
        <w:rPr>
          <w:lang w:val="en-AU"/>
        </w:rPr>
      </w:pPr>
      <w:r w:rsidRPr="006B2326">
        <w:rPr>
          <w:lang w:val="en-AU"/>
        </w:rPr>
        <w:t xml:space="preserve">THERAPEUTIC </w:t>
      </w:r>
      <w:r w:rsidR="00D92B0C" w:rsidRPr="006B2326">
        <w:rPr>
          <w:lang w:val="en-AU"/>
        </w:rPr>
        <w:t>INDICATIONS</w:t>
      </w:r>
    </w:p>
    <w:p w14:paraId="6874FF8C" w14:textId="5D796D15" w:rsidR="00E133A5" w:rsidRPr="006B2326" w:rsidRDefault="00387EBC" w:rsidP="004C6478">
      <w:pPr>
        <w:jc w:val="left"/>
      </w:pPr>
      <w:r w:rsidRPr="006B2326">
        <w:t>PONVORY</w:t>
      </w:r>
      <w:r w:rsidR="00E133A5" w:rsidRPr="006B2326">
        <w:t xml:space="preserve"> is </w:t>
      </w:r>
      <w:r w:rsidR="00E133A5" w:rsidRPr="006B2326">
        <w:rPr>
          <w:noProof/>
        </w:rPr>
        <w:t>indicated for the treatment of adult patients with relapsing forms of multiple sclerosis (RMS) with active disease defined by clinical or imaging features.</w:t>
      </w:r>
    </w:p>
    <w:p w14:paraId="04BE8C2E" w14:textId="1025D2AD" w:rsidR="00F87710" w:rsidRPr="006B2326" w:rsidRDefault="00F87710" w:rsidP="004C6478">
      <w:pPr>
        <w:jc w:val="left"/>
        <w:rPr>
          <w:lang w:val="en-AU"/>
        </w:rPr>
      </w:pPr>
    </w:p>
    <w:p w14:paraId="05A62937" w14:textId="652E9F90" w:rsidR="00D92B0C" w:rsidRPr="006B2326" w:rsidRDefault="00D92B0C" w:rsidP="004C6478">
      <w:pPr>
        <w:pStyle w:val="Heading2"/>
        <w:rPr>
          <w:lang w:val="en-AU"/>
        </w:rPr>
      </w:pPr>
      <w:r w:rsidRPr="006B2326">
        <w:rPr>
          <w:lang w:val="en-AU"/>
        </w:rPr>
        <w:t xml:space="preserve">Dose and </w:t>
      </w:r>
      <w:r w:rsidR="0089101D" w:rsidRPr="006B2326">
        <w:rPr>
          <w:lang w:val="en-AU"/>
        </w:rPr>
        <w:t xml:space="preserve">METHOD OF </w:t>
      </w:r>
      <w:r w:rsidRPr="006B2326">
        <w:rPr>
          <w:lang w:val="en-AU"/>
        </w:rPr>
        <w:t>Administration</w:t>
      </w:r>
    </w:p>
    <w:p w14:paraId="5D953924" w14:textId="073EF60F" w:rsidR="00B224F2" w:rsidRDefault="00B224F2" w:rsidP="004C6478">
      <w:pPr>
        <w:jc w:val="left"/>
      </w:pPr>
      <w:bookmarkStart w:id="4" w:name="_Hlk7096042"/>
      <w:bookmarkStart w:id="5" w:name="_Hlk17186223"/>
      <w:bookmarkStart w:id="6" w:name="_Hlk18565155"/>
      <w:r>
        <w:t>Treatment should be initiated under the supervision of a physician experienced in the management of multiple sclerosis.</w:t>
      </w:r>
    </w:p>
    <w:p w14:paraId="11F4AAB0" w14:textId="0001BBFB" w:rsidR="00AF3860" w:rsidRPr="006B2326" w:rsidRDefault="00AF3860" w:rsidP="004C6478">
      <w:pPr>
        <w:pStyle w:val="Heading3"/>
      </w:pPr>
      <w:r w:rsidRPr="006B2326">
        <w:t xml:space="preserve">Assessments prior to first dose of </w:t>
      </w:r>
      <w:r w:rsidR="00387EBC" w:rsidRPr="006B2326">
        <w:t>PONVORY</w:t>
      </w:r>
      <w:bookmarkEnd w:id="4"/>
      <w:bookmarkEnd w:id="5"/>
    </w:p>
    <w:bookmarkEnd w:id="6"/>
    <w:p w14:paraId="55B99D19" w14:textId="22716A3B" w:rsidR="00512F58" w:rsidRPr="006B2326" w:rsidRDefault="00512F58" w:rsidP="004C6478">
      <w:pPr>
        <w:jc w:val="left"/>
      </w:pPr>
      <w:r w:rsidRPr="006B2326">
        <w:t xml:space="preserve">Before initiation of treatment with </w:t>
      </w:r>
      <w:r w:rsidR="00387EBC" w:rsidRPr="006B2326">
        <w:t>PONVORY</w:t>
      </w:r>
      <w:r w:rsidRPr="006B2326">
        <w:t>, assess the following:</w:t>
      </w:r>
    </w:p>
    <w:p w14:paraId="4CCCBBD9" w14:textId="77777777" w:rsidR="00512F58" w:rsidRPr="006B2326" w:rsidRDefault="00512F58" w:rsidP="004C6478">
      <w:pPr>
        <w:pStyle w:val="Heading4"/>
      </w:pPr>
      <w:r w:rsidRPr="006B2326">
        <w:t>Complete blood count</w:t>
      </w:r>
    </w:p>
    <w:p w14:paraId="654F3FA8" w14:textId="124E19C7" w:rsidR="00512F58" w:rsidRPr="006B2326" w:rsidRDefault="00512F58" w:rsidP="004C6478">
      <w:pPr>
        <w:jc w:val="left"/>
      </w:pPr>
      <w:r w:rsidRPr="006B2326">
        <w:t xml:space="preserve">Review results of a complete blood count (CBC) with differential White Blood Cell (WBC) count obtained within the last 6 months (see </w:t>
      </w:r>
      <w:r w:rsidR="00453F57" w:rsidRPr="006B2326">
        <w:t xml:space="preserve">Section </w:t>
      </w:r>
      <w:r w:rsidR="00387EBC" w:rsidRPr="006B2326">
        <w:t xml:space="preserve">4.4 Special Warnings and Precautions </w:t>
      </w:r>
      <w:r w:rsidR="00032EDC" w:rsidRPr="006B2326">
        <w:t>f</w:t>
      </w:r>
      <w:r w:rsidR="00387EBC" w:rsidRPr="006B2326">
        <w:t>or Use</w:t>
      </w:r>
      <w:r w:rsidRPr="006B2326">
        <w:t xml:space="preserve"> - Infections).</w:t>
      </w:r>
    </w:p>
    <w:p w14:paraId="2C4A0957" w14:textId="77777777" w:rsidR="00512F58" w:rsidRPr="006B2326" w:rsidRDefault="00512F58" w:rsidP="004C6478">
      <w:pPr>
        <w:pStyle w:val="Heading4"/>
      </w:pPr>
      <w:r w:rsidRPr="006B2326">
        <w:t>Liver function tests</w:t>
      </w:r>
    </w:p>
    <w:p w14:paraId="2F552B5E" w14:textId="6954F671" w:rsidR="00512F58" w:rsidRPr="006B2326" w:rsidRDefault="00512F58" w:rsidP="004C6478">
      <w:pPr>
        <w:jc w:val="left"/>
      </w:pPr>
      <w:r w:rsidRPr="006B2326">
        <w:t>Review results of transaminase and bilirubin levels obtained within the last 6 months (see</w:t>
      </w:r>
      <w:r w:rsidR="00453F57" w:rsidRPr="006B2326">
        <w:t xml:space="preserve"> Section</w:t>
      </w:r>
      <w:r w:rsidRPr="006B2326">
        <w:t xml:space="preserve"> </w:t>
      </w:r>
      <w:r w:rsidR="00387EBC" w:rsidRPr="006B2326">
        <w:t xml:space="preserve">4.4 Special Warnings and Precautions </w:t>
      </w:r>
      <w:r w:rsidR="00032EDC" w:rsidRPr="006B2326">
        <w:t>f</w:t>
      </w:r>
      <w:r w:rsidR="00387EBC" w:rsidRPr="006B2326">
        <w:t>or Use</w:t>
      </w:r>
      <w:r w:rsidRPr="006B2326">
        <w:t xml:space="preserve"> - Liver Injury).</w:t>
      </w:r>
    </w:p>
    <w:p w14:paraId="716D8A0A" w14:textId="77777777" w:rsidR="00512F58" w:rsidRPr="006B2326" w:rsidRDefault="00512F58" w:rsidP="004C6478">
      <w:pPr>
        <w:pStyle w:val="Heading4"/>
      </w:pPr>
      <w:r w:rsidRPr="006B2326">
        <w:t>Pregnancy test</w:t>
      </w:r>
    </w:p>
    <w:p w14:paraId="12559A1F" w14:textId="685F2ED9" w:rsidR="00512F58" w:rsidRPr="006B2326" w:rsidRDefault="00512F58" w:rsidP="004C6478">
      <w:pPr>
        <w:jc w:val="left"/>
      </w:pPr>
      <w:r w:rsidRPr="006B2326">
        <w:t xml:space="preserve">Before initiation of treatment in women of childbearing potential, a negative pregnancy test result must be available (see </w:t>
      </w:r>
      <w:r w:rsidR="00453F57" w:rsidRPr="006B2326">
        <w:t xml:space="preserve">Section </w:t>
      </w:r>
      <w:r w:rsidR="00387EBC" w:rsidRPr="006B2326">
        <w:t>4.</w:t>
      </w:r>
      <w:r w:rsidR="00032EDC" w:rsidRPr="006B2326">
        <w:t>6</w:t>
      </w:r>
      <w:r w:rsidR="00453F57" w:rsidRPr="006B2326">
        <w:t xml:space="preserve"> </w:t>
      </w:r>
      <w:r w:rsidR="00387EBC" w:rsidRPr="006B2326">
        <w:t>Fertility, Pregnancy and Lactation</w:t>
      </w:r>
      <w:r w:rsidRPr="006B2326">
        <w:t xml:space="preserve"> - Contraception).</w:t>
      </w:r>
    </w:p>
    <w:p w14:paraId="79064DBB" w14:textId="77777777" w:rsidR="00512F58" w:rsidRPr="006B2326" w:rsidRDefault="00512F58" w:rsidP="004C6478">
      <w:pPr>
        <w:pStyle w:val="Heading4"/>
      </w:pPr>
      <w:r w:rsidRPr="006B2326">
        <w:t>Ophthalmic evaluation</w:t>
      </w:r>
    </w:p>
    <w:p w14:paraId="01E1012A" w14:textId="3FAED49B" w:rsidR="00512F58" w:rsidRPr="006B2326" w:rsidRDefault="00512F58" w:rsidP="004C6478">
      <w:pPr>
        <w:jc w:val="left"/>
      </w:pPr>
      <w:r w:rsidRPr="006B2326">
        <w:t xml:space="preserve">Obtain an evaluation of the fundus, including the macula (see </w:t>
      </w:r>
      <w:r w:rsidR="00453F57" w:rsidRPr="006B2326">
        <w:t xml:space="preserve">Section </w:t>
      </w:r>
      <w:r w:rsidR="00387EBC" w:rsidRPr="006B2326">
        <w:t xml:space="preserve">4.4 Special Warnings and Precautions </w:t>
      </w:r>
      <w:r w:rsidR="00032EDC" w:rsidRPr="006B2326">
        <w:t>f</w:t>
      </w:r>
      <w:r w:rsidR="00387EBC" w:rsidRPr="006B2326">
        <w:t>or Use</w:t>
      </w:r>
      <w:r w:rsidRPr="006B2326">
        <w:t xml:space="preserve"> - Macular </w:t>
      </w:r>
      <w:r w:rsidR="00387EBC" w:rsidRPr="006B2326">
        <w:t>Oedema</w:t>
      </w:r>
      <w:r w:rsidRPr="006B2326">
        <w:t>).</w:t>
      </w:r>
    </w:p>
    <w:p w14:paraId="2FF6500C" w14:textId="77777777" w:rsidR="00512F58" w:rsidRPr="006B2326" w:rsidRDefault="00512F58" w:rsidP="004C6478">
      <w:pPr>
        <w:pStyle w:val="Heading4"/>
      </w:pPr>
      <w:r w:rsidRPr="006B2326">
        <w:lastRenderedPageBreak/>
        <w:t>Cardiac evaluation</w:t>
      </w:r>
    </w:p>
    <w:p w14:paraId="1769A126" w14:textId="4C56355B" w:rsidR="00512F58" w:rsidRPr="006B2326" w:rsidRDefault="00512F58" w:rsidP="004C6478">
      <w:pPr>
        <w:jc w:val="left"/>
      </w:pPr>
      <w:r w:rsidRPr="006B2326">
        <w:t xml:space="preserve">Obtain an electrocardiogram (ECG) to determine whether </w:t>
      </w:r>
      <w:r w:rsidR="001B0855" w:rsidRPr="006B2326">
        <w:t>pre-existing</w:t>
      </w:r>
      <w:r w:rsidRPr="006B2326">
        <w:t xml:space="preserve"> conduction abnormalities are present. In patients with certain </w:t>
      </w:r>
      <w:r w:rsidR="001B0855" w:rsidRPr="006B2326">
        <w:t>pre-existing</w:t>
      </w:r>
      <w:r w:rsidRPr="006B2326">
        <w:t xml:space="preserve"> conditions, advice from a cardiologist and first dose monitoring is recommended (see </w:t>
      </w:r>
      <w:r w:rsidR="00453F57" w:rsidRPr="006B2326">
        <w:t xml:space="preserve">Section </w:t>
      </w:r>
      <w:r w:rsidR="00387EBC" w:rsidRPr="006B2326">
        <w:t>4.2</w:t>
      </w:r>
      <w:r w:rsidR="00453F57" w:rsidRPr="006B2326">
        <w:t xml:space="preserve"> </w:t>
      </w:r>
      <w:r w:rsidR="00387EBC" w:rsidRPr="006B2326">
        <w:t xml:space="preserve">Dose and Method of Administration  </w:t>
      </w:r>
      <w:r w:rsidRPr="006B2326">
        <w:t xml:space="preserve"> - First Dose Monitoring in Patients with Certain </w:t>
      </w:r>
      <w:r w:rsidR="001B0855" w:rsidRPr="006B2326">
        <w:t>Pre-existing</w:t>
      </w:r>
      <w:r w:rsidRPr="006B2326">
        <w:t xml:space="preserve"> Cardiac Conditions and </w:t>
      </w:r>
      <w:r w:rsidR="00453F57" w:rsidRPr="006B2326">
        <w:t xml:space="preserve">Section </w:t>
      </w:r>
      <w:r w:rsidR="00387EBC" w:rsidRPr="006B2326">
        <w:t xml:space="preserve">4.4 Special Warnings and Precautions </w:t>
      </w:r>
      <w:r w:rsidR="00032EDC" w:rsidRPr="006B2326">
        <w:t>f</w:t>
      </w:r>
      <w:r w:rsidR="00387EBC" w:rsidRPr="006B2326">
        <w:t>or Use</w:t>
      </w:r>
      <w:r w:rsidRPr="006B2326">
        <w:t xml:space="preserve"> - Bradyarrhythmia and Atrioventricular Conduction Delays).</w:t>
      </w:r>
    </w:p>
    <w:p w14:paraId="4A57EF8B" w14:textId="5BCB5886" w:rsidR="00512F58" w:rsidRPr="006B2326" w:rsidRDefault="00512F58" w:rsidP="004C6478">
      <w:pPr>
        <w:jc w:val="left"/>
      </w:pPr>
      <w:r w:rsidRPr="006B2326">
        <w:t xml:space="preserve">Determine whether patients are taking drugs that could slow heart rate or atrioventricular (AV) conduction (see </w:t>
      </w:r>
      <w:r w:rsidR="00453F57" w:rsidRPr="006B2326">
        <w:t xml:space="preserve">Section </w:t>
      </w:r>
      <w:r w:rsidR="00E30C50" w:rsidRPr="006B2326">
        <w:rPr>
          <w:noProof/>
        </w:rPr>
        <w:t>4.5 Interactions with Other Medicines and Other Forms of Interactions</w:t>
      </w:r>
      <w:r w:rsidRPr="006B2326">
        <w:t xml:space="preserve"> </w:t>
      </w:r>
      <w:r w:rsidR="00E30C50" w:rsidRPr="006B2326">
        <w:t>–</w:t>
      </w:r>
      <w:r w:rsidRPr="006B2326">
        <w:t xml:space="preserve"> Anti</w:t>
      </w:r>
      <w:r w:rsidR="00E30C50" w:rsidRPr="006B2326">
        <w:t>-</w:t>
      </w:r>
      <w:r w:rsidRPr="006B2326">
        <w:t>Arrhythmic Drugs, QT Prolonging Drugs, Drugs That May Decrease Heart Rate and Beta-Blockers).</w:t>
      </w:r>
    </w:p>
    <w:p w14:paraId="2A8D7EF0" w14:textId="77777777" w:rsidR="00512F58" w:rsidRPr="006B2326" w:rsidRDefault="00512F58" w:rsidP="004C6478">
      <w:pPr>
        <w:pStyle w:val="Heading4"/>
      </w:pPr>
      <w:r w:rsidRPr="006B2326">
        <w:t>Current or prior medications</w:t>
      </w:r>
    </w:p>
    <w:p w14:paraId="114B960E" w14:textId="79684EB2" w:rsidR="00512F58" w:rsidRPr="006B2326" w:rsidRDefault="00512F58" w:rsidP="004C6478">
      <w:pPr>
        <w:jc w:val="left"/>
      </w:pPr>
      <w:r w:rsidRPr="006B2326">
        <w:t xml:space="preserve">If patients are taking anti-neoplastic, </w:t>
      </w:r>
      <w:r w:rsidR="00066D4A" w:rsidRPr="006B2326">
        <w:t>immune-</w:t>
      </w:r>
      <w:proofErr w:type="gramStart"/>
      <w:r w:rsidR="00066D4A" w:rsidRPr="006B2326">
        <w:t>modulating</w:t>
      </w:r>
      <w:proofErr w:type="gramEnd"/>
      <w:r w:rsidR="00066D4A" w:rsidRPr="006B2326">
        <w:t xml:space="preserve"> or </w:t>
      </w:r>
      <w:r w:rsidRPr="006B2326">
        <w:t>immunosuppressive</w:t>
      </w:r>
      <w:r w:rsidR="00066D4A" w:rsidRPr="006B2326">
        <w:t xml:space="preserve"> </w:t>
      </w:r>
      <w:r w:rsidRPr="006B2326">
        <w:t xml:space="preserve">therapies, or if there is a history of prior use of these drugs, consider possible unintended additive immunosuppressive effects before initiating treatment with </w:t>
      </w:r>
      <w:r w:rsidR="00387EBC" w:rsidRPr="006B2326">
        <w:t>PONVORY</w:t>
      </w:r>
      <w:r w:rsidRPr="006B2326">
        <w:t xml:space="preserve"> (see</w:t>
      </w:r>
      <w:r w:rsidR="00453F57" w:rsidRPr="006B2326">
        <w:t xml:space="preserve"> Section</w:t>
      </w:r>
      <w:r w:rsidRPr="006B2326">
        <w:t xml:space="preserve"> </w:t>
      </w:r>
      <w:r w:rsidR="00387EBC" w:rsidRPr="006B2326">
        <w:t xml:space="preserve">4.4 Special Warnings and Precautions </w:t>
      </w:r>
      <w:r w:rsidR="00032EDC" w:rsidRPr="006B2326">
        <w:t>f</w:t>
      </w:r>
      <w:r w:rsidR="00387EBC" w:rsidRPr="006B2326">
        <w:t>or Use</w:t>
      </w:r>
      <w:r w:rsidR="00DF4B6D" w:rsidRPr="006B2326">
        <w:t xml:space="preserve"> - </w:t>
      </w:r>
      <w:r w:rsidRPr="006B2326">
        <w:t xml:space="preserve">Infections and </w:t>
      </w:r>
      <w:r w:rsidR="00EB1B6C" w:rsidRPr="006B2326">
        <w:t xml:space="preserve">Section </w:t>
      </w:r>
      <w:r w:rsidR="00EB1B6C" w:rsidRPr="006B2326">
        <w:rPr>
          <w:noProof/>
        </w:rPr>
        <w:t>4.5 Interactions with Other Medicines and Other Forms of Interactions</w:t>
      </w:r>
      <w:r w:rsidR="00DF4B6D" w:rsidRPr="006B2326">
        <w:t xml:space="preserve"> - </w:t>
      </w:r>
      <w:r w:rsidRPr="006B2326">
        <w:t>Anti</w:t>
      </w:r>
      <w:r w:rsidR="00E30C50" w:rsidRPr="006B2326">
        <w:t>-</w:t>
      </w:r>
      <w:r w:rsidRPr="006B2326">
        <w:t xml:space="preserve">Neoplastic, Immune-Modulating </w:t>
      </w:r>
      <w:r w:rsidR="00EB1B6C" w:rsidRPr="006B2326">
        <w:t>or Immunosuppressive</w:t>
      </w:r>
      <w:r w:rsidR="001B0855" w:rsidRPr="006B2326">
        <w:t xml:space="preserve"> </w:t>
      </w:r>
      <w:r w:rsidRPr="006B2326">
        <w:t>Therapies).</w:t>
      </w:r>
    </w:p>
    <w:p w14:paraId="1BC85AE6" w14:textId="77777777" w:rsidR="00512F58" w:rsidRPr="006B2326" w:rsidRDefault="00512F58" w:rsidP="004C6478">
      <w:pPr>
        <w:pStyle w:val="Heading4"/>
      </w:pPr>
      <w:r w:rsidRPr="006B2326">
        <w:t>Vaccinations</w:t>
      </w:r>
    </w:p>
    <w:p w14:paraId="48AC3832" w14:textId="058DE2B9" w:rsidR="00AF3860" w:rsidRPr="006B2326" w:rsidRDefault="00512F58" w:rsidP="004C6478">
      <w:pPr>
        <w:jc w:val="left"/>
      </w:pPr>
      <w:r w:rsidRPr="006B2326">
        <w:t xml:space="preserve">Test patients for antibodies to varicella zoster virus (VZV) before initiating </w:t>
      </w:r>
      <w:r w:rsidR="00387EBC" w:rsidRPr="006B2326">
        <w:t>PONVORY</w:t>
      </w:r>
      <w:r w:rsidRPr="006B2326">
        <w:t xml:space="preserve">; VZV vaccination of antibody-negative patients is recommended prior to commencing treatment with </w:t>
      </w:r>
      <w:r w:rsidR="00387EBC" w:rsidRPr="006B2326">
        <w:t>PONVORY</w:t>
      </w:r>
      <w:r w:rsidRPr="006B2326">
        <w:t xml:space="preserve"> (see </w:t>
      </w:r>
      <w:r w:rsidR="00453F57" w:rsidRPr="006B2326">
        <w:t xml:space="preserve">Section </w:t>
      </w:r>
      <w:r w:rsidR="00387EBC" w:rsidRPr="006B2326">
        <w:t xml:space="preserve">4.4 Special Warnings and Precautions </w:t>
      </w:r>
      <w:r w:rsidR="00DF4B6D" w:rsidRPr="006B2326">
        <w:t>f</w:t>
      </w:r>
      <w:r w:rsidR="00387EBC" w:rsidRPr="006B2326">
        <w:t>or Use</w:t>
      </w:r>
      <w:r w:rsidRPr="006B2326">
        <w:t xml:space="preserve"> - Infections).</w:t>
      </w:r>
    </w:p>
    <w:p w14:paraId="56C3DC2B" w14:textId="335FEC79" w:rsidR="00B0687D" w:rsidRPr="006B2326" w:rsidRDefault="00B0687D" w:rsidP="004C6478">
      <w:pPr>
        <w:pStyle w:val="Heading3"/>
        <w:rPr>
          <w:noProof/>
        </w:rPr>
      </w:pPr>
      <w:r w:rsidRPr="006B2326">
        <w:rPr>
          <w:noProof/>
        </w:rPr>
        <w:t>Dosage</w:t>
      </w:r>
      <w:r w:rsidR="00403AC3" w:rsidRPr="006B2326">
        <w:rPr>
          <w:noProof/>
        </w:rPr>
        <w:t xml:space="preserve"> (</w:t>
      </w:r>
      <w:r w:rsidR="00387EBC" w:rsidRPr="006B2326">
        <w:rPr>
          <w:noProof/>
        </w:rPr>
        <w:t>d</w:t>
      </w:r>
      <w:r w:rsidR="00403AC3" w:rsidRPr="006B2326">
        <w:rPr>
          <w:noProof/>
        </w:rPr>
        <w:t xml:space="preserve">ose and </w:t>
      </w:r>
      <w:r w:rsidR="00387EBC" w:rsidRPr="006B2326">
        <w:rPr>
          <w:noProof/>
        </w:rPr>
        <w:t>i</w:t>
      </w:r>
      <w:r w:rsidR="00403AC3" w:rsidRPr="006B2326">
        <w:rPr>
          <w:noProof/>
        </w:rPr>
        <w:t>nterval)</w:t>
      </w:r>
    </w:p>
    <w:p w14:paraId="5BAF7624" w14:textId="0B1243E8" w:rsidR="00E133A5" w:rsidRPr="006B2326" w:rsidRDefault="00E133A5" w:rsidP="004C6478">
      <w:pPr>
        <w:pStyle w:val="Heading4"/>
        <w:rPr>
          <w:noProof/>
        </w:rPr>
      </w:pPr>
      <w:r w:rsidRPr="006B2326">
        <w:rPr>
          <w:noProof/>
        </w:rPr>
        <w:t>Treatment initiation</w:t>
      </w:r>
    </w:p>
    <w:p w14:paraId="3AC3088E" w14:textId="38EC7D8A" w:rsidR="00E133A5" w:rsidRPr="006B2326" w:rsidRDefault="001E4E88" w:rsidP="004C6478">
      <w:pPr>
        <w:jc w:val="left"/>
        <w:rPr>
          <w:noProof/>
        </w:rPr>
      </w:pPr>
      <w:r w:rsidRPr="006B2326">
        <w:rPr>
          <w:rFonts w:eastAsia="Calibri"/>
          <w:noProof/>
        </w:rPr>
        <w:t xml:space="preserve">A </w:t>
      </w:r>
      <w:r w:rsidR="00DF1E9B" w:rsidRPr="006B2326">
        <w:rPr>
          <w:rFonts w:eastAsia="Calibri"/>
          <w:noProof/>
        </w:rPr>
        <w:t>treatment initiation</w:t>
      </w:r>
      <w:r w:rsidRPr="006B2326">
        <w:rPr>
          <w:rFonts w:eastAsia="Calibri"/>
          <w:noProof/>
        </w:rPr>
        <w:t xml:space="preserve"> pack must be used for patients initiating treatment with </w:t>
      </w:r>
      <w:r w:rsidR="00387EBC" w:rsidRPr="006B2326">
        <w:rPr>
          <w:rFonts w:eastAsia="Calibri"/>
          <w:noProof/>
        </w:rPr>
        <w:t>PONVORY</w:t>
      </w:r>
      <w:r w:rsidRPr="006B2326">
        <w:rPr>
          <w:rFonts w:eastAsia="Calibri"/>
          <w:noProof/>
        </w:rPr>
        <w:t xml:space="preserve"> </w:t>
      </w:r>
      <w:r w:rsidRPr="006B2326">
        <w:rPr>
          <w:noProof/>
        </w:rPr>
        <w:t xml:space="preserve">(see </w:t>
      </w:r>
      <w:r w:rsidR="00AA00F8" w:rsidRPr="006B2326">
        <w:rPr>
          <w:noProof/>
        </w:rPr>
        <w:t>S</w:t>
      </w:r>
      <w:r w:rsidRPr="006B2326">
        <w:rPr>
          <w:noProof/>
        </w:rPr>
        <w:t>ection 6.5</w:t>
      </w:r>
      <w:r w:rsidR="00AA00F8" w:rsidRPr="006B2326">
        <w:rPr>
          <w:noProof/>
        </w:rPr>
        <w:t xml:space="preserve"> Nature and Contents of Container</w:t>
      </w:r>
      <w:r w:rsidRPr="006B2326">
        <w:rPr>
          <w:noProof/>
        </w:rPr>
        <w:t>).</w:t>
      </w:r>
      <w:r w:rsidRPr="006B2326">
        <w:rPr>
          <w:rFonts w:eastAsia="Calibri"/>
          <w:noProof/>
        </w:rPr>
        <w:t xml:space="preserve"> Initiate </w:t>
      </w:r>
      <w:r w:rsidR="00387EBC" w:rsidRPr="006B2326">
        <w:rPr>
          <w:rFonts w:eastAsia="Calibri"/>
          <w:noProof/>
        </w:rPr>
        <w:t>PONVORY</w:t>
      </w:r>
      <w:r w:rsidRPr="006B2326">
        <w:rPr>
          <w:rFonts w:eastAsia="Calibri"/>
          <w:noProof/>
        </w:rPr>
        <w:t xml:space="preserve"> t</w:t>
      </w:r>
      <w:r w:rsidR="00E133A5" w:rsidRPr="006B2326">
        <w:rPr>
          <w:rFonts w:eastAsia="Calibri"/>
          <w:noProof/>
        </w:rPr>
        <w:t>reatment with the 14</w:t>
      </w:r>
      <w:r w:rsidR="00E133A5" w:rsidRPr="006B2326">
        <w:rPr>
          <w:rFonts w:eastAsia="Calibri"/>
          <w:noProof/>
        </w:rPr>
        <w:noBreakHyphen/>
        <w:t xml:space="preserve">day treatment </w:t>
      </w:r>
      <w:r w:rsidR="00AA00F8" w:rsidRPr="006B2326">
        <w:rPr>
          <w:rFonts w:eastAsia="Calibri"/>
          <w:noProof/>
        </w:rPr>
        <w:t>titration</w:t>
      </w:r>
      <w:r w:rsidRPr="006B2326">
        <w:rPr>
          <w:rFonts w:eastAsia="Calibri"/>
          <w:noProof/>
        </w:rPr>
        <w:t xml:space="preserve">; </w:t>
      </w:r>
      <w:r w:rsidR="00E133A5" w:rsidRPr="006B2326">
        <w:rPr>
          <w:rFonts w:eastAsia="Calibri"/>
          <w:noProof/>
        </w:rPr>
        <w:t xml:space="preserve"> start with one 2 mg tablet orally</w:t>
      </w:r>
      <w:r w:rsidR="00DF4B6D" w:rsidRPr="006B2326">
        <w:rPr>
          <w:rFonts w:eastAsia="Calibri"/>
          <w:noProof/>
        </w:rPr>
        <w:t xml:space="preserve"> and </w:t>
      </w:r>
      <w:r w:rsidR="00E133A5" w:rsidRPr="006B2326">
        <w:rPr>
          <w:rFonts w:eastAsia="Calibri"/>
          <w:noProof/>
        </w:rPr>
        <w:t xml:space="preserve"> progress</w:t>
      </w:r>
      <w:r w:rsidRPr="006B2326">
        <w:rPr>
          <w:rFonts w:eastAsia="Calibri"/>
          <w:noProof/>
        </w:rPr>
        <w:t xml:space="preserve"> </w:t>
      </w:r>
      <w:r w:rsidR="00E133A5" w:rsidRPr="006B2326">
        <w:rPr>
          <w:rFonts w:eastAsia="Calibri"/>
          <w:noProof/>
        </w:rPr>
        <w:t>with the titration schedule outlined in Table </w:t>
      </w:r>
      <w:r w:rsidR="00AF3860" w:rsidRPr="006B2326">
        <w:rPr>
          <w:rFonts w:eastAsia="Calibri"/>
          <w:noProof/>
        </w:rPr>
        <w:t>2</w:t>
      </w:r>
      <w:r w:rsidR="00E133A5" w:rsidRPr="006B2326">
        <w:rPr>
          <w:noProof/>
        </w:rPr>
        <w:t>.</w:t>
      </w:r>
      <w:bookmarkStart w:id="7" w:name="_Hlk6982512"/>
      <w:r w:rsidR="00A66179" w:rsidRPr="006B2326">
        <w:rPr>
          <w:noProof/>
        </w:rPr>
        <w:t xml:space="preserve"> (see </w:t>
      </w:r>
      <w:r w:rsidR="00453F57" w:rsidRPr="006B2326">
        <w:t xml:space="preserve">Section </w:t>
      </w:r>
      <w:r w:rsidR="00387EBC" w:rsidRPr="006B2326">
        <w:rPr>
          <w:noProof/>
        </w:rPr>
        <w:t xml:space="preserve">4.4 Special Warnings and Precautions </w:t>
      </w:r>
      <w:r w:rsidR="00AA00F8" w:rsidRPr="006B2326">
        <w:rPr>
          <w:noProof/>
        </w:rPr>
        <w:t>f</w:t>
      </w:r>
      <w:r w:rsidR="00387EBC" w:rsidRPr="006B2326">
        <w:rPr>
          <w:noProof/>
        </w:rPr>
        <w:t>or Use</w:t>
      </w:r>
      <w:r w:rsidR="00A66179" w:rsidRPr="006B2326">
        <w:rPr>
          <w:noProof/>
        </w:rPr>
        <w:t xml:space="preserve"> - Bradyarrhythmia and Atrioventricular Conduction Delays).</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5502"/>
      </w:tblGrid>
      <w:tr w:rsidR="00E133A5" w:rsidRPr="006B2326" w14:paraId="1FABE9AF" w14:textId="77777777" w:rsidTr="00AF3860">
        <w:trPr>
          <w:cantSplit/>
          <w:trHeight w:val="411"/>
          <w:jc w:val="center"/>
        </w:trPr>
        <w:tc>
          <w:tcPr>
            <w:tcW w:w="9116" w:type="dxa"/>
            <w:gridSpan w:val="2"/>
            <w:tcBorders>
              <w:top w:val="nil"/>
              <w:left w:val="nil"/>
              <w:right w:val="nil"/>
            </w:tcBorders>
            <w:shd w:val="clear" w:color="auto" w:fill="auto"/>
          </w:tcPr>
          <w:p w14:paraId="672C0AEC" w14:textId="5F206402" w:rsidR="00E133A5" w:rsidRPr="006B2326" w:rsidRDefault="00E133A5" w:rsidP="004C6478">
            <w:pPr>
              <w:keepNext/>
              <w:ind w:left="1134" w:hanging="1134"/>
              <w:jc w:val="left"/>
              <w:rPr>
                <w:b/>
                <w:noProof/>
              </w:rPr>
            </w:pPr>
            <w:bookmarkStart w:id="8" w:name="_Hlk31028285"/>
            <w:r w:rsidRPr="006B2326">
              <w:rPr>
                <w:b/>
                <w:noProof/>
              </w:rPr>
              <w:t>Table </w:t>
            </w:r>
            <w:r w:rsidR="00AF3860" w:rsidRPr="006B2326">
              <w:rPr>
                <w:b/>
                <w:noProof/>
              </w:rPr>
              <w:t>2</w:t>
            </w:r>
            <w:r w:rsidRPr="006B2326">
              <w:rPr>
                <w:b/>
                <w:noProof/>
              </w:rPr>
              <w:t>:</w:t>
            </w:r>
            <w:r w:rsidRPr="006B2326">
              <w:rPr>
                <w:b/>
                <w:noProof/>
              </w:rPr>
              <w:tab/>
              <w:t>Dose titration regimen</w:t>
            </w:r>
            <w:bookmarkEnd w:id="8"/>
          </w:p>
        </w:tc>
      </w:tr>
      <w:tr w:rsidR="00E133A5" w:rsidRPr="006B2326" w14:paraId="33C3AF11" w14:textId="77777777" w:rsidTr="00AF3860">
        <w:trPr>
          <w:cantSplit/>
          <w:trHeight w:val="411"/>
          <w:jc w:val="center"/>
        </w:trPr>
        <w:tc>
          <w:tcPr>
            <w:tcW w:w="3614" w:type="dxa"/>
            <w:shd w:val="clear" w:color="auto" w:fill="auto"/>
          </w:tcPr>
          <w:p w14:paraId="2130B245" w14:textId="77777777" w:rsidR="00E133A5" w:rsidRPr="006B2326" w:rsidRDefault="00E133A5" w:rsidP="004C6478">
            <w:pPr>
              <w:keepNext/>
              <w:jc w:val="left"/>
              <w:rPr>
                <w:b/>
                <w:noProof/>
              </w:rPr>
            </w:pPr>
            <w:r w:rsidRPr="006B2326">
              <w:rPr>
                <w:b/>
                <w:noProof/>
              </w:rPr>
              <w:t>Titration day</w:t>
            </w:r>
          </w:p>
        </w:tc>
        <w:tc>
          <w:tcPr>
            <w:tcW w:w="5502" w:type="dxa"/>
            <w:shd w:val="clear" w:color="auto" w:fill="auto"/>
          </w:tcPr>
          <w:p w14:paraId="6433D6C8" w14:textId="77777777" w:rsidR="00E133A5" w:rsidRPr="006B2326" w:rsidRDefault="00E133A5" w:rsidP="004C6478">
            <w:pPr>
              <w:jc w:val="left"/>
              <w:rPr>
                <w:b/>
                <w:noProof/>
              </w:rPr>
            </w:pPr>
            <w:r w:rsidRPr="006B2326">
              <w:rPr>
                <w:b/>
                <w:noProof/>
              </w:rPr>
              <w:t>Daily dose</w:t>
            </w:r>
          </w:p>
        </w:tc>
      </w:tr>
      <w:tr w:rsidR="00E133A5" w:rsidRPr="006B2326" w14:paraId="702F18E2" w14:textId="77777777" w:rsidTr="00AF3860">
        <w:trPr>
          <w:cantSplit/>
          <w:trHeight w:val="411"/>
          <w:jc w:val="center"/>
        </w:trPr>
        <w:tc>
          <w:tcPr>
            <w:tcW w:w="3614" w:type="dxa"/>
            <w:shd w:val="clear" w:color="auto" w:fill="auto"/>
          </w:tcPr>
          <w:p w14:paraId="751FF50A" w14:textId="77777777" w:rsidR="00E133A5" w:rsidRPr="006B2326" w:rsidRDefault="00E133A5" w:rsidP="004C6478">
            <w:pPr>
              <w:jc w:val="left"/>
              <w:rPr>
                <w:noProof/>
              </w:rPr>
            </w:pPr>
            <w:r w:rsidRPr="006B2326">
              <w:rPr>
                <w:noProof/>
              </w:rPr>
              <w:t>Day 1 and 2</w:t>
            </w:r>
          </w:p>
        </w:tc>
        <w:tc>
          <w:tcPr>
            <w:tcW w:w="5502" w:type="dxa"/>
            <w:shd w:val="clear" w:color="auto" w:fill="auto"/>
          </w:tcPr>
          <w:p w14:paraId="660886FA" w14:textId="77777777" w:rsidR="00E133A5" w:rsidRPr="006B2326" w:rsidRDefault="00E133A5" w:rsidP="004C6478">
            <w:pPr>
              <w:jc w:val="left"/>
              <w:rPr>
                <w:noProof/>
              </w:rPr>
            </w:pPr>
            <w:r w:rsidRPr="006B2326">
              <w:rPr>
                <w:noProof/>
              </w:rPr>
              <w:t>2 mg</w:t>
            </w:r>
          </w:p>
        </w:tc>
      </w:tr>
      <w:tr w:rsidR="00E133A5" w:rsidRPr="006B2326" w14:paraId="11ACE3DF" w14:textId="77777777" w:rsidTr="00AF3860">
        <w:trPr>
          <w:cantSplit/>
          <w:trHeight w:val="411"/>
          <w:jc w:val="center"/>
        </w:trPr>
        <w:tc>
          <w:tcPr>
            <w:tcW w:w="3614" w:type="dxa"/>
            <w:shd w:val="clear" w:color="auto" w:fill="auto"/>
          </w:tcPr>
          <w:p w14:paraId="59DA7DCD" w14:textId="77777777" w:rsidR="00E133A5" w:rsidRPr="006B2326" w:rsidRDefault="00E133A5" w:rsidP="004C6478">
            <w:pPr>
              <w:jc w:val="left"/>
              <w:rPr>
                <w:noProof/>
              </w:rPr>
            </w:pPr>
            <w:r w:rsidRPr="006B2326">
              <w:rPr>
                <w:noProof/>
              </w:rPr>
              <w:t>Day 3 and 4</w:t>
            </w:r>
          </w:p>
        </w:tc>
        <w:tc>
          <w:tcPr>
            <w:tcW w:w="5502" w:type="dxa"/>
            <w:shd w:val="clear" w:color="auto" w:fill="auto"/>
          </w:tcPr>
          <w:p w14:paraId="2E190A4C" w14:textId="77777777" w:rsidR="00E133A5" w:rsidRPr="006B2326" w:rsidRDefault="00E133A5" w:rsidP="004C6478">
            <w:pPr>
              <w:jc w:val="left"/>
              <w:rPr>
                <w:noProof/>
              </w:rPr>
            </w:pPr>
            <w:r w:rsidRPr="006B2326">
              <w:rPr>
                <w:noProof/>
              </w:rPr>
              <w:t>3 mg</w:t>
            </w:r>
          </w:p>
        </w:tc>
      </w:tr>
      <w:tr w:rsidR="00E133A5" w:rsidRPr="006B2326" w14:paraId="0F7EECD0" w14:textId="77777777" w:rsidTr="00AF3860">
        <w:trPr>
          <w:cantSplit/>
          <w:trHeight w:val="411"/>
          <w:jc w:val="center"/>
        </w:trPr>
        <w:tc>
          <w:tcPr>
            <w:tcW w:w="3614" w:type="dxa"/>
            <w:shd w:val="clear" w:color="auto" w:fill="auto"/>
          </w:tcPr>
          <w:p w14:paraId="30AEA8D2" w14:textId="77777777" w:rsidR="00E133A5" w:rsidRPr="006B2326" w:rsidRDefault="00E133A5" w:rsidP="004C6478">
            <w:pPr>
              <w:jc w:val="left"/>
              <w:rPr>
                <w:noProof/>
              </w:rPr>
            </w:pPr>
            <w:r w:rsidRPr="006B2326">
              <w:rPr>
                <w:noProof/>
              </w:rPr>
              <w:t>Day 5 and 6</w:t>
            </w:r>
          </w:p>
        </w:tc>
        <w:tc>
          <w:tcPr>
            <w:tcW w:w="5502" w:type="dxa"/>
            <w:shd w:val="clear" w:color="auto" w:fill="auto"/>
          </w:tcPr>
          <w:p w14:paraId="378F4CB7" w14:textId="77777777" w:rsidR="00E133A5" w:rsidRPr="006B2326" w:rsidRDefault="00E133A5" w:rsidP="004C6478">
            <w:pPr>
              <w:jc w:val="left"/>
              <w:rPr>
                <w:noProof/>
              </w:rPr>
            </w:pPr>
            <w:r w:rsidRPr="006B2326">
              <w:rPr>
                <w:noProof/>
              </w:rPr>
              <w:t>4 mg</w:t>
            </w:r>
          </w:p>
        </w:tc>
      </w:tr>
      <w:tr w:rsidR="00E133A5" w:rsidRPr="006B2326" w14:paraId="73C99396" w14:textId="77777777" w:rsidTr="00AF3860">
        <w:trPr>
          <w:cantSplit/>
          <w:trHeight w:val="411"/>
          <w:jc w:val="center"/>
        </w:trPr>
        <w:tc>
          <w:tcPr>
            <w:tcW w:w="3614" w:type="dxa"/>
            <w:shd w:val="clear" w:color="auto" w:fill="auto"/>
          </w:tcPr>
          <w:p w14:paraId="134FA35C" w14:textId="77777777" w:rsidR="00E133A5" w:rsidRPr="006B2326" w:rsidRDefault="00E133A5" w:rsidP="004C6478">
            <w:pPr>
              <w:jc w:val="left"/>
              <w:rPr>
                <w:noProof/>
              </w:rPr>
            </w:pPr>
            <w:r w:rsidRPr="006B2326">
              <w:rPr>
                <w:noProof/>
              </w:rPr>
              <w:t>Day 7</w:t>
            </w:r>
          </w:p>
        </w:tc>
        <w:tc>
          <w:tcPr>
            <w:tcW w:w="5502" w:type="dxa"/>
            <w:shd w:val="clear" w:color="auto" w:fill="auto"/>
          </w:tcPr>
          <w:p w14:paraId="713AB1F2" w14:textId="77777777" w:rsidR="00E133A5" w:rsidRPr="006B2326" w:rsidRDefault="00E133A5" w:rsidP="004C6478">
            <w:pPr>
              <w:jc w:val="left"/>
              <w:rPr>
                <w:noProof/>
              </w:rPr>
            </w:pPr>
            <w:r w:rsidRPr="006B2326">
              <w:rPr>
                <w:noProof/>
              </w:rPr>
              <w:t>5 mg</w:t>
            </w:r>
          </w:p>
        </w:tc>
      </w:tr>
      <w:tr w:rsidR="00E133A5" w:rsidRPr="006B2326" w14:paraId="030FB7C1" w14:textId="77777777" w:rsidTr="00AF3860">
        <w:trPr>
          <w:cantSplit/>
          <w:trHeight w:val="411"/>
          <w:jc w:val="center"/>
        </w:trPr>
        <w:tc>
          <w:tcPr>
            <w:tcW w:w="3614" w:type="dxa"/>
            <w:shd w:val="clear" w:color="auto" w:fill="auto"/>
          </w:tcPr>
          <w:p w14:paraId="172FD94E" w14:textId="77777777" w:rsidR="00E133A5" w:rsidRPr="006B2326" w:rsidRDefault="00E133A5" w:rsidP="004C6478">
            <w:pPr>
              <w:jc w:val="left"/>
              <w:rPr>
                <w:noProof/>
              </w:rPr>
            </w:pPr>
            <w:r w:rsidRPr="006B2326">
              <w:rPr>
                <w:noProof/>
              </w:rPr>
              <w:t>Day 8</w:t>
            </w:r>
          </w:p>
        </w:tc>
        <w:tc>
          <w:tcPr>
            <w:tcW w:w="5502" w:type="dxa"/>
            <w:shd w:val="clear" w:color="auto" w:fill="auto"/>
          </w:tcPr>
          <w:p w14:paraId="21B049E6" w14:textId="77777777" w:rsidR="00E133A5" w:rsidRPr="006B2326" w:rsidRDefault="00E133A5" w:rsidP="004C6478">
            <w:pPr>
              <w:jc w:val="left"/>
              <w:rPr>
                <w:noProof/>
              </w:rPr>
            </w:pPr>
            <w:r w:rsidRPr="006B2326">
              <w:rPr>
                <w:noProof/>
              </w:rPr>
              <w:t>6 mg</w:t>
            </w:r>
          </w:p>
        </w:tc>
      </w:tr>
      <w:tr w:rsidR="00E133A5" w:rsidRPr="006B2326" w14:paraId="714E47A2" w14:textId="77777777" w:rsidTr="00AF3860">
        <w:trPr>
          <w:cantSplit/>
          <w:trHeight w:val="411"/>
          <w:jc w:val="center"/>
        </w:trPr>
        <w:tc>
          <w:tcPr>
            <w:tcW w:w="3614" w:type="dxa"/>
            <w:shd w:val="clear" w:color="auto" w:fill="auto"/>
          </w:tcPr>
          <w:p w14:paraId="0D090743" w14:textId="77777777" w:rsidR="00E133A5" w:rsidRPr="006B2326" w:rsidRDefault="00E133A5" w:rsidP="004C6478">
            <w:pPr>
              <w:jc w:val="left"/>
              <w:rPr>
                <w:noProof/>
              </w:rPr>
            </w:pPr>
            <w:r w:rsidRPr="006B2326">
              <w:rPr>
                <w:noProof/>
              </w:rPr>
              <w:t>Day 9</w:t>
            </w:r>
          </w:p>
        </w:tc>
        <w:tc>
          <w:tcPr>
            <w:tcW w:w="5502" w:type="dxa"/>
            <w:shd w:val="clear" w:color="auto" w:fill="auto"/>
          </w:tcPr>
          <w:p w14:paraId="2E6845E6" w14:textId="77777777" w:rsidR="00E133A5" w:rsidRPr="006B2326" w:rsidRDefault="00E133A5" w:rsidP="004C6478">
            <w:pPr>
              <w:jc w:val="left"/>
              <w:rPr>
                <w:noProof/>
              </w:rPr>
            </w:pPr>
            <w:r w:rsidRPr="006B2326">
              <w:rPr>
                <w:noProof/>
              </w:rPr>
              <w:t>7 mg</w:t>
            </w:r>
          </w:p>
        </w:tc>
      </w:tr>
      <w:tr w:rsidR="00E133A5" w:rsidRPr="006B2326" w14:paraId="42C7EA55" w14:textId="77777777" w:rsidTr="00AF3860">
        <w:trPr>
          <w:cantSplit/>
          <w:trHeight w:val="411"/>
          <w:jc w:val="center"/>
        </w:trPr>
        <w:tc>
          <w:tcPr>
            <w:tcW w:w="3614" w:type="dxa"/>
            <w:shd w:val="clear" w:color="auto" w:fill="auto"/>
          </w:tcPr>
          <w:p w14:paraId="631F008E" w14:textId="77777777" w:rsidR="00E133A5" w:rsidRPr="006B2326" w:rsidRDefault="00E133A5" w:rsidP="004C6478">
            <w:pPr>
              <w:jc w:val="left"/>
              <w:rPr>
                <w:noProof/>
              </w:rPr>
            </w:pPr>
            <w:r w:rsidRPr="006B2326">
              <w:rPr>
                <w:noProof/>
              </w:rPr>
              <w:t>Day 10</w:t>
            </w:r>
          </w:p>
        </w:tc>
        <w:tc>
          <w:tcPr>
            <w:tcW w:w="5502" w:type="dxa"/>
            <w:shd w:val="clear" w:color="auto" w:fill="auto"/>
          </w:tcPr>
          <w:p w14:paraId="376542FE" w14:textId="77777777" w:rsidR="00E133A5" w:rsidRPr="006B2326" w:rsidRDefault="00E133A5" w:rsidP="004C6478">
            <w:pPr>
              <w:jc w:val="left"/>
              <w:rPr>
                <w:noProof/>
              </w:rPr>
            </w:pPr>
            <w:r w:rsidRPr="006B2326">
              <w:rPr>
                <w:noProof/>
              </w:rPr>
              <w:t>8 mg</w:t>
            </w:r>
          </w:p>
        </w:tc>
      </w:tr>
      <w:tr w:rsidR="00E133A5" w:rsidRPr="006B2326" w14:paraId="3FF058FF" w14:textId="77777777" w:rsidTr="00AF3860">
        <w:trPr>
          <w:cantSplit/>
          <w:trHeight w:val="411"/>
          <w:jc w:val="center"/>
        </w:trPr>
        <w:tc>
          <w:tcPr>
            <w:tcW w:w="3614" w:type="dxa"/>
            <w:shd w:val="clear" w:color="auto" w:fill="auto"/>
          </w:tcPr>
          <w:p w14:paraId="0A75937A" w14:textId="77777777" w:rsidR="00E133A5" w:rsidRPr="006B2326" w:rsidRDefault="00E133A5" w:rsidP="004C6478">
            <w:pPr>
              <w:jc w:val="left"/>
              <w:rPr>
                <w:noProof/>
              </w:rPr>
            </w:pPr>
            <w:r w:rsidRPr="006B2326">
              <w:rPr>
                <w:noProof/>
              </w:rPr>
              <w:t>Day 11</w:t>
            </w:r>
          </w:p>
        </w:tc>
        <w:tc>
          <w:tcPr>
            <w:tcW w:w="5502" w:type="dxa"/>
            <w:shd w:val="clear" w:color="auto" w:fill="auto"/>
          </w:tcPr>
          <w:p w14:paraId="5BA76591" w14:textId="77777777" w:rsidR="00E133A5" w:rsidRPr="006B2326" w:rsidRDefault="00E133A5" w:rsidP="004C6478">
            <w:pPr>
              <w:jc w:val="left"/>
              <w:rPr>
                <w:noProof/>
              </w:rPr>
            </w:pPr>
            <w:r w:rsidRPr="006B2326">
              <w:rPr>
                <w:noProof/>
              </w:rPr>
              <w:t>9 mg</w:t>
            </w:r>
          </w:p>
        </w:tc>
      </w:tr>
      <w:tr w:rsidR="00E133A5" w:rsidRPr="006B2326" w14:paraId="217B2BE7" w14:textId="77777777" w:rsidTr="00AF3860">
        <w:trPr>
          <w:cantSplit/>
          <w:trHeight w:val="420"/>
          <w:jc w:val="center"/>
        </w:trPr>
        <w:tc>
          <w:tcPr>
            <w:tcW w:w="3614" w:type="dxa"/>
            <w:shd w:val="clear" w:color="auto" w:fill="auto"/>
          </w:tcPr>
          <w:p w14:paraId="02930901" w14:textId="77777777" w:rsidR="00E133A5" w:rsidRPr="006B2326" w:rsidRDefault="00E133A5" w:rsidP="004C6478">
            <w:pPr>
              <w:jc w:val="left"/>
              <w:rPr>
                <w:noProof/>
              </w:rPr>
            </w:pPr>
            <w:r w:rsidRPr="006B2326">
              <w:rPr>
                <w:noProof/>
              </w:rPr>
              <w:t>Day 12, 13 and 14</w:t>
            </w:r>
          </w:p>
        </w:tc>
        <w:tc>
          <w:tcPr>
            <w:tcW w:w="5502" w:type="dxa"/>
            <w:shd w:val="clear" w:color="auto" w:fill="auto"/>
          </w:tcPr>
          <w:p w14:paraId="5DCD2116" w14:textId="77777777" w:rsidR="00E133A5" w:rsidRPr="006B2326" w:rsidRDefault="00E133A5" w:rsidP="004C6478">
            <w:pPr>
              <w:jc w:val="left"/>
              <w:rPr>
                <w:noProof/>
              </w:rPr>
            </w:pPr>
            <w:r w:rsidRPr="006B2326">
              <w:rPr>
                <w:noProof/>
              </w:rPr>
              <w:t>10 mg</w:t>
            </w:r>
          </w:p>
        </w:tc>
      </w:tr>
    </w:tbl>
    <w:p w14:paraId="46D01E86" w14:textId="77777777" w:rsidR="00A66179" w:rsidRPr="006B2326" w:rsidRDefault="00A66179" w:rsidP="004C6478">
      <w:pPr>
        <w:jc w:val="left"/>
        <w:rPr>
          <w:noProof/>
        </w:rPr>
      </w:pPr>
    </w:p>
    <w:p w14:paraId="67A08B15" w14:textId="32CE3CDE" w:rsidR="00A66179" w:rsidRPr="006B2326" w:rsidRDefault="00E133A5" w:rsidP="004C6478">
      <w:pPr>
        <w:jc w:val="left"/>
        <w:rPr>
          <w:noProof/>
        </w:rPr>
      </w:pPr>
      <w:r w:rsidRPr="006B2326">
        <w:rPr>
          <w:noProof/>
        </w:rPr>
        <w:lastRenderedPageBreak/>
        <w:t xml:space="preserve">If dose titration is interrupted, missed dose instructions must be followed </w:t>
      </w:r>
      <w:bookmarkEnd w:id="7"/>
      <w:r w:rsidR="00A66179" w:rsidRPr="006B2326">
        <w:rPr>
          <w:noProof/>
        </w:rPr>
        <w:t xml:space="preserve">(see </w:t>
      </w:r>
      <w:r w:rsidR="00453F57" w:rsidRPr="006B2326">
        <w:t xml:space="preserve">Section </w:t>
      </w:r>
      <w:r w:rsidR="00387EBC" w:rsidRPr="006B2326">
        <w:rPr>
          <w:noProof/>
        </w:rPr>
        <w:t xml:space="preserve">4.2 Dose and Method of Administration  </w:t>
      </w:r>
      <w:r w:rsidR="00A66179" w:rsidRPr="006B2326">
        <w:rPr>
          <w:noProof/>
        </w:rPr>
        <w:t xml:space="preserve"> - Missed Doses).</w:t>
      </w:r>
    </w:p>
    <w:p w14:paraId="60BEF146" w14:textId="77777777" w:rsidR="00A66179" w:rsidRPr="006B2326" w:rsidRDefault="00A66179" w:rsidP="004C6478">
      <w:pPr>
        <w:pStyle w:val="Heading4"/>
        <w:rPr>
          <w:noProof/>
        </w:rPr>
      </w:pPr>
      <w:bookmarkStart w:id="9" w:name="_Hlk44505994"/>
      <w:bookmarkStart w:id="10" w:name="_Hlk50978072"/>
      <w:bookmarkStart w:id="11" w:name="_Hlk50977108"/>
      <w:r w:rsidRPr="006B2326">
        <w:rPr>
          <w:noProof/>
        </w:rPr>
        <w:t>Maintenance dosage</w:t>
      </w:r>
    </w:p>
    <w:p w14:paraId="76AB25FA" w14:textId="2D01EA57" w:rsidR="00A66179" w:rsidRPr="006B2326" w:rsidRDefault="00A66179" w:rsidP="004C6478">
      <w:pPr>
        <w:jc w:val="left"/>
        <w:rPr>
          <w:noProof/>
        </w:rPr>
      </w:pPr>
      <w:r w:rsidRPr="006B2326">
        <w:rPr>
          <w:noProof/>
        </w:rPr>
        <w:t xml:space="preserve">After dose titration is complete (see </w:t>
      </w:r>
      <w:r w:rsidR="00453F57" w:rsidRPr="006B2326">
        <w:t xml:space="preserve">Section </w:t>
      </w:r>
      <w:r w:rsidR="00387EBC" w:rsidRPr="006B2326">
        <w:rPr>
          <w:noProof/>
        </w:rPr>
        <w:t>4.2 Dose and Method of Administration – Dosage (</w:t>
      </w:r>
      <w:r w:rsidR="00AA00F8" w:rsidRPr="006B2326">
        <w:rPr>
          <w:noProof/>
        </w:rPr>
        <w:t>D</w:t>
      </w:r>
      <w:r w:rsidR="00387EBC" w:rsidRPr="006B2326">
        <w:rPr>
          <w:noProof/>
        </w:rPr>
        <w:t xml:space="preserve">ose and </w:t>
      </w:r>
      <w:r w:rsidR="00AA00F8" w:rsidRPr="006B2326">
        <w:rPr>
          <w:noProof/>
        </w:rPr>
        <w:t>I</w:t>
      </w:r>
      <w:r w:rsidR="00387EBC" w:rsidRPr="006B2326">
        <w:rPr>
          <w:noProof/>
        </w:rPr>
        <w:t xml:space="preserve">nterval) - </w:t>
      </w:r>
      <w:r w:rsidRPr="006B2326">
        <w:rPr>
          <w:noProof/>
        </w:rPr>
        <w:t xml:space="preserve"> Treatment </w:t>
      </w:r>
      <w:r w:rsidR="00AA00F8" w:rsidRPr="006B2326">
        <w:rPr>
          <w:noProof/>
        </w:rPr>
        <w:t>I</w:t>
      </w:r>
      <w:r w:rsidRPr="006B2326">
        <w:rPr>
          <w:noProof/>
        </w:rPr>
        <w:t xml:space="preserve">nitiation), the recommended maintenance dosage of </w:t>
      </w:r>
      <w:r w:rsidR="00387EBC" w:rsidRPr="006B2326">
        <w:rPr>
          <w:noProof/>
        </w:rPr>
        <w:t>PONVORY</w:t>
      </w:r>
      <w:r w:rsidRPr="006B2326">
        <w:rPr>
          <w:noProof/>
        </w:rPr>
        <w:t xml:space="preserve"> is one 20 mg tablet taken orally once daily.</w:t>
      </w:r>
    </w:p>
    <w:p w14:paraId="71F7EB35" w14:textId="01185CF7" w:rsidR="00A66179" w:rsidRPr="006B2326" w:rsidRDefault="00A66179" w:rsidP="004C6478">
      <w:pPr>
        <w:pStyle w:val="Heading3"/>
        <w:rPr>
          <w:noProof/>
        </w:rPr>
      </w:pPr>
      <w:r w:rsidRPr="006B2326">
        <w:rPr>
          <w:noProof/>
        </w:rPr>
        <w:t xml:space="preserve">First dose monitoring in patients with certain </w:t>
      </w:r>
      <w:r w:rsidR="001B0855" w:rsidRPr="006B2326">
        <w:rPr>
          <w:noProof/>
        </w:rPr>
        <w:t>pre-existing</w:t>
      </w:r>
      <w:r w:rsidRPr="006B2326">
        <w:rPr>
          <w:noProof/>
        </w:rPr>
        <w:t xml:space="preserve"> cardiac conditions</w:t>
      </w:r>
    </w:p>
    <w:p w14:paraId="2ACFD48E" w14:textId="3E7F2162" w:rsidR="00A66179" w:rsidRPr="006B2326" w:rsidRDefault="00A66179" w:rsidP="004C6478">
      <w:pPr>
        <w:jc w:val="left"/>
        <w:rPr>
          <w:noProof/>
        </w:rPr>
      </w:pPr>
      <w:r w:rsidRPr="006B2326">
        <w:rPr>
          <w:noProof/>
        </w:rPr>
        <w:t xml:space="preserve">Because initiation of </w:t>
      </w:r>
      <w:r w:rsidR="00387EBC" w:rsidRPr="006B2326">
        <w:rPr>
          <w:noProof/>
        </w:rPr>
        <w:t>PONVORY</w:t>
      </w:r>
      <w:r w:rsidRPr="006B2326">
        <w:rPr>
          <w:noProof/>
        </w:rPr>
        <w:t xml:space="preserve"> treatment results in a decrease in heart rate (HR), first dose 4</w:t>
      </w:r>
      <w:r w:rsidR="00EB1B6C" w:rsidRPr="006B2326">
        <w:rPr>
          <w:noProof/>
        </w:rPr>
        <w:t>-</w:t>
      </w:r>
      <w:r w:rsidRPr="006B2326">
        <w:rPr>
          <w:noProof/>
        </w:rPr>
        <w:t xml:space="preserve">hour monitoring is recommended for patients with sinus bradycardia [HR less than 55 beats per minute (bpm)], first- or second degree [Mobitz type I] AV block, or a history of myocardial infarction or heart failure occurring more than 6 months prior to treatment initiation and in stable condition (see </w:t>
      </w:r>
      <w:r w:rsidR="00453F57" w:rsidRPr="006B2326">
        <w:t xml:space="preserve">Section </w:t>
      </w:r>
      <w:r w:rsidR="00387EBC" w:rsidRPr="006B2326">
        <w:rPr>
          <w:noProof/>
        </w:rPr>
        <w:t xml:space="preserve">4.4 Special Warnings and Precautions </w:t>
      </w:r>
      <w:r w:rsidR="00EB1B6C" w:rsidRPr="006B2326">
        <w:rPr>
          <w:noProof/>
        </w:rPr>
        <w:t>f</w:t>
      </w:r>
      <w:r w:rsidR="00387EBC" w:rsidRPr="006B2326">
        <w:rPr>
          <w:noProof/>
        </w:rPr>
        <w:t>or Use</w:t>
      </w:r>
      <w:r w:rsidRPr="006B2326">
        <w:rPr>
          <w:noProof/>
        </w:rPr>
        <w:t xml:space="preserve"> - Bradyarrhythmia and Atrioventricular Conduction Delays and </w:t>
      </w:r>
      <w:r w:rsidR="00AA00F8" w:rsidRPr="006B2326">
        <w:rPr>
          <w:noProof/>
        </w:rPr>
        <w:t xml:space="preserve">5.1 Pharmacodynamic Properties - </w:t>
      </w:r>
      <w:r w:rsidRPr="006B2326">
        <w:rPr>
          <w:noProof/>
        </w:rPr>
        <w:t xml:space="preserve">Pharmacodynamic </w:t>
      </w:r>
      <w:r w:rsidR="00AA00F8" w:rsidRPr="006B2326">
        <w:rPr>
          <w:noProof/>
        </w:rPr>
        <w:t>E</w:t>
      </w:r>
      <w:r w:rsidRPr="006B2326">
        <w:rPr>
          <w:noProof/>
        </w:rPr>
        <w:t>ffects).</w:t>
      </w:r>
    </w:p>
    <w:p w14:paraId="41643F72" w14:textId="77777777" w:rsidR="00A66179" w:rsidRPr="006B2326" w:rsidRDefault="00A66179" w:rsidP="004C6478">
      <w:pPr>
        <w:pStyle w:val="Heading4"/>
        <w:rPr>
          <w:noProof/>
        </w:rPr>
      </w:pPr>
      <w:r w:rsidRPr="006B2326">
        <w:rPr>
          <w:noProof/>
        </w:rPr>
        <w:t>First dose 4-hour monitoring</w:t>
      </w:r>
    </w:p>
    <w:p w14:paraId="7BFD6A48" w14:textId="2000986B" w:rsidR="00A66179" w:rsidRPr="006B2326" w:rsidRDefault="00A66179" w:rsidP="004C6478">
      <w:pPr>
        <w:jc w:val="left"/>
        <w:rPr>
          <w:noProof/>
        </w:rPr>
      </w:pPr>
      <w:r w:rsidRPr="006B2326">
        <w:rPr>
          <w:noProof/>
        </w:rPr>
        <w:t xml:space="preserve">Administer the first dose of </w:t>
      </w:r>
      <w:r w:rsidR="00387EBC" w:rsidRPr="006B2326">
        <w:rPr>
          <w:noProof/>
        </w:rPr>
        <w:t>PONVORY</w:t>
      </w:r>
      <w:r w:rsidRPr="006B2326">
        <w:rPr>
          <w:noProof/>
        </w:rPr>
        <w:t xml:space="preserve"> in a setting where resources to appropriately manage symptomatic bradycardia are available. Monitor patients for 4 hours after the first dose for signs and symptoms of bradycardia with a minimum of hourly pulse and blood pressure measurements. Obtain an ECG in these patients at the end of the 4-hour observation period.</w:t>
      </w:r>
    </w:p>
    <w:p w14:paraId="00892A92" w14:textId="77777777" w:rsidR="00A66179" w:rsidRPr="006B2326" w:rsidRDefault="00A66179" w:rsidP="004C6478">
      <w:pPr>
        <w:pStyle w:val="Heading4"/>
        <w:rPr>
          <w:noProof/>
        </w:rPr>
      </w:pPr>
      <w:r w:rsidRPr="006B2326">
        <w:rPr>
          <w:noProof/>
        </w:rPr>
        <w:t>Additional monitoring after 4-hour monitoring</w:t>
      </w:r>
    </w:p>
    <w:p w14:paraId="1ECC6F59" w14:textId="77777777" w:rsidR="00A66179" w:rsidRPr="006B2326" w:rsidRDefault="00A66179" w:rsidP="004C6478">
      <w:pPr>
        <w:jc w:val="left"/>
        <w:rPr>
          <w:noProof/>
        </w:rPr>
      </w:pPr>
      <w:r w:rsidRPr="006B2326">
        <w:rPr>
          <w:noProof/>
        </w:rPr>
        <w:t>If any of the following abnormalities are present after 4 hours (even in the absence of symptoms), continue monitoring until the abnormality resolves:</w:t>
      </w:r>
    </w:p>
    <w:p w14:paraId="5D6A91D5" w14:textId="32DF9397" w:rsidR="00A66179" w:rsidRPr="006B2326" w:rsidRDefault="00A66179" w:rsidP="004C6478">
      <w:pPr>
        <w:pStyle w:val="ListParagraph"/>
        <w:numPr>
          <w:ilvl w:val="0"/>
          <w:numId w:val="37"/>
        </w:numPr>
        <w:jc w:val="left"/>
        <w:rPr>
          <w:noProof/>
        </w:rPr>
      </w:pPr>
      <w:r w:rsidRPr="006B2326">
        <w:rPr>
          <w:noProof/>
        </w:rPr>
        <w:t>The heart rate 4 hours post</w:t>
      </w:r>
      <w:r w:rsidR="00DC33B6">
        <w:rPr>
          <w:noProof/>
        </w:rPr>
        <w:t>-</w:t>
      </w:r>
      <w:r w:rsidRPr="006B2326">
        <w:rPr>
          <w:noProof/>
        </w:rPr>
        <w:t>dose is less than 45 bpm</w:t>
      </w:r>
    </w:p>
    <w:p w14:paraId="0A03A15C" w14:textId="2B240D5B" w:rsidR="00A66179" w:rsidRPr="006B2326" w:rsidRDefault="00A66179" w:rsidP="004C6478">
      <w:pPr>
        <w:pStyle w:val="ListParagraph"/>
        <w:numPr>
          <w:ilvl w:val="0"/>
          <w:numId w:val="37"/>
        </w:numPr>
        <w:jc w:val="left"/>
        <w:rPr>
          <w:noProof/>
        </w:rPr>
      </w:pPr>
      <w:r w:rsidRPr="006B2326">
        <w:rPr>
          <w:noProof/>
        </w:rPr>
        <w:t>The heart rate 4 hours post</w:t>
      </w:r>
      <w:r w:rsidR="00DC33B6">
        <w:rPr>
          <w:noProof/>
        </w:rPr>
        <w:t>-</w:t>
      </w:r>
      <w:r w:rsidRPr="006B2326">
        <w:rPr>
          <w:noProof/>
        </w:rPr>
        <w:t>dose is at the lowest value post</w:t>
      </w:r>
      <w:r w:rsidR="00DC33B6">
        <w:rPr>
          <w:noProof/>
        </w:rPr>
        <w:t>-</w:t>
      </w:r>
      <w:r w:rsidRPr="006B2326">
        <w:rPr>
          <w:noProof/>
        </w:rPr>
        <w:t>dose, suggesting that the maximum pharmacodynamic effect on the heart may not have occurred</w:t>
      </w:r>
    </w:p>
    <w:p w14:paraId="2C852CA8" w14:textId="77DEA151" w:rsidR="00A66179" w:rsidRPr="006B2326" w:rsidRDefault="00A66179" w:rsidP="004C6478">
      <w:pPr>
        <w:pStyle w:val="ListParagraph"/>
        <w:numPr>
          <w:ilvl w:val="0"/>
          <w:numId w:val="37"/>
        </w:numPr>
        <w:jc w:val="left"/>
        <w:rPr>
          <w:noProof/>
        </w:rPr>
      </w:pPr>
      <w:r w:rsidRPr="006B2326">
        <w:rPr>
          <w:noProof/>
        </w:rPr>
        <w:t>The ECG 4 hours post</w:t>
      </w:r>
      <w:r w:rsidR="00DC33B6">
        <w:rPr>
          <w:noProof/>
        </w:rPr>
        <w:t>-</w:t>
      </w:r>
      <w:r w:rsidRPr="006B2326">
        <w:rPr>
          <w:noProof/>
        </w:rPr>
        <w:t>dose shows new onset second-degree or higher AV block</w:t>
      </w:r>
    </w:p>
    <w:p w14:paraId="0C0EE833" w14:textId="6A466F2D" w:rsidR="00A66179" w:rsidRPr="006B2326" w:rsidRDefault="00A66179" w:rsidP="004C6478">
      <w:pPr>
        <w:jc w:val="left"/>
        <w:rPr>
          <w:noProof/>
        </w:rPr>
      </w:pPr>
      <w:r w:rsidRPr="006B2326">
        <w:rPr>
          <w:noProof/>
        </w:rPr>
        <w:t>If post</w:t>
      </w:r>
      <w:r w:rsidR="00DC33B6">
        <w:rPr>
          <w:noProof/>
        </w:rPr>
        <w:t>-</w:t>
      </w:r>
      <w:r w:rsidRPr="006B2326">
        <w:rPr>
          <w:noProof/>
        </w:rPr>
        <w:t>dose symptomatic bradycardia, bradyarrhythmia, or conduction related symptoms occur, or if ECG 4 hours post</w:t>
      </w:r>
      <w:r w:rsidR="00956637" w:rsidRPr="006B2326">
        <w:rPr>
          <w:noProof/>
        </w:rPr>
        <w:t>-</w:t>
      </w:r>
      <w:r w:rsidRPr="006B2326">
        <w:rPr>
          <w:noProof/>
        </w:rPr>
        <w:t>dose shows new onset second degree or higher AV block or QTc greater than or equal to 500 msec, initiate appropriate management, begin continuous ECG monitoring, and continue monitoring until the symptoms have resolved if no pharmacological treatment is required. If pharmacological treatment is required, continue monitoring overnight and repeat 4</w:t>
      </w:r>
      <w:r w:rsidR="008C555B" w:rsidRPr="006B2326">
        <w:rPr>
          <w:noProof/>
        </w:rPr>
        <w:t>-</w:t>
      </w:r>
      <w:r w:rsidRPr="006B2326">
        <w:rPr>
          <w:noProof/>
        </w:rPr>
        <w:t>hour monitoring after the second dose.</w:t>
      </w:r>
    </w:p>
    <w:p w14:paraId="1D6FA0CA" w14:textId="31BFE4E4" w:rsidR="00A66179" w:rsidRPr="006B2326" w:rsidRDefault="00A66179" w:rsidP="004C6478">
      <w:pPr>
        <w:jc w:val="left"/>
        <w:rPr>
          <w:b/>
          <w:noProof/>
        </w:rPr>
      </w:pPr>
      <w:r w:rsidRPr="006B2326">
        <w:rPr>
          <w:noProof/>
        </w:rPr>
        <w:t xml:space="preserve">Advice from a cardiologist should be sought to determine the most appropriate monitoring strategy (which may include overnight monitoring) during treatment initiation, if treatment with </w:t>
      </w:r>
      <w:r w:rsidR="00387EBC" w:rsidRPr="006B2326">
        <w:rPr>
          <w:noProof/>
        </w:rPr>
        <w:t>PONVORY</w:t>
      </w:r>
      <w:r w:rsidRPr="006B2326">
        <w:rPr>
          <w:noProof/>
        </w:rPr>
        <w:t xml:space="preserve"> is considered in patients:</w:t>
      </w:r>
    </w:p>
    <w:p w14:paraId="3D6F913F" w14:textId="5540790F" w:rsidR="00A66179" w:rsidRPr="006B2326" w:rsidRDefault="00A66179" w:rsidP="004C6478">
      <w:pPr>
        <w:pStyle w:val="ListParagraph"/>
        <w:numPr>
          <w:ilvl w:val="0"/>
          <w:numId w:val="38"/>
        </w:numPr>
        <w:jc w:val="left"/>
        <w:rPr>
          <w:b/>
          <w:noProof/>
        </w:rPr>
      </w:pPr>
      <w:r w:rsidRPr="006B2326">
        <w:rPr>
          <w:noProof/>
        </w:rPr>
        <w:t xml:space="preserve">With some </w:t>
      </w:r>
      <w:r w:rsidR="001B0855" w:rsidRPr="006B2326">
        <w:rPr>
          <w:noProof/>
        </w:rPr>
        <w:t>pre-existing</w:t>
      </w:r>
      <w:r w:rsidRPr="006B2326">
        <w:rPr>
          <w:noProof/>
        </w:rPr>
        <w:t xml:space="preserve"> heart and cerebrovascular conditions (see </w:t>
      </w:r>
      <w:r w:rsidR="00453F57" w:rsidRPr="006B2326">
        <w:t xml:space="preserve">Section </w:t>
      </w:r>
      <w:r w:rsidR="00387EBC" w:rsidRPr="006B2326">
        <w:rPr>
          <w:noProof/>
        </w:rPr>
        <w:t xml:space="preserve">4.4 Special Warnings and Precautions </w:t>
      </w:r>
      <w:r w:rsidR="00453F57" w:rsidRPr="006B2326">
        <w:rPr>
          <w:noProof/>
        </w:rPr>
        <w:t>f</w:t>
      </w:r>
      <w:r w:rsidR="00387EBC" w:rsidRPr="006B2326">
        <w:rPr>
          <w:noProof/>
        </w:rPr>
        <w:t>or Use</w:t>
      </w:r>
      <w:r w:rsidRPr="006B2326">
        <w:rPr>
          <w:noProof/>
        </w:rPr>
        <w:t xml:space="preserve"> - Bradyarrhythmia and Atrioventricular Conduction Delays).</w:t>
      </w:r>
    </w:p>
    <w:p w14:paraId="40B04781" w14:textId="1027D98F" w:rsidR="00A66179" w:rsidRPr="006B2326" w:rsidRDefault="00A66179" w:rsidP="004C6478">
      <w:pPr>
        <w:pStyle w:val="ListParagraph"/>
        <w:numPr>
          <w:ilvl w:val="0"/>
          <w:numId w:val="38"/>
        </w:numPr>
        <w:jc w:val="left"/>
        <w:rPr>
          <w:b/>
          <w:noProof/>
        </w:rPr>
      </w:pPr>
      <w:r w:rsidRPr="006B2326">
        <w:rPr>
          <w:noProof/>
        </w:rPr>
        <w:t xml:space="preserve">With a prolonged QTc interval before dosing or during the 4-hour observation, or at additional risk for QT prolongation, or on concurrent therapy with QT prolonging drugs with a known risk of torsades de pointes (see </w:t>
      </w:r>
      <w:r w:rsidR="00453F57" w:rsidRPr="006B2326">
        <w:t xml:space="preserve">Section </w:t>
      </w:r>
      <w:r w:rsidR="00387EBC" w:rsidRPr="006B2326">
        <w:rPr>
          <w:noProof/>
        </w:rPr>
        <w:t xml:space="preserve">4.4 Special Warnings and Precautions </w:t>
      </w:r>
      <w:r w:rsidR="00453F57" w:rsidRPr="006B2326">
        <w:rPr>
          <w:noProof/>
        </w:rPr>
        <w:t>f</w:t>
      </w:r>
      <w:r w:rsidR="00387EBC" w:rsidRPr="006B2326">
        <w:rPr>
          <w:noProof/>
        </w:rPr>
        <w:t>or Use</w:t>
      </w:r>
      <w:r w:rsidRPr="006B2326">
        <w:rPr>
          <w:noProof/>
        </w:rPr>
        <w:t xml:space="preserve"> - Bradyarrhythmia and Atrioventricular Conduction Delays and </w:t>
      </w:r>
      <w:r w:rsidR="00E30C50" w:rsidRPr="006B2326">
        <w:rPr>
          <w:noProof/>
        </w:rPr>
        <w:t xml:space="preserve">4.5 </w:t>
      </w:r>
      <w:r w:rsidRPr="006B2326">
        <w:rPr>
          <w:noProof/>
        </w:rPr>
        <w:t>Interactions</w:t>
      </w:r>
      <w:r w:rsidR="00E30C50" w:rsidRPr="006B2326">
        <w:rPr>
          <w:noProof/>
        </w:rPr>
        <w:t xml:space="preserve"> with Other Medicines and Other Forms of Interactions</w:t>
      </w:r>
      <w:r w:rsidRPr="006B2326">
        <w:rPr>
          <w:noProof/>
        </w:rPr>
        <w:t xml:space="preserve"> - Anti-Arrhythmic Drugs, QT Prolonging Drugs, Drugs That May Decrease Heart Rate).</w:t>
      </w:r>
    </w:p>
    <w:p w14:paraId="7E71E064" w14:textId="5D1B5B02" w:rsidR="00A66179" w:rsidRPr="006B2326" w:rsidRDefault="00A66179" w:rsidP="004C6478">
      <w:pPr>
        <w:pStyle w:val="ListParagraph"/>
        <w:numPr>
          <w:ilvl w:val="0"/>
          <w:numId w:val="38"/>
        </w:numPr>
        <w:jc w:val="left"/>
        <w:rPr>
          <w:noProof/>
        </w:rPr>
      </w:pPr>
      <w:r w:rsidRPr="006B2326">
        <w:rPr>
          <w:noProof/>
        </w:rPr>
        <w:t xml:space="preserve">Receiving concurrent therapy with drugs that slow heart rate or AV conduction (see </w:t>
      </w:r>
      <w:r w:rsidR="00453F57" w:rsidRPr="006B2326">
        <w:t xml:space="preserve">Section </w:t>
      </w:r>
      <w:r w:rsidR="00E30C50" w:rsidRPr="006B2326">
        <w:rPr>
          <w:noProof/>
        </w:rPr>
        <w:t>4.5 Interactions with Other Medicines and Other Forms of Interactions</w:t>
      </w:r>
      <w:r w:rsidRPr="006B2326">
        <w:rPr>
          <w:noProof/>
        </w:rPr>
        <w:t xml:space="preserve"> - Anti-</w:t>
      </w:r>
      <w:r w:rsidRPr="006B2326">
        <w:rPr>
          <w:noProof/>
        </w:rPr>
        <w:lastRenderedPageBreak/>
        <w:t>Arrhythmic Drugs, QT Prolonging Drugs, Drugs That May Decrease Heart Rate and Beta-Blockers).</w:t>
      </w:r>
    </w:p>
    <w:p w14:paraId="71BA56C2" w14:textId="77777777" w:rsidR="00A66179" w:rsidRPr="006B2326" w:rsidRDefault="00A66179" w:rsidP="004C6478">
      <w:pPr>
        <w:pStyle w:val="Heading3"/>
      </w:pPr>
      <w:r w:rsidRPr="006B2326">
        <w:t>Missed doses</w:t>
      </w:r>
    </w:p>
    <w:p w14:paraId="60F45776" w14:textId="77777777" w:rsidR="00A66179" w:rsidRPr="006B2326" w:rsidRDefault="00A66179" w:rsidP="004C6478">
      <w:pPr>
        <w:jc w:val="left"/>
        <w:rPr>
          <w:b/>
          <w:noProof/>
        </w:rPr>
      </w:pPr>
      <w:r w:rsidRPr="006B2326">
        <w:rPr>
          <w:noProof/>
        </w:rPr>
        <w:t>Interruption during treatment, especially during titration, should be avoided, however:</w:t>
      </w:r>
    </w:p>
    <w:p w14:paraId="6668D402" w14:textId="77777777" w:rsidR="00A66179" w:rsidRPr="006B2326" w:rsidRDefault="00A66179" w:rsidP="004C6478">
      <w:pPr>
        <w:pStyle w:val="ListParagraph"/>
        <w:numPr>
          <w:ilvl w:val="0"/>
          <w:numId w:val="42"/>
        </w:numPr>
        <w:jc w:val="left"/>
        <w:rPr>
          <w:b/>
          <w:noProof/>
        </w:rPr>
      </w:pPr>
      <w:r w:rsidRPr="006B2326">
        <w:rPr>
          <w:noProof/>
        </w:rPr>
        <w:t>if less than 4 consecutive doses are missed, resume treatment with the first missed dose.</w:t>
      </w:r>
    </w:p>
    <w:p w14:paraId="0032D49E" w14:textId="66F0D266" w:rsidR="00A66179" w:rsidRPr="006B2326" w:rsidRDefault="00A66179" w:rsidP="004C6478">
      <w:pPr>
        <w:pStyle w:val="ListParagraph"/>
        <w:numPr>
          <w:ilvl w:val="0"/>
          <w:numId w:val="42"/>
        </w:numPr>
        <w:jc w:val="left"/>
        <w:rPr>
          <w:noProof/>
        </w:rPr>
      </w:pPr>
      <w:r w:rsidRPr="006B2326">
        <w:rPr>
          <w:noProof/>
        </w:rPr>
        <w:t xml:space="preserve">if 4 or more consecutive doses are missed, reinitiate treatment with Day 1 of the titration regimen (new </w:t>
      </w:r>
      <w:r w:rsidR="00B377B6" w:rsidRPr="006B2326">
        <w:rPr>
          <w:noProof/>
        </w:rPr>
        <w:t>treatment initiation</w:t>
      </w:r>
      <w:r w:rsidRPr="006B2326">
        <w:rPr>
          <w:noProof/>
        </w:rPr>
        <w:t xml:space="preserve"> pack).</w:t>
      </w:r>
    </w:p>
    <w:p w14:paraId="39135E0E" w14:textId="7CDC42F3" w:rsidR="00A66179" w:rsidRPr="006B2326" w:rsidRDefault="00A66179" w:rsidP="004C6478">
      <w:pPr>
        <w:jc w:val="left"/>
        <w:rPr>
          <w:noProof/>
        </w:rPr>
      </w:pPr>
      <w:r w:rsidRPr="006B2326">
        <w:rPr>
          <w:noProof/>
        </w:rPr>
        <w:t xml:space="preserve">During treatment initiation or maintenance, if treatment needs to be reinitiated with Day 1 of the titration regimen, complete first dose monitoring in patients for whom it is recommended (see </w:t>
      </w:r>
      <w:r w:rsidR="00453F57" w:rsidRPr="006B2326">
        <w:t xml:space="preserve">Section </w:t>
      </w:r>
      <w:r w:rsidR="00387EBC" w:rsidRPr="006B2326">
        <w:rPr>
          <w:noProof/>
        </w:rPr>
        <w:t xml:space="preserve">4.2 Dose and Method of Administration </w:t>
      </w:r>
      <w:r w:rsidRPr="006B2326">
        <w:rPr>
          <w:noProof/>
        </w:rPr>
        <w:t xml:space="preserve">- First Dose Monitoring in Patients with Certain </w:t>
      </w:r>
      <w:r w:rsidR="001B0855" w:rsidRPr="006B2326">
        <w:rPr>
          <w:noProof/>
        </w:rPr>
        <w:t>Pre-existing</w:t>
      </w:r>
      <w:r w:rsidRPr="006B2326">
        <w:rPr>
          <w:noProof/>
        </w:rPr>
        <w:t xml:space="preserve"> Cardiac Conditions).</w:t>
      </w:r>
    </w:p>
    <w:p w14:paraId="35A5340E" w14:textId="48360937" w:rsidR="00E272A3" w:rsidRPr="006B2326" w:rsidRDefault="00E272A3" w:rsidP="004C6478">
      <w:pPr>
        <w:pStyle w:val="Heading3"/>
        <w:rPr>
          <w:noProof/>
        </w:rPr>
      </w:pPr>
      <w:r w:rsidRPr="006B2326">
        <w:rPr>
          <w:noProof/>
        </w:rPr>
        <w:t>Method of administration</w:t>
      </w:r>
      <w:bookmarkEnd w:id="9"/>
    </w:p>
    <w:bookmarkEnd w:id="10"/>
    <w:p w14:paraId="1B00C80D" w14:textId="504CE741" w:rsidR="00A66179" w:rsidRPr="006B2326" w:rsidRDefault="00387EBC" w:rsidP="004C6478">
      <w:pPr>
        <w:jc w:val="left"/>
        <w:rPr>
          <w:noProof/>
        </w:rPr>
      </w:pPr>
      <w:r w:rsidRPr="006B2326">
        <w:rPr>
          <w:noProof/>
        </w:rPr>
        <w:t>PONVORY</w:t>
      </w:r>
      <w:r w:rsidR="00A66179" w:rsidRPr="006B2326">
        <w:rPr>
          <w:noProof/>
        </w:rPr>
        <w:t xml:space="preserve"> should be administered orally once daily. The tablet should be swallowed whole. </w:t>
      </w:r>
      <w:r w:rsidRPr="006B2326">
        <w:rPr>
          <w:noProof/>
        </w:rPr>
        <w:t>PONVORY</w:t>
      </w:r>
      <w:r w:rsidR="00A66179" w:rsidRPr="006B2326">
        <w:rPr>
          <w:noProof/>
        </w:rPr>
        <w:t xml:space="preserve"> can be taken with or without food.</w:t>
      </w:r>
    </w:p>
    <w:p w14:paraId="6609FD8C" w14:textId="55077AD9" w:rsidR="00E133A5" w:rsidRPr="006B2326" w:rsidRDefault="00E133A5" w:rsidP="004C6478">
      <w:pPr>
        <w:pStyle w:val="Heading3"/>
        <w:rPr>
          <w:noProof/>
        </w:rPr>
      </w:pPr>
      <w:r w:rsidRPr="006B2326">
        <w:rPr>
          <w:noProof/>
        </w:rPr>
        <w:t>Special populations</w:t>
      </w:r>
      <w:bookmarkEnd w:id="11"/>
    </w:p>
    <w:p w14:paraId="5E6BC1BC" w14:textId="122CE4DC" w:rsidR="00D30732" w:rsidRPr="006B2326" w:rsidRDefault="00453F57" w:rsidP="004C6478">
      <w:pPr>
        <w:pStyle w:val="Heading4"/>
        <w:rPr>
          <w:noProof/>
        </w:rPr>
      </w:pPr>
      <w:r w:rsidRPr="006B2326">
        <w:rPr>
          <w:noProof/>
        </w:rPr>
        <w:t>Paediatric</w:t>
      </w:r>
      <w:r w:rsidR="00D30732" w:rsidRPr="006B2326">
        <w:rPr>
          <w:noProof/>
        </w:rPr>
        <w:t xml:space="preserve"> patients (</w:t>
      </w:r>
      <w:r w:rsidR="00DC33B6">
        <w:rPr>
          <w:noProof/>
        </w:rPr>
        <w:t xml:space="preserve">younger than </w:t>
      </w:r>
      <w:r w:rsidR="00D30732" w:rsidRPr="006B2326">
        <w:rPr>
          <w:noProof/>
        </w:rPr>
        <w:t>18 years of age)</w:t>
      </w:r>
    </w:p>
    <w:p w14:paraId="66F4247C" w14:textId="76AE8509" w:rsidR="00D30732" w:rsidRPr="006B2326" w:rsidRDefault="00D30732" w:rsidP="004C6478">
      <w:pPr>
        <w:jc w:val="left"/>
        <w:rPr>
          <w:noProof/>
        </w:rPr>
      </w:pPr>
      <w:r w:rsidRPr="006B2326">
        <w:rPr>
          <w:noProof/>
        </w:rPr>
        <w:t xml:space="preserve">The safety and efficacy of </w:t>
      </w:r>
      <w:r w:rsidR="00387EBC" w:rsidRPr="006B2326">
        <w:rPr>
          <w:noProof/>
        </w:rPr>
        <w:t>PONVORY</w:t>
      </w:r>
      <w:r w:rsidRPr="006B2326">
        <w:rPr>
          <w:noProof/>
        </w:rPr>
        <w:t xml:space="preserve"> have not been established in </w:t>
      </w:r>
      <w:r w:rsidR="00453F57" w:rsidRPr="006B2326">
        <w:rPr>
          <w:noProof/>
        </w:rPr>
        <w:t>paediatric</w:t>
      </w:r>
      <w:r w:rsidRPr="006B2326">
        <w:rPr>
          <w:noProof/>
        </w:rPr>
        <w:t xml:space="preserve"> patients </w:t>
      </w:r>
      <w:r w:rsidR="00DC33B6">
        <w:rPr>
          <w:noProof/>
        </w:rPr>
        <w:t xml:space="preserve">younger than </w:t>
      </w:r>
      <w:r w:rsidRPr="006B2326">
        <w:rPr>
          <w:noProof/>
        </w:rPr>
        <w:t xml:space="preserve">18 years </w:t>
      </w:r>
      <w:r w:rsidR="00DC33B6">
        <w:rPr>
          <w:noProof/>
        </w:rPr>
        <w:t>of age</w:t>
      </w:r>
      <w:r w:rsidRPr="006B2326">
        <w:rPr>
          <w:noProof/>
        </w:rPr>
        <w:t>.</w:t>
      </w:r>
    </w:p>
    <w:p w14:paraId="3F28850F" w14:textId="77777777" w:rsidR="00D30732" w:rsidRPr="006B2326" w:rsidRDefault="00D30732" w:rsidP="004C6478">
      <w:pPr>
        <w:pStyle w:val="Heading4"/>
        <w:rPr>
          <w:noProof/>
        </w:rPr>
      </w:pPr>
      <w:r w:rsidRPr="006B2326">
        <w:rPr>
          <w:noProof/>
        </w:rPr>
        <w:t>Elderly (65 years of age and older)</w:t>
      </w:r>
    </w:p>
    <w:p w14:paraId="10856C64" w14:textId="588F1839" w:rsidR="00D30732" w:rsidRPr="006B2326" w:rsidRDefault="00D30732" w:rsidP="004C6478">
      <w:pPr>
        <w:jc w:val="left"/>
        <w:rPr>
          <w:noProof/>
        </w:rPr>
      </w:pPr>
      <w:r w:rsidRPr="006B2326">
        <w:rPr>
          <w:noProof/>
        </w:rPr>
        <w:t xml:space="preserve">Clinical studies of ponesimod did not include patients aged 65 years and over to determine whether they respond differently from younger subjects, therefore </w:t>
      </w:r>
      <w:r w:rsidR="00387EBC" w:rsidRPr="006B2326">
        <w:rPr>
          <w:noProof/>
        </w:rPr>
        <w:t>PONVORY</w:t>
      </w:r>
      <w:r w:rsidRPr="006B2326">
        <w:rPr>
          <w:noProof/>
        </w:rPr>
        <w:t xml:space="preserve"> should be used with caution in this population (see </w:t>
      </w:r>
      <w:r w:rsidR="00453F57" w:rsidRPr="006B2326">
        <w:t xml:space="preserve">Section </w:t>
      </w:r>
      <w:r w:rsidR="00E30C50" w:rsidRPr="006B2326">
        <w:rPr>
          <w:noProof/>
        </w:rPr>
        <w:t xml:space="preserve">5.2 </w:t>
      </w:r>
      <w:r w:rsidRPr="006B2326">
        <w:rPr>
          <w:noProof/>
        </w:rPr>
        <w:t xml:space="preserve">Pharmacokinetic Properties - Special </w:t>
      </w:r>
      <w:r w:rsidR="00453F57" w:rsidRPr="006B2326">
        <w:rPr>
          <w:noProof/>
        </w:rPr>
        <w:t>P</w:t>
      </w:r>
      <w:r w:rsidRPr="006B2326">
        <w:rPr>
          <w:noProof/>
        </w:rPr>
        <w:t>opulations, Age).</w:t>
      </w:r>
    </w:p>
    <w:p w14:paraId="699BE6EE" w14:textId="77777777" w:rsidR="00D30732" w:rsidRPr="006B2326" w:rsidRDefault="00D30732" w:rsidP="004C6478">
      <w:pPr>
        <w:pStyle w:val="Heading4"/>
        <w:rPr>
          <w:noProof/>
        </w:rPr>
      </w:pPr>
      <w:r w:rsidRPr="006B2326">
        <w:rPr>
          <w:noProof/>
        </w:rPr>
        <w:t>Renal impairment</w:t>
      </w:r>
    </w:p>
    <w:p w14:paraId="1CF737EB" w14:textId="3571C5C8" w:rsidR="00D30732" w:rsidRPr="006B2326" w:rsidRDefault="00D30732" w:rsidP="004C6478">
      <w:pPr>
        <w:jc w:val="left"/>
        <w:rPr>
          <w:noProof/>
        </w:rPr>
      </w:pPr>
      <w:r w:rsidRPr="006B2326">
        <w:rPr>
          <w:noProof/>
        </w:rPr>
        <w:t>Based on clinical pharmacology studies, no dose adjustment is needed in patients with mild to severe renal impairment (see</w:t>
      </w:r>
      <w:r w:rsidR="00453F57" w:rsidRPr="006B2326">
        <w:rPr>
          <w:noProof/>
        </w:rPr>
        <w:t xml:space="preserve"> </w:t>
      </w:r>
      <w:r w:rsidR="00453F57" w:rsidRPr="006B2326">
        <w:t>Section</w:t>
      </w:r>
      <w:r w:rsidRPr="006B2326">
        <w:rPr>
          <w:noProof/>
        </w:rPr>
        <w:t xml:space="preserve"> </w:t>
      </w:r>
      <w:r w:rsidR="00E30C50" w:rsidRPr="006B2326">
        <w:rPr>
          <w:noProof/>
        </w:rPr>
        <w:t xml:space="preserve">5.2 </w:t>
      </w:r>
      <w:r w:rsidRPr="006B2326">
        <w:rPr>
          <w:noProof/>
        </w:rPr>
        <w:t xml:space="preserve">Pharmacokinetic Properties - Special </w:t>
      </w:r>
      <w:r w:rsidR="00453F57" w:rsidRPr="006B2326">
        <w:rPr>
          <w:noProof/>
        </w:rPr>
        <w:t>P</w:t>
      </w:r>
      <w:r w:rsidRPr="006B2326">
        <w:rPr>
          <w:noProof/>
        </w:rPr>
        <w:t>opulations, Renal impairment).</w:t>
      </w:r>
    </w:p>
    <w:p w14:paraId="5328E4B9" w14:textId="77777777" w:rsidR="00D30732" w:rsidRPr="006B2326" w:rsidRDefault="00D30732" w:rsidP="004C6478">
      <w:pPr>
        <w:pStyle w:val="Heading4"/>
        <w:rPr>
          <w:noProof/>
        </w:rPr>
      </w:pPr>
      <w:r w:rsidRPr="006B2326">
        <w:rPr>
          <w:noProof/>
        </w:rPr>
        <w:t>Hepatic impairment</w:t>
      </w:r>
    </w:p>
    <w:p w14:paraId="62DB6971" w14:textId="09E0EE99" w:rsidR="00D30732" w:rsidRPr="006B2326" w:rsidRDefault="00D30732" w:rsidP="004C6478">
      <w:pPr>
        <w:jc w:val="left"/>
        <w:rPr>
          <w:noProof/>
        </w:rPr>
      </w:pPr>
      <w:r w:rsidRPr="006B2326">
        <w:rPr>
          <w:noProof/>
        </w:rPr>
        <w:t xml:space="preserve">No dosage adjustment is necessary in patients with mild hepatic impairment (Child-Pugh class A) (see </w:t>
      </w:r>
      <w:r w:rsidR="003A26D5">
        <w:rPr>
          <w:noProof/>
        </w:rPr>
        <w:t xml:space="preserve">Section 4.4, </w:t>
      </w:r>
      <w:r w:rsidR="003A26D5" w:rsidRPr="006B2326">
        <w:rPr>
          <w:noProof/>
        </w:rPr>
        <w:t xml:space="preserve">Special Warnings and Precautions for Use </w:t>
      </w:r>
      <w:r w:rsidR="003A26D5">
        <w:rPr>
          <w:noProof/>
        </w:rPr>
        <w:t xml:space="preserve">– Liver injury and </w:t>
      </w:r>
      <w:r w:rsidR="00E30C50" w:rsidRPr="006B2326">
        <w:rPr>
          <w:noProof/>
        </w:rPr>
        <w:t xml:space="preserve">5.2 </w:t>
      </w:r>
      <w:r w:rsidRPr="006B2326">
        <w:rPr>
          <w:noProof/>
        </w:rPr>
        <w:t>Pharmacokinetic Properties - Special populations, Hepatic impairment).</w:t>
      </w:r>
    </w:p>
    <w:p w14:paraId="47766940" w14:textId="64798A31" w:rsidR="00E133A5" w:rsidRPr="006B2326" w:rsidRDefault="00D30732" w:rsidP="004C6478">
      <w:pPr>
        <w:jc w:val="left"/>
        <w:rPr>
          <w:noProof/>
        </w:rPr>
      </w:pPr>
      <w:r w:rsidRPr="006B2326">
        <w:rPr>
          <w:noProof/>
        </w:rPr>
        <w:t>Based on clinical pharmacology studies in adult subjects with moderate or severe hepatic impairment, ponesimod AUC0</w:t>
      </w:r>
      <w:r w:rsidR="00CF761A">
        <w:rPr>
          <w:rFonts w:ascii="TimesNewRoman" w:eastAsia="TimesNewRoman" w:hAnsiTheme="minorHAnsi" w:cs="TimesNewRoman"/>
          <w:sz w:val="16"/>
          <w:szCs w:val="16"/>
          <w:lang w:val="en-AU"/>
        </w:rPr>
        <w:t>0-</w:t>
      </w:r>
      <w:r w:rsidR="00CF761A">
        <w:rPr>
          <w:rFonts w:ascii="TimesNewRoman" w:eastAsia="TimesNewRoman" w:hAnsiTheme="minorHAnsi" w:cs="TimesNewRoman" w:hint="eastAsia"/>
          <w:sz w:val="16"/>
          <w:szCs w:val="16"/>
          <w:lang w:val="en-AU"/>
        </w:rPr>
        <w:t>∞</w:t>
      </w:r>
      <w:r w:rsidRPr="006B2326">
        <w:rPr>
          <w:noProof/>
        </w:rPr>
        <w:t xml:space="preserve"> was increased 2.0  and 3.1 fold respectively, compared to healthy subjects. </w:t>
      </w:r>
      <w:r w:rsidR="00387EBC" w:rsidRPr="006B2326">
        <w:rPr>
          <w:noProof/>
        </w:rPr>
        <w:t>PONVORY</w:t>
      </w:r>
      <w:r w:rsidRPr="006B2326">
        <w:rPr>
          <w:noProof/>
        </w:rPr>
        <w:t xml:space="preserve"> is not recommended in patients with moderate or severe hepatic impairment (Child-Pugh class B and C, respectively), as the risk of adverse reactions may be greater (see </w:t>
      </w:r>
      <w:r w:rsidR="003A26D5">
        <w:rPr>
          <w:noProof/>
        </w:rPr>
        <w:t xml:space="preserve">Section 4.4 </w:t>
      </w:r>
      <w:r w:rsidR="003A26D5" w:rsidRPr="006B2326">
        <w:rPr>
          <w:noProof/>
        </w:rPr>
        <w:t xml:space="preserve">Special Warnings and Precautions for Use </w:t>
      </w:r>
      <w:r w:rsidR="003A26D5">
        <w:rPr>
          <w:noProof/>
        </w:rPr>
        <w:t>– Liver injury and</w:t>
      </w:r>
      <w:r w:rsidR="003A26D5" w:rsidRPr="006B2326">
        <w:t xml:space="preserve"> </w:t>
      </w:r>
      <w:r w:rsidR="00453F57" w:rsidRPr="006B2326">
        <w:t xml:space="preserve">Section </w:t>
      </w:r>
      <w:r w:rsidR="00E30C50" w:rsidRPr="006B2326">
        <w:rPr>
          <w:noProof/>
        </w:rPr>
        <w:t xml:space="preserve">5.2 </w:t>
      </w:r>
      <w:r w:rsidRPr="006B2326">
        <w:rPr>
          <w:noProof/>
        </w:rPr>
        <w:t xml:space="preserve">Pharmacokinetic Properties - Special </w:t>
      </w:r>
      <w:r w:rsidR="00453F57" w:rsidRPr="006B2326">
        <w:rPr>
          <w:noProof/>
        </w:rPr>
        <w:t>P</w:t>
      </w:r>
      <w:r w:rsidRPr="006B2326">
        <w:rPr>
          <w:noProof/>
        </w:rPr>
        <w:t>opulations, Hepatic impairment).</w:t>
      </w:r>
    </w:p>
    <w:p w14:paraId="58A837FD" w14:textId="77777777" w:rsidR="00D30732" w:rsidRPr="006B2326" w:rsidRDefault="00D30732" w:rsidP="004C6478">
      <w:pPr>
        <w:jc w:val="left"/>
        <w:rPr>
          <w:i/>
          <w:noProof/>
        </w:rPr>
      </w:pPr>
    </w:p>
    <w:p w14:paraId="5F9A67C9" w14:textId="2D0C45B0" w:rsidR="00E272A3" w:rsidRPr="006B2326" w:rsidRDefault="00387EBC" w:rsidP="004C6478">
      <w:pPr>
        <w:pStyle w:val="Heading2"/>
        <w:rPr>
          <w:lang w:val="en-AU"/>
        </w:rPr>
      </w:pPr>
      <w:r w:rsidRPr="006B2326">
        <w:rPr>
          <w:lang w:val="en-AU"/>
        </w:rPr>
        <w:t>Contraindications</w:t>
      </w:r>
    </w:p>
    <w:p w14:paraId="54DB6E1D" w14:textId="17B67A68" w:rsidR="00BA60FF" w:rsidRPr="006B2326" w:rsidRDefault="00387EBC" w:rsidP="004C6478">
      <w:pPr>
        <w:spacing w:after="0"/>
        <w:jc w:val="left"/>
        <w:rPr>
          <w:bCs/>
          <w:noProof/>
        </w:rPr>
      </w:pPr>
      <w:r w:rsidRPr="006B2326">
        <w:rPr>
          <w:bCs/>
          <w:noProof/>
        </w:rPr>
        <w:t>PONVORY</w:t>
      </w:r>
      <w:r w:rsidR="00BA60FF" w:rsidRPr="006B2326">
        <w:rPr>
          <w:bCs/>
          <w:noProof/>
        </w:rPr>
        <w:t xml:space="preserve"> is contraindicated:</w:t>
      </w:r>
    </w:p>
    <w:p w14:paraId="55C00440" w14:textId="77777777" w:rsidR="00BA60FF" w:rsidRPr="006B2326" w:rsidRDefault="00BA60FF" w:rsidP="004C6478">
      <w:pPr>
        <w:spacing w:after="0"/>
        <w:jc w:val="left"/>
        <w:rPr>
          <w:bCs/>
          <w:noProof/>
        </w:rPr>
      </w:pPr>
    </w:p>
    <w:p w14:paraId="6B0562BC" w14:textId="4F82B68B" w:rsidR="00402234" w:rsidRPr="006B2326" w:rsidRDefault="00402234" w:rsidP="004C6478">
      <w:pPr>
        <w:numPr>
          <w:ilvl w:val="0"/>
          <w:numId w:val="36"/>
        </w:numPr>
        <w:spacing w:after="0"/>
        <w:ind w:left="567" w:hanging="567"/>
        <w:jc w:val="left"/>
        <w:rPr>
          <w:rFonts w:cs="Arial"/>
          <w:noProof/>
        </w:rPr>
      </w:pPr>
      <w:r w:rsidRPr="006B2326">
        <w:rPr>
          <w:rFonts w:cs="Arial"/>
          <w:noProof/>
        </w:rPr>
        <w:t>Hypers</w:t>
      </w:r>
      <w:proofErr w:type="spellStart"/>
      <w:r w:rsidRPr="006B2326">
        <w:rPr>
          <w:rFonts w:cs="Arial"/>
          <w:lang w:val="en-AU"/>
        </w:rPr>
        <w:t>ensitivity</w:t>
      </w:r>
      <w:proofErr w:type="spellEnd"/>
      <w:r w:rsidRPr="006B2326">
        <w:rPr>
          <w:rFonts w:cs="Arial"/>
          <w:lang w:val="en-AU"/>
        </w:rPr>
        <w:t xml:space="preserve"> to the active substance or to any of the excipients listed in Section 6.1.</w:t>
      </w:r>
    </w:p>
    <w:p w14:paraId="038F3F00" w14:textId="5A181E2D" w:rsidR="00BA60FF" w:rsidRPr="006B2326" w:rsidRDefault="00BA60FF" w:rsidP="004C6478">
      <w:pPr>
        <w:numPr>
          <w:ilvl w:val="0"/>
          <w:numId w:val="36"/>
        </w:numPr>
        <w:spacing w:after="0"/>
        <w:ind w:left="567" w:hanging="567"/>
        <w:jc w:val="left"/>
        <w:rPr>
          <w:noProof/>
        </w:rPr>
      </w:pPr>
      <w:r w:rsidRPr="006B2326">
        <w:rPr>
          <w:bCs/>
          <w:noProof/>
        </w:rPr>
        <w:lastRenderedPageBreak/>
        <w:t xml:space="preserve">In patients who have in the last 6 months experienced myocardial infarction, unstable angina, stroke, transient </w:t>
      </w:r>
      <w:r w:rsidR="00453F57" w:rsidRPr="006B2326">
        <w:rPr>
          <w:bCs/>
          <w:noProof/>
        </w:rPr>
        <w:t>ischaemic</w:t>
      </w:r>
      <w:r w:rsidRPr="006B2326">
        <w:rPr>
          <w:bCs/>
          <w:noProof/>
        </w:rPr>
        <w:t xml:space="preserve"> attack (TIA), decompensated heart failure requiring hospitali</w:t>
      </w:r>
      <w:r w:rsidR="006C33F1">
        <w:rPr>
          <w:bCs/>
          <w:noProof/>
        </w:rPr>
        <w:t>s</w:t>
      </w:r>
      <w:r w:rsidRPr="006B2326">
        <w:rPr>
          <w:bCs/>
          <w:noProof/>
        </w:rPr>
        <w:t>ation, or Class III or IV heart failure.</w:t>
      </w:r>
    </w:p>
    <w:p w14:paraId="001E9F5E" w14:textId="18547444" w:rsidR="00BA60FF" w:rsidRPr="006B2326" w:rsidRDefault="00BA60FF" w:rsidP="004C6478">
      <w:pPr>
        <w:numPr>
          <w:ilvl w:val="0"/>
          <w:numId w:val="36"/>
        </w:numPr>
        <w:spacing w:after="0"/>
        <w:ind w:left="567" w:hanging="567"/>
        <w:jc w:val="left"/>
        <w:rPr>
          <w:noProof/>
        </w:rPr>
      </w:pPr>
      <w:r w:rsidRPr="006B2326">
        <w:rPr>
          <w:bCs/>
          <w:noProof/>
        </w:rPr>
        <w:t xml:space="preserve">In patients who have presence of Mobitz type II second-degree, third-degree AV block, or sick sinus syndrome, unless patient has a functioning pacemaker (see </w:t>
      </w:r>
      <w:r w:rsidR="00453F57" w:rsidRPr="006B2326">
        <w:rPr>
          <w:bCs/>
          <w:noProof/>
        </w:rPr>
        <w:t>Section</w:t>
      </w:r>
      <w:r w:rsidR="00453F57" w:rsidRPr="006B2326">
        <w:rPr>
          <w:noProof/>
        </w:rPr>
        <w:t xml:space="preserve"> 4.4 Special Warnings and Precautions for Use</w:t>
      </w:r>
      <w:r w:rsidRPr="006B2326">
        <w:rPr>
          <w:bCs/>
          <w:noProof/>
        </w:rPr>
        <w:t xml:space="preserve"> - Bradyarrhythmia and Atrioventricular Conduction Delays).</w:t>
      </w:r>
    </w:p>
    <w:p w14:paraId="481FB420" w14:textId="2F118A36" w:rsidR="00BA60FF" w:rsidRPr="006B2326" w:rsidRDefault="00BA60FF" w:rsidP="004C6478">
      <w:pPr>
        <w:numPr>
          <w:ilvl w:val="0"/>
          <w:numId w:val="36"/>
        </w:numPr>
        <w:spacing w:after="0"/>
        <w:ind w:left="567" w:hanging="567"/>
        <w:jc w:val="left"/>
        <w:rPr>
          <w:noProof/>
        </w:rPr>
      </w:pPr>
      <w:r w:rsidRPr="006B2326">
        <w:rPr>
          <w:bCs/>
          <w:noProof/>
        </w:rPr>
        <w:t xml:space="preserve">During pregnancy and in women of childbearing potential not using highly effective contraception (see </w:t>
      </w:r>
      <w:r w:rsidR="00453F57" w:rsidRPr="006B2326">
        <w:rPr>
          <w:bCs/>
          <w:noProof/>
        </w:rPr>
        <w:t xml:space="preserve">Section </w:t>
      </w:r>
      <w:r w:rsidR="00387EBC" w:rsidRPr="006B2326">
        <w:rPr>
          <w:bCs/>
          <w:noProof/>
        </w:rPr>
        <w:t>4.</w:t>
      </w:r>
      <w:r w:rsidR="00032EDC" w:rsidRPr="006B2326">
        <w:rPr>
          <w:bCs/>
          <w:noProof/>
        </w:rPr>
        <w:t>6</w:t>
      </w:r>
      <w:r w:rsidR="00387EBC" w:rsidRPr="006B2326">
        <w:rPr>
          <w:bCs/>
          <w:noProof/>
        </w:rPr>
        <w:t xml:space="preserve"> Fertility, Pregnancy and Lactation</w:t>
      </w:r>
      <w:r w:rsidRPr="006B2326">
        <w:rPr>
          <w:bCs/>
          <w:noProof/>
        </w:rPr>
        <w:t xml:space="preserve"> – </w:t>
      </w:r>
      <w:r w:rsidR="002742D1" w:rsidRPr="006B2326">
        <w:rPr>
          <w:bCs/>
          <w:noProof/>
        </w:rPr>
        <w:t xml:space="preserve">Use in </w:t>
      </w:r>
      <w:r w:rsidRPr="006B2326">
        <w:rPr>
          <w:bCs/>
          <w:noProof/>
        </w:rPr>
        <w:t>Pregnancy, Contraception).</w:t>
      </w:r>
    </w:p>
    <w:p w14:paraId="5DEF5E41" w14:textId="77777777" w:rsidR="00D30732" w:rsidRPr="006B2326" w:rsidRDefault="00D30732" w:rsidP="004C6478">
      <w:pPr>
        <w:spacing w:after="0"/>
        <w:ind w:left="567"/>
        <w:jc w:val="left"/>
        <w:rPr>
          <w:noProof/>
        </w:rPr>
      </w:pPr>
    </w:p>
    <w:p w14:paraId="50CCA0A7" w14:textId="758A5535" w:rsidR="00D92B0C" w:rsidRPr="006B2326" w:rsidRDefault="00387EBC" w:rsidP="004C6478">
      <w:pPr>
        <w:pStyle w:val="Heading2"/>
        <w:rPr>
          <w:lang w:val="en-AU"/>
        </w:rPr>
      </w:pPr>
      <w:r w:rsidRPr="006B2326">
        <w:rPr>
          <w:lang w:val="en-AU"/>
        </w:rPr>
        <w:t>Special Warnings and Precautions For Use</w:t>
      </w:r>
    </w:p>
    <w:p w14:paraId="141A8A48" w14:textId="2F574E00" w:rsidR="00BA60FF" w:rsidRPr="006B2326" w:rsidRDefault="00BA60FF" w:rsidP="004C6478">
      <w:pPr>
        <w:pStyle w:val="Heading3"/>
        <w:rPr>
          <w:noProof/>
        </w:rPr>
      </w:pPr>
      <w:r w:rsidRPr="006B2326">
        <w:rPr>
          <w:noProof/>
        </w:rPr>
        <w:t>Infections</w:t>
      </w:r>
    </w:p>
    <w:p w14:paraId="5937B429" w14:textId="77777777" w:rsidR="00BA60FF" w:rsidRPr="006B2326" w:rsidRDefault="00BA60FF" w:rsidP="004C6478">
      <w:pPr>
        <w:pStyle w:val="Heading4"/>
        <w:rPr>
          <w:noProof/>
        </w:rPr>
      </w:pPr>
      <w:r w:rsidRPr="006B2326">
        <w:rPr>
          <w:noProof/>
        </w:rPr>
        <w:t>Risk of infections</w:t>
      </w:r>
    </w:p>
    <w:p w14:paraId="49077816" w14:textId="4BE535B7" w:rsidR="00BA60FF" w:rsidRPr="006B2326" w:rsidRDefault="00387EBC" w:rsidP="004C6478">
      <w:pPr>
        <w:jc w:val="left"/>
        <w:rPr>
          <w:noProof/>
        </w:rPr>
      </w:pPr>
      <w:r w:rsidRPr="006B2326">
        <w:rPr>
          <w:noProof/>
        </w:rPr>
        <w:t>PONVORY</w:t>
      </w:r>
      <w:r w:rsidR="00BA60FF" w:rsidRPr="006B2326">
        <w:rPr>
          <w:noProof/>
        </w:rPr>
        <w:t xml:space="preserve"> causes a dose-dependent reduction in peripheral lymphocyte count to 30</w:t>
      </w:r>
      <w:r w:rsidR="00980805" w:rsidRPr="006B2326">
        <w:rPr>
          <w:noProof/>
        </w:rPr>
        <w:t>-</w:t>
      </w:r>
      <w:r w:rsidR="00BA60FF" w:rsidRPr="006B2326">
        <w:rPr>
          <w:noProof/>
        </w:rPr>
        <w:t xml:space="preserve">40% of baseline values due to reversible sequestration of lymphocytes in lymphoid tissues. </w:t>
      </w:r>
      <w:r w:rsidRPr="006B2326">
        <w:rPr>
          <w:noProof/>
        </w:rPr>
        <w:t>PONVORY</w:t>
      </w:r>
      <w:r w:rsidR="00BA60FF" w:rsidRPr="006B2326">
        <w:rPr>
          <w:noProof/>
        </w:rPr>
        <w:t xml:space="preserve"> may therefore increase the risk of infections. No cases of fatal infections have been reported in </w:t>
      </w:r>
      <w:r w:rsidRPr="006B2326">
        <w:rPr>
          <w:noProof/>
        </w:rPr>
        <w:t>PONVORY</w:t>
      </w:r>
      <w:r w:rsidR="00F865E8" w:rsidRPr="006B2326">
        <w:rPr>
          <w:noProof/>
        </w:rPr>
        <w:t>-</w:t>
      </w:r>
      <w:r w:rsidR="00BA60FF" w:rsidRPr="006B2326">
        <w:rPr>
          <w:noProof/>
        </w:rPr>
        <w:t>treated patients in the development program, however, life</w:t>
      </w:r>
      <w:r w:rsidR="00776116" w:rsidRPr="006B2326">
        <w:rPr>
          <w:noProof/>
        </w:rPr>
        <w:t>-</w:t>
      </w:r>
      <w:r w:rsidR="00BA60FF" w:rsidRPr="006B2326">
        <w:rPr>
          <w:noProof/>
        </w:rPr>
        <w:t xml:space="preserve">threatening and rare fatal infections have been reported in association with other </w:t>
      </w:r>
      <w:r w:rsidR="006C33F1">
        <w:rPr>
          <w:sz w:val="23"/>
          <w:szCs w:val="23"/>
        </w:rPr>
        <w:t>sphingosine 1-phosphate (</w:t>
      </w:r>
      <w:r w:rsidR="00BA60FF" w:rsidRPr="006B2326">
        <w:rPr>
          <w:noProof/>
        </w:rPr>
        <w:t>S1P</w:t>
      </w:r>
      <w:r w:rsidR="006C33F1">
        <w:rPr>
          <w:noProof/>
        </w:rPr>
        <w:t>)</w:t>
      </w:r>
      <w:r w:rsidR="00BA60FF" w:rsidRPr="006B2326">
        <w:rPr>
          <w:noProof/>
        </w:rPr>
        <w:t xml:space="preserve"> receptor modulators.</w:t>
      </w:r>
    </w:p>
    <w:p w14:paraId="3B2DC153" w14:textId="00785F7F" w:rsidR="00BA60FF" w:rsidRPr="006B2326" w:rsidRDefault="00BA60FF" w:rsidP="004C6478">
      <w:pPr>
        <w:jc w:val="left"/>
        <w:rPr>
          <w:noProof/>
        </w:rPr>
      </w:pPr>
      <w:r w:rsidRPr="006B2326">
        <w:rPr>
          <w:noProof/>
        </w:rPr>
        <w:t xml:space="preserve">Before initiating treatment with </w:t>
      </w:r>
      <w:r w:rsidR="00387EBC" w:rsidRPr="006B2326">
        <w:rPr>
          <w:noProof/>
        </w:rPr>
        <w:t>PONVORY</w:t>
      </w:r>
      <w:r w:rsidRPr="006B2326">
        <w:rPr>
          <w:noProof/>
        </w:rPr>
        <w:t>, results from a recent complete blood count with differential (i.e., within 6 months or after discontinuation of prior therapy) should be reviewed.</w:t>
      </w:r>
    </w:p>
    <w:p w14:paraId="655E530F" w14:textId="58CDEC3F" w:rsidR="00BA60FF" w:rsidRPr="006B2326" w:rsidRDefault="00BA60FF" w:rsidP="004C6478">
      <w:pPr>
        <w:jc w:val="left"/>
        <w:rPr>
          <w:noProof/>
        </w:rPr>
      </w:pPr>
      <w:r w:rsidRPr="006B2326">
        <w:rPr>
          <w:noProof/>
        </w:rPr>
        <w:t xml:space="preserve">Initiation of treatment with </w:t>
      </w:r>
      <w:r w:rsidR="00387EBC" w:rsidRPr="006B2326">
        <w:rPr>
          <w:noProof/>
        </w:rPr>
        <w:t>PONVORY</w:t>
      </w:r>
      <w:r w:rsidRPr="006B2326">
        <w:rPr>
          <w:noProof/>
        </w:rPr>
        <w:t xml:space="preserve"> should be delayed in patients with severe active infection until resolution. In the development program, pharmacodynamic effects, such as lowering effects on peripheral lymphocyte count, were restored to normal within 1 week after discontinuation of </w:t>
      </w:r>
      <w:r w:rsidR="00387EBC" w:rsidRPr="006B2326">
        <w:rPr>
          <w:noProof/>
        </w:rPr>
        <w:t>PONVORY</w:t>
      </w:r>
      <w:r w:rsidRPr="006B2326">
        <w:rPr>
          <w:noProof/>
        </w:rPr>
        <w:t xml:space="preserve">. In the OPTIMUM study, peripheral lymphocyte counts were restored to normal within 2 weeks after discontinuation of </w:t>
      </w:r>
      <w:r w:rsidR="00387EBC" w:rsidRPr="006B2326">
        <w:rPr>
          <w:noProof/>
        </w:rPr>
        <w:t>PONVORY</w:t>
      </w:r>
      <w:r w:rsidRPr="006B2326">
        <w:rPr>
          <w:noProof/>
        </w:rPr>
        <w:t xml:space="preserve">, which was the first timepoint evaluated. Vigilance for signs and symptoms of infection should be continued for 1 2 weeks after </w:t>
      </w:r>
      <w:r w:rsidR="00387EBC" w:rsidRPr="006B2326">
        <w:rPr>
          <w:noProof/>
        </w:rPr>
        <w:t>PONVORY</w:t>
      </w:r>
      <w:r w:rsidRPr="006B2326">
        <w:rPr>
          <w:noProof/>
        </w:rPr>
        <w:t xml:space="preserve"> is discontinued (see</w:t>
      </w:r>
      <w:r w:rsidR="00453F57" w:rsidRPr="006B2326">
        <w:rPr>
          <w:noProof/>
        </w:rPr>
        <w:t xml:space="preserve"> Section</w:t>
      </w:r>
      <w:r w:rsidRPr="006B2326">
        <w:rPr>
          <w:noProof/>
        </w:rPr>
        <w:t xml:space="preserve"> </w:t>
      </w:r>
      <w:r w:rsidR="00387EBC" w:rsidRPr="006B2326">
        <w:rPr>
          <w:noProof/>
        </w:rPr>
        <w:t xml:space="preserve">4.4 Special Warnings and Precautions </w:t>
      </w:r>
      <w:r w:rsidR="00453F57" w:rsidRPr="006B2326">
        <w:rPr>
          <w:noProof/>
        </w:rPr>
        <w:t>f</w:t>
      </w:r>
      <w:r w:rsidR="00387EBC" w:rsidRPr="006B2326">
        <w:rPr>
          <w:noProof/>
        </w:rPr>
        <w:t>or Use</w:t>
      </w:r>
      <w:r w:rsidRPr="006B2326">
        <w:rPr>
          <w:noProof/>
        </w:rPr>
        <w:t xml:space="preserve"> - Reversibility of Immune System Effects After Stopping </w:t>
      </w:r>
      <w:r w:rsidR="00387EBC" w:rsidRPr="006B2326">
        <w:rPr>
          <w:noProof/>
        </w:rPr>
        <w:t>PONVORY</w:t>
      </w:r>
      <w:r w:rsidRPr="006B2326">
        <w:rPr>
          <w:noProof/>
        </w:rPr>
        <w:t>).</w:t>
      </w:r>
    </w:p>
    <w:p w14:paraId="6EA55258" w14:textId="05AAD6EE" w:rsidR="00BA60FF" w:rsidRPr="006B2326" w:rsidRDefault="00BA60FF" w:rsidP="004C6478">
      <w:pPr>
        <w:jc w:val="left"/>
        <w:rPr>
          <w:noProof/>
        </w:rPr>
      </w:pPr>
      <w:r w:rsidRPr="006B2326">
        <w:rPr>
          <w:noProof/>
        </w:rPr>
        <w:t xml:space="preserve">Effective diagnostic and therapeutic strategies should be employed in patients with symptoms of infection while on therapy. Suspension of treatment with </w:t>
      </w:r>
      <w:r w:rsidR="00387EBC" w:rsidRPr="006B2326">
        <w:rPr>
          <w:noProof/>
        </w:rPr>
        <w:t>PONVORY</w:t>
      </w:r>
      <w:r w:rsidRPr="006B2326">
        <w:rPr>
          <w:noProof/>
        </w:rPr>
        <w:t xml:space="preserve"> should be considered if a patient develops a serious infection.</w:t>
      </w:r>
    </w:p>
    <w:p w14:paraId="5754E963" w14:textId="77777777" w:rsidR="00BA60FF" w:rsidRPr="006B2326" w:rsidRDefault="00BA60FF" w:rsidP="004C6478">
      <w:pPr>
        <w:pStyle w:val="Heading5"/>
        <w:jc w:val="left"/>
        <w:rPr>
          <w:noProof/>
        </w:rPr>
      </w:pPr>
      <w:r w:rsidRPr="006B2326">
        <w:rPr>
          <w:noProof/>
        </w:rPr>
        <w:t>Herpes viral infections</w:t>
      </w:r>
    </w:p>
    <w:p w14:paraId="6F8A58B3" w14:textId="671DD2F1" w:rsidR="00BA60FF" w:rsidRPr="006B2326" w:rsidRDefault="00BA60FF" w:rsidP="004C6478">
      <w:pPr>
        <w:jc w:val="left"/>
        <w:rPr>
          <w:noProof/>
        </w:rPr>
      </w:pPr>
      <w:r w:rsidRPr="006B2326">
        <w:rPr>
          <w:noProof/>
        </w:rPr>
        <w:t xml:space="preserve">Cases of herpes viral infection have been reported in the development program of </w:t>
      </w:r>
      <w:r w:rsidR="00387EBC" w:rsidRPr="006B2326">
        <w:rPr>
          <w:noProof/>
        </w:rPr>
        <w:t>PONVORY</w:t>
      </w:r>
      <w:r w:rsidRPr="006B2326">
        <w:rPr>
          <w:noProof/>
        </w:rPr>
        <w:t>.</w:t>
      </w:r>
    </w:p>
    <w:p w14:paraId="2979ADC9" w14:textId="19C5BCE8" w:rsidR="00BA60FF" w:rsidRPr="006B2326" w:rsidRDefault="00BA60FF" w:rsidP="004C6478">
      <w:pPr>
        <w:jc w:val="left"/>
        <w:rPr>
          <w:noProof/>
        </w:rPr>
      </w:pPr>
      <w:r w:rsidRPr="006B2326">
        <w:rPr>
          <w:noProof/>
        </w:rPr>
        <w:t xml:space="preserve">Patients without a healthcare professional confirmed history of varicella (chickenpox) or without documentation of a full course of vaccination against VZV should be tested for antibodies to VZV before initiating </w:t>
      </w:r>
      <w:r w:rsidR="00387EBC" w:rsidRPr="006B2326">
        <w:rPr>
          <w:noProof/>
        </w:rPr>
        <w:t>PONVORY</w:t>
      </w:r>
      <w:r w:rsidRPr="006B2326">
        <w:rPr>
          <w:noProof/>
        </w:rPr>
        <w:t xml:space="preserve"> (see Vaccinations below).</w:t>
      </w:r>
    </w:p>
    <w:p w14:paraId="3C0CBB15" w14:textId="77777777" w:rsidR="00BA60FF" w:rsidRPr="006B2326" w:rsidRDefault="00BA60FF" w:rsidP="004C6478">
      <w:pPr>
        <w:pStyle w:val="Heading5"/>
        <w:jc w:val="left"/>
        <w:rPr>
          <w:noProof/>
        </w:rPr>
      </w:pPr>
      <w:r w:rsidRPr="006B2326">
        <w:rPr>
          <w:noProof/>
        </w:rPr>
        <w:t>Cryptococcal infections</w:t>
      </w:r>
    </w:p>
    <w:p w14:paraId="4F71DDE8" w14:textId="44E76029" w:rsidR="00BA60FF" w:rsidRPr="006B2326" w:rsidRDefault="00BA60FF" w:rsidP="004C6478">
      <w:pPr>
        <w:jc w:val="left"/>
        <w:rPr>
          <w:noProof/>
        </w:rPr>
      </w:pPr>
      <w:r w:rsidRPr="006B2326">
        <w:rPr>
          <w:noProof/>
        </w:rPr>
        <w:t xml:space="preserve">Cases of fatal cryptococcal meningitis (CM) and disseminated cryptococcal infections have been reported with other S1P receptor modulators. No cases of CM have been reported in </w:t>
      </w:r>
      <w:r w:rsidR="00387EBC" w:rsidRPr="006B2326">
        <w:rPr>
          <w:noProof/>
        </w:rPr>
        <w:t>PONVORY</w:t>
      </w:r>
      <w:r w:rsidR="00980805" w:rsidRPr="006B2326">
        <w:rPr>
          <w:noProof/>
        </w:rPr>
        <w:t>-</w:t>
      </w:r>
      <w:r w:rsidRPr="006B2326">
        <w:rPr>
          <w:noProof/>
        </w:rPr>
        <w:t xml:space="preserve">treated patients in the development program. Physicians should be vigilant for clinical symptoms or signs of CM. Patients with symptoms or signs consistent with a cryptococcal infection should undergo prompt diagnostic evaluation and treatment. </w:t>
      </w:r>
      <w:r w:rsidR="00387EBC" w:rsidRPr="006B2326">
        <w:rPr>
          <w:noProof/>
        </w:rPr>
        <w:t>PONVORY</w:t>
      </w:r>
      <w:r w:rsidRPr="006B2326">
        <w:rPr>
          <w:noProof/>
        </w:rPr>
        <w:t xml:space="preserve"> treatment should be suspended until a cryptococcal infection has been excluded. If CM is diagnosed, appropriate treatment should be initiated.</w:t>
      </w:r>
    </w:p>
    <w:p w14:paraId="5E5AFFD8" w14:textId="77777777" w:rsidR="00BA60FF" w:rsidRPr="006B2326" w:rsidRDefault="00BA60FF" w:rsidP="004C6478">
      <w:pPr>
        <w:pStyle w:val="Heading5"/>
        <w:jc w:val="left"/>
        <w:rPr>
          <w:noProof/>
        </w:rPr>
      </w:pPr>
      <w:r w:rsidRPr="006B2326">
        <w:rPr>
          <w:noProof/>
        </w:rPr>
        <w:lastRenderedPageBreak/>
        <w:t>Progressive multifocal leukoencephalopathy</w:t>
      </w:r>
    </w:p>
    <w:p w14:paraId="6415F741" w14:textId="77777777" w:rsidR="00BA60FF" w:rsidRPr="006B2326" w:rsidRDefault="00BA60FF" w:rsidP="004C6478">
      <w:pPr>
        <w:jc w:val="left"/>
        <w:rPr>
          <w:noProof/>
        </w:rPr>
      </w:pPr>
      <w:r w:rsidRPr="006B2326">
        <w:rPr>
          <w:noProof/>
        </w:rPr>
        <w:t>Progressive multifocal leukoencephalopathy (PML) is an opportunistic viral infection of the brain caused by the JC virus (JCV) that typically only occurs in patients who are immunocompromised, and that usually leads to death or severe disability. Typical symptoms associated with PML are diverse, progress over days to weeks, and include progressive weakness on one side of the body or clumsiness of limbs, disturbance of vision, and changes in thinking, memory, and orientation leading to confusion and personality changes.</w:t>
      </w:r>
    </w:p>
    <w:p w14:paraId="39BB6722" w14:textId="3CAC0D58" w:rsidR="00BA60FF" w:rsidRPr="006B2326" w:rsidRDefault="00BA60FF" w:rsidP="004C6478">
      <w:pPr>
        <w:jc w:val="left"/>
        <w:rPr>
          <w:noProof/>
        </w:rPr>
      </w:pPr>
      <w:r w:rsidRPr="006B2326">
        <w:rPr>
          <w:noProof/>
        </w:rPr>
        <w:t xml:space="preserve">No cases of PML have been reported in </w:t>
      </w:r>
      <w:r w:rsidR="00387EBC" w:rsidRPr="006B2326">
        <w:rPr>
          <w:noProof/>
        </w:rPr>
        <w:t>PONVORY</w:t>
      </w:r>
      <w:r w:rsidR="00980805" w:rsidRPr="006B2326">
        <w:rPr>
          <w:noProof/>
        </w:rPr>
        <w:t>-</w:t>
      </w:r>
      <w:r w:rsidRPr="006B2326">
        <w:rPr>
          <w:noProof/>
        </w:rPr>
        <w:t xml:space="preserve">treated patients in the development program; however, PML has been reported in patients treated with a S1P receptor modulator and other multiple sclerosis (MS) therapies and has been associated with some risk factors (e.g., immunocompromised patients, polytherapy with immunosuppressants). Physicians should be vigilant for clinical symptoms or </w:t>
      </w:r>
      <w:r w:rsidR="00DC33B6">
        <w:rPr>
          <w:noProof/>
        </w:rPr>
        <w:t>magnetic resonance imaging (</w:t>
      </w:r>
      <w:r w:rsidRPr="006B2326">
        <w:rPr>
          <w:noProof/>
        </w:rPr>
        <w:t>MRI</w:t>
      </w:r>
      <w:r w:rsidR="00DC33B6">
        <w:rPr>
          <w:noProof/>
        </w:rPr>
        <w:t>)</w:t>
      </w:r>
      <w:r w:rsidRPr="006B2326">
        <w:rPr>
          <w:noProof/>
        </w:rPr>
        <w:t xml:space="preserve"> findings that may be suggestive of PML. MRI findings may be apparent before clinical signs or symptoms. If PML is suspected, treatment with </w:t>
      </w:r>
      <w:r w:rsidR="00387EBC" w:rsidRPr="006B2326">
        <w:rPr>
          <w:noProof/>
        </w:rPr>
        <w:t>PONVORY</w:t>
      </w:r>
      <w:r w:rsidRPr="006B2326">
        <w:rPr>
          <w:noProof/>
        </w:rPr>
        <w:t xml:space="preserve"> should be suspended until PML has been excluded.</w:t>
      </w:r>
      <w:r w:rsidR="00DC33B6">
        <w:rPr>
          <w:noProof/>
        </w:rPr>
        <w:t xml:space="preserve"> If PML is confirmed, treatment with PONVORY should be discontinued.</w:t>
      </w:r>
    </w:p>
    <w:p w14:paraId="65705A1E" w14:textId="67AC88BB" w:rsidR="00BA60FF" w:rsidRPr="006B2326" w:rsidRDefault="00BA60FF" w:rsidP="004C6478">
      <w:pPr>
        <w:pStyle w:val="Heading4"/>
      </w:pPr>
      <w:r w:rsidRPr="006B2326">
        <w:t>Prior and concomitant treatment with anti</w:t>
      </w:r>
      <w:r w:rsidR="00D30732" w:rsidRPr="006B2326">
        <w:t>-</w:t>
      </w:r>
      <w:r w:rsidRPr="006B2326">
        <w:t>neoplastic, immune</w:t>
      </w:r>
      <w:r w:rsidR="00D30732" w:rsidRPr="006B2326">
        <w:t>-</w:t>
      </w:r>
      <w:r w:rsidRPr="006B2326">
        <w:t>modulating, or immunosuppressive therapies</w:t>
      </w:r>
    </w:p>
    <w:p w14:paraId="223E17C7" w14:textId="1BB16680" w:rsidR="00BA60FF" w:rsidRPr="006B2326" w:rsidRDefault="00BA60FF" w:rsidP="004C6478">
      <w:pPr>
        <w:jc w:val="left"/>
        <w:rPr>
          <w:noProof/>
        </w:rPr>
      </w:pPr>
      <w:r w:rsidRPr="006B2326">
        <w:rPr>
          <w:noProof/>
        </w:rPr>
        <w:t>Anti</w:t>
      </w:r>
      <w:r w:rsidR="00D30732" w:rsidRPr="006B2326">
        <w:rPr>
          <w:noProof/>
        </w:rPr>
        <w:t>-</w:t>
      </w:r>
      <w:r w:rsidRPr="006B2326">
        <w:rPr>
          <w:noProof/>
        </w:rPr>
        <w:t>neoplastic, immune</w:t>
      </w:r>
      <w:r w:rsidR="00D30732" w:rsidRPr="006B2326">
        <w:rPr>
          <w:noProof/>
        </w:rPr>
        <w:t>-</w:t>
      </w:r>
      <w:r w:rsidRPr="006B2326">
        <w:rPr>
          <w:noProof/>
        </w:rPr>
        <w:t>modulating, or immunosuppressive therapies (including corticosteroids) should be co</w:t>
      </w:r>
      <w:r w:rsidR="00D30732" w:rsidRPr="006B2326">
        <w:rPr>
          <w:noProof/>
        </w:rPr>
        <w:t>-</w:t>
      </w:r>
      <w:r w:rsidRPr="006B2326">
        <w:rPr>
          <w:noProof/>
        </w:rPr>
        <w:t xml:space="preserve">administered with caution because of the risk of additive immune system effects (see </w:t>
      </w:r>
      <w:r w:rsidR="00453F57" w:rsidRPr="006B2326">
        <w:rPr>
          <w:noProof/>
        </w:rPr>
        <w:t xml:space="preserve">Section </w:t>
      </w:r>
      <w:r w:rsidR="00E30C50" w:rsidRPr="006B2326">
        <w:rPr>
          <w:noProof/>
        </w:rPr>
        <w:t>4.5 Interactions with Other Medicines and Other Forms of Interactions</w:t>
      </w:r>
      <w:r w:rsidRPr="006B2326">
        <w:rPr>
          <w:noProof/>
        </w:rPr>
        <w:t xml:space="preserve"> </w:t>
      </w:r>
      <w:r w:rsidR="00D30732" w:rsidRPr="006B2326">
        <w:rPr>
          <w:noProof/>
        </w:rPr>
        <w:t>–</w:t>
      </w:r>
      <w:r w:rsidRPr="006B2326">
        <w:rPr>
          <w:noProof/>
        </w:rPr>
        <w:t xml:space="preserve"> Anti</w:t>
      </w:r>
      <w:r w:rsidR="00D30732" w:rsidRPr="006B2326">
        <w:rPr>
          <w:noProof/>
        </w:rPr>
        <w:t>-</w:t>
      </w:r>
      <w:r w:rsidRPr="006B2326">
        <w:rPr>
          <w:noProof/>
        </w:rPr>
        <w:t>Neoplastic, Immune</w:t>
      </w:r>
      <w:r w:rsidR="00D30732" w:rsidRPr="006B2326">
        <w:rPr>
          <w:noProof/>
        </w:rPr>
        <w:t>-</w:t>
      </w:r>
      <w:r w:rsidRPr="006B2326">
        <w:rPr>
          <w:noProof/>
        </w:rPr>
        <w:t>Modulating, or Immunosuppressive Therapies).</w:t>
      </w:r>
    </w:p>
    <w:p w14:paraId="4322EFD4" w14:textId="77777777" w:rsidR="00BA60FF" w:rsidRPr="006B2326" w:rsidRDefault="00BA60FF" w:rsidP="004C6478">
      <w:pPr>
        <w:pStyle w:val="Heading4"/>
      </w:pPr>
      <w:r w:rsidRPr="006B2326">
        <w:t>Vaccinations</w:t>
      </w:r>
    </w:p>
    <w:p w14:paraId="2E577D3F" w14:textId="123AD942" w:rsidR="00BA60FF" w:rsidRPr="006B2326" w:rsidRDefault="00BA60FF" w:rsidP="004C6478">
      <w:pPr>
        <w:jc w:val="left"/>
        <w:rPr>
          <w:noProof/>
        </w:rPr>
      </w:pPr>
      <w:r w:rsidRPr="006B2326">
        <w:rPr>
          <w:noProof/>
        </w:rPr>
        <w:t xml:space="preserve">Patients without a healthcare professional confirmed history of chickenpox or without documentation of a full course of vaccination against VZV should be tested for antibodies to VZV before initiating </w:t>
      </w:r>
      <w:r w:rsidR="00387EBC" w:rsidRPr="006B2326">
        <w:rPr>
          <w:noProof/>
        </w:rPr>
        <w:t>PONVORY</w:t>
      </w:r>
      <w:r w:rsidRPr="006B2326">
        <w:rPr>
          <w:noProof/>
        </w:rPr>
        <w:t xml:space="preserve"> treatment. A full course of vaccination for antibody</w:t>
      </w:r>
      <w:r w:rsidR="00453F57" w:rsidRPr="006B2326">
        <w:rPr>
          <w:noProof/>
        </w:rPr>
        <w:t>-</w:t>
      </w:r>
      <w:r w:rsidRPr="006B2326">
        <w:rPr>
          <w:noProof/>
        </w:rPr>
        <w:t xml:space="preserve">negative patients with varicella vaccine is recommended prior to commencing treatment with </w:t>
      </w:r>
      <w:r w:rsidR="00387EBC" w:rsidRPr="006B2326">
        <w:rPr>
          <w:noProof/>
        </w:rPr>
        <w:t>PONVORY</w:t>
      </w:r>
      <w:r w:rsidRPr="006B2326">
        <w:rPr>
          <w:noProof/>
        </w:rPr>
        <w:t xml:space="preserve">. Delay treatment with </w:t>
      </w:r>
      <w:r w:rsidR="00387EBC" w:rsidRPr="006B2326">
        <w:rPr>
          <w:noProof/>
        </w:rPr>
        <w:t>PONVORY</w:t>
      </w:r>
      <w:r w:rsidRPr="006B2326">
        <w:rPr>
          <w:noProof/>
        </w:rPr>
        <w:t xml:space="preserve"> for 4 weeks after vaccination to allow the full effect of vaccination to occur.</w:t>
      </w:r>
    </w:p>
    <w:p w14:paraId="6D6C9C92" w14:textId="5AA4525B" w:rsidR="00BA60FF" w:rsidRPr="006B2326" w:rsidRDefault="00BA60FF" w:rsidP="004C6478">
      <w:pPr>
        <w:jc w:val="left"/>
        <w:rPr>
          <w:noProof/>
        </w:rPr>
      </w:pPr>
      <w:r w:rsidRPr="009725A8">
        <w:rPr>
          <w:noProof/>
        </w:rPr>
        <w:t xml:space="preserve">No clinical data are available on the efficacy and safety of vaccinations in patients taking </w:t>
      </w:r>
      <w:r w:rsidR="00387EBC" w:rsidRPr="009725A8">
        <w:rPr>
          <w:noProof/>
        </w:rPr>
        <w:t>PONVORY</w:t>
      </w:r>
      <w:r w:rsidRPr="009725A8">
        <w:rPr>
          <w:noProof/>
        </w:rPr>
        <w:t xml:space="preserve">. </w:t>
      </w:r>
      <w:r w:rsidRPr="006B2326">
        <w:rPr>
          <w:noProof/>
        </w:rPr>
        <w:t xml:space="preserve">Vaccinations may be less effective if administered during </w:t>
      </w:r>
      <w:r w:rsidR="00387EBC" w:rsidRPr="006B2326">
        <w:rPr>
          <w:noProof/>
        </w:rPr>
        <w:t>PONVORY</w:t>
      </w:r>
      <w:r w:rsidRPr="006B2326">
        <w:rPr>
          <w:noProof/>
        </w:rPr>
        <w:t xml:space="preserve"> treatment.</w:t>
      </w:r>
    </w:p>
    <w:p w14:paraId="7ABF8033" w14:textId="23F1F645" w:rsidR="00BA60FF" w:rsidRPr="006B2326" w:rsidRDefault="00BA60FF" w:rsidP="004C6478">
      <w:pPr>
        <w:jc w:val="left"/>
        <w:rPr>
          <w:noProof/>
        </w:rPr>
      </w:pPr>
      <w:r w:rsidRPr="009725A8">
        <w:rPr>
          <w:noProof/>
        </w:rPr>
        <w:t xml:space="preserve">Avoid the use of live attenuated vaccines while patients are taking </w:t>
      </w:r>
      <w:r w:rsidR="00387EBC" w:rsidRPr="009725A8">
        <w:rPr>
          <w:noProof/>
        </w:rPr>
        <w:t>PONVORY</w:t>
      </w:r>
      <w:r w:rsidRPr="009725A8">
        <w:rPr>
          <w:noProof/>
        </w:rPr>
        <w:t xml:space="preserve">. If the use of live attenuated vaccine immunization is required, </w:t>
      </w:r>
      <w:r w:rsidR="00387EBC" w:rsidRPr="009725A8">
        <w:rPr>
          <w:noProof/>
        </w:rPr>
        <w:t>PONVORY</w:t>
      </w:r>
      <w:r w:rsidRPr="009725A8">
        <w:rPr>
          <w:noProof/>
        </w:rPr>
        <w:t xml:space="preserve"> treatment should be paused from</w:t>
      </w:r>
      <w:r w:rsidRPr="006B2326">
        <w:rPr>
          <w:noProof/>
        </w:rPr>
        <w:t xml:space="preserve"> 1 week prior </w:t>
      </w:r>
      <w:r w:rsidRPr="009725A8">
        <w:rPr>
          <w:noProof/>
        </w:rPr>
        <w:t>to</w:t>
      </w:r>
      <w:r w:rsidRPr="006B2326">
        <w:rPr>
          <w:noProof/>
        </w:rPr>
        <w:t xml:space="preserve"> 4 weeks after a planned vaccination (see </w:t>
      </w:r>
      <w:r w:rsidR="00453F57" w:rsidRPr="006B2326">
        <w:rPr>
          <w:noProof/>
        </w:rPr>
        <w:t xml:space="preserve">Section </w:t>
      </w:r>
      <w:r w:rsidR="00E30C50" w:rsidRPr="006B2326">
        <w:rPr>
          <w:noProof/>
        </w:rPr>
        <w:t>4.5 Interactions with Other Medicines and Other Forms of Interactions</w:t>
      </w:r>
      <w:r w:rsidRPr="006B2326">
        <w:rPr>
          <w:noProof/>
        </w:rPr>
        <w:t xml:space="preserve"> - Vaccines).</w:t>
      </w:r>
    </w:p>
    <w:p w14:paraId="1FA62BC6" w14:textId="0C22C7D6" w:rsidR="00BA60FF" w:rsidRPr="006B2326" w:rsidRDefault="00BA60FF" w:rsidP="004C6478">
      <w:pPr>
        <w:pStyle w:val="Heading3"/>
        <w:rPr>
          <w:noProof/>
        </w:rPr>
      </w:pPr>
      <w:r w:rsidRPr="006B2326">
        <w:rPr>
          <w:noProof/>
        </w:rPr>
        <w:t xml:space="preserve">Macular </w:t>
      </w:r>
      <w:r w:rsidR="00387EBC" w:rsidRPr="006B2326">
        <w:rPr>
          <w:noProof/>
        </w:rPr>
        <w:t>oedema</w:t>
      </w:r>
    </w:p>
    <w:p w14:paraId="44EA1F86" w14:textId="56933481" w:rsidR="00BA60FF" w:rsidRPr="006B2326" w:rsidRDefault="00387EBC" w:rsidP="004C6478">
      <w:pPr>
        <w:jc w:val="left"/>
        <w:rPr>
          <w:noProof/>
        </w:rPr>
      </w:pPr>
      <w:r w:rsidRPr="006B2326">
        <w:rPr>
          <w:noProof/>
        </w:rPr>
        <w:t>PONVORY</w:t>
      </w:r>
      <w:r w:rsidR="00BA60FF" w:rsidRPr="006B2326">
        <w:rPr>
          <w:noProof/>
        </w:rPr>
        <w:t xml:space="preserve"> increases the risk of macular </w:t>
      </w:r>
      <w:r w:rsidRPr="006B2326">
        <w:rPr>
          <w:noProof/>
        </w:rPr>
        <w:t>oedema</w:t>
      </w:r>
      <w:r w:rsidR="00BA60FF" w:rsidRPr="006B2326">
        <w:rPr>
          <w:noProof/>
        </w:rPr>
        <w:t xml:space="preserve">. An ophthalmic evaluation of the fundus, including the macula, is recommended in all patients before starting treatment and again at any time if a patient reports any change in vision while on </w:t>
      </w:r>
      <w:r w:rsidRPr="006B2326">
        <w:rPr>
          <w:noProof/>
        </w:rPr>
        <w:t>PONVORY</w:t>
      </w:r>
      <w:r w:rsidR="00BA60FF" w:rsidRPr="006B2326">
        <w:rPr>
          <w:noProof/>
        </w:rPr>
        <w:t xml:space="preserve"> therapy.</w:t>
      </w:r>
    </w:p>
    <w:p w14:paraId="64C8344A" w14:textId="3B90D799" w:rsidR="00BA60FF" w:rsidRPr="006B2326" w:rsidRDefault="00BA60FF" w:rsidP="004C6478">
      <w:pPr>
        <w:jc w:val="left"/>
        <w:rPr>
          <w:noProof/>
        </w:rPr>
      </w:pPr>
      <w:r w:rsidRPr="006B2326">
        <w:rPr>
          <w:noProof/>
        </w:rPr>
        <w:t xml:space="preserve">In the clinical trial experience in patients with all doses of ponesimod, the rate of macular </w:t>
      </w:r>
      <w:r w:rsidR="00387EBC" w:rsidRPr="006B2326">
        <w:rPr>
          <w:noProof/>
        </w:rPr>
        <w:t>oedema</w:t>
      </w:r>
      <w:r w:rsidRPr="006B2326">
        <w:rPr>
          <w:noProof/>
        </w:rPr>
        <w:t xml:space="preserve"> was 0.7%. Most cases occurred within the first 6 months of therapy.</w:t>
      </w:r>
    </w:p>
    <w:p w14:paraId="3EFAED41" w14:textId="346BA337" w:rsidR="00BA60FF" w:rsidRPr="006B2326" w:rsidRDefault="00BA60FF" w:rsidP="004C6478">
      <w:pPr>
        <w:jc w:val="left"/>
        <w:rPr>
          <w:noProof/>
        </w:rPr>
      </w:pPr>
      <w:r w:rsidRPr="006B2326">
        <w:rPr>
          <w:noProof/>
        </w:rPr>
        <w:t xml:space="preserve">Continuation of </w:t>
      </w:r>
      <w:r w:rsidR="00387EBC" w:rsidRPr="006B2326">
        <w:rPr>
          <w:noProof/>
        </w:rPr>
        <w:t>PONVORY</w:t>
      </w:r>
      <w:r w:rsidRPr="006B2326">
        <w:rPr>
          <w:noProof/>
        </w:rPr>
        <w:t xml:space="preserve"> therapy in patients with macular </w:t>
      </w:r>
      <w:r w:rsidR="00387EBC" w:rsidRPr="006B2326">
        <w:rPr>
          <w:noProof/>
        </w:rPr>
        <w:t>oedema</w:t>
      </w:r>
      <w:r w:rsidRPr="006B2326">
        <w:rPr>
          <w:noProof/>
        </w:rPr>
        <w:t xml:space="preserve"> has not been evaluated. A decision on whether </w:t>
      </w:r>
      <w:r w:rsidR="00387EBC" w:rsidRPr="006B2326">
        <w:rPr>
          <w:noProof/>
        </w:rPr>
        <w:t>PONVORY</w:t>
      </w:r>
      <w:r w:rsidRPr="006B2326">
        <w:rPr>
          <w:noProof/>
        </w:rPr>
        <w:t xml:space="preserve"> should be discontinued should take into account the potential benefits and risks for the individual patient.</w:t>
      </w:r>
    </w:p>
    <w:p w14:paraId="3B6CB2DA" w14:textId="130D34D7" w:rsidR="00BA60FF" w:rsidRPr="006B2326" w:rsidRDefault="00BA60FF" w:rsidP="004C6478">
      <w:pPr>
        <w:pStyle w:val="Heading4"/>
        <w:rPr>
          <w:noProof/>
        </w:rPr>
      </w:pPr>
      <w:r w:rsidRPr="006B2326">
        <w:rPr>
          <w:noProof/>
        </w:rPr>
        <w:t xml:space="preserve">Macular </w:t>
      </w:r>
      <w:r w:rsidR="00387EBC" w:rsidRPr="006B2326">
        <w:rPr>
          <w:noProof/>
        </w:rPr>
        <w:t>oedema</w:t>
      </w:r>
      <w:r w:rsidRPr="006B2326">
        <w:rPr>
          <w:noProof/>
        </w:rPr>
        <w:t xml:space="preserve"> in patients with a history of uveitis or diabetes mellitus</w:t>
      </w:r>
    </w:p>
    <w:p w14:paraId="54161FAC" w14:textId="0AB01CF4" w:rsidR="00BA60FF" w:rsidRPr="006B2326" w:rsidRDefault="00BA60FF" w:rsidP="004C6478">
      <w:pPr>
        <w:jc w:val="left"/>
        <w:rPr>
          <w:noProof/>
        </w:rPr>
      </w:pPr>
      <w:r w:rsidRPr="006B2326">
        <w:rPr>
          <w:noProof/>
        </w:rPr>
        <w:t xml:space="preserve">Patients with a history of uveitis and patients with diabetes mellitus are at increased risk of macular </w:t>
      </w:r>
      <w:r w:rsidR="00387EBC" w:rsidRPr="006B2326">
        <w:rPr>
          <w:noProof/>
        </w:rPr>
        <w:t>oedema</w:t>
      </w:r>
      <w:r w:rsidRPr="006B2326">
        <w:rPr>
          <w:noProof/>
        </w:rPr>
        <w:t xml:space="preserve"> during therapy with S1P receptor modulators. Therefore, these patients </w:t>
      </w:r>
      <w:r w:rsidRPr="006B2326">
        <w:rPr>
          <w:noProof/>
        </w:rPr>
        <w:lastRenderedPageBreak/>
        <w:t>should have regular follow</w:t>
      </w:r>
      <w:r w:rsidR="00F865E8" w:rsidRPr="006B2326">
        <w:rPr>
          <w:noProof/>
        </w:rPr>
        <w:t>-</w:t>
      </w:r>
      <w:r w:rsidRPr="006B2326">
        <w:rPr>
          <w:noProof/>
        </w:rPr>
        <w:t xml:space="preserve">up examinations of the fundus, including the macula, during treatment with </w:t>
      </w:r>
      <w:r w:rsidR="00387EBC" w:rsidRPr="006B2326">
        <w:rPr>
          <w:noProof/>
        </w:rPr>
        <w:t>PONVORY</w:t>
      </w:r>
      <w:r w:rsidRPr="006B2326">
        <w:rPr>
          <w:noProof/>
        </w:rPr>
        <w:t>.</w:t>
      </w:r>
    </w:p>
    <w:p w14:paraId="6FC9F873" w14:textId="77777777" w:rsidR="00BA60FF" w:rsidRPr="006B2326" w:rsidRDefault="00BA60FF" w:rsidP="004C6478">
      <w:pPr>
        <w:pStyle w:val="Heading3"/>
        <w:rPr>
          <w:noProof/>
        </w:rPr>
      </w:pPr>
      <w:r w:rsidRPr="006B2326">
        <w:rPr>
          <w:noProof/>
        </w:rPr>
        <w:t>Bradyarrhythmia and atrioventricular conduction delays</w:t>
      </w:r>
    </w:p>
    <w:p w14:paraId="324D545B" w14:textId="7D98EA4F" w:rsidR="00BA60FF" w:rsidRPr="006B2326" w:rsidRDefault="00BA60FF" w:rsidP="004C6478">
      <w:pPr>
        <w:jc w:val="left"/>
        <w:rPr>
          <w:noProof/>
        </w:rPr>
      </w:pPr>
      <w:r w:rsidRPr="006B2326">
        <w:rPr>
          <w:noProof/>
        </w:rPr>
        <w:t xml:space="preserve">Since initiation of </w:t>
      </w:r>
      <w:r w:rsidR="00387EBC" w:rsidRPr="006B2326">
        <w:rPr>
          <w:noProof/>
        </w:rPr>
        <w:t>PONVORY</w:t>
      </w:r>
      <w:r w:rsidRPr="006B2326">
        <w:rPr>
          <w:noProof/>
        </w:rPr>
        <w:t xml:space="preserve"> treatment results in a transient decrease in heart rate and atrioventricular (AV) conduction delays, an up</w:t>
      </w:r>
      <w:r w:rsidR="00F865E8" w:rsidRPr="006B2326">
        <w:rPr>
          <w:noProof/>
        </w:rPr>
        <w:t>-</w:t>
      </w:r>
      <w:r w:rsidRPr="006B2326">
        <w:rPr>
          <w:noProof/>
        </w:rPr>
        <w:t xml:space="preserve">titration scheme must be used to reach the maintenance dosage of </w:t>
      </w:r>
      <w:r w:rsidR="00387EBC" w:rsidRPr="006B2326">
        <w:rPr>
          <w:noProof/>
        </w:rPr>
        <w:t>PONVORY</w:t>
      </w:r>
      <w:r w:rsidRPr="006B2326">
        <w:rPr>
          <w:noProof/>
        </w:rPr>
        <w:t xml:space="preserve"> (20 mg) (see </w:t>
      </w:r>
      <w:r w:rsidR="00453F57" w:rsidRPr="006B2326">
        <w:rPr>
          <w:noProof/>
        </w:rPr>
        <w:t xml:space="preserve">Section </w:t>
      </w:r>
      <w:r w:rsidR="00387EBC" w:rsidRPr="006B2326">
        <w:rPr>
          <w:noProof/>
        </w:rPr>
        <w:t>4.2 Dose and Method of Administration</w:t>
      </w:r>
      <w:r w:rsidRPr="006B2326">
        <w:rPr>
          <w:noProof/>
        </w:rPr>
        <w:t xml:space="preserve"> </w:t>
      </w:r>
      <w:r w:rsidR="00453F57" w:rsidRPr="006B2326">
        <w:rPr>
          <w:noProof/>
        </w:rPr>
        <w:t>–</w:t>
      </w:r>
      <w:r w:rsidRPr="006B2326">
        <w:rPr>
          <w:noProof/>
        </w:rPr>
        <w:t xml:space="preserve"> </w:t>
      </w:r>
      <w:r w:rsidR="00453F57" w:rsidRPr="006B2326">
        <w:rPr>
          <w:noProof/>
        </w:rPr>
        <w:t>Dosage (dose and internal)</w:t>
      </w:r>
      <w:r w:rsidRPr="006B2326">
        <w:rPr>
          <w:noProof/>
        </w:rPr>
        <w:t xml:space="preserve">, </w:t>
      </w:r>
      <w:r w:rsidR="00453F57" w:rsidRPr="006B2326">
        <w:rPr>
          <w:noProof/>
        </w:rPr>
        <w:t xml:space="preserve">5.1 Pharmacodynamic Properties- </w:t>
      </w:r>
      <w:r w:rsidRPr="006B2326">
        <w:rPr>
          <w:noProof/>
        </w:rPr>
        <w:t xml:space="preserve">Pharmacodynamic </w:t>
      </w:r>
      <w:r w:rsidR="00453F57" w:rsidRPr="006B2326">
        <w:rPr>
          <w:noProof/>
        </w:rPr>
        <w:t>E</w:t>
      </w:r>
      <w:r w:rsidRPr="006B2326">
        <w:rPr>
          <w:noProof/>
        </w:rPr>
        <w:t>ffects - Heart Rate and Rhythm).</w:t>
      </w:r>
    </w:p>
    <w:p w14:paraId="5BA9F535" w14:textId="730522A2" w:rsidR="00BA60FF" w:rsidRPr="006B2326" w:rsidRDefault="00387EBC" w:rsidP="004C6478">
      <w:pPr>
        <w:jc w:val="left"/>
        <w:rPr>
          <w:noProof/>
        </w:rPr>
      </w:pPr>
      <w:r w:rsidRPr="006B2326">
        <w:rPr>
          <w:noProof/>
        </w:rPr>
        <w:t>PONVORY</w:t>
      </w:r>
      <w:r w:rsidR="00BA60FF" w:rsidRPr="006B2326">
        <w:rPr>
          <w:noProof/>
        </w:rPr>
        <w:t xml:space="preserve"> was not studied in patients who had:</w:t>
      </w:r>
    </w:p>
    <w:p w14:paraId="2230DD67" w14:textId="6D1C69F0" w:rsidR="00BA60FF" w:rsidRPr="006B2326" w:rsidRDefault="00BA60FF" w:rsidP="004C6478">
      <w:pPr>
        <w:pStyle w:val="ListParagraph"/>
        <w:numPr>
          <w:ilvl w:val="0"/>
          <w:numId w:val="39"/>
        </w:numPr>
        <w:jc w:val="left"/>
        <w:rPr>
          <w:noProof/>
        </w:rPr>
      </w:pPr>
      <w:r w:rsidRPr="006B2326">
        <w:rPr>
          <w:noProof/>
        </w:rPr>
        <w:t xml:space="preserve">Myocardial infarction or unstable </w:t>
      </w:r>
      <w:r w:rsidR="00453F57" w:rsidRPr="006B2326">
        <w:rPr>
          <w:noProof/>
        </w:rPr>
        <w:t>ischaemic</w:t>
      </w:r>
      <w:r w:rsidRPr="006B2326">
        <w:rPr>
          <w:noProof/>
        </w:rPr>
        <w:t xml:space="preserve"> heart disease in the last 6 months</w:t>
      </w:r>
    </w:p>
    <w:p w14:paraId="47AA8884" w14:textId="77777777" w:rsidR="00BA60FF" w:rsidRPr="006B2326" w:rsidRDefault="00BA60FF" w:rsidP="004C6478">
      <w:pPr>
        <w:pStyle w:val="ListParagraph"/>
        <w:numPr>
          <w:ilvl w:val="0"/>
          <w:numId w:val="39"/>
        </w:numPr>
        <w:jc w:val="left"/>
        <w:rPr>
          <w:noProof/>
        </w:rPr>
      </w:pPr>
      <w:r w:rsidRPr="006B2326">
        <w:rPr>
          <w:noProof/>
        </w:rPr>
        <w:t>Cardiac failure (New York Heart Association class III-IV) or presence of any severe cardiac disease</w:t>
      </w:r>
    </w:p>
    <w:p w14:paraId="74441075" w14:textId="77777777" w:rsidR="00BA60FF" w:rsidRPr="006B2326" w:rsidRDefault="00BA60FF" w:rsidP="004C6478">
      <w:pPr>
        <w:pStyle w:val="ListParagraph"/>
        <w:numPr>
          <w:ilvl w:val="0"/>
          <w:numId w:val="39"/>
        </w:numPr>
        <w:jc w:val="left"/>
        <w:rPr>
          <w:noProof/>
        </w:rPr>
      </w:pPr>
      <w:r w:rsidRPr="006B2326">
        <w:rPr>
          <w:noProof/>
        </w:rPr>
        <w:t>Cardiac conduction or rhythm disorders (including sino-atrial heart block, symptomatic bradycardia, atrial flutter or atrial fibrillation, ventricular arrhythmias, cardiac arrest) either in history or observed at screening</w:t>
      </w:r>
    </w:p>
    <w:p w14:paraId="723856E8" w14:textId="77777777" w:rsidR="00BA60FF" w:rsidRPr="006B2326" w:rsidRDefault="00BA60FF" w:rsidP="004C6478">
      <w:pPr>
        <w:pStyle w:val="ListParagraph"/>
        <w:numPr>
          <w:ilvl w:val="0"/>
          <w:numId w:val="39"/>
        </w:numPr>
        <w:jc w:val="left"/>
        <w:rPr>
          <w:noProof/>
        </w:rPr>
      </w:pPr>
      <w:r w:rsidRPr="006B2326">
        <w:rPr>
          <w:noProof/>
        </w:rPr>
        <w:t>Mobitz Type II second degree AV block or higher-grade AV block observed at screening</w:t>
      </w:r>
    </w:p>
    <w:p w14:paraId="766AEC9A" w14:textId="77777777" w:rsidR="00BA60FF" w:rsidRPr="006B2326" w:rsidRDefault="00BA60FF" w:rsidP="004C6478">
      <w:pPr>
        <w:pStyle w:val="ListParagraph"/>
        <w:numPr>
          <w:ilvl w:val="0"/>
          <w:numId w:val="39"/>
        </w:numPr>
        <w:jc w:val="left"/>
        <w:rPr>
          <w:noProof/>
        </w:rPr>
      </w:pPr>
      <w:r w:rsidRPr="006B2326">
        <w:rPr>
          <w:noProof/>
        </w:rPr>
        <w:t>QTcF interval greater than 470 ms (females), and greater than 450 ms (males) observed at screening</w:t>
      </w:r>
    </w:p>
    <w:p w14:paraId="7F03C68E" w14:textId="77777777" w:rsidR="00BA60FF" w:rsidRPr="006B2326" w:rsidRDefault="00BA60FF" w:rsidP="004C6478">
      <w:pPr>
        <w:pStyle w:val="Heading4"/>
        <w:rPr>
          <w:noProof/>
        </w:rPr>
      </w:pPr>
      <w:r w:rsidRPr="006B2326">
        <w:rPr>
          <w:noProof/>
        </w:rPr>
        <w:t>Reduction in heart rate</w:t>
      </w:r>
    </w:p>
    <w:p w14:paraId="4EE5241B" w14:textId="16744F3F" w:rsidR="00BA60FF" w:rsidRPr="006B2326" w:rsidRDefault="00BA60FF" w:rsidP="004C6478">
      <w:pPr>
        <w:jc w:val="left"/>
        <w:rPr>
          <w:noProof/>
        </w:rPr>
      </w:pPr>
      <w:r w:rsidRPr="006B2326">
        <w:rPr>
          <w:noProof/>
        </w:rPr>
        <w:t xml:space="preserve">After the first dose of </w:t>
      </w:r>
      <w:r w:rsidR="00387EBC" w:rsidRPr="006B2326">
        <w:rPr>
          <w:noProof/>
        </w:rPr>
        <w:t>PONVORY</w:t>
      </w:r>
      <w:r w:rsidRPr="006B2326">
        <w:rPr>
          <w:noProof/>
        </w:rPr>
        <w:t>, the decrease in heart rate typically begins within an hour and reaches its nadir within 2</w:t>
      </w:r>
      <w:r w:rsidR="00F865E8" w:rsidRPr="006B2326">
        <w:rPr>
          <w:noProof/>
        </w:rPr>
        <w:t>-</w:t>
      </w:r>
      <w:r w:rsidRPr="006B2326">
        <w:rPr>
          <w:noProof/>
        </w:rPr>
        <w:t>4 hours. The heart rate typically recovers to baseline levels 4</w:t>
      </w:r>
      <w:r w:rsidR="00F865E8" w:rsidRPr="006B2326">
        <w:rPr>
          <w:noProof/>
        </w:rPr>
        <w:t>-</w:t>
      </w:r>
      <w:r w:rsidRPr="006B2326">
        <w:rPr>
          <w:noProof/>
        </w:rPr>
        <w:t>5 hours after administration. The mean decrease in heart rate on Day 1 of dosing was 6 bpm. With up</w:t>
      </w:r>
      <w:r w:rsidR="00F865E8" w:rsidRPr="006B2326">
        <w:rPr>
          <w:noProof/>
        </w:rPr>
        <w:t>-</w:t>
      </w:r>
      <w:r w:rsidRPr="006B2326">
        <w:rPr>
          <w:noProof/>
        </w:rPr>
        <w:t>titration after Day 1, the decrease in heart rate is less pronounced.</w:t>
      </w:r>
    </w:p>
    <w:p w14:paraId="6B512C26" w14:textId="77777777" w:rsidR="00BA60FF" w:rsidRPr="006B2326" w:rsidRDefault="00BA60FF" w:rsidP="004C6478">
      <w:pPr>
        <w:pStyle w:val="Heading4"/>
        <w:rPr>
          <w:noProof/>
        </w:rPr>
      </w:pPr>
      <w:r w:rsidRPr="006B2326">
        <w:rPr>
          <w:noProof/>
        </w:rPr>
        <w:t>Atrioventricular conduction delays</w:t>
      </w:r>
    </w:p>
    <w:p w14:paraId="1A3C6654" w14:textId="3D02A9F0" w:rsidR="00B5449E" w:rsidRPr="006B2326" w:rsidDel="002A7CBD" w:rsidRDefault="00AE34DF" w:rsidP="004C6478">
      <w:pPr>
        <w:jc w:val="left"/>
        <w:rPr>
          <w:noProof/>
        </w:rPr>
      </w:pPr>
      <w:r w:rsidRPr="002A7CBD">
        <w:rPr>
          <w:noProof/>
        </w:rPr>
        <w:t xml:space="preserve">Initiation of PONVORY treatment has been associated with transient atrioventricular conduction delays that follow a similar temporal pattern as the observed decrease in </w:t>
      </w:r>
      <w:r w:rsidR="009160DF">
        <w:rPr>
          <w:noProof/>
        </w:rPr>
        <w:t>HR</w:t>
      </w:r>
      <w:r>
        <w:rPr>
          <w:noProof/>
        </w:rPr>
        <w:t xml:space="preserve"> </w:t>
      </w:r>
      <w:r w:rsidRPr="002A7CBD">
        <w:rPr>
          <w:noProof/>
        </w:rPr>
        <w:t>during dose titration</w:t>
      </w:r>
      <w:r>
        <w:rPr>
          <w:noProof/>
        </w:rPr>
        <w:t xml:space="preserve"> (see Section 4.8 Adverse Effects (Undesirable Effects))</w:t>
      </w:r>
      <w:r w:rsidRPr="002A7CBD">
        <w:rPr>
          <w:noProof/>
        </w:rPr>
        <w:t>.</w:t>
      </w:r>
    </w:p>
    <w:p w14:paraId="375F43CF" w14:textId="3D82B8BA" w:rsidR="00BA60FF" w:rsidRPr="006B2326" w:rsidRDefault="00BA60FF" w:rsidP="004C6478">
      <w:pPr>
        <w:jc w:val="left"/>
        <w:rPr>
          <w:noProof/>
        </w:rPr>
      </w:pPr>
      <w:r w:rsidRPr="006B2326">
        <w:rPr>
          <w:noProof/>
        </w:rPr>
        <w:t xml:space="preserve">If treatment with </w:t>
      </w:r>
      <w:r w:rsidR="00387EBC" w:rsidRPr="006B2326">
        <w:rPr>
          <w:noProof/>
        </w:rPr>
        <w:t>PONVORY</w:t>
      </w:r>
      <w:r w:rsidRPr="006B2326">
        <w:rPr>
          <w:noProof/>
        </w:rPr>
        <w:t xml:space="preserve"> is considered, advice from a cardiologist should be sought:</w:t>
      </w:r>
    </w:p>
    <w:p w14:paraId="5CB92255" w14:textId="77777777" w:rsidR="00BA60FF" w:rsidRPr="006B2326" w:rsidRDefault="00BA60FF" w:rsidP="004C6478">
      <w:pPr>
        <w:pStyle w:val="ListParagraph"/>
        <w:numPr>
          <w:ilvl w:val="0"/>
          <w:numId w:val="40"/>
        </w:numPr>
        <w:jc w:val="left"/>
        <w:rPr>
          <w:noProof/>
        </w:rPr>
      </w:pPr>
      <w:r w:rsidRPr="006B2326">
        <w:rPr>
          <w:noProof/>
        </w:rPr>
        <w:t>In patients with significant QT prolongation (QTc greater than 500 msec).</w:t>
      </w:r>
    </w:p>
    <w:p w14:paraId="4566F151" w14:textId="77911E9F" w:rsidR="00BA60FF" w:rsidRPr="006B2326" w:rsidRDefault="00BA60FF" w:rsidP="004C6478">
      <w:pPr>
        <w:pStyle w:val="ListParagraph"/>
        <w:numPr>
          <w:ilvl w:val="0"/>
          <w:numId w:val="40"/>
        </w:numPr>
        <w:jc w:val="left"/>
        <w:rPr>
          <w:noProof/>
        </w:rPr>
      </w:pPr>
      <w:r w:rsidRPr="006B2326">
        <w:rPr>
          <w:noProof/>
        </w:rPr>
        <w:t>In patients with atrial flutter/fibrillation or arrhythmias treated with Class Ia or Class III anti-arrhythmic drugs (see</w:t>
      </w:r>
      <w:r w:rsidR="00453F57" w:rsidRPr="006B2326">
        <w:rPr>
          <w:noProof/>
        </w:rPr>
        <w:t xml:space="preserve"> Section</w:t>
      </w:r>
      <w:r w:rsidRPr="006B2326">
        <w:rPr>
          <w:noProof/>
        </w:rPr>
        <w:t xml:space="preserve"> </w:t>
      </w:r>
      <w:r w:rsidR="00E30C50" w:rsidRPr="006B2326">
        <w:rPr>
          <w:noProof/>
        </w:rPr>
        <w:t>4.5 Interactions with Other Medicines and Other Forms of Interactions</w:t>
      </w:r>
      <w:r w:rsidRPr="006B2326">
        <w:rPr>
          <w:noProof/>
        </w:rPr>
        <w:t xml:space="preserve"> - Anti-Arrhythmic Drugs, QT Prolonging drugs, Drugs That May Decrease Heart Rate).</w:t>
      </w:r>
    </w:p>
    <w:p w14:paraId="1944937C" w14:textId="3940FE15" w:rsidR="00BA60FF" w:rsidRPr="006B2326" w:rsidRDefault="00BA60FF" w:rsidP="004C6478">
      <w:pPr>
        <w:pStyle w:val="ListParagraph"/>
        <w:numPr>
          <w:ilvl w:val="0"/>
          <w:numId w:val="40"/>
        </w:numPr>
        <w:jc w:val="left"/>
        <w:rPr>
          <w:noProof/>
        </w:rPr>
      </w:pPr>
      <w:r w:rsidRPr="006B2326">
        <w:rPr>
          <w:noProof/>
        </w:rPr>
        <w:t xml:space="preserve">In patients with unstable </w:t>
      </w:r>
      <w:r w:rsidR="00453F57" w:rsidRPr="006B2326">
        <w:rPr>
          <w:noProof/>
        </w:rPr>
        <w:t>ischaemic</w:t>
      </w:r>
      <w:r w:rsidRPr="006B2326">
        <w:rPr>
          <w:noProof/>
        </w:rPr>
        <w:t xml:space="preserve"> heart disease, cardiac decompensated failure occurring more than 6 months prior to treatment initiation, history of cardiac arrest, cerebrovascular disease (TIA, stroke occurring more than 6 months prior to treatment initiation), and uncontrolled hypertension.</w:t>
      </w:r>
    </w:p>
    <w:p w14:paraId="76DAB477" w14:textId="77655A98" w:rsidR="00BA60FF" w:rsidRPr="006B2326" w:rsidRDefault="00BA60FF" w:rsidP="004C6478">
      <w:pPr>
        <w:pStyle w:val="ListParagraph"/>
        <w:numPr>
          <w:ilvl w:val="0"/>
          <w:numId w:val="40"/>
        </w:numPr>
        <w:jc w:val="left"/>
        <w:rPr>
          <w:noProof/>
        </w:rPr>
      </w:pPr>
      <w:r w:rsidRPr="006B2326">
        <w:rPr>
          <w:noProof/>
        </w:rPr>
        <w:t>In patients with a history of Mobitz Type II second degree AV block or higher</w:t>
      </w:r>
      <w:r w:rsidR="00F865E8" w:rsidRPr="006B2326">
        <w:rPr>
          <w:noProof/>
        </w:rPr>
        <w:t>-</w:t>
      </w:r>
      <w:r w:rsidRPr="006B2326">
        <w:rPr>
          <w:noProof/>
        </w:rPr>
        <w:t xml:space="preserve">grade AV block, sick-sinus syndrome, or sino-atrial heart block (see </w:t>
      </w:r>
      <w:r w:rsidR="00453F57" w:rsidRPr="006B2326">
        <w:rPr>
          <w:noProof/>
        </w:rPr>
        <w:t xml:space="preserve">Section </w:t>
      </w:r>
      <w:r w:rsidR="00387EBC" w:rsidRPr="006B2326">
        <w:rPr>
          <w:noProof/>
        </w:rPr>
        <w:t>4.3 Contraindications</w:t>
      </w:r>
      <w:r w:rsidRPr="006B2326">
        <w:rPr>
          <w:noProof/>
        </w:rPr>
        <w:t>).</w:t>
      </w:r>
    </w:p>
    <w:p w14:paraId="3F4A30D1" w14:textId="77777777" w:rsidR="00BA60FF" w:rsidRPr="006B2326" w:rsidRDefault="00BA60FF" w:rsidP="004C6478">
      <w:pPr>
        <w:pStyle w:val="Heading4"/>
        <w:rPr>
          <w:noProof/>
        </w:rPr>
      </w:pPr>
      <w:r w:rsidRPr="006B2326">
        <w:rPr>
          <w:noProof/>
        </w:rPr>
        <w:t>Treatment initiation recommendations</w:t>
      </w:r>
    </w:p>
    <w:p w14:paraId="1C3F97DF" w14:textId="5D2B0F75" w:rsidR="00BA60FF" w:rsidRPr="006B2326" w:rsidRDefault="00BA60FF" w:rsidP="004C6478">
      <w:pPr>
        <w:pStyle w:val="ListParagraph"/>
        <w:numPr>
          <w:ilvl w:val="0"/>
          <w:numId w:val="41"/>
        </w:numPr>
        <w:jc w:val="left"/>
        <w:rPr>
          <w:noProof/>
        </w:rPr>
      </w:pPr>
      <w:r w:rsidRPr="006B2326">
        <w:rPr>
          <w:noProof/>
        </w:rPr>
        <w:t xml:space="preserve">Obtain an ECG in all patients to determine whether </w:t>
      </w:r>
      <w:r w:rsidR="001B0855" w:rsidRPr="006B2326">
        <w:rPr>
          <w:noProof/>
        </w:rPr>
        <w:t>pre-existing</w:t>
      </w:r>
      <w:r w:rsidRPr="006B2326">
        <w:rPr>
          <w:noProof/>
        </w:rPr>
        <w:t xml:space="preserve"> conduction abnormalities are present.</w:t>
      </w:r>
    </w:p>
    <w:p w14:paraId="4EB20699" w14:textId="099BCB41" w:rsidR="00BA60FF" w:rsidRPr="006B2326" w:rsidRDefault="00BA60FF" w:rsidP="004C6478">
      <w:pPr>
        <w:pStyle w:val="ListParagraph"/>
        <w:numPr>
          <w:ilvl w:val="0"/>
          <w:numId w:val="41"/>
        </w:numPr>
        <w:jc w:val="left"/>
        <w:rPr>
          <w:noProof/>
        </w:rPr>
      </w:pPr>
      <w:r w:rsidRPr="006B2326">
        <w:rPr>
          <w:noProof/>
        </w:rPr>
        <w:t xml:space="preserve">In all patients, a dose titration is recommended for initiation of </w:t>
      </w:r>
      <w:r w:rsidR="00387EBC" w:rsidRPr="006B2326">
        <w:rPr>
          <w:noProof/>
        </w:rPr>
        <w:t>PONVORY</w:t>
      </w:r>
      <w:r w:rsidRPr="006B2326">
        <w:rPr>
          <w:noProof/>
        </w:rPr>
        <w:t xml:space="preserve"> treatment to mitigate cardiac effects (see </w:t>
      </w:r>
      <w:r w:rsidR="00453F57" w:rsidRPr="006B2326">
        <w:rPr>
          <w:noProof/>
        </w:rPr>
        <w:t xml:space="preserve">Section </w:t>
      </w:r>
      <w:r w:rsidR="00387EBC" w:rsidRPr="006B2326">
        <w:rPr>
          <w:noProof/>
        </w:rPr>
        <w:t xml:space="preserve">4.2 Dose and Method of Administration  </w:t>
      </w:r>
      <w:r w:rsidRPr="006B2326">
        <w:rPr>
          <w:noProof/>
        </w:rPr>
        <w:t xml:space="preserve"> - </w:t>
      </w:r>
      <w:r w:rsidR="00453F57" w:rsidRPr="006B2326">
        <w:rPr>
          <w:noProof/>
        </w:rPr>
        <w:t>Dosage (Dose and Interval)</w:t>
      </w:r>
      <w:r w:rsidRPr="006B2326">
        <w:rPr>
          <w:noProof/>
        </w:rPr>
        <w:t>).</w:t>
      </w:r>
    </w:p>
    <w:p w14:paraId="1EB40B74" w14:textId="1D5FD6CD" w:rsidR="00BA60FF" w:rsidRPr="006B2326" w:rsidRDefault="00BA60FF" w:rsidP="004C6478">
      <w:pPr>
        <w:pStyle w:val="ListParagraph"/>
        <w:numPr>
          <w:ilvl w:val="0"/>
          <w:numId w:val="41"/>
        </w:numPr>
        <w:jc w:val="left"/>
        <w:rPr>
          <w:noProof/>
        </w:rPr>
      </w:pPr>
      <w:r w:rsidRPr="006B2326">
        <w:rPr>
          <w:noProof/>
        </w:rPr>
        <w:lastRenderedPageBreak/>
        <w:t>In patients with sinus bradycardia, first</w:t>
      </w:r>
      <w:r w:rsidR="00F865E8" w:rsidRPr="006B2326">
        <w:rPr>
          <w:noProof/>
        </w:rPr>
        <w:t>-</w:t>
      </w:r>
      <w:r w:rsidRPr="006B2326">
        <w:rPr>
          <w:noProof/>
        </w:rPr>
        <w:t>or second</w:t>
      </w:r>
      <w:r w:rsidR="00F865E8" w:rsidRPr="006B2326">
        <w:rPr>
          <w:noProof/>
        </w:rPr>
        <w:t>-</w:t>
      </w:r>
      <w:r w:rsidRPr="006B2326">
        <w:rPr>
          <w:noProof/>
        </w:rPr>
        <w:t xml:space="preserve">degree [Mobitz type I] AV block, or a history of myocardial infarction or heart failure with onset more than 6 months prior to initiation, ECG testing and first dose monitoring is recommended (see </w:t>
      </w:r>
      <w:r w:rsidR="001A466C" w:rsidRPr="006B2326">
        <w:rPr>
          <w:noProof/>
        </w:rPr>
        <w:t xml:space="preserve">Section </w:t>
      </w:r>
      <w:r w:rsidR="00387EBC" w:rsidRPr="006B2326">
        <w:rPr>
          <w:noProof/>
        </w:rPr>
        <w:t xml:space="preserve">4.2 Dose and Method of Administration </w:t>
      </w:r>
      <w:r w:rsidRPr="006B2326">
        <w:rPr>
          <w:noProof/>
        </w:rPr>
        <w:t xml:space="preserve"> - Assessments Prior to First Dose of </w:t>
      </w:r>
      <w:r w:rsidR="00387EBC" w:rsidRPr="006B2326">
        <w:rPr>
          <w:noProof/>
        </w:rPr>
        <w:t>PONVORY</w:t>
      </w:r>
      <w:r w:rsidRPr="006B2326">
        <w:rPr>
          <w:noProof/>
        </w:rPr>
        <w:t xml:space="preserve">, First Dose Monitoring in Patients with Certain </w:t>
      </w:r>
      <w:r w:rsidR="001B0855" w:rsidRPr="006B2326">
        <w:rPr>
          <w:noProof/>
        </w:rPr>
        <w:t>Pre-existing</w:t>
      </w:r>
      <w:r w:rsidRPr="006B2326">
        <w:rPr>
          <w:noProof/>
        </w:rPr>
        <w:t xml:space="preserve"> Cardiac Conditions).</w:t>
      </w:r>
    </w:p>
    <w:p w14:paraId="7C281BE2" w14:textId="27F0DE2F" w:rsidR="00BA60FF" w:rsidRPr="006B2326" w:rsidRDefault="00387EBC" w:rsidP="004C6478">
      <w:pPr>
        <w:pStyle w:val="ListParagraph"/>
        <w:numPr>
          <w:ilvl w:val="0"/>
          <w:numId w:val="41"/>
        </w:numPr>
        <w:jc w:val="left"/>
        <w:rPr>
          <w:noProof/>
        </w:rPr>
      </w:pPr>
      <w:r w:rsidRPr="006B2326">
        <w:rPr>
          <w:noProof/>
        </w:rPr>
        <w:t>PONVORY</w:t>
      </w:r>
      <w:r w:rsidR="00BA60FF" w:rsidRPr="006B2326">
        <w:rPr>
          <w:noProof/>
        </w:rPr>
        <w:t xml:space="preserve"> is not recommended in patients with a history of cardiac arrest, cerebrovascular disease (TIA, stroke occurring more than 6 months prior to treatment initiation), or uncontrolled hypertension, since significant bradycardia may be poorly tolerated in these patients. If treatment is considered, advice from a cardiologist should be sought prior to initiation of treatment in order to determine the most appropriate monitoring strategy.</w:t>
      </w:r>
    </w:p>
    <w:p w14:paraId="29C29687" w14:textId="5091DF71" w:rsidR="00BA60FF" w:rsidRPr="006B2326" w:rsidRDefault="00BA60FF" w:rsidP="004C6478">
      <w:pPr>
        <w:pStyle w:val="ListParagraph"/>
        <w:numPr>
          <w:ilvl w:val="0"/>
          <w:numId w:val="41"/>
        </w:numPr>
        <w:jc w:val="left"/>
        <w:rPr>
          <w:noProof/>
        </w:rPr>
      </w:pPr>
      <w:r w:rsidRPr="006B2326">
        <w:rPr>
          <w:noProof/>
        </w:rPr>
        <w:t xml:space="preserve">Use of </w:t>
      </w:r>
      <w:r w:rsidR="00387EBC" w:rsidRPr="006B2326">
        <w:rPr>
          <w:noProof/>
        </w:rPr>
        <w:t>PONVORY</w:t>
      </w:r>
      <w:r w:rsidRPr="006B2326">
        <w:rPr>
          <w:noProof/>
        </w:rPr>
        <w:t xml:space="preserve"> in patients with a history of recurrent syncope or symptomatic bradycardia should be based on an overall benefit</w:t>
      </w:r>
      <w:r w:rsidR="00F865E8" w:rsidRPr="006B2326">
        <w:rPr>
          <w:noProof/>
        </w:rPr>
        <w:t>-</w:t>
      </w:r>
      <w:r w:rsidRPr="006B2326">
        <w:rPr>
          <w:noProof/>
        </w:rPr>
        <w:t>risk assessment. If treatment is considered, advice from a cardiologist should be sought prior to initiation of treatment in order to determine the most appropriate monitoring.</w:t>
      </w:r>
    </w:p>
    <w:p w14:paraId="29158266" w14:textId="233A37E2" w:rsidR="00BA60FF" w:rsidRPr="006B2326" w:rsidRDefault="00BA60FF" w:rsidP="004C6478">
      <w:pPr>
        <w:pStyle w:val="ListParagraph"/>
        <w:numPr>
          <w:ilvl w:val="0"/>
          <w:numId w:val="41"/>
        </w:numPr>
        <w:jc w:val="left"/>
        <w:rPr>
          <w:noProof/>
        </w:rPr>
      </w:pPr>
      <w:r w:rsidRPr="006B2326">
        <w:rPr>
          <w:noProof/>
        </w:rPr>
        <w:t xml:space="preserve">Experience with </w:t>
      </w:r>
      <w:r w:rsidR="00387EBC" w:rsidRPr="006B2326">
        <w:rPr>
          <w:noProof/>
        </w:rPr>
        <w:t>PONVORY</w:t>
      </w:r>
      <w:r w:rsidRPr="006B2326">
        <w:rPr>
          <w:noProof/>
        </w:rPr>
        <w:t xml:space="preserve"> is limited in patients receiving concurrent therapy with drugs that decrease heart</w:t>
      </w:r>
      <w:r w:rsidR="00F90268">
        <w:rPr>
          <w:noProof/>
        </w:rPr>
        <w:t xml:space="preserve"> </w:t>
      </w:r>
      <w:r w:rsidRPr="006B2326">
        <w:rPr>
          <w:noProof/>
        </w:rPr>
        <w:t>rate (e.g., beta</w:t>
      </w:r>
      <w:r w:rsidR="00776116" w:rsidRPr="006B2326">
        <w:rPr>
          <w:noProof/>
        </w:rPr>
        <w:t>-</w:t>
      </w:r>
      <w:r w:rsidRPr="006B2326">
        <w:rPr>
          <w:noProof/>
        </w:rPr>
        <w:t xml:space="preserve">blockers, non-dihydropyridine calcium channel blockers - diltiazem and verapamil, and other drugs that may decrease heart rate such as digoxin). Concomitant use of these drugs during </w:t>
      </w:r>
      <w:r w:rsidR="00387EBC" w:rsidRPr="006B2326">
        <w:rPr>
          <w:noProof/>
        </w:rPr>
        <w:t>PONVORY</w:t>
      </w:r>
      <w:r w:rsidRPr="006B2326">
        <w:rPr>
          <w:noProof/>
        </w:rPr>
        <w:t xml:space="preserve"> initiation may be associated with severe bradycardia and heart block. If treatment is considered, advice from a cardiologist should be sought prior to initiation of treatment in order to determine the most appropriate monitoring.</w:t>
      </w:r>
    </w:p>
    <w:p w14:paraId="3938563A" w14:textId="16086036" w:rsidR="00BA60FF" w:rsidRPr="006B2326" w:rsidRDefault="00BA60FF" w:rsidP="004C6478">
      <w:pPr>
        <w:pStyle w:val="ListParagraph"/>
        <w:numPr>
          <w:ilvl w:val="1"/>
          <w:numId w:val="41"/>
        </w:numPr>
        <w:jc w:val="left"/>
        <w:rPr>
          <w:noProof/>
        </w:rPr>
      </w:pPr>
      <w:r w:rsidRPr="006B2326">
        <w:rPr>
          <w:noProof/>
        </w:rPr>
        <w:t>For patients receiving a stable dose of a beta</w:t>
      </w:r>
      <w:r w:rsidR="00776116" w:rsidRPr="006B2326">
        <w:rPr>
          <w:noProof/>
        </w:rPr>
        <w:t>-</w:t>
      </w:r>
      <w:r w:rsidRPr="006B2326">
        <w:rPr>
          <w:noProof/>
        </w:rPr>
        <w:t xml:space="preserve">blocker, the resting heart rate should be considered before introducing </w:t>
      </w:r>
      <w:r w:rsidR="00387EBC" w:rsidRPr="006B2326">
        <w:rPr>
          <w:noProof/>
        </w:rPr>
        <w:t>PONVORY</w:t>
      </w:r>
      <w:r w:rsidRPr="006B2326">
        <w:rPr>
          <w:noProof/>
        </w:rPr>
        <w:t xml:space="preserve"> treatment. If the resting heart rate is greater than 55 bpm under chronic beta</w:t>
      </w:r>
      <w:r w:rsidR="00776116" w:rsidRPr="006B2326">
        <w:rPr>
          <w:noProof/>
        </w:rPr>
        <w:t>-</w:t>
      </w:r>
      <w:r w:rsidRPr="006B2326">
        <w:rPr>
          <w:noProof/>
        </w:rPr>
        <w:t xml:space="preserve">blocker treatment, </w:t>
      </w:r>
      <w:r w:rsidR="00387EBC" w:rsidRPr="006B2326">
        <w:rPr>
          <w:noProof/>
        </w:rPr>
        <w:t>PONVORY</w:t>
      </w:r>
      <w:r w:rsidRPr="006B2326">
        <w:rPr>
          <w:noProof/>
        </w:rPr>
        <w:t xml:space="preserve"> can be introduced. If resting heart rate is less than or equal to 55 bpm, beta-blocker treatment should be interrupted until the baseline heart</w:t>
      </w:r>
      <w:r w:rsidR="00F90268">
        <w:rPr>
          <w:noProof/>
        </w:rPr>
        <w:t xml:space="preserve"> </w:t>
      </w:r>
      <w:r w:rsidRPr="006B2326">
        <w:rPr>
          <w:noProof/>
        </w:rPr>
        <w:t xml:space="preserve">rate is greater than 55 bpm. Treatment with </w:t>
      </w:r>
      <w:r w:rsidR="00387EBC" w:rsidRPr="006B2326">
        <w:rPr>
          <w:noProof/>
        </w:rPr>
        <w:t>PONVORY</w:t>
      </w:r>
      <w:r w:rsidRPr="006B2326">
        <w:rPr>
          <w:noProof/>
        </w:rPr>
        <w:t xml:space="preserve"> can then be initiated and treatment with a beta-blocker can be reinitiated after </w:t>
      </w:r>
      <w:r w:rsidR="00387EBC" w:rsidRPr="006B2326">
        <w:rPr>
          <w:noProof/>
        </w:rPr>
        <w:t>PONVORY</w:t>
      </w:r>
      <w:r w:rsidRPr="006B2326">
        <w:rPr>
          <w:noProof/>
        </w:rPr>
        <w:t xml:space="preserve"> has been up</w:t>
      </w:r>
      <w:r w:rsidR="00956637" w:rsidRPr="006B2326">
        <w:rPr>
          <w:noProof/>
        </w:rPr>
        <w:t>-</w:t>
      </w:r>
      <w:r w:rsidRPr="006B2326">
        <w:rPr>
          <w:noProof/>
        </w:rPr>
        <w:t xml:space="preserve"> titrated to the target maintenance dosage (see </w:t>
      </w:r>
      <w:r w:rsidR="001A466C" w:rsidRPr="006B2326">
        <w:rPr>
          <w:noProof/>
        </w:rPr>
        <w:t xml:space="preserve">Section </w:t>
      </w:r>
      <w:r w:rsidR="00E30C50" w:rsidRPr="006B2326">
        <w:rPr>
          <w:noProof/>
        </w:rPr>
        <w:t>4.5 Interactions with Other Medicines and Other Forms of Interactions</w:t>
      </w:r>
      <w:r w:rsidRPr="006B2326">
        <w:rPr>
          <w:noProof/>
        </w:rPr>
        <w:t xml:space="preserve"> - Beta-Blockers).</w:t>
      </w:r>
    </w:p>
    <w:p w14:paraId="4150BA60" w14:textId="6A605B0E" w:rsidR="00BA60FF" w:rsidRPr="006B2326" w:rsidRDefault="00BA60FF" w:rsidP="004C6478">
      <w:pPr>
        <w:pStyle w:val="ListParagraph"/>
        <w:numPr>
          <w:ilvl w:val="1"/>
          <w:numId w:val="41"/>
        </w:numPr>
        <w:jc w:val="left"/>
        <w:rPr>
          <w:noProof/>
        </w:rPr>
      </w:pPr>
      <w:r w:rsidRPr="006B2326">
        <w:rPr>
          <w:noProof/>
        </w:rPr>
        <w:t xml:space="preserve">For patients taking other drugs that decrease heart rate, treatment with </w:t>
      </w:r>
      <w:r w:rsidR="00387EBC" w:rsidRPr="006B2326">
        <w:rPr>
          <w:noProof/>
        </w:rPr>
        <w:t>PONVORY</w:t>
      </w:r>
      <w:r w:rsidRPr="006B2326">
        <w:rPr>
          <w:noProof/>
        </w:rPr>
        <w:t xml:space="preserve"> should generally not be initiated without consultation from a cardiologist because of the potential additive effect on heart rate (see </w:t>
      </w:r>
      <w:r w:rsidR="001A466C" w:rsidRPr="006B2326">
        <w:rPr>
          <w:noProof/>
        </w:rPr>
        <w:t xml:space="preserve">Section </w:t>
      </w:r>
      <w:r w:rsidR="00387EBC" w:rsidRPr="006B2326">
        <w:rPr>
          <w:noProof/>
        </w:rPr>
        <w:t xml:space="preserve">4.2 Dose and Method of Administration </w:t>
      </w:r>
      <w:r w:rsidRPr="006B2326">
        <w:rPr>
          <w:noProof/>
        </w:rPr>
        <w:t xml:space="preserve">- First Dose Monitoring in Patients with Certain </w:t>
      </w:r>
      <w:r w:rsidR="001B0855" w:rsidRPr="006B2326">
        <w:rPr>
          <w:noProof/>
        </w:rPr>
        <w:t>Pre-existing</w:t>
      </w:r>
      <w:r w:rsidRPr="006B2326">
        <w:rPr>
          <w:noProof/>
        </w:rPr>
        <w:t xml:space="preserve"> Cardiac Conditions and </w:t>
      </w:r>
      <w:r w:rsidR="00E30C50" w:rsidRPr="006B2326">
        <w:rPr>
          <w:noProof/>
        </w:rPr>
        <w:t xml:space="preserve">4.5 Interactions with Other Medicines and Other Forms of Interactions - </w:t>
      </w:r>
      <w:r w:rsidRPr="006B2326">
        <w:rPr>
          <w:noProof/>
        </w:rPr>
        <w:t>Anti</w:t>
      </w:r>
      <w:r w:rsidR="00D30732" w:rsidRPr="006B2326">
        <w:rPr>
          <w:noProof/>
        </w:rPr>
        <w:t>-</w:t>
      </w:r>
      <w:r w:rsidRPr="006B2326">
        <w:rPr>
          <w:noProof/>
        </w:rPr>
        <w:t>Arrhythmic Drugs, QT Prolonging Drugs, Drugs That May Decrease Heart Rate).</w:t>
      </w:r>
    </w:p>
    <w:p w14:paraId="510ABD68" w14:textId="77777777" w:rsidR="00BA60FF" w:rsidRPr="006B2326" w:rsidRDefault="00BA60FF" w:rsidP="004C6478">
      <w:pPr>
        <w:pStyle w:val="Heading4"/>
        <w:rPr>
          <w:noProof/>
        </w:rPr>
      </w:pPr>
      <w:r w:rsidRPr="006B2326">
        <w:rPr>
          <w:noProof/>
        </w:rPr>
        <w:t>Missed dose during treatment initiation or maintenance treatment</w:t>
      </w:r>
    </w:p>
    <w:p w14:paraId="24111207" w14:textId="1CF7E998" w:rsidR="00BA60FF" w:rsidRPr="006B2326" w:rsidRDefault="00BA60FF" w:rsidP="004C6478">
      <w:pPr>
        <w:jc w:val="left"/>
        <w:rPr>
          <w:noProof/>
        </w:rPr>
      </w:pPr>
      <w:r w:rsidRPr="006B2326">
        <w:rPr>
          <w:noProof/>
        </w:rPr>
        <w:t xml:space="preserve">If 4 or more consecutive daily doses are missed during treatment initiation or maintenance treatment, reinitiate Day 1 of the dose titration </w:t>
      </w:r>
      <w:r w:rsidR="00DC33B6" w:rsidRPr="006B2326">
        <w:rPr>
          <w:noProof/>
        </w:rPr>
        <w:t>(new treatment initiation pack)</w:t>
      </w:r>
      <w:r w:rsidR="00DC33B6">
        <w:rPr>
          <w:noProof/>
        </w:rPr>
        <w:t xml:space="preserve"> </w:t>
      </w:r>
      <w:r w:rsidRPr="006B2326">
        <w:rPr>
          <w:noProof/>
        </w:rPr>
        <w:t xml:space="preserve">and follow titration monitoring recommendations (see </w:t>
      </w:r>
      <w:r w:rsidR="001A466C" w:rsidRPr="006B2326">
        <w:rPr>
          <w:noProof/>
        </w:rPr>
        <w:t xml:space="preserve">Section </w:t>
      </w:r>
      <w:r w:rsidR="00387EBC" w:rsidRPr="006B2326">
        <w:rPr>
          <w:noProof/>
        </w:rPr>
        <w:t xml:space="preserve">4.2 Dose and Method of Administration  </w:t>
      </w:r>
      <w:r w:rsidRPr="006B2326">
        <w:rPr>
          <w:noProof/>
        </w:rPr>
        <w:t>- Missed Dose</w:t>
      </w:r>
      <w:r w:rsidR="00E30C50" w:rsidRPr="006B2326">
        <w:rPr>
          <w:noProof/>
        </w:rPr>
        <w:t>s</w:t>
      </w:r>
      <w:r w:rsidRPr="006B2326">
        <w:rPr>
          <w:noProof/>
        </w:rPr>
        <w:t>).</w:t>
      </w:r>
    </w:p>
    <w:p w14:paraId="3DED68D1" w14:textId="77777777" w:rsidR="00BA60FF" w:rsidRPr="006B2326" w:rsidRDefault="00BA60FF" w:rsidP="004C6478">
      <w:pPr>
        <w:pStyle w:val="Heading3"/>
        <w:rPr>
          <w:noProof/>
        </w:rPr>
      </w:pPr>
      <w:r w:rsidRPr="006B2326">
        <w:rPr>
          <w:noProof/>
        </w:rPr>
        <w:t>Respiratory effects</w:t>
      </w:r>
    </w:p>
    <w:p w14:paraId="57DADE56" w14:textId="002CA7D9" w:rsidR="00BA60FF" w:rsidRPr="006B2326" w:rsidRDefault="00BA60FF" w:rsidP="004C6478">
      <w:pPr>
        <w:jc w:val="left"/>
        <w:rPr>
          <w:noProof/>
        </w:rPr>
      </w:pPr>
      <w:r w:rsidRPr="006B2326">
        <w:rPr>
          <w:noProof/>
        </w:rPr>
        <w:t>Dose</w:t>
      </w:r>
      <w:r w:rsidR="000F32B5" w:rsidRPr="006B2326">
        <w:rPr>
          <w:noProof/>
        </w:rPr>
        <w:t>-</w:t>
      </w:r>
      <w:r w:rsidRPr="006B2326">
        <w:rPr>
          <w:noProof/>
        </w:rPr>
        <w:t>dependent reductions in forced expiratory volume over 1 second (</w:t>
      </w:r>
      <w:r w:rsidR="004C265F" w:rsidRPr="006B2326">
        <w:rPr>
          <w:noProof/>
        </w:rPr>
        <w:t>FEV</w:t>
      </w:r>
      <w:r w:rsidR="004C265F" w:rsidRPr="006B2326">
        <w:rPr>
          <w:noProof/>
          <w:vertAlign w:val="subscript"/>
        </w:rPr>
        <w:t>1</w:t>
      </w:r>
      <w:r w:rsidRPr="006B2326">
        <w:rPr>
          <w:noProof/>
        </w:rPr>
        <w:t>) and reductions in diffusion lung capacity for carbon monoxide (DL</w:t>
      </w:r>
      <w:r w:rsidRPr="006B2326">
        <w:rPr>
          <w:noProof/>
          <w:vertAlign w:val="subscript"/>
        </w:rPr>
        <w:t>CO</w:t>
      </w:r>
      <w:r w:rsidRPr="006B2326">
        <w:rPr>
          <w:noProof/>
        </w:rPr>
        <w:t xml:space="preserve">) were observed in </w:t>
      </w:r>
      <w:r w:rsidR="00387EBC" w:rsidRPr="006B2326">
        <w:rPr>
          <w:noProof/>
        </w:rPr>
        <w:t>PONVORY</w:t>
      </w:r>
      <w:r w:rsidR="00B02864" w:rsidRPr="006B2326">
        <w:rPr>
          <w:noProof/>
        </w:rPr>
        <w:t>-</w:t>
      </w:r>
      <w:r w:rsidRPr="006B2326">
        <w:rPr>
          <w:noProof/>
        </w:rPr>
        <w:t xml:space="preserve">treated patients mostly occurring in the first month after treatment initiation. In the OPTIMUM study, the reduction from baseline in percent predicted </w:t>
      </w:r>
      <w:r w:rsidR="004C265F" w:rsidRPr="006B2326">
        <w:rPr>
          <w:noProof/>
        </w:rPr>
        <w:t>FEV</w:t>
      </w:r>
      <w:r w:rsidR="004C265F" w:rsidRPr="006B2326">
        <w:rPr>
          <w:noProof/>
          <w:vertAlign w:val="subscript"/>
        </w:rPr>
        <w:t>1</w:t>
      </w:r>
      <w:r w:rsidRPr="006B2326">
        <w:rPr>
          <w:noProof/>
        </w:rPr>
        <w:t xml:space="preserve"> at 2 years was 8.3% in </w:t>
      </w:r>
      <w:r w:rsidR="00387EBC" w:rsidRPr="006B2326">
        <w:rPr>
          <w:noProof/>
        </w:rPr>
        <w:t>PONVORY</w:t>
      </w:r>
      <w:r w:rsidR="00B02864" w:rsidRPr="006B2326">
        <w:rPr>
          <w:noProof/>
        </w:rPr>
        <w:t>-</w:t>
      </w:r>
      <w:r w:rsidRPr="006B2326">
        <w:rPr>
          <w:noProof/>
        </w:rPr>
        <w:t xml:space="preserve">treated patients compared to 4.4% in patients receiving teriflunomide 14 mg. The changes in </w:t>
      </w:r>
      <w:r w:rsidR="004C265F" w:rsidRPr="006B2326">
        <w:rPr>
          <w:noProof/>
        </w:rPr>
        <w:t>FEV</w:t>
      </w:r>
      <w:r w:rsidR="004C265F" w:rsidRPr="006B2326">
        <w:rPr>
          <w:noProof/>
          <w:vertAlign w:val="subscript"/>
        </w:rPr>
        <w:t>1</w:t>
      </w:r>
      <w:r w:rsidRPr="006B2326">
        <w:rPr>
          <w:noProof/>
        </w:rPr>
        <w:t xml:space="preserve"> and DL</w:t>
      </w:r>
      <w:r w:rsidRPr="006B2326">
        <w:rPr>
          <w:noProof/>
          <w:vertAlign w:val="subscript"/>
        </w:rPr>
        <w:t>CO</w:t>
      </w:r>
      <w:r w:rsidRPr="006B2326">
        <w:rPr>
          <w:noProof/>
        </w:rPr>
        <w:t xml:space="preserve"> appear to be partially reversible after treatment </w:t>
      </w:r>
      <w:r w:rsidRPr="006B2326">
        <w:rPr>
          <w:noProof/>
        </w:rPr>
        <w:lastRenderedPageBreak/>
        <w:t xml:space="preserve">discontinuation. In the OPTIMUM study, 7 patients discontinued </w:t>
      </w:r>
      <w:r w:rsidR="00387EBC" w:rsidRPr="006B2326">
        <w:rPr>
          <w:noProof/>
        </w:rPr>
        <w:t>PONVORY</w:t>
      </w:r>
      <w:r w:rsidRPr="006B2326">
        <w:rPr>
          <w:noProof/>
        </w:rPr>
        <w:t xml:space="preserve"> because of pulmonary adverse events. </w:t>
      </w:r>
      <w:r w:rsidR="00387EBC" w:rsidRPr="006B2326">
        <w:rPr>
          <w:noProof/>
        </w:rPr>
        <w:t>PONVORY</w:t>
      </w:r>
      <w:r w:rsidRPr="006B2326">
        <w:rPr>
          <w:noProof/>
        </w:rPr>
        <w:t xml:space="preserve"> has been tested in MS patients with mild to moderate asthma or chronic obstructive pulmonary disease. The changes in </w:t>
      </w:r>
      <w:r w:rsidR="004C265F" w:rsidRPr="006B2326">
        <w:rPr>
          <w:noProof/>
        </w:rPr>
        <w:t>FEV</w:t>
      </w:r>
      <w:r w:rsidR="004C265F" w:rsidRPr="006B2326">
        <w:rPr>
          <w:noProof/>
          <w:vertAlign w:val="subscript"/>
        </w:rPr>
        <w:t>1</w:t>
      </w:r>
      <w:r w:rsidRPr="006B2326">
        <w:rPr>
          <w:noProof/>
        </w:rPr>
        <w:t xml:space="preserve"> were similar in this subgroup compared with the subgroup of patients without baseline lung disorders.</w:t>
      </w:r>
    </w:p>
    <w:p w14:paraId="02905CDE" w14:textId="4AF91A85" w:rsidR="00BA60FF" w:rsidRPr="006B2326" w:rsidRDefault="00387EBC" w:rsidP="004C6478">
      <w:pPr>
        <w:jc w:val="left"/>
        <w:rPr>
          <w:noProof/>
        </w:rPr>
      </w:pPr>
      <w:r w:rsidRPr="006B2326">
        <w:rPr>
          <w:noProof/>
        </w:rPr>
        <w:t>PONVORY</w:t>
      </w:r>
      <w:r w:rsidR="00BA60FF" w:rsidRPr="006B2326">
        <w:rPr>
          <w:noProof/>
        </w:rPr>
        <w:t xml:space="preserve"> should be used with caution in patients with severe respiratory disease, pulmonary fibrosis and chronic obstructive pulmonary disease. Spirometric evaluation of respiratory function should be performed during therapy with </w:t>
      </w:r>
      <w:r w:rsidRPr="006B2326">
        <w:rPr>
          <w:noProof/>
        </w:rPr>
        <w:t>PONVORY</w:t>
      </w:r>
      <w:r w:rsidR="00BA60FF" w:rsidRPr="006B2326">
        <w:rPr>
          <w:noProof/>
        </w:rPr>
        <w:t xml:space="preserve"> if clinically indicated.</w:t>
      </w:r>
    </w:p>
    <w:p w14:paraId="77475908" w14:textId="77777777" w:rsidR="00BA60FF" w:rsidRPr="006B2326" w:rsidRDefault="00BA60FF" w:rsidP="004C6478">
      <w:pPr>
        <w:pStyle w:val="Heading3"/>
        <w:rPr>
          <w:noProof/>
        </w:rPr>
      </w:pPr>
      <w:r w:rsidRPr="006B2326">
        <w:rPr>
          <w:noProof/>
        </w:rPr>
        <w:t>Liver injury</w:t>
      </w:r>
    </w:p>
    <w:p w14:paraId="072F8471" w14:textId="07ECB401" w:rsidR="00BA60FF" w:rsidRPr="006B2326" w:rsidRDefault="00BA60FF" w:rsidP="004C6478">
      <w:pPr>
        <w:jc w:val="left"/>
        <w:rPr>
          <w:noProof/>
        </w:rPr>
      </w:pPr>
      <w:r w:rsidRPr="006B2326">
        <w:rPr>
          <w:noProof/>
        </w:rPr>
        <w:t xml:space="preserve">Elevations of transaminases may occur in </w:t>
      </w:r>
      <w:r w:rsidR="00387EBC" w:rsidRPr="006B2326">
        <w:rPr>
          <w:noProof/>
        </w:rPr>
        <w:t>PONVORY</w:t>
      </w:r>
      <w:r w:rsidR="00B02864" w:rsidRPr="006B2326">
        <w:rPr>
          <w:noProof/>
        </w:rPr>
        <w:t>-</w:t>
      </w:r>
      <w:r w:rsidRPr="006B2326">
        <w:rPr>
          <w:noProof/>
        </w:rPr>
        <w:t xml:space="preserve">treated patients. Recent (i.e., within last 6 months) transaminase and bilirubin levels should be reviewed before initiation of </w:t>
      </w:r>
      <w:r w:rsidR="00387EBC" w:rsidRPr="006B2326">
        <w:rPr>
          <w:noProof/>
        </w:rPr>
        <w:t>PONVORY</w:t>
      </w:r>
      <w:r w:rsidRPr="006B2326">
        <w:rPr>
          <w:noProof/>
        </w:rPr>
        <w:t xml:space="preserve"> therapy</w:t>
      </w:r>
      <w:r w:rsidR="00125AA9">
        <w:rPr>
          <w:noProof/>
        </w:rPr>
        <w:t>. Patients should be monitored</w:t>
      </w:r>
      <w:r w:rsidR="00934626">
        <w:rPr>
          <w:noProof/>
        </w:rPr>
        <w:t xml:space="preserve"> periodically whilst on treatment</w:t>
      </w:r>
      <w:r w:rsidRPr="006B2326">
        <w:rPr>
          <w:noProof/>
        </w:rPr>
        <w:t>.</w:t>
      </w:r>
    </w:p>
    <w:p w14:paraId="1F626D19" w14:textId="51ECD66A" w:rsidR="00B5449E" w:rsidRPr="006B2326" w:rsidDel="005639CD" w:rsidRDefault="00B5449E" w:rsidP="004C6478">
      <w:pPr>
        <w:jc w:val="left"/>
        <w:rPr>
          <w:noProof/>
        </w:rPr>
      </w:pPr>
      <w:r w:rsidRPr="005639CD">
        <w:rPr>
          <w:noProof/>
        </w:rPr>
        <w:t>In the OPTIMUM study, ALT increased to three and five times the upper limit of normal (ULN) in 17.3% and 4.6% of PONVORY-treated patients, respectively, compared to 8.3% and 2.5% of patients receiving, teriflunomide 14 mg, respectively. ALT increased eight times ULN in 0.7% PONVORY-treated patients compared to 2.1% in patients receiving teriflunomide 14 mg. The majority of elevations occurred within 6 to 12 months of starting treatment.</w:t>
      </w:r>
      <w:r>
        <w:rPr>
          <w:noProof/>
        </w:rPr>
        <w:t xml:space="preserve"> ALT levels returned to normal after discontinuation of PONVORY.</w:t>
      </w:r>
      <w:r w:rsidRPr="005639CD">
        <w:rPr>
          <w:noProof/>
        </w:rPr>
        <w:t xml:space="preserve"> Most cases of ALT increases ≥3×ULN resolved on continued PONVORY treatment, and the remaining cases resolved upon treatment discontinuation. In clinical trials, PONVORY was discontinued if the elevation exceeded a 3 fold increase and the patient showed symptoms related to hepatic dysfunction.</w:t>
      </w:r>
    </w:p>
    <w:p w14:paraId="12822A63" w14:textId="2938C784" w:rsidR="00BA60FF" w:rsidRPr="006B2326" w:rsidRDefault="00BA60FF" w:rsidP="004C6478">
      <w:pPr>
        <w:jc w:val="left"/>
        <w:rPr>
          <w:noProof/>
        </w:rPr>
      </w:pPr>
      <w:r w:rsidRPr="006B2326">
        <w:rPr>
          <w:noProof/>
        </w:rPr>
        <w:t xml:space="preserve">Patients who develop symptoms suggestive of hepatic dysfunction, such as unexplained nausea, vomiting, abdominal pain, fatigue, anorexia, rash with eosinophilia, or jaundice and/or dark urine during treatment, should be monitored for hepatotoxicity. </w:t>
      </w:r>
      <w:r w:rsidR="00387EBC" w:rsidRPr="006B2326">
        <w:rPr>
          <w:noProof/>
        </w:rPr>
        <w:t>PONVORY</w:t>
      </w:r>
      <w:r w:rsidRPr="006B2326">
        <w:rPr>
          <w:noProof/>
        </w:rPr>
        <w:t xml:space="preserve"> should be discontinued if significant liver injury is confirmed.</w:t>
      </w:r>
    </w:p>
    <w:p w14:paraId="32B18FBC" w14:textId="1C72DDC4" w:rsidR="00AE4D70" w:rsidRPr="006B2326" w:rsidRDefault="00AE4D70" w:rsidP="004C6478">
      <w:pPr>
        <w:jc w:val="left"/>
        <w:rPr>
          <w:noProof/>
        </w:rPr>
      </w:pPr>
      <w:r w:rsidRPr="006B2326">
        <w:rPr>
          <w:noProof/>
        </w:rPr>
        <w:t>No dosage adjustment is necessary in patients with mild hepatic impairment (Child-Pugh class A). PONVORY is not recommended in patients with moderate or severe hepatic impairment (Child-Pugh class B and C, respectively)</w:t>
      </w:r>
      <w:r>
        <w:rPr>
          <w:noProof/>
        </w:rPr>
        <w:t xml:space="preserve"> </w:t>
      </w:r>
      <w:r w:rsidRPr="006B2326">
        <w:rPr>
          <w:noProof/>
        </w:rPr>
        <w:t xml:space="preserve">(see </w:t>
      </w:r>
      <w:r w:rsidR="003A26D5">
        <w:rPr>
          <w:noProof/>
        </w:rPr>
        <w:t xml:space="preserve">Section 4.2 Dose and Method of Adminsitration  - Special Populations, Hepatic impairment and </w:t>
      </w:r>
      <w:r w:rsidRPr="006B2326">
        <w:t xml:space="preserve">Section </w:t>
      </w:r>
      <w:r w:rsidRPr="006B2326">
        <w:rPr>
          <w:noProof/>
        </w:rPr>
        <w:t>5.2 Pharmacokinetic Properties - Special Populations, Hepatic impairment).</w:t>
      </w:r>
    </w:p>
    <w:p w14:paraId="026CF6EF" w14:textId="77777777" w:rsidR="00BA60FF" w:rsidRPr="006B2326" w:rsidRDefault="00BA60FF" w:rsidP="004C6478">
      <w:pPr>
        <w:pStyle w:val="Heading3"/>
        <w:rPr>
          <w:noProof/>
        </w:rPr>
      </w:pPr>
      <w:r w:rsidRPr="006B2326">
        <w:rPr>
          <w:noProof/>
        </w:rPr>
        <w:t>Increased blood pressure</w:t>
      </w:r>
    </w:p>
    <w:p w14:paraId="2949D62A" w14:textId="59679C42" w:rsidR="00BA60FF" w:rsidRPr="006B2326" w:rsidRDefault="005639CD" w:rsidP="004C6478">
      <w:pPr>
        <w:jc w:val="left"/>
        <w:rPr>
          <w:noProof/>
        </w:rPr>
      </w:pPr>
      <w:r w:rsidRPr="005639CD">
        <w:rPr>
          <w:rStyle w:val="normaltextrun"/>
          <w:rFonts w:cs="Arial"/>
          <w:shd w:val="clear" w:color="auto" w:fill="FFFFFF"/>
        </w:rPr>
        <w:t xml:space="preserve">An increase in blood pressure with PONVORY was first detected after approximately 1 month of treatment initiation and persisted with continued treatment. The blood pressure values after PONVORY treatment discontinuation indicate reversibility. </w:t>
      </w:r>
      <w:r w:rsidR="00BA60FF" w:rsidRPr="006B2326">
        <w:rPr>
          <w:noProof/>
        </w:rPr>
        <w:t xml:space="preserve">Blood pressure should be monitored during treatment with </w:t>
      </w:r>
      <w:r w:rsidR="00387EBC" w:rsidRPr="006B2326">
        <w:rPr>
          <w:noProof/>
        </w:rPr>
        <w:t>PONVORY</w:t>
      </w:r>
      <w:r w:rsidR="00BA60FF" w:rsidRPr="006B2326">
        <w:rPr>
          <w:noProof/>
        </w:rPr>
        <w:t xml:space="preserve"> and managed appropriately.</w:t>
      </w:r>
    </w:p>
    <w:p w14:paraId="7A3240C0" w14:textId="551E7CDA" w:rsidR="00E07BE6" w:rsidRPr="00460ED1" w:rsidRDefault="004B66B1" w:rsidP="004C6478">
      <w:pPr>
        <w:pStyle w:val="Heading3"/>
        <w:rPr>
          <w:noProof/>
        </w:rPr>
      </w:pPr>
      <w:r w:rsidRPr="00460ED1">
        <w:rPr>
          <w:noProof/>
        </w:rPr>
        <w:t>Skin mali</w:t>
      </w:r>
      <w:r w:rsidR="00A02173" w:rsidRPr="00460ED1">
        <w:rPr>
          <w:noProof/>
        </w:rPr>
        <w:t>g</w:t>
      </w:r>
      <w:r w:rsidRPr="00460ED1">
        <w:rPr>
          <w:noProof/>
        </w:rPr>
        <w:t>nancies</w:t>
      </w:r>
    </w:p>
    <w:p w14:paraId="2734D1E6" w14:textId="4D26E160" w:rsidR="00092E02" w:rsidRPr="00736F37" w:rsidRDefault="00092E02" w:rsidP="004C6478">
      <w:pPr>
        <w:jc w:val="left"/>
      </w:pPr>
      <w:r w:rsidRPr="00736F37">
        <w:rPr>
          <w:rStyle w:val="normaltextrun"/>
          <w:rFonts w:cs="Arial"/>
          <w:shd w:val="clear" w:color="auto" w:fill="FFFFFF"/>
        </w:rPr>
        <w:t xml:space="preserve">As there is a potential risk of skin malignancies (see section 4.8 Adverse </w:t>
      </w:r>
      <w:r w:rsidR="00CA7D59" w:rsidRPr="00736F37">
        <w:rPr>
          <w:rStyle w:val="normaltextrun"/>
          <w:rFonts w:cs="Arial"/>
          <w:shd w:val="clear" w:color="auto" w:fill="FFFFFF"/>
        </w:rPr>
        <w:t>E</w:t>
      </w:r>
      <w:r w:rsidRPr="00736F37">
        <w:rPr>
          <w:rStyle w:val="normaltextrun"/>
          <w:rFonts w:cs="Arial"/>
          <w:shd w:val="clear" w:color="auto" w:fill="FFFFFF"/>
        </w:rPr>
        <w:t xml:space="preserve">ffects (Undesirable </w:t>
      </w:r>
      <w:r w:rsidR="00CA7D59" w:rsidRPr="00736F37">
        <w:rPr>
          <w:rStyle w:val="normaltextrun"/>
          <w:rFonts w:cs="Arial"/>
          <w:shd w:val="clear" w:color="auto" w:fill="FFFFFF"/>
        </w:rPr>
        <w:t>E</w:t>
      </w:r>
      <w:r w:rsidRPr="00736F37">
        <w:rPr>
          <w:rStyle w:val="normaltextrun"/>
          <w:rFonts w:cs="Arial"/>
          <w:shd w:val="clear" w:color="auto" w:fill="FFFFFF"/>
        </w:rPr>
        <w:t xml:space="preserve">ffects)), patients treated with </w:t>
      </w:r>
      <w:proofErr w:type="spellStart"/>
      <w:r w:rsidRPr="00736F37">
        <w:rPr>
          <w:rStyle w:val="normaltextrun"/>
          <w:rFonts w:cs="Arial"/>
          <w:shd w:val="clear" w:color="auto" w:fill="FFFFFF"/>
        </w:rPr>
        <w:t>ponesimod</w:t>
      </w:r>
      <w:proofErr w:type="spellEnd"/>
      <w:r w:rsidRPr="00736F37">
        <w:rPr>
          <w:rStyle w:val="normaltextrun"/>
          <w:rFonts w:cs="Arial"/>
          <w:shd w:val="clear" w:color="auto" w:fill="FFFFFF"/>
        </w:rPr>
        <w:t xml:space="preserve"> should be cautioned against exposure to sunlight without protection. These patients should not receive concomitant phototherapy with UV-B-radiation or PUVA-photochemotherapy.</w:t>
      </w:r>
      <w:r w:rsidRPr="00736F37">
        <w:rPr>
          <w:rStyle w:val="eop"/>
          <w:rFonts w:cs="Arial"/>
          <w:b/>
          <w:bCs/>
          <w:shd w:val="clear" w:color="auto" w:fill="FFFFFF"/>
        </w:rPr>
        <w:t> </w:t>
      </w:r>
    </w:p>
    <w:p w14:paraId="10A9CA9A" w14:textId="76E281A4" w:rsidR="00BA60FF" w:rsidRPr="006B2326" w:rsidRDefault="001A466C" w:rsidP="004C6478">
      <w:pPr>
        <w:pStyle w:val="Heading3"/>
        <w:rPr>
          <w:noProof/>
        </w:rPr>
      </w:pPr>
      <w:r w:rsidRPr="006B2326">
        <w:rPr>
          <w:noProof/>
        </w:rPr>
        <w:t>Fetal</w:t>
      </w:r>
      <w:r w:rsidR="00BA60FF" w:rsidRPr="006B2326">
        <w:rPr>
          <w:noProof/>
        </w:rPr>
        <w:t xml:space="preserve"> risk</w:t>
      </w:r>
    </w:p>
    <w:p w14:paraId="6C09868D" w14:textId="591F7833" w:rsidR="00BA60FF" w:rsidRPr="006B2326" w:rsidRDefault="00BA60FF" w:rsidP="004C6478">
      <w:pPr>
        <w:jc w:val="left"/>
        <w:rPr>
          <w:noProof/>
        </w:rPr>
      </w:pPr>
      <w:r w:rsidRPr="006B2326">
        <w:rPr>
          <w:noProof/>
        </w:rPr>
        <w:t xml:space="preserve">Based on animal studies, </w:t>
      </w:r>
      <w:r w:rsidR="00387EBC" w:rsidRPr="006B2326">
        <w:rPr>
          <w:noProof/>
        </w:rPr>
        <w:t>PONVORY</w:t>
      </w:r>
      <w:r w:rsidRPr="006B2326">
        <w:rPr>
          <w:noProof/>
        </w:rPr>
        <w:t xml:space="preserve"> may cause </w:t>
      </w:r>
      <w:r w:rsidR="001A466C" w:rsidRPr="006B2326">
        <w:rPr>
          <w:noProof/>
        </w:rPr>
        <w:t>fetal</w:t>
      </w:r>
      <w:r w:rsidRPr="006B2326">
        <w:rPr>
          <w:noProof/>
        </w:rPr>
        <w:t xml:space="preserve"> harm. Due to the risk to the </w:t>
      </w:r>
      <w:r w:rsidR="00B02864" w:rsidRPr="006B2326">
        <w:rPr>
          <w:noProof/>
        </w:rPr>
        <w:t>fetus</w:t>
      </w:r>
      <w:r w:rsidRPr="006B2326">
        <w:rPr>
          <w:noProof/>
        </w:rPr>
        <w:t xml:space="preserve">, </w:t>
      </w:r>
      <w:r w:rsidR="00387EBC" w:rsidRPr="006B2326">
        <w:rPr>
          <w:noProof/>
        </w:rPr>
        <w:t>PONVORY</w:t>
      </w:r>
      <w:r w:rsidRPr="006B2326">
        <w:rPr>
          <w:noProof/>
        </w:rPr>
        <w:t xml:space="preserve"> is contraindicated during pregnancy and in women of childbearing potential not using highly effective contraception (see </w:t>
      </w:r>
      <w:r w:rsidR="001A466C" w:rsidRPr="006B2326">
        <w:rPr>
          <w:noProof/>
        </w:rPr>
        <w:t xml:space="preserve">Section </w:t>
      </w:r>
      <w:r w:rsidR="00387EBC" w:rsidRPr="006B2326">
        <w:rPr>
          <w:noProof/>
        </w:rPr>
        <w:t>4.3 Contraindications</w:t>
      </w:r>
      <w:r w:rsidRPr="006B2326">
        <w:rPr>
          <w:noProof/>
        </w:rPr>
        <w:t xml:space="preserve"> and </w:t>
      </w:r>
      <w:r w:rsidR="00387EBC" w:rsidRPr="006B2326">
        <w:rPr>
          <w:noProof/>
        </w:rPr>
        <w:t>4.</w:t>
      </w:r>
      <w:r w:rsidR="00032EDC" w:rsidRPr="006B2326">
        <w:rPr>
          <w:noProof/>
        </w:rPr>
        <w:t>6</w:t>
      </w:r>
      <w:r w:rsidR="00387EBC" w:rsidRPr="006B2326">
        <w:rPr>
          <w:noProof/>
        </w:rPr>
        <w:t xml:space="preserve"> Fertility, Pregnancy and Lactation</w:t>
      </w:r>
      <w:r w:rsidRPr="006B2326">
        <w:rPr>
          <w:noProof/>
        </w:rPr>
        <w:t xml:space="preserve">). Because it takes approximately 1 week to eliminate </w:t>
      </w:r>
      <w:r w:rsidR="00387EBC" w:rsidRPr="006B2326">
        <w:rPr>
          <w:noProof/>
        </w:rPr>
        <w:t>PONVORY</w:t>
      </w:r>
      <w:r w:rsidRPr="006B2326">
        <w:rPr>
          <w:noProof/>
        </w:rPr>
        <w:t xml:space="preserve"> </w:t>
      </w:r>
      <w:r w:rsidRPr="006B2326">
        <w:rPr>
          <w:noProof/>
        </w:rPr>
        <w:lastRenderedPageBreak/>
        <w:t xml:space="preserve">from the body, women of childbearing potential should use highly effective contraception to avoid pregnancy during and for 1 week after stopping </w:t>
      </w:r>
      <w:r w:rsidR="00387EBC" w:rsidRPr="006B2326">
        <w:rPr>
          <w:noProof/>
        </w:rPr>
        <w:t>PONVORY</w:t>
      </w:r>
      <w:r w:rsidRPr="006B2326">
        <w:rPr>
          <w:noProof/>
        </w:rPr>
        <w:t xml:space="preserve"> treatment.</w:t>
      </w:r>
    </w:p>
    <w:p w14:paraId="447BBD38" w14:textId="77777777" w:rsidR="00BA60FF" w:rsidRPr="006B2326" w:rsidRDefault="00BA60FF" w:rsidP="004C6478">
      <w:pPr>
        <w:pStyle w:val="Heading3"/>
        <w:rPr>
          <w:noProof/>
        </w:rPr>
      </w:pPr>
      <w:r w:rsidRPr="006B2326">
        <w:rPr>
          <w:noProof/>
        </w:rPr>
        <w:t>Posterior reversible encephalopathy syndrome</w:t>
      </w:r>
    </w:p>
    <w:p w14:paraId="5A16D9B2" w14:textId="5DE54C20" w:rsidR="00BA60FF" w:rsidRPr="006B2326" w:rsidRDefault="00BA60FF" w:rsidP="004C6478">
      <w:pPr>
        <w:jc w:val="left"/>
        <w:rPr>
          <w:noProof/>
        </w:rPr>
      </w:pPr>
      <w:r w:rsidRPr="006B2326">
        <w:rPr>
          <w:noProof/>
        </w:rPr>
        <w:t>Rare cases of posterior reversible encephalopathy syndrome (PRES) have been reported in patients receiving a sphingosine 1</w:t>
      </w:r>
      <w:r w:rsidR="00B02864" w:rsidRPr="006B2326">
        <w:rPr>
          <w:noProof/>
        </w:rPr>
        <w:t>-</w:t>
      </w:r>
      <w:r w:rsidRPr="006B2326">
        <w:rPr>
          <w:noProof/>
        </w:rPr>
        <w:t xml:space="preserve">phosphate (S1P) receptor modulator. Such events have not been reported for </w:t>
      </w:r>
      <w:r w:rsidR="00387EBC" w:rsidRPr="006B2326">
        <w:rPr>
          <w:noProof/>
        </w:rPr>
        <w:t>PONVORY</w:t>
      </w:r>
      <w:r w:rsidR="00B02864" w:rsidRPr="006B2326">
        <w:rPr>
          <w:noProof/>
        </w:rPr>
        <w:t>-</w:t>
      </w:r>
      <w:r w:rsidRPr="006B2326">
        <w:rPr>
          <w:noProof/>
        </w:rPr>
        <w:t xml:space="preserve">treated patients in the development program. However, should a </w:t>
      </w:r>
      <w:r w:rsidR="00387EBC" w:rsidRPr="006B2326">
        <w:rPr>
          <w:noProof/>
        </w:rPr>
        <w:t>PONVORY</w:t>
      </w:r>
      <w:r w:rsidR="00B02864" w:rsidRPr="006B2326">
        <w:rPr>
          <w:noProof/>
        </w:rPr>
        <w:t>-</w:t>
      </w:r>
      <w:r w:rsidRPr="006B2326">
        <w:rPr>
          <w:noProof/>
        </w:rPr>
        <w:t>treated patient develop any unexpected neurological or psychiatric symptoms/signs (e.g., cognitive deficits, behavio</w:t>
      </w:r>
      <w:r w:rsidR="00474B62" w:rsidRPr="006B2326">
        <w:rPr>
          <w:noProof/>
        </w:rPr>
        <w:t>u</w:t>
      </w:r>
      <w:r w:rsidRPr="006B2326">
        <w:rPr>
          <w:noProof/>
        </w:rPr>
        <w:t xml:space="preserve">ral changes, cortical visual disturbances, or any other neurological cortical symptoms/signs), any symptom/sign suggestive of an increase of intracranial pressure, or accelerated neurological deterioration, the physician should promptly schedule a complete physical and neurological examination and should consider a MRI. Symptoms of PRES are usually reversible but may evolve into </w:t>
      </w:r>
      <w:r w:rsidR="00453F57" w:rsidRPr="006B2326">
        <w:rPr>
          <w:noProof/>
        </w:rPr>
        <w:t>ischaemic</w:t>
      </w:r>
      <w:r w:rsidRPr="006B2326">
        <w:rPr>
          <w:noProof/>
        </w:rPr>
        <w:t xml:space="preserve"> stroke or cerebral h</w:t>
      </w:r>
      <w:r w:rsidR="00474B62" w:rsidRPr="006B2326">
        <w:rPr>
          <w:noProof/>
        </w:rPr>
        <w:t>a</w:t>
      </w:r>
      <w:r w:rsidRPr="006B2326">
        <w:rPr>
          <w:noProof/>
        </w:rPr>
        <w:t xml:space="preserve">emorrhage. Delay in diagnosis and treatment may lead to permanent neurological sequelae. If PRES is suspected, </w:t>
      </w:r>
      <w:r w:rsidR="00387EBC" w:rsidRPr="006B2326">
        <w:rPr>
          <w:noProof/>
        </w:rPr>
        <w:t>PONVORY</w:t>
      </w:r>
      <w:r w:rsidRPr="006B2326">
        <w:rPr>
          <w:noProof/>
        </w:rPr>
        <w:t xml:space="preserve"> should be discontinued.</w:t>
      </w:r>
    </w:p>
    <w:p w14:paraId="39AA5F07" w14:textId="56486D22" w:rsidR="00BA60FF" w:rsidRPr="006B2326" w:rsidRDefault="00BA60FF" w:rsidP="004C6478">
      <w:pPr>
        <w:pStyle w:val="Heading3"/>
      </w:pPr>
      <w:r w:rsidRPr="006B2326">
        <w:t xml:space="preserve">Unintended additive immunosuppressive effects from prior treatment with </w:t>
      </w:r>
      <w:r w:rsidR="00066D4A" w:rsidRPr="006B2326">
        <w:t xml:space="preserve">immune-modulating or </w:t>
      </w:r>
      <w:r w:rsidRPr="006B2326">
        <w:t>immunosuppressive therapies</w:t>
      </w:r>
    </w:p>
    <w:p w14:paraId="580C4F75" w14:textId="4801832F" w:rsidR="00BA60FF" w:rsidRPr="006B2326" w:rsidRDefault="00BA60FF" w:rsidP="004C6478">
      <w:pPr>
        <w:jc w:val="left"/>
        <w:rPr>
          <w:noProof/>
        </w:rPr>
      </w:pPr>
      <w:r w:rsidRPr="006B2326">
        <w:rPr>
          <w:noProof/>
        </w:rPr>
        <w:t>When switching from drugs with prolonged immune effects, the half</w:t>
      </w:r>
      <w:r w:rsidR="00474B62" w:rsidRPr="006B2326">
        <w:rPr>
          <w:noProof/>
        </w:rPr>
        <w:t>-</w:t>
      </w:r>
      <w:r w:rsidRPr="006B2326">
        <w:rPr>
          <w:noProof/>
        </w:rPr>
        <w:t xml:space="preserve">life and mode of action of these drugs must be considered in order to avoid unintended additive effects on the immune system while at the same time minimizing risk of disease reactivation, when initiating </w:t>
      </w:r>
      <w:r w:rsidR="00387EBC" w:rsidRPr="006B2326">
        <w:rPr>
          <w:noProof/>
        </w:rPr>
        <w:t>PONVORY</w:t>
      </w:r>
      <w:r w:rsidRPr="006B2326">
        <w:rPr>
          <w:noProof/>
        </w:rPr>
        <w:t>.</w:t>
      </w:r>
    </w:p>
    <w:p w14:paraId="6B511305" w14:textId="0CA6E47F" w:rsidR="00BA60FF" w:rsidRPr="006B2326" w:rsidRDefault="00BA60FF" w:rsidP="004C6478">
      <w:pPr>
        <w:pStyle w:val="Heading3"/>
        <w:rPr>
          <w:noProof/>
        </w:rPr>
      </w:pPr>
      <w:r w:rsidRPr="006B2326">
        <w:rPr>
          <w:noProof/>
        </w:rPr>
        <w:t xml:space="preserve">Severe exacerbation of disease after stopping </w:t>
      </w:r>
      <w:r w:rsidR="00387EBC" w:rsidRPr="006B2326">
        <w:rPr>
          <w:noProof/>
        </w:rPr>
        <w:t>PONVORY</w:t>
      </w:r>
    </w:p>
    <w:p w14:paraId="205386A7" w14:textId="2828A297" w:rsidR="00BA60FF" w:rsidRPr="006B2326" w:rsidRDefault="00BA60FF" w:rsidP="004C6478">
      <w:pPr>
        <w:jc w:val="left"/>
        <w:rPr>
          <w:noProof/>
        </w:rPr>
      </w:pPr>
      <w:r w:rsidRPr="006B2326">
        <w:rPr>
          <w:noProof/>
        </w:rPr>
        <w:t xml:space="preserve">Severe exacerbation of disease, including disease rebound, has been rarely reported after discontinuation of a S1P receptor modulator. The possibility of severe exacerbation of disease should be considered after stopping </w:t>
      </w:r>
      <w:r w:rsidR="00387EBC" w:rsidRPr="006B2326">
        <w:rPr>
          <w:noProof/>
        </w:rPr>
        <w:t>PONVORY</w:t>
      </w:r>
      <w:r w:rsidRPr="006B2326">
        <w:rPr>
          <w:noProof/>
        </w:rPr>
        <w:t xml:space="preserve"> treatment. Patients should be observed for a severe increase in disability upon </w:t>
      </w:r>
      <w:r w:rsidR="00387EBC" w:rsidRPr="006B2326">
        <w:rPr>
          <w:noProof/>
        </w:rPr>
        <w:t>PONVORY</w:t>
      </w:r>
      <w:r w:rsidRPr="006B2326">
        <w:rPr>
          <w:noProof/>
        </w:rPr>
        <w:t xml:space="preserve"> discontinuation and appropriate treatment should be instituted, as required.</w:t>
      </w:r>
    </w:p>
    <w:p w14:paraId="3F61746F" w14:textId="1F3AF2C3" w:rsidR="00BA60FF" w:rsidRPr="006B2326" w:rsidRDefault="00BA60FF" w:rsidP="004C6478">
      <w:pPr>
        <w:pStyle w:val="Heading3"/>
        <w:rPr>
          <w:noProof/>
        </w:rPr>
      </w:pPr>
      <w:r w:rsidRPr="006B2326">
        <w:rPr>
          <w:noProof/>
        </w:rPr>
        <w:t xml:space="preserve">Reversibility of immune system effects after stopping </w:t>
      </w:r>
      <w:r w:rsidR="00387EBC" w:rsidRPr="006B2326">
        <w:rPr>
          <w:noProof/>
        </w:rPr>
        <w:t>PONVORY</w:t>
      </w:r>
    </w:p>
    <w:p w14:paraId="18BC8FE8" w14:textId="4DEE2953" w:rsidR="00BA60FF" w:rsidRPr="006B2326" w:rsidRDefault="00BA60FF" w:rsidP="004C6478">
      <w:pPr>
        <w:jc w:val="left"/>
        <w:rPr>
          <w:noProof/>
        </w:rPr>
      </w:pPr>
      <w:r w:rsidRPr="006B2326">
        <w:rPr>
          <w:noProof/>
        </w:rPr>
        <w:t xml:space="preserve">After stopping </w:t>
      </w:r>
      <w:r w:rsidR="00387EBC" w:rsidRPr="006B2326">
        <w:rPr>
          <w:noProof/>
        </w:rPr>
        <w:t>PONVORY</w:t>
      </w:r>
      <w:r w:rsidRPr="006B2326">
        <w:rPr>
          <w:noProof/>
        </w:rPr>
        <w:t xml:space="preserve"> therapy, ponesimod remains in the blood for up to 1 week.</w:t>
      </w:r>
    </w:p>
    <w:p w14:paraId="14E978FF" w14:textId="0F49C8B6" w:rsidR="00BA60FF" w:rsidRPr="006B2326" w:rsidRDefault="00BA60FF" w:rsidP="004C6478">
      <w:pPr>
        <w:jc w:val="left"/>
        <w:rPr>
          <w:noProof/>
        </w:rPr>
      </w:pPr>
      <w:r w:rsidRPr="006B2326">
        <w:rPr>
          <w:noProof/>
        </w:rPr>
        <w:t xml:space="preserve">Pharmacokinetic/pharmacodynamic modeling indicates lymphocyte counts returned to the normal range in &gt;90% of healthy subjects within 1 week of stopping therapy (see </w:t>
      </w:r>
      <w:r w:rsidR="001A466C" w:rsidRPr="006B2326">
        <w:rPr>
          <w:noProof/>
        </w:rPr>
        <w:t xml:space="preserve">Section 5.1 Pharmacodynamic Properties - </w:t>
      </w:r>
      <w:r w:rsidRPr="006B2326">
        <w:rPr>
          <w:noProof/>
        </w:rPr>
        <w:t xml:space="preserve">Pharmacodynamic </w:t>
      </w:r>
      <w:r w:rsidR="00474B62" w:rsidRPr="006B2326">
        <w:rPr>
          <w:noProof/>
        </w:rPr>
        <w:t>E</w:t>
      </w:r>
      <w:r w:rsidRPr="006B2326">
        <w:rPr>
          <w:noProof/>
        </w:rPr>
        <w:t>ffects - Immune System). In the development program, pharmacodynamic effects, such as lowering of peripheral lymphocyte counts, were restored to normal within 1 week after the last dose.</w:t>
      </w:r>
    </w:p>
    <w:p w14:paraId="28961508" w14:textId="5127E4AD" w:rsidR="008845D5" w:rsidRPr="006B2326" w:rsidRDefault="00BA60FF" w:rsidP="004C6478">
      <w:pPr>
        <w:jc w:val="left"/>
        <w:rPr>
          <w:noProof/>
        </w:rPr>
      </w:pPr>
      <w:r w:rsidRPr="006B2326">
        <w:rPr>
          <w:noProof/>
        </w:rPr>
        <w:t xml:space="preserve">Use of immunosuppressants may lead to an additive effect on the immune system, and therefore caution should be applied up to 1 week after the last dose of </w:t>
      </w:r>
      <w:r w:rsidR="00387EBC" w:rsidRPr="006B2326">
        <w:rPr>
          <w:noProof/>
        </w:rPr>
        <w:t>PONVORY</w:t>
      </w:r>
      <w:r w:rsidRPr="006B2326">
        <w:rPr>
          <w:noProof/>
        </w:rPr>
        <w:t>.</w:t>
      </w:r>
    </w:p>
    <w:p w14:paraId="5CD061D4" w14:textId="49359B5D" w:rsidR="00403AC3" w:rsidRPr="006B2326" w:rsidRDefault="00403AC3" w:rsidP="004C6478">
      <w:pPr>
        <w:pStyle w:val="Heading3"/>
        <w:rPr>
          <w:lang w:val="en-AU"/>
        </w:rPr>
      </w:pPr>
      <w:r w:rsidRPr="006B2326">
        <w:rPr>
          <w:lang w:val="en-AU"/>
        </w:rPr>
        <w:t>Use in elderly</w:t>
      </w:r>
    </w:p>
    <w:p w14:paraId="0615085A" w14:textId="42E0E97E" w:rsidR="00732BA4" w:rsidRPr="006B2326" w:rsidRDefault="00732BA4" w:rsidP="004C6478">
      <w:pPr>
        <w:jc w:val="left"/>
        <w:rPr>
          <w:lang w:val="en-AU"/>
        </w:rPr>
      </w:pPr>
      <w:r w:rsidRPr="006B2326">
        <w:rPr>
          <w:lang w:val="en-AU"/>
        </w:rPr>
        <w:t>Refer to Section 4.2</w:t>
      </w:r>
      <w:r w:rsidR="00032EDC" w:rsidRPr="006B2326">
        <w:rPr>
          <w:noProof/>
        </w:rPr>
        <w:t xml:space="preserve"> Dose and Method of Administration</w:t>
      </w:r>
      <w:r w:rsidRPr="006B2326">
        <w:rPr>
          <w:lang w:val="en-AU"/>
        </w:rPr>
        <w:t>.</w:t>
      </w:r>
    </w:p>
    <w:p w14:paraId="17881D3F" w14:textId="3C84D810" w:rsidR="00403AC3" w:rsidRPr="006B2326" w:rsidRDefault="00403AC3" w:rsidP="004C6478">
      <w:pPr>
        <w:pStyle w:val="Heading3"/>
        <w:rPr>
          <w:lang w:val="en-AU"/>
        </w:rPr>
      </w:pPr>
      <w:r w:rsidRPr="006B2326">
        <w:rPr>
          <w:lang w:val="en-AU"/>
        </w:rPr>
        <w:t>Use in paediatric</w:t>
      </w:r>
    </w:p>
    <w:p w14:paraId="4F61ABD0" w14:textId="108D9E45" w:rsidR="00732BA4" w:rsidRPr="006B2326" w:rsidRDefault="00732BA4" w:rsidP="004C6478">
      <w:pPr>
        <w:jc w:val="left"/>
        <w:rPr>
          <w:lang w:val="en-AU"/>
        </w:rPr>
      </w:pPr>
      <w:r w:rsidRPr="006B2326">
        <w:rPr>
          <w:lang w:val="en-AU"/>
        </w:rPr>
        <w:t>Refer to Section 4.2</w:t>
      </w:r>
      <w:r w:rsidR="00032EDC" w:rsidRPr="006B2326">
        <w:rPr>
          <w:lang w:val="en-AU"/>
        </w:rPr>
        <w:t xml:space="preserve"> </w:t>
      </w:r>
      <w:r w:rsidR="00032EDC" w:rsidRPr="006B2326">
        <w:rPr>
          <w:noProof/>
        </w:rPr>
        <w:t>Dose and Method of Administration</w:t>
      </w:r>
    </w:p>
    <w:p w14:paraId="1F0C516E" w14:textId="00D74074" w:rsidR="00BB04B9" w:rsidRPr="006B2326" w:rsidRDefault="0024086F" w:rsidP="004C6478">
      <w:pPr>
        <w:pStyle w:val="Heading3"/>
        <w:rPr>
          <w:lang w:val="en-AU"/>
        </w:rPr>
      </w:pPr>
      <w:r w:rsidRPr="006B2326">
        <w:rPr>
          <w:lang w:val="en-AU"/>
        </w:rPr>
        <w:t>Effects on laboratory tests</w:t>
      </w:r>
    </w:p>
    <w:p w14:paraId="04D09141" w14:textId="649F47EE" w:rsidR="008F405C" w:rsidRPr="006B2326" w:rsidRDefault="00E272A3" w:rsidP="004C6478">
      <w:pPr>
        <w:jc w:val="left"/>
        <w:rPr>
          <w:rFonts w:eastAsiaTheme="majorEastAsia" w:cstheme="majorBidi"/>
          <w:bCs/>
          <w:szCs w:val="24"/>
          <w:lang w:val="en-AU"/>
        </w:rPr>
      </w:pPr>
      <w:r w:rsidRPr="006B2326">
        <w:rPr>
          <w:rFonts w:eastAsiaTheme="majorEastAsia" w:cstheme="majorBidi"/>
          <w:bCs/>
          <w:szCs w:val="24"/>
          <w:lang w:val="en-AU"/>
        </w:rPr>
        <w:t>No data available</w:t>
      </w:r>
      <w:r w:rsidR="00732BA4" w:rsidRPr="006B2326">
        <w:rPr>
          <w:rFonts w:eastAsiaTheme="majorEastAsia" w:cstheme="majorBidi"/>
          <w:bCs/>
          <w:szCs w:val="24"/>
          <w:lang w:val="en-AU"/>
        </w:rPr>
        <w:t>.</w:t>
      </w:r>
    </w:p>
    <w:p w14:paraId="50BAF307" w14:textId="703D5D29" w:rsidR="00D92B0C" w:rsidRPr="006B2326" w:rsidRDefault="00D92B0C" w:rsidP="004C6478">
      <w:pPr>
        <w:pStyle w:val="Heading2"/>
        <w:rPr>
          <w:lang w:val="en-AU"/>
        </w:rPr>
      </w:pPr>
      <w:r w:rsidRPr="006B2326">
        <w:rPr>
          <w:lang w:val="en-AU"/>
        </w:rPr>
        <w:lastRenderedPageBreak/>
        <w:t>Interactions with other Medicines</w:t>
      </w:r>
      <w:r w:rsidR="00D94276" w:rsidRPr="006B2326">
        <w:rPr>
          <w:lang w:val="en-AU"/>
        </w:rPr>
        <w:t xml:space="preserve"> AND OTHER FORMS OF INTERACTIONS</w:t>
      </w:r>
    </w:p>
    <w:p w14:paraId="5A23F0FD" w14:textId="0B4F6EB4" w:rsidR="0041319B" w:rsidRPr="006B2326" w:rsidRDefault="0041319B" w:rsidP="004C6478">
      <w:pPr>
        <w:pStyle w:val="Heading3"/>
        <w:rPr>
          <w:noProof/>
        </w:rPr>
      </w:pPr>
      <w:r w:rsidRPr="006B2326">
        <w:rPr>
          <w:noProof/>
        </w:rPr>
        <w:t>Anti</w:t>
      </w:r>
      <w:r w:rsidRPr="006B2326">
        <w:rPr>
          <w:noProof/>
        </w:rPr>
        <w:noBreakHyphen/>
        <w:t>neoplastic, immune</w:t>
      </w:r>
      <w:r w:rsidRPr="006B2326">
        <w:rPr>
          <w:noProof/>
        </w:rPr>
        <w:noBreakHyphen/>
        <w:t>modulating, or immunosuppressive therapies</w:t>
      </w:r>
    </w:p>
    <w:p w14:paraId="1138E59C" w14:textId="3B73C739" w:rsidR="001C4E04" w:rsidRPr="006B2326" w:rsidRDefault="00387EBC" w:rsidP="004C6478">
      <w:pPr>
        <w:jc w:val="left"/>
        <w:rPr>
          <w:noProof/>
        </w:rPr>
      </w:pPr>
      <w:r w:rsidRPr="006B2326">
        <w:rPr>
          <w:noProof/>
        </w:rPr>
        <w:t>PONVORY</w:t>
      </w:r>
      <w:r w:rsidR="001C4E04" w:rsidRPr="006B2326">
        <w:rPr>
          <w:noProof/>
        </w:rPr>
        <w:t xml:space="preserve"> has not been studied in combination with anti-neoplastic, immune-modulating, or immunosuppressive therapies. Caution should be used during concomitant administration because of the risk of additive immune effects during such therapy and in the weeks following administration (see </w:t>
      </w:r>
      <w:r w:rsidR="001A466C" w:rsidRPr="006B2326">
        <w:rPr>
          <w:noProof/>
        </w:rPr>
        <w:t xml:space="preserve">Section </w:t>
      </w:r>
      <w:r w:rsidRPr="006B2326">
        <w:rPr>
          <w:noProof/>
        </w:rPr>
        <w:t xml:space="preserve">4.4 Special Warnings and Precautions </w:t>
      </w:r>
      <w:r w:rsidR="001A466C" w:rsidRPr="006B2326">
        <w:rPr>
          <w:noProof/>
        </w:rPr>
        <w:t>f</w:t>
      </w:r>
      <w:r w:rsidRPr="006B2326">
        <w:rPr>
          <w:noProof/>
        </w:rPr>
        <w:t>or Use</w:t>
      </w:r>
      <w:r w:rsidR="001C4E04" w:rsidRPr="006B2326">
        <w:rPr>
          <w:noProof/>
        </w:rPr>
        <w:t xml:space="preserve"> - Infection</w:t>
      </w:r>
      <w:r w:rsidR="00776116" w:rsidRPr="006B2326">
        <w:rPr>
          <w:noProof/>
        </w:rPr>
        <w:t>s</w:t>
      </w:r>
      <w:r w:rsidR="001C4E04" w:rsidRPr="006B2326">
        <w:rPr>
          <w:noProof/>
        </w:rPr>
        <w:t>).</w:t>
      </w:r>
    </w:p>
    <w:p w14:paraId="4ECD5329" w14:textId="5AC79463" w:rsidR="001C4E04" w:rsidRDefault="001C4E04" w:rsidP="004C6478">
      <w:pPr>
        <w:jc w:val="left"/>
        <w:rPr>
          <w:noProof/>
        </w:rPr>
      </w:pPr>
      <w:r w:rsidRPr="006B2326">
        <w:rPr>
          <w:noProof/>
        </w:rPr>
        <w:t>When switching from drugs with prolonged immune effects, the half</w:t>
      </w:r>
      <w:r w:rsidR="00474B62" w:rsidRPr="006B2326">
        <w:rPr>
          <w:noProof/>
        </w:rPr>
        <w:t>-</w:t>
      </w:r>
      <w:r w:rsidRPr="006B2326">
        <w:rPr>
          <w:noProof/>
        </w:rPr>
        <w:t xml:space="preserve">life and mode of action of these drugs must be considered in order to avoid unintended additive effects on the immune system (see </w:t>
      </w:r>
      <w:r w:rsidR="001A466C" w:rsidRPr="006B2326">
        <w:rPr>
          <w:noProof/>
        </w:rPr>
        <w:t xml:space="preserve">Section </w:t>
      </w:r>
      <w:r w:rsidR="00387EBC" w:rsidRPr="006B2326">
        <w:rPr>
          <w:noProof/>
        </w:rPr>
        <w:t xml:space="preserve">4.4 Special Warnings and Precautions </w:t>
      </w:r>
      <w:r w:rsidR="00776116" w:rsidRPr="006B2326">
        <w:rPr>
          <w:noProof/>
        </w:rPr>
        <w:t>f</w:t>
      </w:r>
      <w:r w:rsidR="00387EBC" w:rsidRPr="006B2326">
        <w:rPr>
          <w:noProof/>
        </w:rPr>
        <w:t>or Use</w:t>
      </w:r>
      <w:r w:rsidRPr="006B2326">
        <w:rPr>
          <w:noProof/>
        </w:rPr>
        <w:t xml:space="preserve"> </w:t>
      </w:r>
      <w:r w:rsidR="00776116" w:rsidRPr="006B2326">
        <w:rPr>
          <w:noProof/>
        </w:rPr>
        <w:t>–</w:t>
      </w:r>
      <w:r w:rsidRPr="006B2326">
        <w:rPr>
          <w:noProof/>
        </w:rPr>
        <w:t xml:space="preserve"> Prior</w:t>
      </w:r>
      <w:r w:rsidR="00776116" w:rsidRPr="006B2326">
        <w:rPr>
          <w:noProof/>
        </w:rPr>
        <w:t xml:space="preserve"> and Concomitant</w:t>
      </w:r>
      <w:r w:rsidRPr="006B2326">
        <w:rPr>
          <w:noProof/>
        </w:rPr>
        <w:t xml:space="preserve"> Treatment With</w:t>
      </w:r>
      <w:r w:rsidR="00776116" w:rsidRPr="006B2326">
        <w:rPr>
          <w:noProof/>
        </w:rPr>
        <w:t xml:space="preserve"> Anti-neoplastic, </w:t>
      </w:r>
      <w:r w:rsidRPr="006B2326">
        <w:rPr>
          <w:noProof/>
        </w:rPr>
        <w:t>Immune-Modulating</w:t>
      </w:r>
      <w:r w:rsidR="00776116" w:rsidRPr="006B2326">
        <w:rPr>
          <w:noProof/>
        </w:rPr>
        <w:t xml:space="preserve"> or Immunosuppressive</w:t>
      </w:r>
      <w:r w:rsidRPr="006B2326">
        <w:rPr>
          <w:noProof/>
        </w:rPr>
        <w:t xml:space="preserve"> Therapies).</w:t>
      </w:r>
    </w:p>
    <w:p w14:paraId="35FC1C4B" w14:textId="77777777" w:rsidR="001C4E04" w:rsidRPr="006B2326" w:rsidRDefault="001C4E04" w:rsidP="00A8799E">
      <w:pPr>
        <w:pStyle w:val="Heading3"/>
        <w:rPr>
          <w:noProof/>
        </w:rPr>
      </w:pPr>
      <w:r w:rsidRPr="006B2326">
        <w:rPr>
          <w:noProof/>
        </w:rPr>
        <w:t>Anti-arrhythmic drugs, QT prolonging drugs, drugs that may decrease heart rate</w:t>
      </w:r>
    </w:p>
    <w:p w14:paraId="23D63F44" w14:textId="7796144B" w:rsidR="001C4E04" w:rsidRPr="006B2326" w:rsidRDefault="00387EBC" w:rsidP="004C6478">
      <w:pPr>
        <w:jc w:val="left"/>
        <w:rPr>
          <w:noProof/>
        </w:rPr>
      </w:pPr>
      <w:r w:rsidRPr="006B2326">
        <w:rPr>
          <w:noProof/>
        </w:rPr>
        <w:t>PONVORY</w:t>
      </w:r>
      <w:r w:rsidR="001C4E04" w:rsidRPr="006B2326">
        <w:rPr>
          <w:noProof/>
        </w:rPr>
        <w:t xml:space="preserve"> has not been studied in patients taking QT prolonging drugs.</w:t>
      </w:r>
    </w:p>
    <w:p w14:paraId="6D45DB42" w14:textId="2724320E" w:rsidR="001C4E04" w:rsidRPr="006B2326" w:rsidRDefault="001C4E04" w:rsidP="004C6478">
      <w:pPr>
        <w:jc w:val="left"/>
        <w:rPr>
          <w:noProof/>
        </w:rPr>
      </w:pPr>
      <w:r w:rsidRPr="006B2326">
        <w:rPr>
          <w:noProof/>
        </w:rPr>
        <w:t xml:space="preserve">Class Ia (e.g., quinidine, procainamide) and Class III (e.g., amiodarone, sotalol) anti-arrhythmic drugs have been associated with cases of Torsades de Pointes in patients with bradycardia. If treatment with </w:t>
      </w:r>
      <w:r w:rsidR="00387EBC" w:rsidRPr="006B2326">
        <w:rPr>
          <w:noProof/>
        </w:rPr>
        <w:t>PONVORY</w:t>
      </w:r>
      <w:r w:rsidRPr="006B2326">
        <w:rPr>
          <w:noProof/>
        </w:rPr>
        <w:t xml:space="preserve"> is considered, advice from a cardiologist should be sought.</w:t>
      </w:r>
    </w:p>
    <w:p w14:paraId="2BF95EBA" w14:textId="10A5F7D1" w:rsidR="001C4E04" w:rsidRPr="006B2326" w:rsidRDefault="001C4E04" w:rsidP="004C6478">
      <w:pPr>
        <w:jc w:val="left"/>
        <w:rPr>
          <w:noProof/>
        </w:rPr>
      </w:pPr>
      <w:r w:rsidRPr="006B2326">
        <w:rPr>
          <w:noProof/>
        </w:rPr>
        <w:t xml:space="preserve">Because of the potential additive effects on heart rate, treatment with </w:t>
      </w:r>
      <w:r w:rsidR="00387EBC" w:rsidRPr="006B2326">
        <w:rPr>
          <w:noProof/>
        </w:rPr>
        <w:t>PONVORY</w:t>
      </w:r>
      <w:r w:rsidRPr="006B2326">
        <w:rPr>
          <w:noProof/>
        </w:rPr>
        <w:t xml:space="preserve"> should generally not be initiated in patients who are concurrently treated with QT prolonging drugs with known arrhythmogenic properties, heart rate lowering calcium channel blockers (e.g., verapamil, diltiazem), or other drugs that may decrease heart rate (e.g., digoxin) (see </w:t>
      </w:r>
      <w:r w:rsidR="001A466C" w:rsidRPr="006B2326">
        <w:rPr>
          <w:noProof/>
        </w:rPr>
        <w:t xml:space="preserve">Section </w:t>
      </w:r>
      <w:r w:rsidR="00387EBC" w:rsidRPr="006B2326">
        <w:rPr>
          <w:noProof/>
        </w:rPr>
        <w:t xml:space="preserve">4.4 Special Warnings and Precautions </w:t>
      </w:r>
      <w:r w:rsidR="001A466C" w:rsidRPr="006B2326">
        <w:rPr>
          <w:noProof/>
        </w:rPr>
        <w:t>f</w:t>
      </w:r>
      <w:r w:rsidR="00387EBC" w:rsidRPr="006B2326">
        <w:rPr>
          <w:noProof/>
        </w:rPr>
        <w:t>or Use</w:t>
      </w:r>
      <w:r w:rsidRPr="006B2326">
        <w:rPr>
          <w:noProof/>
        </w:rPr>
        <w:t xml:space="preserve"> - Bradyarrhythmia and Atrioventricular Conduction Delays and </w:t>
      </w:r>
      <w:r w:rsidR="00E30C50" w:rsidRPr="006B2326">
        <w:rPr>
          <w:noProof/>
        </w:rPr>
        <w:t xml:space="preserve">4.5 Interactions with Other Medicines and Other Forms of Interactions </w:t>
      </w:r>
      <w:r w:rsidRPr="006B2326">
        <w:rPr>
          <w:noProof/>
        </w:rPr>
        <w:t xml:space="preserve">- Beta-Blockers). If treatment with </w:t>
      </w:r>
      <w:r w:rsidR="00387EBC" w:rsidRPr="006B2326">
        <w:rPr>
          <w:noProof/>
        </w:rPr>
        <w:t>PONVORY</w:t>
      </w:r>
      <w:r w:rsidRPr="006B2326">
        <w:rPr>
          <w:noProof/>
        </w:rPr>
        <w:t xml:space="preserve"> is considered, advice from a cardiologist should be sought regarding the potential need to switch medications that have heart</w:t>
      </w:r>
      <w:r w:rsidR="00F90268">
        <w:rPr>
          <w:noProof/>
        </w:rPr>
        <w:t xml:space="preserve"> </w:t>
      </w:r>
      <w:r w:rsidRPr="006B2326">
        <w:rPr>
          <w:noProof/>
        </w:rPr>
        <w:t>rate lowering effects and how to best monitor patients during treatment initiation.</w:t>
      </w:r>
    </w:p>
    <w:p w14:paraId="18B3C0D7" w14:textId="77777777" w:rsidR="001C4E04" w:rsidRPr="006B2326" w:rsidRDefault="001C4E04" w:rsidP="004C6478">
      <w:pPr>
        <w:pStyle w:val="Heading3"/>
        <w:rPr>
          <w:noProof/>
        </w:rPr>
      </w:pPr>
      <w:r w:rsidRPr="006B2326">
        <w:rPr>
          <w:noProof/>
        </w:rPr>
        <w:t>Beta-blockers</w:t>
      </w:r>
    </w:p>
    <w:p w14:paraId="42F9C595" w14:textId="04081BE3" w:rsidR="001C4E04" w:rsidRPr="006B2326" w:rsidRDefault="001C4E04" w:rsidP="004C6478">
      <w:pPr>
        <w:jc w:val="left"/>
        <w:rPr>
          <w:noProof/>
        </w:rPr>
      </w:pPr>
      <w:r w:rsidRPr="006B2326">
        <w:rPr>
          <w:noProof/>
        </w:rPr>
        <w:t xml:space="preserve">Caution should be applied when </w:t>
      </w:r>
      <w:r w:rsidR="00387EBC" w:rsidRPr="006B2326">
        <w:rPr>
          <w:noProof/>
        </w:rPr>
        <w:t>PONVORY</w:t>
      </w:r>
      <w:r w:rsidRPr="006B2326">
        <w:rPr>
          <w:noProof/>
        </w:rPr>
        <w:t xml:space="preserve"> is initiated in patients receiving treatment with a beta</w:t>
      </w:r>
      <w:r w:rsidR="00776116" w:rsidRPr="006B2326">
        <w:rPr>
          <w:noProof/>
        </w:rPr>
        <w:t>-</w:t>
      </w:r>
      <w:r w:rsidRPr="006B2326">
        <w:rPr>
          <w:noProof/>
        </w:rPr>
        <w:t>blocker because of the additive effects on lowering heart rate; temporary interruption of the beta</w:t>
      </w:r>
      <w:r w:rsidR="00776116" w:rsidRPr="006B2326">
        <w:rPr>
          <w:noProof/>
        </w:rPr>
        <w:t>-</w:t>
      </w:r>
      <w:r w:rsidRPr="006B2326">
        <w:rPr>
          <w:noProof/>
        </w:rPr>
        <w:t xml:space="preserve">blocker treatment may be needed prior to initiation of </w:t>
      </w:r>
      <w:r w:rsidR="00387EBC" w:rsidRPr="006B2326">
        <w:rPr>
          <w:noProof/>
        </w:rPr>
        <w:t>PONVORY</w:t>
      </w:r>
      <w:r w:rsidRPr="006B2326">
        <w:rPr>
          <w:noProof/>
        </w:rPr>
        <w:t xml:space="preserve"> (see</w:t>
      </w:r>
      <w:r w:rsidR="001A466C" w:rsidRPr="006B2326">
        <w:rPr>
          <w:noProof/>
        </w:rPr>
        <w:t xml:space="preserve"> Section</w:t>
      </w:r>
      <w:r w:rsidRPr="006B2326">
        <w:rPr>
          <w:noProof/>
        </w:rPr>
        <w:t xml:space="preserve"> </w:t>
      </w:r>
      <w:r w:rsidR="00387EBC" w:rsidRPr="006B2326">
        <w:rPr>
          <w:noProof/>
        </w:rPr>
        <w:t xml:space="preserve">4.4 Special Warnings and Precautions </w:t>
      </w:r>
      <w:r w:rsidR="001A466C" w:rsidRPr="006B2326">
        <w:rPr>
          <w:noProof/>
        </w:rPr>
        <w:t>f</w:t>
      </w:r>
      <w:r w:rsidR="00387EBC" w:rsidRPr="006B2326">
        <w:rPr>
          <w:noProof/>
        </w:rPr>
        <w:t>or Use</w:t>
      </w:r>
      <w:r w:rsidRPr="006B2326">
        <w:rPr>
          <w:noProof/>
        </w:rPr>
        <w:t xml:space="preserve"> - Bradyarrhythmia and Atrioventricular Conduction Delays). Beta</w:t>
      </w:r>
      <w:r w:rsidR="00776116" w:rsidRPr="006B2326">
        <w:rPr>
          <w:noProof/>
        </w:rPr>
        <w:t>-</w:t>
      </w:r>
      <w:r w:rsidRPr="006B2326">
        <w:rPr>
          <w:noProof/>
        </w:rPr>
        <w:t xml:space="preserve">blocker treatment can be initiated in patients receiving stable doses of </w:t>
      </w:r>
      <w:r w:rsidR="00387EBC" w:rsidRPr="006B2326">
        <w:rPr>
          <w:noProof/>
        </w:rPr>
        <w:t>PONVORY</w:t>
      </w:r>
      <w:r w:rsidRPr="006B2326">
        <w:rPr>
          <w:noProof/>
        </w:rPr>
        <w:t>.</w:t>
      </w:r>
    </w:p>
    <w:p w14:paraId="031DB7EE" w14:textId="111AF955" w:rsidR="001C4E04" w:rsidRPr="006B2326" w:rsidRDefault="001C4E04" w:rsidP="004C6478">
      <w:pPr>
        <w:jc w:val="left"/>
        <w:rPr>
          <w:noProof/>
        </w:rPr>
      </w:pPr>
      <w:r w:rsidRPr="006B2326">
        <w:rPr>
          <w:noProof/>
        </w:rPr>
        <w:t>In a drug</w:t>
      </w:r>
      <w:r w:rsidR="00776116" w:rsidRPr="006B2326">
        <w:rPr>
          <w:noProof/>
        </w:rPr>
        <w:t>-</w:t>
      </w:r>
      <w:r w:rsidRPr="006B2326">
        <w:rPr>
          <w:noProof/>
        </w:rPr>
        <w:t>drug interaction study, the up</w:t>
      </w:r>
      <w:r w:rsidR="000F32B5" w:rsidRPr="006B2326">
        <w:rPr>
          <w:noProof/>
        </w:rPr>
        <w:t>-</w:t>
      </w:r>
      <w:r w:rsidRPr="006B2326">
        <w:rPr>
          <w:noProof/>
        </w:rPr>
        <w:t xml:space="preserve">titration regimen of ponesimod (see </w:t>
      </w:r>
      <w:r w:rsidR="001A466C" w:rsidRPr="006B2326">
        <w:rPr>
          <w:noProof/>
        </w:rPr>
        <w:t xml:space="preserve">Section </w:t>
      </w:r>
      <w:r w:rsidR="00387EBC" w:rsidRPr="006B2326">
        <w:rPr>
          <w:noProof/>
        </w:rPr>
        <w:t xml:space="preserve">4.2 Dose and Method of Administration </w:t>
      </w:r>
      <w:r w:rsidRPr="006B2326">
        <w:rPr>
          <w:noProof/>
        </w:rPr>
        <w:t>– Dosage</w:t>
      </w:r>
      <w:r w:rsidR="001A466C" w:rsidRPr="006B2326">
        <w:rPr>
          <w:noProof/>
        </w:rPr>
        <w:t xml:space="preserve"> (Dose and Interval)</w:t>
      </w:r>
      <w:r w:rsidRPr="006B2326">
        <w:rPr>
          <w:noProof/>
        </w:rPr>
        <w:t>) was administered to subjects receiving propranolol (80 mg) once daily at steady state. No significant changes in pharmacokinetics of ponesimod or propranolol were observed. Compared to ponesimod alone, the combination with propranolol after the first dose of ponesimod (2 mg) had a 12.4 bpm (90% CI: -15.6 to -9.1) decrease in mean hourly heart rate and at the first dose of ponesimod (20 mg) after up</w:t>
      </w:r>
      <w:r w:rsidR="000F32B5" w:rsidRPr="006B2326">
        <w:rPr>
          <w:noProof/>
        </w:rPr>
        <w:t>-</w:t>
      </w:r>
      <w:r w:rsidRPr="006B2326">
        <w:rPr>
          <w:noProof/>
        </w:rPr>
        <w:t>titration a 7.4 bpm (90% CI: -10.9 to -3.9) decrease in mean hourly heart rate.</w:t>
      </w:r>
    </w:p>
    <w:p w14:paraId="2625CDED" w14:textId="77777777" w:rsidR="001C4E04" w:rsidRPr="006B2326" w:rsidRDefault="001C4E04" w:rsidP="004C6478">
      <w:pPr>
        <w:pStyle w:val="Heading3"/>
        <w:rPr>
          <w:noProof/>
        </w:rPr>
      </w:pPr>
      <w:r w:rsidRPr="006B2326">
        <w:rPr>
          <w:noProof/>
        </w:rPr>
        <w:lastRenderedPageBreak/>
        <w:t>Vaccines</w:t>
      </w:r>
    </w:p>
    <w:p w14:paraId="1359B3E0" w14:textId="3002BB48" w:rsidR="001C4E04" w:rsidRPr="006B2326" w:rsidRDefault="001C4E04" w:rsidP="004C6478">
      <w:pPr>
        <w:jc w:val="left"/>
        <w:rPr>
          <w:noProof/>
        </w:rPr>
      </w:pPr>
      <w:r w:rsidRPr="005D7541">
        <w:rPr>
          <w:noProof/>
        </w:rPr>
        <w:t xml:space="preserve">Vaccinations may be less effective if administered while being treated with </w:t>
      </w:r>
      <w:r w:rsidR="00387EBC" w:rsidRPr="005D7541">
        <w:rPr>
          <w:noProof/>
        </w:rPr>
        <w:t>PONVORY</w:t>
      </w:r>
      <w:r w:rsidRPr="005D7541">
        <w:rPr>
          <w:noProof/>
        </w:rPr>
        <w:t xml:space="preserve"> and up to 1 week after its discontinuation</w:t>
      </w:r>
      <w:r w:rsidRPr="006B2326">
        <w:rPr>
          <w:noProof/>
        </w:rPr>
        <w:t xml:space="preserve"> (see</w:t>
      </w:r>
      <w:r w:rsidR="001A466C" w:rsidRPr="006B2326">
        <w:rPr>
          <w:noProof/>
        </w:rPr>
        <w:t xml:space="preserve"> Section</w:t>
      </w:r>
      <w:r w:rsidRPr="006B2326">
        <w:rPr>
          <w:noProof/>
        </w:rPr>
        <w:t xml:space="preserve"> </w:t>
      </w:r>
      <w:r w:rsidR="00387EBC" w:rsidRPr="006B2326">
        <w:rPr>
          <w:noProof/>
        </w:rPr>
        <w:t xml:space="preserve">4.4 Special Warnings and Precautions </w:t>
      </w:r>
      <w:r w:rsidR="001A466C" w:rsidRPr="006B2326">
        <w:rPr>
          <w:noProof/>
        </w:rPr>
        <w:t>f</w:t>
      </w:r>
      <w:r w:rsidR="00387EBC" w:rsidRPr="006B2326">
        <w:rPr>
          <w:noProof/>
        </w:rPr>
        <w:t>or Use</w:t>
      </w:r>
      <w:r w:rsidRPr="006B2326">
        <w:rPr>
          <w:noProof/>
        </w:rPr>
        <w:t xml:space="preserve"> - Infection).</w:t>
      </w:r>
    </w:p>
    <w:p w14:paraId="73565A62" w14:textId="1604E7F0" w:rsidR="001C4E04" w:rsidRPr="006B2326" w:rsidRDefault="001C4E04" w:rsidP="004C6478">
      <w:pPr>
        <w:jc w:val="left"/>
        <w:rPr>
          <w:noProof/>
        </w:rPr>
      </w:pPr>
      <w:r w:rsidRPr="006B2326">
        <w:rPr>
          <w:noProof/>
        </w:rPr>
        <w:t xml:space="preserve">The use of live attenuated vaccines may carry the risk of infection and should therefore be avoided during </w:t>
      </w:r>
      <w:r w:rsidR="00387EBC" w:rsidRPr="006B2326">
        <w:rPr>
          <w:noProof/>
        </w:rPr>
        <w:t>PONVORY</w:t>
      </w:r>
      <w:r w:rsidRPr="006B2326">
        <w:rPr>
          <w:noProof/>
        </w:rPr>
        <w:t xml:space="preserve"> treatment and up to 1 week after its discontinuation of treatment with </w:t>
      </w:r>
      <w:r w:rsidR="00387EBC" w:rsidRPr="006B2326">
        <w:rPr>
          <w:noProof/>
        </w:rPr>
        <w:t>PONVORY</w:t>
      </w:r>
      <w:r w:rsidRPr="006B2326">
        <w:rPr>
          <w:noProof/>
        </w:rPr>
        <w:t xml:space="preserve"> (see </w:t>
      </w:r>
      <w:r w:rsidR="001A466C" w:rsidRPr="006B2326">
        <w:rPr>
          <w:noProof/>
        </w:rPr>
        <w:t xml:space="preserve">Section </w:t>
      </w:r>
      <w:r w:rsidR="00387EBC" w:rsidRPr="006B2326">
        <w:rPr>
          <w:noProof/>
        </w:rPr>
        <w:t xml:space="preserve">4.4 Special Warnings and Precautions </w:t>
      </w:r>
      <w:r w:rsidR="001A466C" w:rsidRPr="006B2326">
        <w:rPr>
          <w:noProof/>
        </w:rPr>
        <w:t>f</w:t>
      </w:r>
      <w:r w:rsidR="00387EBC" w:rsidRPr="006B2326">
        <w:rPr>
          <w:noProof/>
        </w:rPr>
        <w:t>or Use</w:t>
      </w:r>
      <w:r w:rsidRPr="006B2326">
        <w:rPr>
          <w:noProof/>
        </w:rPr>
        <w:t xml:space="preserve"> - Infection).</w:t>
      </w:r>
    </w:p>
    <w:p w14:paraId="52D662C7" w14:textId="77777777" w:rsidR="001C4E04" w:rsidRPr="006B2326" w:rsidRDefault="001C4E04" w:rsidP="004C6478">
      <w:pPr>
        <w:pStyle w:val="Heading3"/>
        <w:rPr>
          <w:noProof/>
        </w:rPr>
      </w:pPr>
      <w:r w:rsidRPr="006B2326">
        <w:rPr>
          <w:noProof/>
        </w:rPr>
        <w:t>Effect of other drugs on ponesimod</w:t>
      </w:r>
    </w:p>
    <w:p w14:paraId="05984BD5" w14:textId="604A66F2" w:rsidR="001C4E04" w:rsidRDefault="001C4E04" w:rsidP="004C6478">
      <w:pPr>
        <w:jc w:val="left"/>
        <w:rPr>
          <w:noProof/>
        </w:rPr>
      </w:pPr>
      <w:r w:rsidRPr="006B2326">
        <w:rPr>
          <w:i/>
          <w:iCs/>
          <w:noProof/>
        </w:rPr>
        <w:t>In vitro</w:t>
      </w:r>
      <w:r w:rsidRPr="006B2326">
        <w:rPr>
          <w:noProof/>
        </w:rPr>
        <w:t xml:space="preserve"> studies with human liver preparations indicate that metabolism of ponesimod occurs through multiple, distinct enzyme systems, including multiple CYP450 (CYP2J2, CYP3A4, CYP3A5, CYP4F3A, and CYP4F12), UGT (mainly UGT1A1 and UGT2B7) and non-CYP450 oxidative enzymes, without major contribution by any single enzyme.</w:t>
      </w:r>
    </w:p>
    <w:p w14:paraId="30531141" w14:textId="77777777" w:rsidR="00F90268" w:rsidRDefault="00F90268" w:rsidP="004C6478">
      <w:pPr>
        <w:jc w:val="left"/>
        <w:rPr>
          <w:noProof/>
        </w:rPr>
      </w:pPr>
      <w:r>
        <w:rPr>
          <w:noProof/>
        </w:rPr>
        <w:t>Drugs that are inhibitors of major CYP or UGT enzymes are unlikely to impact the pharmacokinetics of ponesimod.</w:t>
      </w:r>
    </w:p>
    <w:p w14:paraId="4CBDC8AA" w14:textId="222FCE9C" w:rsidR="00F90268" w:rsidRPr="006B2326" w:rsidRDefault="00F90268" w:rsidP="004C6478">
      <w:pPr>
        <w:jc w:val="left"/>
        <w:rPr>
          <w:noProof/>
        </w:rPr>
      </w:pPr>
      <w:r>
        <w:rPr>
          <w:noProof/>
        </w:rPr>
        <w:t>Co administration of PONVORY with strong CYP3A4 and UGT1A1 inducers may decrease the systemic exposure of ponesimod. It is unclear whether this decrease in ponesimod systemic exposure would be considered of clinical relevance.</w:t>
      </w:r>
    </w:p>
    <w:p w14:paraId="3EA1CE32" w14:textId="77777777" w:rsidR="001C4E04" w:rsidRPr="006B2326" w:rsidRDefault="001C4E04" w:rsidP="004C6478">
      <w:pPr>
        <w:jc w:val="left"/>
        <w:rPr>
          <w:noProof/>
        </w:rPr>
      </w:pPr>
      <w:r w:rsidRPr="006B2326">
        <w:rPr>
          <w:noProof/>
        </w:rPr>
        <w:t>Ponesimod is not a substrate of P gp, BCRP, OATP1B1 or OATP1B3 transporters. Drugs that are inhibitors of these transporters are unlikely to impact the PK of ponesimod.</w:t>
      </w:r>
    </w:p>
    <w:p w14:paraId="60702742" w14:textId="77777777" w:rsidR="001C4E04" w:rsidRPr="006B2326" w:rsidRDefault="001C4E04" w:rsidP="004C6478">
      <w:pPr>
        <w:pStyle w:val="Heading3"/>
        <w:rPr>
          <w:noProof/>
        </w:rPr>
      </w:pPr>
      <w:r w:rsidRPr="006B2326">
        <w:rPr>
          <w:noProof/>
        </w:rPr>
        <w:t>Effect of ponesimod on other drugs</w:t>
      </w:r>
    </w:p>
    <w:p w14:paraId="499EF9AD" w14:textId="77777777" w:rsidR="001C4E04" w:rsidRPr="006B2326" w:rsidRDefault="001C4E04" w:rsidP="004C6478">
      <w:pPr>
        <w:jc w:val="left"/>
        <w:rPr>
          <w:noProof/>
        </w:rPr>
      </w:pPr>
      <w:r w:rsidRPr="006B2326">
        <w:rPr>
          <w:i/>
          <w:iCs/>
          <w:noProof/>
        </w:rPr>
        <w:t>In vitro</w:t>
      </w:r>
      <w:r w:rsidRPr="006B2326">
        <w:rPr>
          <w:noProof/>
        </w:rPr>
        <w:t xml:space="preserve"> investigations indicate that at the therapeutic dose of 20 mg once daily, ponesimod and its metabolite M13 do not show any clinically relevant drug-drug interaction potential for CYP or UGT enzymes, or transporters.</w:t>
      </w:r>
    </w:p>
    <w:p w14:paraId="72DD2E7F" w14:textId="77777777" w:rsidR="001C4E04" w:rsidRPr="006B2326" w:rsidRDefault="001C4E04" w:rsidP="004C6478">
      <w:pPr>
        <w:pStyle w:val="Heading3"/>
        <w:rPr>
          <w:noProof/>
        </w:rPr>
      </w:pPr>
      <w:r w:rsidRPr="006B2326">
        <w:rPr>
          <w:noProof/>
        </w:rPr>
        <w:t>Oral contraceptives</w:t>
      </w:r>
    </w:p>
    <w:p w14:paraId="3494B039" w14:textId="0B90141B" w:rsidR="001C4E04" w:rsidRPr="006B2326" w:rsidRDefault="001C4E04" w:rsidP="004C6478">
      <w:pPr>
        <w:jc w:val="left"/>
        <w:rPr>
          <w:noProof/>
        </w:rPr>
      </w:pPr>
      <w:r w:rsidRPr="006B2326">
        <w:rPr>
          <w:noProof/>
        </w:rPr>
        <w:t>Co</w:t>
      </w:r>
      <w:r w:rsidR="00D30732" w:rsidRPr="006B2326">
        <w:rPr>
          <w:noProof/>
        </w:rPr>
        <w:t>-</w:t>
      </w:r>
      <w:r w:rsidRPr="006B2326">
        <w:rPr>
          <w:noProof/>
        </w:rPr>
        <w:t xml:space="preserve">administration of ponesimod, with an oral hormonal contraceptive (containing 1 mg norethisterone/norethindrone and 35 </w:t>
      </w:r>
      <w:r w:rsidR="00EF606C" w:rsidRPr="006B2326">
        <w:rPr>
          <w:noProof/>
        </w:rPr>
        <w:t>micrograms</w:t>
      </w:r>
      <w:r w:rsidRPr="006B2326">
        <w:rPr>
          <w:noProof/>
        </w:rPr>
        <w:t xml:space="preserve"> ethinyl estradiol) showed no clinically relevant pharmacokinetic interaction with ponesimod. Therefore, concomitant use of ponesimod is not expected to decrease the efficacy of hormonal contraceptives. No interaction studies have been performed with oral contraceptives containing other progestogens; however, an effect of ponesimod on their exposure is not expected.</w:t>
      </w:r>
    </w:p>
    <w:p w14:paraId="315FFB45" w14:textId="77777777" w:rsidR="001A466C" w:rsidRPr="006B2326" w:rsidRDefault="001A466C" w:rsidP="004C6478">
      <w:pPr>
        <w:jc w:val="left"/>
        <w:rPr>
          <w:noProof/>
        </w:rPr>
      </w:pPr>
    </w:p>
    <w:p w14:paraId="3F1C40D8" w14:textId="01690295" w:rsidR="008A13A7" w:rsidRPr="006B2326" w:rsidRDefault="008A13A7" w:rsidP="004C6478">
      <w:pPr>
        <w:pStyle w:val="Heading2"/>
        <w:rPr>
          <w:lang w:val="en-AU"/>
        </w:rPr>
      </w:pPr>
      <w:r w:rsidRPr="006B2326">
        <w:rPr>
          <w:lang w:val="en-AU"/>
        </w:rPr>
        <w:t>Fertility, pregnancy and lactation</w:t>
      </w:r>
    </w:p>
    <w:p w14:paraId="39F072EA" w14:textId="091FD5AC" w:rsidR="008A13A7" w:rsidRPr="006B2326" w:rsidRDefault="008A13A7" w:rsidP="004C6478">
      <w:pPr>
        <w:pStyle w:val="Heading3"/>
        <w:rPr>
          <w:lang w:val="en-AU"/>
        </w:rPr>
      </w:pPr>
      <w:r w:rsidRPr="006B2326">
        <w:rPr>
          <w:lang w:val="en-AU"/>
        </w:rPr>
        <w:t>Effects on Fertility</w:t>
      </w:r>
    </w:p>
    <w:p w14:paraId="3FF981B3" w14:textId="264316E9" w:rsidR="007D24C0" w:rsidRPr="007D24C0" w:rsidRDefault="007D24C0" w:rsidP="004C6478">
      <w:pPr>
        <w:pStyle w:val="BodyText12"/>
        <w:spacing w:after="120" w:line="240" w:lineRule="auto"/>
        <w:jc w:val="left"/>
        <w:rPr>
          <w:rFonts w:ascii="Arial" w:hAnsi="Arial" w:cs="Arial"/>
          <w:sz w:val="22"/>
          <w:szCs w:val="22"/>
        </w:rPr>
      </w:pPr>
      <w:r w:rsidRPr="007D24C0">
        <w:rPr>
          <w:rFonts w:ascii="Arial" w:hAnsi="Arial" w:cs="Arial"/>
          <w:sz w:val="22"/>
          <w:szCs w:val="22"/>
        </w:rPr>
        <w:t xml:space="preserve">In the male and female fertility studies in rats, mating and fertility were unaffected by treatment at </w:t>
      </w:r>
      <w:r>
        <w:rPr>
          <w:rFonts w:ascii="Arial" w:hAnsi="Arial" w:cs="Arial"/>
          <w:sz w:val="22"/>
          <w:szCs w:val="22"/>
        </w:rPr>
        <w:t xml:space="preserve">oral </w:t>
      </w:r>
      <w:r w:rsidRPr="007D24C0">
        <w:rPr>
          <w:rFonts w:ascii="Arial" w:hAnsi="Arial" w:cs="Arial"/>
          <w:sz w:val="22"/>
          <w:szCs w:val="22"/>
        </w:rPr>
        <w:t xml:space="preserve">doses up to 100 mg/kg/day. There was no effect on early pregnancy. Plasma exposure (AUC) at the </w:t>
      </w:r>
      <w:r w:rsidR="001072D5" w:rsidRPr="001072D5">
        <w:rPr>
          <w:rFonts w:ascii="Arial" w:hAnsi="Arial" w:cs="Arial"/>
          <w:noProof/>
          <w:sz w:val="22"/>
          <w:szCs w:val="22"/>
        </w:rPr>
        <w:t>no-observed-adverse-effect level</w:t>
      </w:r>
      <w:r w:rsidR="001072D5" w:rsidRPr="001072D5">
        <w:rPr>
          <w:rFonts w:ascii="Arial" w:hAnsi="Arial" w:cs="Arial"/>
          <w:sz w:val="22"/>
          <w:szCs w:val="22"/>
        </w:rPr>
        <w:t xml:space="preserve"> (</w:t>
      </w:r>
      <w:r w:rsidRPr="007D24C0">
        <w:rPr>
          <w:rFonts w:ascii="Arial" w:hAnsi="Arial" w:cs="Arial"/>
          <w:sz w:val="22"/>
          <w:szCs w:val="22"/>
        </w:rPr>
        <w:t>NOAEL</w:t>
      </w:r>
      <w:r w:rsidR="001072D5">
        <w:rPr>
          <w:rFonts w:ascii="Arial" w:hAnsi="Arial" w:cs="Arial"/>
          <w:sz w:val="22"/>
          <w:szCs w:val="22"/>
        </w:rPr>
        <w:t>)</w:t>
      </w:r>
      <w:r w:rsidRPr="007D24C0">
        <w:rPr>
          <w:rFonts w:ascii="Arial" w:hAnsi="Arial" w:cs="Arial"/>
          <w:sz w:val="22"/>
          <w:szCs w:val="22"/>
        </w:rPr>
        <w:t xml:space="preserve"> in the rat was approximately 18 and 31 times (for males and females, respectively) that in humans at the </w:t>
      </w:r>
      <w:r>
        <w:rPr>
          <w:rFonts w:ascii="Arial" w:hAnsi="Arial" w:cs="Arial"/>
          <w:sz w:val="22"/>
          <w:szCs w:val="22"/>
        </w:rPr>
        <w:t>maximum-recommended human dose</w:t>
      </w:r>
      <w:r w:rsidRPr="007D24C0">
        <w:rPr>
          <w:rFonts w:ascii="Arial" w:hAnsi="Arial" w:cs="Arial"/>
          <w:sz w:val="22"/>
          <w:szCs w:val="22"/>
        </w:rPr>
        <w:t xml:space="preserve"> of 20 mg/day.</w:t>
      </w:r>
      <w:r w:rsidR="001072D5">
        <w:rPr>
          <w:rFonts w:ascii="Arial" w:hAnsi="Arial" w:cs="Arial"/>
          <w:sz w:val="22"/>
          <w:szCs w:val="22"/>
        </w:rPr>
        <w:t xml:space="preserve"> </w:t>
      </w:r>
      <w:r w:rsidRPr="007D24C0">
        <w:rPr>
          <w:rFonts w:ascii="Arial" w:hAnsi="Arial" w:cs="Arial"/>
          <w:sz w:val="22"/>
          <w:szCs w:val="22"/>
        </w:rPr>
        <w:t xml:space="preserve">No effects were observed on male reproductive organs when evaluated </w:t>
      </w:r>
      <w:proofErr w:type="spellStart"/>
      <w:r w:rsidRPr="007D24C0">
        <w:rPr>
          <w:rFonts w:ascii="Arial" w:hAnsi="Arial" w:cs="Arial"/>
          <w:sz w:val="22"/>
          <w:szCs w:val="22"/>
        </w:rPr>
        <w:t>histopathologically</w:t>
      </w:r>
      <w:proofErr w:type="spellEnd"/>
      <w:r w:rsidRPr="007D24C0">
        <w:rPr>
          <w:rFonts w:ascii="Arial" w:hAnsi="Arial" w:cs="Arial"/>
          <w:sz w:val="22"/>
          <w:szCs w:val="22"/>
        </w:rPr>
        <w:t xml:space="preserve"> in repeat dose toxicology studies for up to 26 or 52 weeks in rats or dogs, respectively.</w:t>
      </w:r>
    </w:p>
    <w:p w14:paraId="3B0FF201" w14:textId="77777777" w:rsidR="00EF606C" w:rsidRPr="006B2326" w:rsidRDefault="008A13A7" w:rsidP="004C6478">
      <w:pPr>
        <w:pStyle w:val="Heading3"/>
        <w:rPr>
          <w:bCs/>
          <w:lang w:val="en-AU"/>
        </w:rPr>
      </w:pPr>
      <w:r w:rsidRPr="006B2326">
        <w:rPr>
          <w:lang w:val="en-AU"/>
        </w:rPr>
        <w:t>Use in Pregnancy</w:t>
      </w:r>
      <w:r w:rsidR="002A286B" w:rsidRPr="006B2326">
        <w:rPr>
          <w:lang w:val="en-AU"/>
        </w:rPr>
        <w:t xml:space="preserve"> – </w:t>
      </w:r>
      <w:r w:rsidR="002A286B" w:rsidRPr="006B2326">
        <w:rPr>
          <w:bCs/>
          <w:lang w:val="en-AU"/>
        </w:rPr>
        <w:t xml:space="preserve">Category </w:t>
      </w:r>
      <w:r w:rsidR="000F59F2" w:rsidRPr="006B2326">
        <w:rPr>
          <w:bCs/>
          <w:lang w:val="en-AU"/>
        </w:rPr>
        <w:t>D</w:t>
      </w:r>
      <w:bookmarkStart w:id="12" w:name="_Hlk61002508"/>
      <w:bookmarkStart w:id="13" w:name="_Hlk53739798"/>
    </w:p>
    <w:p w14:paraId="636D3B71" w14:textId="4ABF610B" w:rsidR="00EF606C" w:rsidRPr="006B2326" w:rsidRDefault="00387EBC" w:rsidP="004C6478">
      <w:pPr>
        <w:jc w:val="left"/>
        <w:rPr>
          <w:noProof/>
        </w:rPr>
      </w:pPr>
      <w:r w:rsidRPr="006B2326">
        <w:rPr>
          <w:noProof/>
        </w:rPr>
        <w:t>PONVORY</w:t>
      </w:r>
      <w:r w:rsidR="00B87DA7" w:rsidRPr="006B2326">
        <w:rPr>
          <w:noProof/>
        </w:rPr>
        <w:t xml:space="preserve"> is contraindicated during pregnancy (see</w:t>
      </w:r>
      <w:r w:rsidR="001A466C" w:rsidRPr="006B2326">
        <w:rPr>
          <w:noProof/>
        </w:rPr>
        <w:t xml:space="preserve"> Section</w:t>
      </w:r>
      <w:r w:rsidR="00B87DA7" w:rsidRPr="006B2326">
        <w:rPr>
          <w:noProof/>
        </w:rPr>
        <w:t xml:space="preserve"> </w:t>
      </w:r>
      <w:r w:rsidRPr="006B2326">
        <w:rPr>
          <w:noProof/>
        </w:rPr>
        <w:t>4.3 Contraindications</w:t>
      </w:r>
      <w:r w:rsidR="00B87DA7" w:rsidRPr="006B2326">
        <w:rPr>
          <w:noProof/>
        </w:rPr>
        <w:t xml:space="preserve">). If a woman becomes pregnant during treatment, </w:t>
      </w:r>
      <w:r w:rsidRPr="006B2326">
        <w:rPr>
          <w:noProof/>
        </w:rPr>
        <w:t>PONVORY</w:t>
      </w:r>
      <w:r w:rsidR="00B87DA7" w:rsidRPr="006B2326">
        <w:rPr>
          <w:noProof/>
        </w:rPr>
        <w:t xml:space="preserve"> must be immediately discontinued.</w:t>
      </w:r>
    </w:p>
    <w:p w14:paraId="15FCDBFD" w14:textId="57110AB0" w:rsidR="00EF606C" w:rsidRPr="006B2326" w:rsidRDefault="00B87DA7" w:rsidP="004C6478">
      <w:pPr>
        <w:jc w:val="left"/>
        <w:rPr>
          <w:noProof/>
        </w:rPr>
      </w:pPr>
      <w:r w:rsidRPr="006B2326">
        <w:rPr>
          <w:noProof/>
        </w:rPr>
        <w:lastRenderedPageBreak/>
        <w:t>Based on human experience in patients receiving another sphingosine 1</w:t>
      </w:r>
      <w:r w:rsidR="00B02864" w:rsidRPr="006B2326">
        <w:rPr>
          <w:noProof/>
        </w:rPr>
        <w:t>-</w:t>
      </w:r>
      <w:r w:rsidRPr="006B2326">
        <w:rPr>
          <w:noProof/>
        </w:rPr>
        <w:t>phosphate (S1P) receptor modulator, post-marketing data suggest that its use is associated with an increased risk of major congenital malformations.</w:t>
      </w:r>
    </w:p>
    <w:p w14:paraId="504760E4" w14:textId="3AC23F6B" w:rsidR="00B87DA7" w:rsidRDefault="00B87DA7" w:rsidP="004C6478">
      <w:pPr>
        <w:jc w:val="left"/>
        <w:rPr>
          <w:noProof/>
        </w:rPr>
      </w:pPr>
      <w:r w:rsidRPr="006B2326">
        <w:rPr>
          <w:noProof/>
        </w:rPr>
        <w:t xml:space="preserve">There are no adequate and well controlled studies of </w:t>
      </w:r>
      <w:r w:rsidR="00387EBC" w:rsidRPr="006B2326">
        <w:rPr>
          <w:noProof/>
        </w:rPr>
        <w:t>PONVORY</w:t>
      </w:r>
      <w:r w:rsidRPr="006B2326">
        <w:rPr>
          <w:noProof/>
        </w:rPr>
        <w:t xml:space="preserve"> in pregnant women. Based on animal data and its mechanism of action, </w:t>
      </w:r>
      <w:r w:rsidR="00387EBC" w:rsidRPr="006B2326">
        <w:rPr>
          <w:noProof/>
        </w:rPr>
        <w:t>PONVORY</w:t>
      </w:r>
      <w:r w:rsidRPr="006B2326">
        <w:rPr>
          <w:noProof/>
        </w:rPr>
        <w:t xml:space="preserve"> can cause embryo</w:t>
      </w:r>
      <w:r w:rsidR="001A466C" w:rsidRPr="006B2326">
        <w:rPr>
          <w:noProof/>
        </w:rPr>
        <w:t>fetal</w:t>
      </w:r>
      <w:r w:rsidRPr="006B2326">
        <w:rPr>
          <w:noProof/>
        </w:rPr>
        <w:t xml:space="preserve"> harm when administered to a pregnant woman. </w:t>
      </w:r>
      <w:r w:rsidR="007D24C0">
        <w:rPr>
          <w:noProof/>
        </w:rPr>
        <w:t>Oral r</w:t>
      </w:r>
      <w:r w:rsidR="007D24C0" w:rsidRPr="006B2326">
        <w:rPr>
          <w:noProof/>
        </w:rPr>
        <w:t xml:space="preserve">eproductive </w:t>
      </w:r>
      <w:r w:rsidRPr="006B2326">
        <w:rPr>
          <w:noProof/>
        </w:rPr>
        <w:t>and developmental studies in pregnant rats and rabbits have demonstrated ponesimod induced embryo</w:t>
      </w:r>
      <w:r w:rsidR="007D24C0">
        <w:rPr>
          <w:noProof/>
        </w:rPr>
        <w:t>fetal</w:t>
      </w:r>
      <w:r w:rsidRPr="006B2326">
        <w:rPr>
          <w:noProof/>
        </w:rPr>
        <w:t xml:space="preserve"> lethality and</w:t>
      </w:r>
      <w:r w:rsidR="007D24C0">
        <w:rPr>
          <w:noProof/>
        </w:rPr>
        <w:t xml:space="preserve"> teratogenicity when given during the period of organogenesis.</w:t>
      </w:r>
      <w:r w:rsidRPr="006B2326">
        <w:rPr>
          <w:noProof/>
        </w:rPr>
        <w:t xml:space="preserve"> </w:t>
      </w:r>
      <w:r w:rsidR="007D24C0">
        <w:rPr>
          <w:noProof/>
        </w:rPr>
        <w:t>An</w:t>
      </w:r>
      <w:r w:rsidR="007D24C0" w:rsidRPr="006B2326">
        <w:rPr>
          <w:noProof/>
        </w:rPr>
        <w:t xml:space="preserve"> </w:t>
      </w:r>
      <w:r w:rsidRPr="006B2326">
        <w:rPr>
          <w:noProof/>
        </w:rPr>
        <w:t>increase</w:t>
      </w:r>
      <w:r w:rsidR="007D24C0">
        <w:rPr>
          <w:noProof/>
        </w:rPr>
        <w:t>d incidence of fetal mal</w:t>
      </w:r>
      <w:r w:rsidR="00F947BB">
        <w:rPr>
          <w:noProof/>
        </w:rPr>
        <w:t>f</w:t>
      </w:r>
      <w:r w:rsidR="007D24C0">
        <w:rPr>
          <w:noProof/>
        </w:rPr>
        <w:t>ormations of the cardiovascular system (including fused ascending aorta trunk, muscular and membranous ventricular septal defects)</w:t>
      </w:r>
      <w:r w:rsidR="00F947BB">
        <w:rPr>
          <w:noProof/>
        </w:rPr>
        <w:t>, limbs (syndactyly, ectrodactyly and malrotated hindlimbs) and eye (microphthalmia) were seen in rats</w:t>
      </w:r>
      <w:r w:rsidRPr="006B2326">
        <w:rPr>
          <w:noProof/>
        </w:rPr>
        <w:t>. The AUC</w:t>
      </w:r>
      <w:r w:rsidRPr="006B2326">
        <w:rPr>
          <w:noProof/>
          <w:vertAlign w:val="subscript"/>
        </w:rPr>
        <w:t>0-24</w:t>
      </w:r>
      <w:r w:rsidRPr="006B2326">
        <w:rPr>
          <w:noProof/>
        </w:rPr>
        <w:t xml:space="preserve"> in rats and rabbits at the NOAEL (1 mg/kg/day in both species) are lower than the human systemic exposures at the </w:t>
      </w:r>
      <w:r w:rsidR="007D24C0">
        <w:rPr>
          <w:noProof/>
        </w:rPr>
        <w:t xml:space="preserve">maximum </w:t>
      </w:r>
      <w:r w:rsidRPr="006B2326">
        <w:rPr>
          <w:noProof/>
        </w:rPr>
        <w:t>recommended human dose (</w:t>
      </w:r>
      <w:r w:rsidR="007D24C0">
        <w:rPr>
          <w:noProof/>
        </w:rPr>
        <w:t>M</w:t>
      </w:r>
      <w:r w:rsidRPr="006B2326">
        <w:rPr>
          <w:noProof/>
        </w:rPr>
        <w:t>RHD) of 20 mg/day.</w:t>
      </w:r>
    </w:p>
    <w:p w14:paraId="0F7A7F53" w14:textId="2C22D1AD" w:rsidR="009650C2" w:rsidRPr="006B2326" w:rsidRDefault="009650C2" w:rsidP="004C6478">
      <w:pPr>
        <w:jc w:val="left"/>
        <w:rPr>
          <w:rFonts w:eastAsia="Calibri"/>
          <w:noProof/>
        </w:rPr>
      </w:pPr>
      <w:r>
        <w:t xml:space="preserve">When </w:t>
      </w:r>
      <w:proofErr w:type="spellStart"/>
      <w:r>
        <w:t>ponesimod</w:t>
      </w:r>
      <w:proofErr w:type="spellEnd"/>
      <w:r>
        <w:t xml:space="preserve"> was orally administered to female rats throughout pregnancy and lactation, decreased pup survival and body weight gain, and reduced fertility (females only) were observed in the offspring at 20 mg/kg only. All </w:t>
      </w:r>
      <w:proofErr w:type="spellStart"/>
      <w:r>
        <w:t>ponesimod</w:t>
      </w:r>
      <w:proofErr w:type="spellEnd"/>
      <w:r>
        <w:t xml:space="preserve"> treated F1 pups had delayed sexual maturation. An increased incidence of embryofetal death was seen in pregnant F1 females. The AUC</w:t>
      </w:r>
      <w:r>
        <w:rPr>
          <w:sz w:val="14"/>
          <w:szCs w:val="14"/>
        </w:rPr>
        <w:t xml:space="preserve">0-24 </w:t>
      </w:r>
      <w:r>
        <w:t>at the NOAEL of 10 mg/kg/day is 1.2 to 1.5 times that in humans at the MRHD of 20 mg/day.</w:t>
      </w:r>
    </w:p>
    <w:p w14:paraId="5EE760DD" w14:textId="77777777" w:rsidR="00B87DA7" w:rsidRPr="006B2326" w:rsidRDefault="00AB4443" w:rsidP="004C6478">
      <w:pPr>
        <w:pStyle w:val="Heading3"/>
        <w:rPr>
          <w:noProof/>
        </w:rPr>
      </w:pPr>
      <w:r w:rsidRPr="006B2326">
        <w:rPr>
          <w:noProof/>
        </w:rPr>
        <w:t>Contraception</w:t>
      </w:r>
    </w:p>
    <w:p w14:paraId="59371242" w14:textId="0656703B" w:rsidR="00AB4443" w:rsidRPr="006B2326" w:rsidRDefault="00B87DA7" w:rsidP="004C6478">
      <w:pPr>
        <w:pStyle w:val="Heading4"/>
        <w:rPr>
          <w:noProof/>
        </w:rPr>
      </w:pPr>
      <w:r w:rsidRPr="006B2326">
        <w:rPr>
          <w:noProof/>
        </w:rPr>
        <w:t>F</w:t>
      </w:r>
      <w:r w:rsidR="00AB4443" w:rsidRPr="006B2326">
        <w:rPr>
          <w:noProof/>
        </w:rPr>
        <w:t>emales</w:t>
      </w:r>
      <w:bookmarkStart w:id="14" w:name="_Hlk20226721"/>
      <w:bookmarkEnd w:id="12"/>
      <w:bookmarkEnd w:id="13"/>
    </w:p>
    <w:p w14:paraId="3D1C4BB2" w14:textId="773EF30C" w:rsidR="00B87DA7" w:rsidRPr="006B2326" w:rsidRDefault="00387EBC" w:rsidP="004C6478">
      <w:pPr>
        <w:jc w:val="left"/>
      </w:pPr>
      <w:r w:rsidRPr="006B2326">
        <w:t>PONVORY</w:t>
      </w:r>
      <w:r w:rsidR="00B87DA7" w:rsidRPr="006B2326">
        <w:t xml:space="preserve"> is contraindicated in women of childbearing potential not using highly effective contraception (see </w:t>
      </w:r>
      <w:r w:rsidR="001A466C" w:rsidRPr="006B2326">
        <w:t xml:space="preserve">Section </w:t>
      </w:r>
      <w:r w:rsidRPr="006B2326">
        <w:t>4.3 Contraindications</w:t>
      </w:r>
      <w:r w:rsidR="00B87DA7" w:rsidRPr="006B2326">
        <w:t xml:space="preserve">). Before initiation of </w:t>
      </w:r>
      <w:r w:rsidRPr="006B2326">
        <w:t>PONVORY</w:t>
      </w:r>
      <w:r w:rsidR="00B87DA7" w:rsidRPr="006B2326">
        <w:t xml:space="preserve"> treatment in women of childbearing potential, a negative pregnancy test result must be available, and women should be counsel</w:t>
      </w:r>
      <w:r w:rsidR="0034135E">
        <w:t>l</w:t>
      </w:r>
      <w:r w:rsidR="00B87DA7" w:rsidRPr="006B2326">
        <w:t xml:space="preserve">ed on the potential for a serious risk to the </w:t>
      </w:r>
      <w:r w:rsidR="00B02864" w:rsidRPr="006B2326">
        <w:t>fetus</w:t>
      </w:r>
      <w:r w:rsidR="00B87DA7" w:rsidRPr="006B2326">
        <w:t xml:space="preserve"> and the need for highly effective contraception during treatment with </w:t>
      </w:r>
      <w:r w:rsidRPr="006B2326">
        <w:t>PONVORY</w:t>
      </w:r>
      <w:r w:rsidR="00B87DA7" w:rsidRPr="006B2326">
        <w:t xml:space="preserve"> (see</w:t>
      </w:r>
      <w:r w:rsidR="001A466C" w:rsidRPr="006B2326">
        <w:t xml:space="preserve"> Section</w:t>
      </w:r>
      <w:r w:rsidR="00B87DA7" w:rsidRPr="006B2326">
        <w:t xml:space="preserve"> </w:t>
      </w:r>
      <w:r w:rsidRPr="006B2326">
        <w:t>4.</w:t>
      </w:r>
      <w:r w:rsidR="00F4524A">
        <w:t>6</w:t>
      </w:r>
      <w:r w:rsidR="00F4524A" w:rsidRPr="006B2326">
        <w:t xml:space="preserve"> </w:t>
      </w:r>
      <w:r w:rsidRPr="006B2326">
        <w:t>Fertility, Pregnancy and Lactation</w:t>
      </w:r>
      <w:r w:rsidR="00B87DA7" w:rsidRPr="006B2326">
        <w:t xml:space="preserve"> </w:t>
      </w:r>
      <w:r w:rsidR="001A466C" w:rsidRPr="006B2326">
        <w:t>–</w:t>
      </w:r>
      <w:r w:rsidR="00B87DA7" w:rsidRPr="006B2326">
        <w:t xml:space="preserve"> </w:t>
      </w:r>
      <w:r w:rsidR="001A466C" w:rsidRPr="006B2326">
        <w:t xml:space="preserve">Use in </w:t>
      </w:r>
      <w:r w:rsidR="00B87DA7" w:rsidRPr="006B2326">
        <w:t xml:space="preserve">Pregnancy). Since it takes approximately 1 week to eliminate the compound from the body after stopping treatment, the potential risk to the </w:t>
      </w:r>
      <w:r w:rsidR="00B02864" w:rsidRPr="006B2326">
        <w:t>fetus</w:t>
      </w:r>
      <w:r w:rsidR="00B87DA7" w:rsidRPr="006B2326">
        <w:t xml:space="preserve"> may persist and women must use highly effective contraception during this period (see </w:t>
      </w:r>
      <w:r w:rsidR="001A466C" w:rsidRPr="006B2326">
        <w:t xml:space="preserve">Section </w:t>
      </w:r>
      <w:r w:rsidRPr="006B2326">
        <w:t xml:space="preserve">4.4 Special Warnings and Precautions </w:t>
      </w:r>
      <w:r w:rsidR="001A466C" w:rsidRPr="006B2326">
        <w:t>f</w:t>
      </w:r>
      <w:r w:rsidRPr="006B2326">
        <w:t>or Use</w:t>
      </w:r>
      <w:r w:rsidR="00B87DA7" w:rsidRPr="006B2326">
        <w:t xml:space="preserve"> - </w:t>
      </w:r>
      <w:r w:rsidR="001A466C" w:rsidRPr="006B2326">
        <w:t>Fetal</w:t>
      </w:r>
      <w:r w:rsidR="00B87DA7" w:rsidRPr="006B2326">
        <w:t xml:space="preserve"> Risk).</w:t>
      </w:r>
    </w:p>
    <w:bookmarkEnd w:id="14"/>
    <w:p w14:paraId="2E05714E" w14:textId="465F7975" w:rsidR="00B87DA7" w:rsidRPr="006B2326" w:rsidRDefault="008A13A7" w:rsidP="004C6478">
      <w:pPr>
        <w:pStyle w:val="Heading3"/>
        <w:rPr>
          <w:lang w:val="en-AU"/>
        </w:rPr>
      </w:pPr>
      <w:r w:rsidRPr="006B2326">
        <w:rPr>
          <w:lang w:val="en-AU"/>
        </w:rPr>
        <w:t>Use in Lactation</w:t>
      </w:r>
    </w:p>
    <w:p w14:paraId="4CE4CEB5" w14:textId="1661F269" w:rsidR="00B87DA7" w:rsidRPr="006B2326" w:rsidRDefault="00B87DA7" w:rsidP="004C6478">
      <w:pPr>
        <w:jc w:val="left"/>
        <w:rPr>
          <w:lang w:val="en-AU"/>
        </w:rPr>
      </w:pPr>
      <w:r w:rsidRPr="006B2326">
        <w:rPr>
          <w:lang w:val="en-AU"/>
        </w:rPr>
        <w:t xml:space="preserve">There are no data on the presence of </w:t>
      </w:r>
      <w:r w:rsidR="00387EBC" w:rsidRPr="006B2326">
        <w:rPr>
          <w:lang w:val="en-AU"/>
        </w:rPr>
        <w:t>PONVORY</w:t>
      </w:r>
      <w:r w:rsidRPr="006B2326">
        <w:rPr>
          <w:lang w:val="en-AU"/>
        </w:rPr>
        <w:t xml:space="preserve"> in human milk, the effects on the breastfed infant, or the effects of the drug on milk production. </w:t>
      </w:r>
      <w:r w:rsidR="0034135E">
        <w:rPr>
          <w:lang w:val="en-AU"/>
        </w:rPr>
        <w:t xml:space="preserve">When </w:t>
      </w:r>
      <w:proofErr w:type="spellStart"/>
      <w:r w:rsidR="0034135E">
        <w:rPr>
          <w:lang w:val="en-AU"/>
        </w:rPr>
        <w:t>ponesimod</w:t>
      </w:r>
      <w:proofErr w:type="spellEnd"/>
      <w:r w:rsidR="0034135E">
        <w:rPr>
          <w:lang w:val="en-AU"/>
        </w:rPr>
        <w:t xml:space="preserve"> was orally administered to female rats </w:t>
      </w:r>
      <w:r w:rsidR="00FF7338">
        <w:rPr>
          <w:lang w:val="en-AU"/>
        </w:rPr>
        <w:t>during</w:t>
      </w:r>
      <w:r w:rsidR="0034135E">
        <w:rPr>
          <w:lang w:val="en-AU"/>
        </w:rPr>
        <w:t xml:space="preserve"> pregnancy and lactation, </w:t>
      </w:r>
      <w:proofErr w:type="spellStart"/>
      <w:r w:rsidR="00FF7338">
        <w:rPr>
          <w:lang w:val="en-AU"/>
        </w:rPr>
        <w:t>ponesimod</w:t>
      </w:r>
      <w:proofErr w:type="spellEnd"/>
      <w:r w:rsidR="00FF7338">
        <w:rPr>
          <w:lang w:val="en-AU"/>
        </w:rPr>
        <w:t xml:space="preserve"> was detected in the plasma of the offspring (suggesting excretion of </w:t>
      </w:r>
      <w:proofErr w:type="spellStart"/>
      <w:r w:rsidR="00FF7338">
        <w:rPr>
          <w:lang w:val="en-AU"/>
        </w:rPr>
        <w:t>ponesimod</w:t>
      </w:r>
      <w:proofErr w:type="spellEnd"/>
      <w:r w:rsidR="00FF7338">
        <w:rPr>
          <w:lang w:val="en-AU"/>
        </w:rPr>
        <w:t xml:space="preserve"> in milk), </w:t>
      </w:r>
      <w:r w:rsidR="0034135E">
        <w:rPr>
          <w:lang w:val="en-AU"/>
        </w:rPr>
        <w:t>adverse effects on postnatal survival</w:t>
      </w:r>
      <w:r w:rsidR="00FF7338">
        <w:rPr>
          <w:lang w:val="en-AU"/>
        </w:rPr>
        <w:t>,</w:t>
      </w:r>
      <w:r w:rsidR="0034135E">
        <w:rPr>
          <w:lang w:val="en-AU"/>
        </w:rPr>
        <w:t xml:space="preserve"> pup growth and the fertility </w:t>
      </w:r>
      <w:r w:rsidR="00FF7338">
        <w:rPr>
          <w:lang w:val="en-AU"/>
        </w:rPr>
        <w:t xml:space="preserve">of female </w:t>
      </w:r>
      <w:r w:rsidR="0034135E">
        <w:rPr>
          <w:lang w:val="en-AU"/>
        </w:rPr>
        <w:t xml:space="preserve">offspring was compromised (see Section 4.6 Fertility, Pregnancy and Lactation – Use in </w:t>
      </w:r>
      <w:r w:rsidR="00C24108">
        <w:rPr>
          <w:lang w:val="en-AU"/>
        </w:rPr>
        <w:t>P</w:t>
      </w:r>
      <w:r w:rsidR="0034135E">
        <w:rPr>
          <w:lang w:val="en-AU"/>
        </w:rPr>
        <w:t>regnancy</w:t>
      </w:r>
      <w:r w:rsidR="00C24108">
        <w:rPr>
          <w:lang w:val="en-AU"/>
        </w:rPr>
        <w:t>).</w:t>
      </w:r>
    </w:p>
    <w:p w14:paraId="0986350E" w14:textId="75ED13C3" w:rsidR="00B87DA7" w:rsidRPr="006B2326" w:rsidRDefault="00B87DA7" w:rsidP="004C6478">
      <w:pPr>
        <w:jc w:val="left"/>
        <w:rPr>
          <w:lang w:val="en-AU"/>
        </w:rPr>
      </w:pPr>
      <w:r w:rsidRPr="006B2326">
        <w:rPr>
          <w:lang w:val="en-AU"/>
        </w:rPr>
        <w:t>A risk to newborns/infants cannot be excluded. A decision must be made whether to discontinue breast</w:t>
      </w:r>
      <w:r w:rsidR="00663360" w:rsidRPr="006B2326">
        <w:rPr>
          <w:lang w:val="en-AU"/>
        </w:rPr>
        <w:t>-</w:t>
      </w:r>
      <w:r w:rsidRPr="006B2326">
        <w:rPr>
          <w:lang w:val="en-AU"/>
        </w:rPr>
        <w:t xml:space="preserve">feeding or to abstain from </w:t>
      </w:r>
      <w:r w:rsidR="00387EBC" w:rsidRPr="006B2326">
        <w:rPr>
          <w:lang w:val="en-AU"/>
        </w:rPr>
        <w:t>PONVORY</w:t>
      </w:r>
      <w:r w:rsidRPr="006B2326">
        <w:rPr>
          <w:lang w:val="en-AU"/>
        </w:rPr>
        <w:t xml:space="preserve"> therapy </w:t>
      </w:r>
      <w:proofErr w:type="gramStart"/>
      <w:r w:rsidRPr="006B2326">
        <w:rPr>
          <w:lang w:val="en-AU"/>
        </w:rPr>
        <w:t>taking into account</w:t>
      </w:r>
      <w:proofErr w:type="gramEnd"/>
      <w:r w:rsidRPr="006B2326">
        <w:rPr>
          <w:lang w:val="en-AU"/>
        </w:rPr>
        <w:t xml:space="preserve"> the benefit of breast</w:t>
      </w:r>
      <w:r w:rsidR="00663360" w:rsidRPr="006B2326">
        <w:rPr>
          <w:lang w:val="en-AU"/>
        </w:rPr>
        <w:t>-</w:t>
      </w:r>
      <w:r w:rsidRPr="006B2326">
        <w:rPr>
          <w:lang w:val="en-AU"/>
        </w:rPr>
        <w:t>feeding for the child and the benefit of therapy for the woman.</w:t>
      </w:r>
    </w:p>
    <w:p w14:paraId="7B697D8D" w14:textId="77777777" w:rsidR="00E92580" w:rsidRPr="006B2326" w:rsidRDefault="00E92580" w:rsidP="004C6478">
      <w:pPr>
        <w:jc w:val="left"/>
        <w:rPr>
          <w:noProof/>
          <w:u w:val="single"/>
          <w:lang w:val="en-AU"/>
        </w:rPr>
      </w:pPr>
    </w:p>
    <w:p w14:paraId="01E1CA6D" w14:textId="77777777" w:rsidR="002A286B" w:rsidRPr="006B2326" w:rsidRDefault="002A286B" w:rsidP="004C6478">
      <w:pPr>
        <w:pStyle w:val="Heading2"/>
        <w:rPr>
          <w:lang w:val="en-AU"/>
        </w:rPr>
      </w:pPr>
      <w:r w:rsidRPr="006B2326">
        <w:rPr>
          <w:lang w:val="en-AU"/>
        </w:rPr>
        <w:t>Effect on ability to drive and use machines</w:t>
      </w:r>
    </w:p>
    <w:p w14:paraId="4E1F74AA" w14:textId="5395337F" w:rsidR="00FC5470" w:rsidRPr="006B2326" w:rsidRDefault="00387EBC" w:rsidP="004C6478">
      <w:pPr>
        <w:jc w:val="left"/>
        <w:rPr>
          <w:noProof/>
        </w:rPr>
      </w:pPr>
      <w:bookmarkStart w:id="15" w:name="_Hlk25760604"/>
      <w:r w:rsidRPr="006B2326">
        <w:rPr>
          <w:noProof/>
        </w:rPr>
        <w:t>PONVORY</w:t>
      </w:r>
      <w:r w:rsidR="0041319B" w:rsidRPr="006B2326">
        <w:rPr>
          <w:noProof/>
        </w:rPr>
        <w:t xml:space="preserve"> has no or negligible influence on the ability to drive and use machines.</w:t>
      </w:r>
      <w:bookmarkEnd w:id="15"/>
    </w:p>
    <w:p w14:paraId="0942CBF3" w14:textId="77777777" w:rsidR="008F405C" w:rsidRPr="006B2326" w:rsidRDefault="008F405C" w:rsidP="004C6478">
      <w:pPr>
        <w:jc w:val="left"/>
        <w:rPr>
          <w:lang w:val="en-AU"/>
        </w:rPr>
      </w:pPr>
    </w:p>
    <w:p w14:paraId="16C580E1" w14:textId="77777777" w:rsidR="00B87DA7" w:rsidRPr="006B2326" w:rsidRDefault="00D92B0C" w:rsidP="004C6478">
      <w:pPr>
        <w:pStyle w:val="Heading2"/>
        <w:rPr>
          <w:lang w:val="en-AU"/>
        </w:rPr>
      </w:pPr>
      <w:r w:rsidRPr="006B2326">
        <w:rPr>
          <w:lang w:val="en-AU"/>
        </w:rPr>
        <w:lastRenderedPageBreak/>
        <w:t>Adverse Effects</w:t>
      </w:r>
      <w:r w:rsidR="002A286B" w:rsidRPr="006B2326">
        <w:rPr>
          <w:lang w:val="en-AU"/>
        </w:rPr>
        <w:t xml:space="preserve"> (UNDESIRABLE EFFECTS)</w:t>
      </w:r>
      <w:bookmarkStart w:id="16" w:name="_Hlk23872136"/>
    </w:p>
    <w:p w14:paraId="69051002" w14:textId="17A59B56" w:rsidR="005372FF" w:rsidRPr="005372FF" w:rsidRDefault="005372FF" w:rsidP="004C6478">
      <w:pPr>
        <w:pStyle w:val="BodyText"/>
        <w:spacing w:after="120"/>
        <w:rPr>
          <w:szCs w:val="24"/>
          <w:shd w:val="clear" w:color="auto" w:fill="BDD6EE"/>
        </w:rPr>
      </w:pPr>
      <w:r w:rsidRPr="00A1487F">
        <w:rPr>
          <w:szCs w:val="24"/>
        </w:rPr>
        <w:t xml:space="preserve">Throughout this section, adverse reactions are presented. Adverse reactions are adverse events that </w:t>
      </w:r>
      <w:proofErr w:type="gramStart"/>
      <w:r w:rsidRPr="00A1487F">
        <w:rPr>
          <w:szCs w:val="24"/>
        </w:rPr>
        <w:t>were considered to be</w:t>
      </w:r>
      <w:proofErr w:type="gramEnd"/>
      <w:r w:rsidRPr="00A1487F">
        <w:rPr>
          <w:szCs w:val="24"/>
        </w:rPr>
        <w:t xml:space="preserve"> reasonably associated with the use of </w:t>
      </w:r>
      <w:proofErr w:type="spellStart"/>
      <w:r w:rsidRPr="00A1487F">
        <w:rPr>
          <w:szCs w:val="24"/>
        </w:rPr>
        <w:t>ponesimod</w:t>
      </w:r>
      <w:proofErr w:type="spellEnd"/>
      <w:r w:rsidRPr="00A1487F">
        <w:rPr>
          <w:szCs w:val="24"/>
        </w:rPr>
        <w:t xml:space="preserve"> based on the comprehensive assessment of the available adverse event information. A causal relationship with </w:t>
      </w:r>
      <w:proofErr w:type="spellStart"/>
      <w:r w:rsidRPr="00A1487F">
        <w:rPr>
          <w:szCs w:val="24"/>
        </w:rPr>
        <w:t>ponesimod</w:t>
      </w:r>
      <w:proofErr w:type="spellEnd"/>
      <w:r w:rsidRPr="00A1487F">
        <w:rPr>
          <w:szCs w:val="24"/>
        </w:rPr>
        <w:t xml:space="preserve"> cannot be reliably established in individual cases. Further, because clinical trials are conducted under widely varying conditions, adverse reaction rates observed in the clinical trials of a drug cannot be directly compared to rates in the clinical trials of another drug and may not reflect the rates observed in clinical practice.</w:t>
      </w:r>
    </w:p>
    <w:p w14:paraId="240B3B6B" w14:textId="6373B574" w:rsidR="00B87DA7" w:rsidRPr="006B2326" w:rsidRDefault="00B87DA7" w:rsidP="004C6478">
      <w:pPr>
        <w:jc w:val="left"/>
      </w:pPr>
      <w:r w:rsidRPr="006B2326">
        <w:t xml:space="preserve">A total of 1438 MS patients have received </w:t>
      </w:r>
      <w:r w:rsidR="00387EBC" w:rsidRPr="006B2326">
        <w:t>PONVORY</w:t>
      </w:r>
      <w:r w:rsidRPr="006B2326">
        <w:t xml:space="preserve"> at doses of at least 2 mg daily. These patients were included in the OPTIMUM (2</w:t>
      </w:r>
      <w:r w:rsidR="00663360" w:rsidRPr="006B2326">
        <w:t>-</w:t>
      </w:r>
      <w:r w:rsidRPr="006B2326">
        <w:t>year active</w:t>
      </w:r>
      <w:r w:rsidR="00663360" w:rsidRPr="006B2326">
        <w:t>-</w:t>
      </w:r>
      <w:r w:rsidRPr="006B2326">
        <w:t xml:space="preserve">controlled versus teriflunomide 14 mg) study (see </w:t>
      </w:r>
      <w:r w:rsidR="002742D1" w:rsidRPr="006B2326">
        <w:t xml:space="preserve">Section </w:t>
      </w:r>
      <w:r w:rsidR="00E30C50" w:rsidRPr="006B2326">
        <w:t>5.1 Pharmacodynamic Properties</w:t>
      </w:r>
      <w:r w:rsidRPr="006B2326">
        <w:t xml:space="preserve"> - Clinical </w:t>
      </w:r>
      <w:r w:rsidR="00663360" w:rsidRPr="006B2326">
        <w:t>T</w:t>
      </w:r>
      <w:r w:rsidR="00E30C50" w:rsidRPr="006B2326">
        <w:t>rials</w:t>
      </w:r>
      <w:r w:rsidRPr="006B2326">
        <w:t>) and in a Phase 2 (6</w:t>
      </w:r>
      <w:r w:rsidR="00387EBC" w:rsidRPr="006B2326">
        <w:t>-</w:t>
      </w:r>
      <w:r w:rsidRPr="006B2326">
        <w:t>month placebo</w:t>
      </w:r>
      <w:r w:rsidR="00387EBC" w:rsidRPr="006B2326">
        <w:t>-</w:t>
      </w:r>
      <w:r w:rsidRPr="006B2326">
        <w:t>controlled) study in patients with MS and their uncontrolled extension studies.</w:t>
      </w:r>
    </w:p>
    <w:p w14:paraId="63556F18" w14:textId="6D18B962" w:rsidR="00B87DA7" w:rsidRDefault="00B87DA7" w:rsidP="004C6478">
      <w:pPr>
        <w:jc w:val="left"/>
      </w:pPr>
      <w:r w:rsidRPr="006B2326">
        <w:t xml:space="preserve">In OPTIMUM, 82% of </w:t>
      </w:r>
      <w:r w:rsidR="00387EBC" w:rsidRPr="006B2326">
        <w:t>PONVORY</w:t>
      </w:r>
      <w:r w:rsidR="00B02864" w:rsidRPr="006B2326">
        <w:t>-</w:t>
      </w:r>
      <w:r w:rsidRPr="006B2326">
        <w:t>treated patients completed 2</w:t>
      </w:r>
      <w:r w:rsidR="00663360" w:rsidRPr="006B2326">
        <w:t>-</w:t>
      </w:r>
      <w:r w:rsidRPr="006B2326">
        <w:t xml:space="preserve">years of study treatment, compared to 82.2% of patients receiving teriflunomide 14 mg. Adverse events led to discontinuation of treatment in 8.7% of </w:t>
      </w:r>
      <w:r w:rsidR="00387EBC" w:rsidRPr="006B2326">
        <w:t>PONVORY</w:t>
      </w:r>
      <w:r w:rsidR="00B02864" w:rsidRPr="006B2326">
        <w:t>-</w:t>
      </w:r>
      <w:r w:rsidRPr="006B2326">
        <w:t xml:space="preserve">treated patients, compared to 6.0% of patients receiving teriflunomide 14 mg. The most common adverse reactions (incidence at least 10%) in </w:t>
      </w:r>
      <w:r w:rsidR="00387EBC" w:rsidRPr="006B2326">
        <w:t>PONVORY-</w:t>
      </w:r>
      <w:r w:rsidRPr="006B2326">
        <w:t>treated patients in OPTIMUM were alanine aminotransferase increased, nasopharyngitis, and upper respiratory tract infection.</w:t>
      </w:r>
    </w:p>
    <w:p w14:paraId="100378F3" w14:textId="42AB2F7A" w:rsidR="00676448" w:rsidRDefault="00676448" w:rsidP="004C6478">
      <w:pPr>
        <w:jc w:val="left"/>
      </w:pPr>
      <w:bookmarkStart w:id="17" w:name="_Hlk26195629"/>
      <w:bookmarkStart w:id="18" w:name="_Hlk26438535"/>
      <w:r w:rsidRPr="00676448">
        <w:t xml:space="preserve">Table 3 lists adverse reactions that occurred in at least 2% of </w:t>
      </w:r>
      <w:r>
        <w:t>PONVORY</w:t>
      </w:r>
      <w:r w:rsidRPr="00676448">
        <w:noBreakHyphen/>
        <w:t xml:space="preserve">treated patients and at a higher rate than in patients receiving teriflunomide </w:t>
      </w:r>
      <w:r w:rsidRPr="00676448">
        <w:rPr>
          <w:iCs/>
        </w:rPr>
        <w:t xml:space="preserve">14 mg </w:t>
      </w:r>
      <w:bookmarkStart w:id="19" w:name="_Hlk26457161"/>
      <w:r w:rsidRPr="00676448">
        <w:rPr>
          <w:iCs/>
        </w:rPr>
        <w:t>(rounded percentages are presented in the table</w:t>
      </w:r>
      <w:r w:rsidRPr="00676448">
        <w:t>)</w:t>
      </w:r>
      <w:bookmarkEnd w:id="19"/>
      <w:r w:rsidRPr="00676448">
        <w:t xml:space="preserve">. </w:t>
      </w:r>
      <w:bookmarkEnd w:id="17"/>
      <w:r w:rsidRPr="00676448">
        <w:t>Adverse reactions are also listed by system organ class and frequency: very common (≥ 1/10), common (≥ 1/100 to &lt; 1/10), uncommon (≥ 1/1000 to &lt; 1/100), and rare (≥ 1/10000 to &lt; 1/1000). Within each frequency grouping, ARs are presented in order of decreasing frequency.</w:t>
      </w:r>
    </w:p>
    <w:p w14:paraId="3C493948" w14:textId="77777777" w:rsidR="00A63E96" w:rsidRPr="00676448" w:rsidRDefault="00A63E96" w:rsidP="004C6478">
      <w:pPr>
        <w:jc w:val="left"/>
      </w:pPr>
    </w:p>
    <w:tbl>
      <w:tblPr>
        <w:tblW w:w="9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2700"/>
        <w:gridCol w:w="2579"/>
      </w:tblGrid>
      <w:tr w:rsidR="00676448" w:rsidRPr="00676448" w14:paraId="6EF1522E" w14:textId="77777777" w:rsidTr="005372FF">
        <w:trPr>
          <w:cantSplit/>
          <w:trHeight w:val="882"/>
        </w:trPr>
        <w:tc>
          <w:tcPr>
            <w:tcW w:w="5000" w:type="pct"/>
            <w:gridSpan w:val="3"/>
            <w:tcBorders>
              <w:top w:val="nil"/>
              <w:left w:val="nil"/>
              <w:right w:val="nil"/>
            </w:tcBorders>
            <w:shd w:val="clear" w:color="auto" w:fill="auto"/>
          </w:tcPr>
          <w:p w14:paraId="7043AA83" w14:textId="3147E56F" w:rsidR="00676448" w:rsidRPr="00676448" w:rsidRDefault="00676448" w:rsidP="004C6478">
            <w:pPr>
              <w:jc w:val="left"/>
              <w:rPr>
                <w:b/>
              </w:rPr>
            </w:pPr>
            <w:bookmarkStart w:id="20" w:name="_Hlk26195656"/>
            <w:bookmarkEnd w:id="18"/>
            <w:r w:rsidRPr="00676448">
              <w:rPr>
                <w:b/>
              </w:rPr>
              <w:t>Table 3:</w:t>
            </w:r>
            <w:r w:rsidRPr="00676448">
              <w:rPr>
                <w:b/>
              </w:rPr>
              <w:tab/>
              <w:t xml:space="preserve">Adverse Reactions Reported in Phase 3 OPTIMUM Study (Occurring in at Least 2% of </w:t>
            </w:r>
            <w:r>
              <w:rPr>
                <w:b/>
              </w:rPr>
              <w:t>PONVORY</w:t>
            </w:r>
            <w:r w:rsidRPr="00676448">
              <w:rPr>
                <w:b/>
              </w:rPr>
              <w:noBreakHyphen/>
              <w:t>Treated Patients and at a Higher Rate Than in Patients Receiving Teriflunomide 14 </w:t>
            </w:r>
            <w:proofErr w:type="spellStart"/>
            <w:r w:rsidRPr="00676448">
              <w:rPr>
                <w:b/>
              </w:rPr>
              <w:t>mg</w:t>
            </w:r>
            <w:r w:rsidRPr="00676448">
              <w:rPr>
                <w:b/>
                <w:vertAlign w:val="superscript"/>
              </w:rPr>
              <w:t>a</w:t>
            </w:r>
            <w:proofErr w:type="spellEnd"/>
            <w:r w:rsidRPr="00676448">
              <w:rPr>
                <w:b/>
              </w:rPr>
              <w:t>)</w:t>
            </w:r>
            <w:bookmarkEnd w:id="20"/>
          </w:p>
        </w:tc>
      </w:tr>
      <w:tr w:rsidR="00676448" w:rsidRPr="00676448" w14:paraId="446E9CC2" w14:textId="77777777" w:rsidTr="005372FF">
        <w:trPr>
          <w:cantSplit/>
          <w:trHeight w:val="260"/>
          <w:tblHeader/>
        </w:trPr>
        <w:tc>
          <w:tcPr>
            <w:tcW w:w="2171" w:type="pct"/>
            <w:shd w:val="clear" w:color="auto" w:fill="auto"/>
            <w:vAlign w:val="bottom"/>
          </w:tcPr>
          <w:p w14:paraId="3AEAB2CF" w14:textId="77777777" w:rsidR="00676448" w:rsidRPr="00A9381C" w:rsidRDefault="00676448" w:rsidP="004C6478">
            <w:pPr>
              <w:jc w:val="left"/>
              <w:rPr>
                <w:b/>
                <w:sz w:val="20"/>
                <w:szCs w:val="20"/>
              </w:rPr>
            </w:pPr>
            <w:r w:rsidRPr="00A9381C">
              <w:rPr>
                <w:b/>
                <w:bCs/>
                <w:sz w:val="20"/>
                <w:szCs w:val="20"/>
              </w:rPr>
              <w:t>System Organ Class</w:t>
            </w:r>
          </w:p>
        </w:tc>
        <w:tc>
          <w:tcPr>
            <w:tcW w:w="1447" w:type="pct"/>
            <w:vMerge w:val="restart"/>
            <w:shd w:val="clear" w:color="auto" w:fill="auto"/>
            <w:vAlign w:val="center"/>
          </w:tcPr>
          <w:p w14:paraId="58DA9207" w14:textId="241D38F7" w:rsidR="00676448" w:rsidRPr="00A9381C" w:rsidRDefault="00676448" w:rsidP="004C6478">
            <w:pPr>
              <w:jc w:val="left"/>
              <w:rPr>
                <w:b/>
                <w:bCs/>
                <w:sz w:val="20"/>
                <w:szCs w:val="20"/>
              </w:rPr>
            </w:pPr>
            <w:r w:rsidRPr="00A9381C">
              <w:rPr>
                <w:b/>
                <w:sz w:val="20"/>
                <w:szCs w:val="20"/>
              </w:rPr>
              <w:t>PONVORY</w:t>
            </w:r>
          </w:p>
          <w:p w14:paraId="542106C9" w14:textId="77777777" w:rsidR="00676448" w:rsidRPr="00A9381C" w:rsidRDefault="00676448" w:rsidP="004C6478">
            <w:pPr>
              <w:jc w:val="left"/>
              <w:rPr>
                <w:b/>
                <w:sz w:val="20"/>
                <w:szCs w:val="20"/>
              </w:rPr>
            </w:pPr>
            <w:r w:rsidRPr="00A9381C">
              <w:rPr>
                <w:b/>
                <w:sz w:val="20"/>
                <w:szCs w:val="20"/>
              </w:rPr>
              <w:t>N=565</w:t>
            </w:r>
          </w:p>
          <w:p w14:paraId="120E2A9C" w14:textId="77777777" w:rsidR="00676448" w:rsidRPr="00A9381C" w:rsidRDefault="00676448" w:rsidP="004C6478">
            <w:pPr>
              <w:jc w:val="left"/>
              <w:rPr>
                <w:b/>
                <w:sz w:val="20"/>
                <w:szCs w:val="20"/>
              </w:rPr>
            </w:pPr>
            <w:r w:rsidRPr="00A9381C">
              <w:rPr>
                <w:b/>
                <w:sz w:val="20"/>
                <w:szCs w:val="20"/>
              </w:rPr>
              <w:t>(%)</w:t>
            </w:r>
          </w:p>
        </w:tc>
        <w:tc>
          <w:tcPr>
            <w:tcW w:w="1382" w:type="pct"/>
            <w:vMerge w:val="restart"/>
            <w:shd w:val="clear" w:color="auto" w:fill="auto"/>
            <w:vAlign w:val="center"/>
          </w:tcPr>
          <w:p w14:paraId="44855121" w14:textId="77777777" w:rsidR="00676448" w:rsidRPr="00A9381C" w:rsidRDefault="00676448" w:rsidP="004C6478">
            <w:pPr>
              <w:jc w:val="left"/>
              <w:rPr>
                <w:b/>
                <w:bCs/>
                <w:sz w:val="20"/>
                <w:szCs w:val="20"/>
              </w:rPr>
            </w:pPr>
            <w:r w:rsidRPr="00A9381C">
              <w:rPr>
                <w:b/>
                <w:bCs/>
                <w:sz w:val="20"/>
                <w:szCs w:val="20"/>
              </w:rPr>
              <w:t xml:space="preserve">Teriflunomide </w:t>
            </w:r>
            <w:r w:rsidRPr="00A9381C">
              <w:rPr>
                <w:b/>
                <w:bCs/>
                <w:iCs/>
                <w:sz w:val="20"/>
                <w:szCs w:val="20"/>
              </w:rPr>
              <w:t>14 mg</w:t>
            </w:r>
          </w:p>
          <w:p w14:paraId="49862A24" w14:textId="77777777" w:rsidR="00676448" w:rsidRPr="00A9381C" w:rsidRDefault="00676448" w:rsidP="004C6478">
            <w:pPr>
              <w:jc w:val="left"/>
              <w:rPr>
                <w:b/>
                <w:sz w:val="20"/>
                <w:szCs w:val="20"/>
              </w:rPr>
            </w:pPr>
            <w:r w:rsidRPr="00A9381C">
              <w:rPr>
                <w:b/>
                <w:sz w:val="20"/>
                <w:szCs w:val="20"/>
              </w:rPr>
              <w:t>N=566</w:t>
            </w:r>
          </w:p>
          <w:p w14:paraId="3B0B8809" w14:textId="77777777" w:rsidR="00676448" w:rsidRPr="00A9381C" w:rsidRDefault="00676448" w:rsidP="004C6478">
            <w:pPr>
              <w:jc w:val="left"/>
              <w:rPr>
                <w:sz w:val="20"/>
                <w:szCs w:val="20"/>
              </w:rPr>
            </w:pPr>
            <w:r w:rsidRPr="00A9381C">
              <w:rPr>
                <w:b/>
                <w:sz w:val="20"/>
                <w:szCs w:val="20"/>
              </w:rPr>
              <w:t>(%)</w:t>
            </w:r>
          </w:p>
        </w:tc>
      </w:tr>
      <w:tr w:rsidR="00676448" w:rsidRPr="00676448" w14:paraId="225BB6D4" w14:textId="77777777" w:rsidTr="005372FF">
        <w:trPr>
          <w:cantSplit/>
          <w:trHeight w:val="441"/>
          <w:tblHeader/>
        </w:trPr>
        <w:tc>
          <w:tcPr>
            <w:tcW w:w="2171" w:type="pct"/>
            <w:shd w:val="clear" w:color="auto" w:fill="auto"/>
            <w:vAlign w:val="bottom"/>
          </w:tcPr>
          <w:p w14:paraId="62808FFF" w14:textId="77777777" w:rsidR="00676448" w:rsidRPr="00A9381C" w:rsidRDefault="00676448" w:rsidP="004C6478">
            <w:pPr>
              <w:jc w:val="left"/>
              <w:rPr>
                <w:b/>
                <w:bCs/>
                <w:sz w:val="20"/>
                <w:szCs w:val="20"/>
              </w:rPr>
            </w:pPr>
            <w:r w:rsidRPr="00A9381C">
              <w:rPr>
                <w:b/>
                <w:sz w:val="20"/>
                <w:szCs w:val="20"/>
              </w:rPr>
              <w:t>Adverse Reaction</w:t>
            </w:r>
          </w:p>
        </w:tc>
        <w:tc>
          <w:tcPr>
            <w:tcW w:w="1447" w:type="pct"/>
            <w:vMerge/>
            <w:shd w:val="clear" w:color="auto" w:fill="auto"/>
            <w:vAlign w:val="bottom"/>
          </w:tcPr>
          <w:p w14:paraId="79211B73" w14:textId="77777777" w:rsidR="00676448" w:rsidRPr="00A9381C" w:rsidRDefault="00676448" w:rsidP="004C6478">
            <w:pPr>
              <w:jc w:val="left"/>
              <w:rPr>
                <w:b/>
                <w:sz w:val="20"/>
                <w:szCs w:val="20"/>
              </w:rPr>
            </w:pPr>
          </w:p>
        </w:tc>
        <w:tc>
          <w:tcPr>
            <w:tcW w:w="1382" w:type="pct"/>
            <w:vMerge/>
            <w:shd w:val="clear" w:color="auto" w:fill="auto"/>
            <w:vAlign w:val="bottom"/>
          </w:tcPr>
          <w:p w14:paraId="0627079D" w14:textId="77777777" w:rsidR="00676448" w:rsidRPr="00A9381C" w:rsidRDefault="00676448" w:rsidP="004C6478">
            <w:pPr>
              <w:jc w:val="left"/>
              <w:rPr>
                <w:b/>
                <w:sz w:val="20"/>
                <w:szCs w:val="20"/>
              </w:rPr>
            </w:pPr>
          </w:p>
        </w:tc>
      </w:tr>
      <w:tr w:rsidR="00676448" w:rsidRPr="00676448" w14:paraId="0E88452A" w14:textId="77777777" w:rsidTr="005372FF">
        <w:trPr>
          <w:cantSplit/>
          <w:trHeight w:val="256"/>
        </w:trPr>
        <w:tc>
          <w:tcPr>
            <w:tcW w:w="5000" w:type="pct"/>
            <w:gridSpan w:val="3"/>
            <w:shd w:val="clear" w:color="auto" w:fill="auto"/>
            <w:vAlign w:val="bottom"/>
          </w:tcPr>
          <w:p w14:paraId="33819D9C" w14:textId="77777777" w:rsidR="00676448" w:rsidRPr="00A9381C" w:rsidRDefault="00676448" w:rsidP="004C6478">
            <w:pPr>
              <w:jc w:val="left"/>
              <w:rPr>
                <w:sz w:val="20"/>
                <w:szCs w:val="20"/>
              </w:rPr>
            </w:pPr>
            <w:r w:rsidRPr="00A9381C">
              <w:rPr>
                <w:b/>
                <w:sz w:val="20"/>
                <w:szCs w:val="20"/>
              </w:rPr>
              <w:t>Infections and infestations</w:t>
            </w:r>
          </w:p>
        </w:tc>
      </w:tr>
      <w:tr w:rsidR="00676448" w:rsidRPr="00676448" w14:paraId="5C6FA3C3" w14:textId="77777777" w:rsidTr="005372FF">
        <w:trPr>
          <w:cantSplit/>
          <w:trHeight w:val="230"/>
        </w:trPr>
        <w:tc>
          <w:tcPr>
            <w:tcW w:w="2171" w:type="pct"/>
            <w:shd w:val="clear" w:color="auto" w:fill="auto"/>
            <w:vAlign w:val="center"/>
          </w:tcPr>
          <w:p w14:paraId="1CD2076B" w14:textId="77777777" w:rsidR="00676448" w:rsidRPr="00A9381C" w:rsidRDefault="00676448" w:rsidP="004C6478">
            <w:pPr>
              <w:jc w:val="left"/>
              <w:rPr>
                <w:sz w:val="20"/>
                <w:szCs w:val="20"/>
              </w:rPr>
            </w:pPr>
            <w:r w:rsidRPr="00A9381C">
              <w:rPr>
                <w:sz w:val="20"/>
                <w:szCs w:val="20"/>
              </w:rPr>
              <w:t>Nasopharyngitis</w:t>
            </w:r>
          </w:p>
        </w:tc>
        <w:tc>
          <w:tcPr>
            <w:tcW w:w="1447" w:type="pct"/>
            <w:shd w:val="clear" w:color="auto" w:fill="auto"/>
            <w:vAlign w:val="center"/>
          </w:tcPr>
          <w:p w14:paraId="40735F53" w14:textId="77777777" w:rsidR="00676448" w:rsidRPr="00A9381C" w:rsidRDefault="00676448" w:rsidP="004C6478">
            <w:pPr>
              <w:jc w:val="left"/>
              <w:rPr>
                <w:sz w:val="20"/>
                <w:szCs w:val="20"/>
              </w:rPr>
            </w:pPr>
            <w:r w:rsidRPr="00A9381C">
              <w:rPr>
                <w:sz w:val="20"/>
                <w:szCs w:val="20"/>
              </w:rPr>
              <w:t>19</w:t>
            </w:r>
          </w:p>
        </w:tc>
        <w:tc>
          <w:tcPr>
            <w:tcW w:w="1382" w:type="pct"/>
            <w:shd w:val="clear" w:color="auto" w:fill="auto"/>
            <w:vAlign w:val="center"/>
          </w:tcPr>
          <w:p w14:paraId="251CC99F" w14:textId="77777777" w:rsidR="00676448" w:rsidRPr="00A9381C" w:rsidRDefault="00676448" w:rsidP="004C6478">
            <w:pPr>
              <w:jc w:val="left"/>
              <w:rPr>
                <w:sz w:val="20"/>
                <w:szCs w:val="20"/>
              </w:rPr>
            </w:pPr>
            <w:r w:rsidRPr="00A9381C">
              <w:rPr>
                <w:sz w:val="20"/>
                <w:szCs w:val="20"/>
              </w:rPr>
              <w:t>17</w:t>
            </w:r>
          </w:p>
        </w:tc>
      </w:tr>
      <w:tr w:rsidR="00676448" w:rsidRPr="00676448" w14:paraId="783A815C" w14:textId="77777777" w:rsidTr="005372FF">
        <w:trPr>
          <w:cantSplit/>
          <w:trHeight w:val="241"/>
        </w:trPr>
        <w:tc>
          <w:tcPr>
            <w:tcW w:w="2171" w:type="pct"/>
            <w:shd w:val="clear" w:color="auto" w:fill="auto"/>
            <w:vAlign w:val="center"/>
          </w:tcPr>
          <w:p w14:paraId="41EA6939" w14:textId="77777777" w:rsidR="00676448" w:rsidRPr="00A9381C" w:rsidRDefault="00676448" w:rsidP="004C6478">
            <w:pPr>
              <w:jc w:val="left"/>
              <w:rPr>
                <w:sz w:val="20"/>
                <w:szCs w:val="20"/>
              </w:rPr>
            </w:pPr>
            <w:r w:rsidRPr="00A9381C">
              <w:rPr>
                <w:sz w:val="20"/>
                <w:szCs w:val="20"/>
              </w:rPr>
              <w:t>Upper respiratory tract infection</w:t>
            </w:r>
          </w:p>
        </w:tc>
        <w:tc>
          <w:tcPr>
            <w:tcW w:w="1447" w:type="pct"/>
            <w:shd w:val="clear" w:color="auto" w:fill="auto"/>
            <w:vAlign w:val="center"/>
          </w:tcPr>
          <w:p w14:paraId="58D3936F" w14:textId="77777777" w:rsidR="00676448" w:rsidRPr="00A9381C" w:rsidRDefault="00676448" w:rsidP="004C6478">
            <w:pPr>
              <w:jc w:val="left"/>
              <w:rPr>
                <w:sz w:val="20"/>
                <w:szCs w:val="20"/>
              </w:rPr>
            </w:pPr>
            <w:r w:rsidRPr="00A9381C">
              <w:rPr>
                <w:sz w:val="20"/>
                <w:szCs w:val="20"/>
              </w:rPr>
              <w:t>11</w:t>
            </w:r>
          </w:p>
        </w:tc>
        <w:tc>
          <w:tcPr>
            <w:tcW w:w="1382" w:type="pct"/>
            <w:shd w:val="clear" w:color="auto" w:fill="auto"/>
            <w:vAlign w:val="center"/>
          </w:tcPr>
          <w:p w14:paraId="47CC0076" w14:textId="77777777" w:rsidR="00676448" w:rsidRPr="00A9381C" w:rsidRDefault="00676448" w:rsidP="004C6478">
            <w:pPr>
              <w:jc w:val="left"/>
              <w:rPr>
                <w:sz w:val="20"/>
                <w:szCs w:val="20"/>
              </w:rPr>
            </w:pPr>
            <w:r w:rsidRPr="00A9381C">
              <w:rPr>
                <w:sz w:val="20"/>
                <w:szCs w:val="20"/>
              </w:rPr>
              <w:t>10</w:t>
            </w:r>
          </w:p>
        </w:tc>
      </w:tr>
      <w:tr w:rsidR="00676448" w:rsidRPr="00676448" w14:paraId="34AF2B2D" w14:textId="77777777" w:rsidTr="005372FF">
        <w:trPr>
          <w:cantSplit/>
          <w:trHeight w:val="241"/>
        </w:trPr>
        <w:tc>
          <w:tcPr>
            <w:tcW w:w="2171" w:type="pct"/>
            <w:shd w:val="clear" w:color="auto" w:fill="auto"/>
            <w:vAlign w:val="center"/>
          </w:tcPr>
          <w:p w14:paraId="7781A619" w14:textId="77777777" w:rsidR="00676448" w:rsidRPr="00A9381C" w:rsidRDefault="00676448" w:rsidP="004C6478">
            <w:pPr>
              <w:jc w:val="left"/>
              <w:rPr>
                <w:sz w:val="20"/>
                <w:szCs w:val="20"/>
              </w:rPr>
            </w:pPr>
            <w:r w:rsidRPr="00A9381C">
              <w:rPr>
                <w:sz w:val="20"/>
                <w:szCs w:val="20"/>
              </w:rPr>
              <w:t>Urinary tract infection</w:t>
            </w:r>
          </w:p>
        </w:tc>
        <w:tc>
          <w:tcPr>
            <w:tcW w:w="1447" w:type="pct"/>
            <w:shd w:val="clear" w:color="auto" w:fill="auto"/>
            <w:vAlign w:val="center"/>
          </w:tcPr>
          <w:p w14:paraId="43CDFAB4" w14:textId="77777777" w:rsidR="00676448" w:rsidRPr="00A9381C" w:rsidRDefault="00676448" w:rsidP="004C6478">
            <w:pPr>
              <w:jc w:val="left"/>
              <w:rPr>
                <w:sz w:val="20"/>
                <w:szCs w:val="20"/>
              </w:rPr>
            </w:pPr>
            <w:r w:rsidRPr="00A9381C">
              <w:rPr>
                <w:sz w:val="20"/>
                <w:szCs w:val="20"/>
              </w:rPr>
              <w:t>6</w:t>
            </w:r>
          </w:p>
        </w:tc>
        <w:tc>
          <w:tcPr>
            <w:tcW w:w="1382" w:type="pct"/>
            <w:shd w:val="clear" w:color="auto" w:fill="auto"/>
            <w:vAlign w:val="center"/>
          </w:tcPr>
          <w:p w14:paraId="50179B57" w14:textId="77777777" w:rsidR="00676448" w:rsidRPr="00A9381C" w:rsidRDefault="00676448" w:rsidP="004C6478">
            <w:pPr>
              <w:jc w:val="left"/>
              <w:rPr>
                <w:sz w:val="20"/>
                <w:szCs w:val="20"/>
              </w:rPr>
            </w:pPr>
            <w:r w:rsidRPr="00A9381C">
              <w:rPr>
                <w:sz w:val="20"/>
                <w:szCs w:val="20"/>
              </w:rPr>
              <w:t>5</w:t>
            </w:r>
          </w:p>
        </w:tc>
      </w:tr>
      <w:tr w:rsidR="00676448" w:rsidRPr="00676448" w14:paraId="54F6C0F9" w14:textId="77777777" w:rsidTr="005372FF">
        <w:trPr>
          <w:cantSplit/>
          <w:trHeight w:val="241"/>
        </w:trPr>
        <w:tc>
          <w:tcPr>
            <w:tcW w:w="2171" w:type="pct"/>
            <w:shd w:val="clear" w:color="auto" w:fill="auto"/>
            <w:vAlign w:val="center"/>
          </w:tcPr>
          <w:p w14:paraId="3F183DA2" w14:textId="77777777" w:rsidR="00676448" w:rsidRPr="00A9381C" w:rsidRDefault="00676448" w:rsidP="004C6478">
            <w:pPr>
              <w:jc w:val="left"/>
              <w:rPr>
                <w:sz w:val="20"/>
                <w:szCs w:val="20"/>
              </w:rPr>
            </w:pPr>
            <w:r w:rsidRPr="00A9381C">
              <w:rPr>
                <w:sz w:val="20"/>
                <w:szCs w:val="20"/>
              </w:rPr>
              <w:t>Bronchitis</w:t>
            </w:r>
          </w:p>
        </w:tc>
        <w:tc>
          <w:tcPr>
            <w:tcW w:w="1447" w:type="pct"/>
            <w:shd w:val="clear" w:color="auto" w:fill="auto"/>
            <w:vAlign w:val="center"/>
          </w:tcPr>
          <w:p w14:paraId="200132FD" w14:textId="77777777" w:rsidR="00676448" w:rsidRPr="00A9381C" w:rsidRDefault="00676448" w:rsidP="004C6478">
            <w:pPr>
              <w:jc w:val="left"/>
              <w:rPr>
                <w:sz w:val="20"/>
                <w:szCs w:val="20"/>
              </w:rPr>
            </w:pPr>
            <w:r w:rsidRPr="00A9381C">
              <w:rPr>
                <w:sz w:val="20"/>
                <w:szCs w:val="20"/>
              </w:rPr>
              <w:t>5</w:t>
            </w:r>
          </w:p>
        </w:tc>
        <w:tc>
          <w:tcPr>
            <w:tcW w:w="1382" w:type="pct"/>
            <w:shd w:val="clear" w:color="auto" w:fill="auto"/>
            <w:vAlign w:val="center"/>
          </w:tcPr>
          <w:p w14:paraId="690DE428" w14:textId="77777777" w:rsidR="00676448" w:rsidRPr="00A9381C" w:rsidRDefault="00676448" w:rsidP="004C6478">
            <w:pPr>
              <w:jc w:val="left"/>
              <w:rPr>
                <w:sz w:val="20"/>
                <w:szCs w:val="20"/>
              </w:rPr>
            </w:pPr>
            <w:r w:rsidRPr="00A9381C">
              <w:rPr>
                <w:sz w:val="20"/>
                <w:szCs w:val="20"/>
              </w:rPr>
              <w:t>4</w:t>
            </w:r>
          </w:p>
        </w:tc>
      </w:tr>
      <w:tr w:rsidR="00676448" w:rsidRPr="00676448" w14:paraId="7F389BBA" w14:textId="77777777" w:rsidTr="005372FF">
        <w:trPr>
          <w:cantSplit/>
          <w:trHeight w:val="241"/>
        </w:trPr>
        <w:tc>
          <w:tcPr>
            <w:tcW w:w="2171" w:type="pct"/>
            <w:shd w:val="clear" w:color="auto" w:fill="auto"/>
            <w:vAlign w:val="center"/>
          </w:tcPr>
          <w:p w14:paraId="1956069F" w14:textId="77777777" w:rsidR="00676448" w:rsidRPr="00A9381C" w:rsidRDefault="00676448" w:rsidP="004C6478">
            <w:pPr>
              <w:jc w:val="left"/>
              <w:rPr>
                <w:sz w:val="20"/>
                <w:szCs w:val="20"/>
              </w:rPr>
            </w:pPr>
            <w:r w:rsidRPr="00A9381C">
              <w:rPr>
                <w:sz w:val="20"/>
                <w:szCs w:val="20"/>
              </w:rPr>
              <w:t>Influenza</w:t>
            </w:r>
          </w:p>
        </w:tc>
        <w:tc>
          <w:tcPr>
            <w:tcW w:w="1447" w:type="pct"/>
            <w:shd w:val="clear" w:color="auto" w:fill="auto"/>
            <w:vAlign w:val="center"/>
          </w:tcPr>
          <w:p w14:paraId="1448C666" w14:textId="77777777" w:rsidR="00676448" w:rsidRPr="00A9381C" w:rsidRDefault="00676448" w:rsidP="004C6478">
            <w:pPr>
              <w:jc w:val="left"/>
              <w:rPr>
                <w:sz w:val="20"/>
                <w:szCs w:val="20"/>
              </w:rPr>
            </w:pPr>
            <w:r w:rsidRPr="00A9381C">
              <w:rPr>
                <w:sz w:val="20"/>
                <w:szCs w:val="20"/>
              </w:rPr>
              <w:t>4</w:t>
            </w:r>
          </w:p>
        </w:tc>
        <w:tc>
          <w:tcPr>
            <w:tcW w:w="1382" w:type="pct"/>
            <w:shd w:val="clear" w:color="auto" w:fill="auto"/>
            <w:vAlign w:val="center"/>
          </w:tcPr>
          <w:p w14:paraId="46EFF937" w14:textId="77777777" w:rsidR="00676448" w:rsidRPr="00A9381C" w:rsidRDefault="00676448" w:rsidP="004C6478">
            <w:pPr>
              <w:jc w:val="left"/>
              <w:rPr>
                <w:sz w:val="20"/>
                <w:szCs w:val="20"/>
              </w:rPr>
            </w:pPr>
            <w:r w:rsidRPr="00A9381C">
              <w:rPr>
                <w:sz w:val="20"/>
                <w:szCs w:val="20"/>
              </w:rPr>
              <w:t>4</w:t>
            </w:r>
          </w:p>
        </w:tc>
      </w:tr>
      <w:tr w:rsidR="00676448" w:rsidRPr="00676448" w14:paraId="06B59878" w14:textId="77777777" w:rsidTr="005372FF">
        <w:trPr>
          <w:cantSplit/>
          <w:trHeight w:val="241"/>
        </w:trPr>
        <w:tc>
          <w:tcPr>
            <w:tcW w:w="2171" w:type="pct"/>
            <w:shd w:val="clear" w:color="auto" w:fill="auto"/>
            <w:vAlign w:val="center"/>
          </w:tcPr>
          <w:p w14:paraId="39BB2C3A" w14:textId="77777777" w:rsidR="00676448" w:rsidRPr="00A9381C" w:rsidRDefault="00676448" w:rsidP="004C6478">
            <w:pPr>
              <w:jc w:val="left"/>
              <w:rPr>
                <w:sz w:val="20"/>
                <w:szCs w:val="20"/>
              </w:rPr>
            </w:pPr>
            <w:r w:rsidRPr="00A9381C">
              <w:rPr>
                <w:sz w:val="20"/>
                <w:szCs w:val="20"/>
              </w:rPr>
              <w:t>Respiratory tract infection viral</w:t>
            </w:r>
          </w:p>
        </w:tc>
        <w:tc>
          <w:tcPr>
            <w:tcW w:w="1447" w:type="pct"/>
            <w:shd w:val="clear" w:color="auto" w:fill="auto"/>
            <w:vAlign w:val="center"/>
          </w:tcPr>
          <w:p w14:paraId="5C9C7812" w14:textId="77777777" w:rsidR="00676448" w:rsidRPr="00A9381C" w:rsidRDefault="00676448" w:rsidP="004C6478">
            <w:pPr>
              <w:jc w:val="left"/>
              <w:rPr>
                <w:sz w:val="20"/>
                <w:szCs w:val="20"/>
              </w:rPr>
            </w:pPr>
            <w:r w:rsidRPr="00A9381C">
              <w:rPr>
                <w:sz w:val="20"/>
                <w:szCs w:val="20"/>
              </w:rPr>
              <w:t>3</w:t>
            </w:r>
          </w:p>
        </w:tc>
        <w:tc>
          <w:tcPr>
            <w:tcW w:w="1382" w:type="pct"/>
            <w:shd w:val="clear" w:color="auto" w:fill="auto"/>
            <w:vAlign w:val="center"/>
          </w:tcPr>
          <w:p w14:paraId="79B743EB" w14:textId="77777777" w:rsidR="00676448" w:rsidRPr="00A9381C" w:rsidRDefault="00676448" w:rsidP="004C6478">
            <w:pPr>
              <w:jc w:val="left"/>
              <w:rPr>
                <w:sz w:val="20"/>
                <w:szCs w:val="20"/>
              </w:rPr>
            </w:pPr>
            <w:r w:rsidRPr="00A9381C">
              <w:rPr>
                <w:sz w:val="20"/>
                <w:szCs w:val="20"/>
              </w:rPr>
              <w:t>2</w:t>
            </w:r>
          </w:p>
        </w:tc>
      </w:tr>
      <w:tr w:rsidR="00676448" w:rsidRPr="00676448" w14:paraId="790BF65C" w14:textId="77777777" w:rsidTr="005372FF">
        <w:trPr>
          <w:cantSplit/>
          <w:trHeight w:val="241"/>
        </w:trPr>
        <w:tc>
          <w:tcPr>
            <w:tcW w:w="2171" w:type="pct"/>
            <w:shd w:val="clear" w:color="auto" w:fill="auto"/>
            <w:vAlign w:val="center"/>
          </w:tcPr>
          <w:p w14:paraId="7FA6DE13" w14:textId="77777777" w:rsidR="00676448" w:rsidRPr="00A9381C" w:rsidRDefault="00676448" w:rsidP="004C6478">
            <w:pPr>
              <w:jc w:val="left"/>
              <w:rPr>
                <w:sz w:val="20"/>
                <w:szCs w:val="20"/>
              </w:rPr>
            </w:pPr>
            <w:r w:rsidRPr="00A9381C">
              <w:rPr>
                <w:sz w:val="20"/>
                <w:szCs w:val="20"/>
              </w:rPr>
              <w:t>Respiratory tract infection</w:t>
            </w:r>
          </w:p>
        </w:tc>
        <w:tc>
          <w:tcPr>
            <w:tcW w:w="1447" w:type="pct"/>
            <w:shd w:val="clear" w:color="auto" w:fill="auto"/>
            <w:vAlign w:val="center"/>
          </w:tcPr>
          <w:p w14:paraId="3FA27EBB" w14:textId="77777777" w:rsidR="00676448" w:rsidRPr="00A9381C" w:rsidRDefault="00676448" w:rsidP="004C6478">
            <w:pPr>
              <w:jc w:val="left"/>
              <w:rPr>
                <w:sz w:val="20"/>
                <w:szCs w:val="20"/>
              </w:rPr>
            </w:pPr>
            <w:r w:rsidRPr="00A9381C">
              <w:rPr>
                <w:sz w:val="20"/>
                <w:szCs w:val="20"/>
              </w:rPr>
              <w:t>3</w:t>
            </w:r>
          </w:p>
        </w:tc>
        <w:tc>
          <w:tcPr>
            <w:tcW w:w="1382" w:type="pct"/>
            <w:shd w:val="clear" w:color="auto" w:fill="auto"/>
            <w:vAlign w:val="center"/>
          </w:tcPr>
          <w:p w14:paraId="57E4A147" w14:textId="77777777" w:rsidR="00676448" w:rsidRPr="00A9381C" w:rsidRDefault="00676448" w:rsidP="004C6478">
            <w:pPr>
              <w:jc w:val="left"/>
              <w:rPr>
                <w:sz w:val="20"/>
                <w:szCs w:val="20"/>
              </w:rPr>
            </w:pPr>
            <w:r w:rsidRPr="00A9381C">
              <w:rPr>
                <w:sz w:val="20"/>
                <w:szCs w:val="20"/>
              </w:rPr>
              <w:t>3</w:t>
            </w:r>
          </w:p>
        </w:tc>
      </w:tr>
      <w:tr w:rsidR="00676448" w:rsidRPr="00676448" w14:paraId="0EA990D1" w14:textId="77777777" w:rsidTr="005372FF">
        <w:trPr>
          <w:cantSplit/>
          <w:trHeight w:val="241"/>
        </w:trPr>
        <w:tc>
          <w:tcPr>
            <w:tcW w:w="2171" w:type="pct"/>
            <w:shd w:val="clear" w:color="auto" w:fill="auto"/>
            <w:vAlign w:val="center"/>
          </w:tcPr>
          <w:p w14:paraId="5AF711E5" w14:textId="77777777" w:rsidR="00676448" w:rsidRPr="00A9381C" w:rsidRDefault="00676448" w:rsidP="004C6478">
            <w:pPr>
              <w:jc w:val="left"/>
              <w:rPr>
                <w:sz w:val="20"/>
                <w:szCs w:val="20"/>
              </w:rPr>
            </w:pPr>
            <w:r w:rsidRPr="00A9381C">
              <w:rPr>
                <w:sz w:val="20"/>
                <w:szCs w:val="20"/>
              </w:rPr>
              <w:t>Pharyngitis</w:t>
            </w:r>
          </w:p>
        </w:tc>
        <w:tc>
          <w:tcPr>
            <w:tcW w:w="1447" w:type="pct"/>
            <w:shd w:val="clear" w:color="auto" w:fill="auto"/>
            <w:vAlign w:val="center"/>
          </w:tcPr>
          <w:p w14:paraId="53765C60" w14:textId="77777777" w:rsidR="00676448" w:rsidRPr="00A9381C" w:rsidRDefault="00676448" w:rsidP="004C6478">
            <w:pPr>
              <w:jc w:val="left"/>
              <w:rPr>
                <w:sz w:val="20"/>
                <w:szCs w:val="20"/>
              </w:rPr>
            </w:pPr>
            <w:r w:rsidRPr="00A9381C">
              <w:rPr>
                <w:sz w:val="20"/>
                <w:szCs w:val="20"/>
              </w:rPr>
              <w:t>2</w:t>
            </w:r>
          </w:p>
        </w:tc>
        <w:tc>
          <w:tcPr>
            <w:tcW w:w="1382" w:type="pct"/>
            <w:shd w:val="clear" w:color="auto" w:fill="auto"/>
            <w:vAlign w:val="center"/>
          </w:tcPr>
          <w:p w14:paraId="7EC2B513" w14:textId="77777777" w:rsidR="00676448" w:rsidRPr="00A9381C" w:rsidRDefault="00676448" w:rsidP="004C6478">
            <w:pPr>
              <w:jc w:val="left"/>
              <w:rPr>
                <w:sz w:val="20"/>
                <w:szCs w:val="20"/>
              </w:rPr>
            </w:pPr>
            <w:r w:rsidRPr="00A9381C">
              <w:rPr>
                <w:sz w:val="20"/>
                <w:szCs w:val="20"/>
              </w:rPr>
              <w:t>2</w:t>
            </w:r>
          </w:p>
        </w:tc>
      </w:tr>
      <w:tr w:rsidR="00676448" w:rsidRPr="00676448" w14:paraId="26D11081" w14:textId="77777777" w:rsidTr="005372FF">
        <w:trPr>
          <w:cantSplit/>
          <w:trHeight w:val="241"/>
        </w:trPr>
        <w:tc>
          <w:tcPr>
            <w:tcW w:w="5000" w:type="pct"/>
            <w:gridSpan w:val="3"/>
            <w:shd w:val="clear" w:color="auto" w:fill="auto"/>
            <w:vAlign w:val="bottom"/>
          </w:tcPr>
          <w:p w14:paraId="1A255F98" w14:textId="77777777" w:rsidR="00676448" w:rsidRPr="00A9381C" w:rsidRDefault="00676448" w:rsidP="004C6478">
            <w:pPr>
              <w:jc w:val="left"/>
              <w:rPr>
                <w:sz w:val="20"/>
                <w:szCs w:val="20"/>
              </w:rPr>
            </w:pPr>
            <w:r w:rsidRPr="00A9381C">
              <w:rPr>
                <w:b/>
                <w:bCs/>
                <w:sz w:val="20"/>
                <w:szCs w:val="20"/>
              </w:rPr>
              <w:t>Metabolism and nutrition disorders</w:t>
            </w:r>
          </w:p>
        </w:tc>
      </w:tr>
      <w:tr w:rsidR="00676448" w:rsidRPr="00676448" w14:paraId="25F934B6" w14:textId="77777777" w:rsidTr="005372FF">
        <w:trPr>
          <w:cantSplit/>
          <w:trHeight w:val="241"/>
        </w:trPr>
        <w:tc>
          <w:tcPr>
            <w:tcW w:w="2171" w:type="pct"/>
            <w:tcBorders>
              <w:bottom w:val="single" w:sz="4" w:space="0" w:color="auto"/>
            </w:tcBorders>
            <w:shd w:val="clear" w:color="auto" w:fill="auto"/>
            <w:vAlign w:val="bottom"/>
          </w:tcPr>
          <w:p w14:paraId="3D72E6E0" w14:textId="77777777" w:rsidR="00676448" w:rsidRPr="00A9381C" w:rsidRDefault="00676448" w:rsidP="004C6478">
            <w:pPr>
              <w:jc w:val="left"/>
              <w:rPr>
                <w:b/>
                <w:i/>
                <w:sz w:val="20"/>
                <w:szCs w:val="20"/>
              </w:rPr>
            </w:pPr>
            <w:r w:rsidRPr="00A9381C">
              <w:rPr>
                <w:sz w:val="20"/>
                <w:szCs w:val="20"/>
              </w:rPr>
              <w:t>Hypercholesterolemia</w:t>
            </w:r>
          </w:p>
        </w:tc>
        <w:tc>
          <w:tcPr>
            <w:tcW w:w="1447" w:type="pct"/>
            <w:tcBorders>
              <w:bottom w:val="single" w:sz="4" w:space="0" w:color="auto"/>
            </w:tcBorders>
            <w:shd w:val="clear" w:color="auto" w:fill="auto"/>
            <w:vAlign w:val="center"/>
          </w:tcPr>
          <w:p w14:paraId="7C0FFA2F" w14:textId="77777777" w:rsidR="00676448" w:rsidRPr="00A9381C" w:rsidRDefault="00676448" w:rsidP="004C6478">
            <w:pPr>
              <w:jc w:val="left"/>
              <w:rPr>
                <w:sz w:val="20"/>
                <w:szCs w:val="20"/>
              </w:rPr>
            </w:pPr>
            <w:r w:rsidRPr="00A9381C">
              <w:rPr>
                <w:sz w:val="20"/>
                <w:szCs w:val="20"/>
              </w:rPr>
              <w:t>2</w:t>
            </w:r>
          </w:p>
        </w:tc>
        <w:tc>
          <w:tcPr>
            <w:tcW w:w="1382" w:type="pct"/>
            <w:tcBorders>
              <w:bottom w:val="single" w:sz="4" w:space="0" w:color="auto"/>
            </w:tcBorders>
            <w:shd w:val="clear" w:color="auto" w:fill="auto"/>
            <w:vAlign w:val="center"/>
          </w:tcPr>
          <w:p w14:paraId="0BFDE2F9" w14:textId="77777777" w:rsidR="00676448" w:rsidRPr="00A9381C" w:rsidRDefault="00676448" w:rsidP="004C6478">
            <w:pPr>
              <w:jc w:val="left"/>
              <w:rPr>
                <w:sz w:val="20"/>
                <w:szCs w:val="20"/>
              </w:rPr>
            </w:pPr>
            <w:r w:rsidRPr="00A9381C">
              <w:rPr>
                <w:sz w:val="20"/>
                <w:szCs w:val="20"/>
              </w:rPr>
              <w:t>1</w:t>
            </w:r>
          </w:p>
        </w:tc>
      </w:tr>
      <w:tr w:rsidR="00676448" w:rsidRPr="00676448" w14:paraId="05753F4B" w14:textId="77777777" w:rsidTr="005372FF">
        <w:trPr>
          <w:cantSplit/>
          <w:trHeight w:val="241"/>
        </w:trPr>
        <w:tc>
          <w:tcPr>
            <w:tcW w:w="5000" w:type="pct"/>
            <w:gridSpan w:val="3"/>
            <w:shd w:val="clear" w:color="auto" w:fill="auto"/>
            <w:vAlign w:val="bottom"/>
          </w:tcPr>
          <w:p w14:paraId="6468042E" w14:textId="77777777" w:rsidR="00676448" w:rsidRPr="00A9381C" w:rsidRDefault="00676448" w:rsidP="004C6478">
            <w:pPr>
              <w:jc w:val="left"/>
              <w:rPr>
                <w:sz w:val="20"/>
                <w:szCs w:val="20"/>
              </w:rPr>
            </w:pPr>
            <w:r w:rsidRPr="00A9381C">
              <w:rPr>
                <w:b/>
                <w:bCs/>
                <w:sz w:val="20"/>
                <w:szCs w:val="20"/>
              </w:rPr>
              <w:lastRenderedPageBreak/>
              <w:t>Psychiatric disorders</w:t>
            </w:r>
          </w:p>
        </w:tc>
      </w:tr>
      <w:tr w:rsidR="00676448" w:rsidRPr="00676448" w14:paraId="734B3369" w14:textId="77777777" w:rsidTr="005372FF">
        <w:trPr>
          <w:cantSplit/>
          <w:trHeight w:val="241"/>
        </w:trPr>
        <w:tc>
          <w:tcPr>
            <w:tcW w:w="2171" w:type="pct"/>
            <w:shd w:val="clear" w:color="auto" w:fill="auto"/>
            <w:vAlign w:val="bottom"/>
          </w:tcPr>
          <w:p w14:paraId="7E09C6E8" w14:textId="77777777" w:rsidR="00676448" w:rsidRPr="00A9381C" w:rsidRDefault="00676448" w:rsidP="004C6478">
            <w:pPr>
              <w:jc w:val="left"/>
              <w:rPr>
                <w:sz w:val="20"/>
                <w:szCs w:val="20"/>
              </w:rPr>
            </w:pPr>
            <w:r w:rsidRPr="00A9381C">
              <w:rPr>
                <w:sz w:val="20"/>
                <w:szCs w:val="20"/>
              </w:rPr>
              <w:t>Anxiety</w:t>
            </w:r>
          </w:p>
        </w:tc>
        <w:tc>
          <w:tcPr>
            <w:tcW w:w="1447" w:type="pct"/>
            <w:shd w:val="clear" w:color="auto" w:fill="auto"/>
            <w:vAlign w:val="center"/>
          </w:tcPr>
          <w:p w14:paraId="5820A7FE" w14:textId="77777777" w:rsidR="00676448" w:rsidRPr="00A9381C" w:rsidRDefault="00676448" w:rsidP="004C6478">
            <w:pPr>
              <w:jc w:val="left"/>
              <w:rPr>
                <w:sz w:val="20"/>
                <w:szCs w:val="20"/>
              </w:rPr>
            </w:pPr>
            <w:r w:rsidRPr="00A9381C">
              <w:rPr>
                <w:sz w:val="20"/>
                <w:szCs w:val="20"/>
              </w:rPr>
              <w:t>3</w:t>
            </w:r>
          </w:p>
        </w:tc>
        <w:tc>
          <w:tcPr>
            <w:tcW w:w="1382" w:type="pct"/>
            <w:shd w:val="clear" w:color="auto" w:fill="auto"/>
            <w:vAlign w:val="center"/>
          </w:tcPr>
          <w:p w14:paraId="77D9A2E5" w14:textId="77777777" w:rsidR="00676448" w:rsidRPr="00A9381C" w:rsidRDefault="00676448" w:rsidP="004C6478">
            <w:pPr>
              <w:jc w:val="left"/>
              <w:rPr>
                <w:sz w:val="20"/>
                <w:szCs w:val="20"/>
              </w:rPr>
            </w:pPr>
            <w:r w:rsidRPr="00A9381C">
              <w:rPr>
                <w:sz w:val="20"/>
                <w:szCs w:val="20"/>
              </w:rPr>
              <w:t>3</w:t>
            </w:r>
          </w:p>
        </w:tc>
      </w:tr>
      <w:tr w:rsidR="00676448" w:rsidRPr="00676448" w14:paraId="4BB2324B" w14:textId="77777777" w:rsidTr="005372FF">
        <w:trPr>
          <w:cantSplit/>
          <w:trHeight w:val="241"/>
        </w:trPr>
        <w:tc>
          <w:tcPr>
            <w:tcW w:w="5000" w:type="pct"/>
            <w:gridSpan w:val="3"/>
            <w:shd w:val="clear" w:color="auto" w:fill="auto"/>
            <w:vAlign w:val="bottom"/>
          </w:tcPr>
          <w:p w14:paraId="270025AD" w14:textId="77777777" w:rsidR="00676448" w:rsidRPr="00A9381C" w:rsidRDefault="00676448" w:rsidP="004C6478">
            <w:pPr>
              <w:jc w:val="left"/>
              <w:rPr>
                <w:sz w:val="20"/>
                <w:szCs w:val="20"/>
              </w:rPr>
            </w:pPr>
            <w:r w:rsidRPr="00A9381C">
              <w:rPr>
                <w:b/>
                <w:sz w:val="20"/>
                <w:szCs w:val="20"/>
              </w:rPr>
              <w:t>Nervous system disorders</w:t>
            </w:r>
          </w:p>
        </w:tc>
      </w:tr>
      <w:tr w:rsidR="00676448" w:rsidRPr="00676448" w14:paraId="11FF02D2" w14:textId="77777777" w:rsidTr="005372FF">
        <w:trPr>
          <w:cantSplit/>
          <w:trHeight w:val="241"/>
        </w:trPr>
        <w:tc>
          <w:tcPr>
            <w:tcW w:w="2171" w:type="pct"/>
            <w:shd w:val="clear" w:color="auto" w:fill="auto"/>
            <w:vAlign w:val="bottom"/>
          </w:tcPr>
          <w:p w14:paraId="0E4035ED" w14:textId="77777777" w:rsidR="00676448" w:rsidRPr="00A9381C" w:rsidRDefault="00676448" w:rsidP="004C6478">
            <w:pPr>
              <w:jc w:val="left"/>
              <w:rPr>
                <w:sz w:val="20"/>
                <w:szCs w:val="20"/>
              </w:rPr>
            </w:pPr>
            <w:r w:rsidRPr="00A9381C">
              <w:rPr>
                <w:sz w:val="20"/>
                <w:szCs w:val="20"/>
              </w:rPr>
              <w:t>Dizziness</w:t>
            </w:r>
          </w:p>
        </w:tc>
        <w:tc>
          <w:tcPr>
            <w:tcW w:w="1447" w:type="pct"/>
            <w:shd w:val="clear" w:color="auto" w:fill="auto"/>
            <w:vAlign w:val="center"/>
          </w:tcPr>
          <w:p w14:paraId="50616DEF" w14:textId="77777777" w:rsidR="00676448" w:rsidRPr="00A9381C" w:rsidRDefault="00676448" w:rsidP="004C6478">
            <w:pPr>
              <w:jc w:val="left"/>
              <w:rPr>
                <w:sz w:val="20"/>
                <w:szCs w:val="20"/>
              </w:rPr>
            </w:pPr>
            <w:r w:rsidRPr="00A9381C">
              <w:rPr>
                <w:sz w:val="20"/>
                <w:szCs w:val="20"/>
              </w:rPr>
              <w:t>5</w:t>
            </w:r>
          </w:p>
        </w:tc>
        <w:tc>
          <w:tcPr>
            <w:tcW w:w="1382" w:type="pct"/>
            <w:shd w:val="clear" w:color="auto" w:fill="auto"/>
            <w:vAlign w:val="center"/>
          </w:tcPr>
          <w:p w14:paraId="44C34370" w14:textId="77777777" w:rsidR="00676448" w:rsidRPr="00A9381C" w:rsidRDefault="00676448" w:rsidP="004C6478">
            <w:pPr>
              <w:jc w:val="left"/>
              <w:rPr>
                <w:sz w:val="20"/>
                <w:szCs w:val="20"/>
              </w:rPr>
            </w:pPr>
            <w:r w:rsidRPr="00A9381C">
              <w:rPr>
                <w:sz w:val="20"/>
                <w:szCs w:val="20"/>
              </w:rPr>
              <w:t>3</w:t>
            </w:r>
          </w:p>
        </w:tc>
      </w:tr>
      <w:tr w:rsidR="00676448" w:rsidRPr="00676448" w14:paraId="3A2E889D" w14:textId="77777777" w:rsidTr="005372FF">
        <w:trPr>
          <w:cantSplit/>
          <w:trHeight w:val="241"/>
        </w:trPr>
        <w:tc>
          <w:tcPr>
            <w:tcW w:w="2171" w:type="pct"/>
            <w:shd w:val="clear" w:color="auto" w:fill="auto"/>
            <w:vAlign w:val="bottom"/>
          </w:tcPr>
          <w:p w14:paraId="7F1BF1AD" w14:textId="77777777" w:rsidR="00676448" w:rsidRPr="00A9381C" w:rsidRDefault="00676448" w:rsidP="004C6478">
            <w:pPr>
              <w:jc w:val="left"/>
              <w:rPr>
                <w:sz w:val="20"/>
                <w:szCs w:val="20"/>
              </w:rPr>
            </w:pPr>
            <w:r w:rsidRPr="00A9381C">
              <w:rPr>
                <w:sz w:val="20"/>
                <w:szCs w:val="20"/>
              </w:rPr>
              <w:t>Somnolence</w:t>
            </w:r>
          </w:p>
        </w:tc>
        <w:tc>
          <w:tcPr>
            <w:tcW w:w="1447" w:type="pct"/>
            <w:shd w:val="clear" w:color="auto" w:fill="auto"/>
            <w:vAlign w:val="center"/>
          </w:tcPr>
          <w:p w14:paraId="6E136D4F" w14:textId="77777777" w:rsidR="00676448" w:rsidRPr="00A9381C" w:rsidRDefault="00676448" w:rsidP="004C6478">
            <w:pPr>
              <w:jc w:val="left"/>
              <w:rPr>
                <w:sz w:val="20"/>
                <w:szCs w:val="20"/>
              </w:rPr>
            </w:pPr>
            <w:r w:rsidRPr="00A9381C">
              <w:rPr>
                <w:sz w:val="20"/>
                <w:szCs w:val="20"/>
              </w:rPr>
              <w:t>3</w:t>
            </w:r>
          </w:p>
        </w:tc>
        <w:tc>
          <w:tcPr>
            <w:tcW w:w="1382" w:type="pct"/>
            <w:shd w:val="clear" w:color="auto" w:fill="auto"/>
            <w:vAlign w:val="center"/>
          </w:tcPr>
          <w:p w14:paraId="7A556C74" w14:textId="77777777" w:rsidR="00676448" w:rsidRPr="00A9381C" w:rsidRDefault="00676448" w:rsidP="004C6478">
            <w:pPr>
              <w:jc w:val="left"/>
              <w:rPr>
                <w:sz w:val="20"/>
                <w:szCs w:val="20"/>
              </w:rPr>
            </w:pPr>
            <w:r w:rsidRPr="00A9381C">
              <w:rPr>
                <w:sz w:val="20"/>
                <w:szCs w:val="20"/>
              </w:rPr>
              <w:t>2</w:t>
            </w:r>
          </w:p>
        </w:tc>
      </w:tr>
      <w:tr w:rsidR="00676448" w:rsidRPr="00676448" w14:paraId="1A3153BD" w14:textId="77777777" w:rsidTr="005372FF">
        <w:trPr>
          <w:cantSplit/>
          <w:trHeight w:val="241"/>
        </w:trPr>
        <w:tc>
          <w:tcPr>
            <w:tcW w:w="2171" w:type="pct"/>
            <w:shd w:val="clear" w:color="auto" w:fill="auto"/>
            <w:vAlign w:val="bottom"/>
          </w:tcPr>
          <w:p w14:paraId="263BCD39" w14:textId="77777777" w:rsidR="00676448" w:rsidRPr="00A9381C" w:rsidRDefault="00676448" w:rsidP="004C6478">
            <w:pPr>
              <w:jc w:val="left"/>
              <w:rPr>
                <w:sz w:val="20"/>
                <w:szCs w:val="20"/>
              </w:rPr>
            </w:pPr>
            <w:r w:rsidRPr="00A9381C">
              <w:rPr>
                <w:sz w:val="20"/>
                <w:szCs w:val="20"/>
              </w:rPr>
              <w:t>Hypoesthesia</w:t>
            </w:r>
          </w:p>
        </w:tc>
        <w:tc>
          <w:tcPr>
            <w:tcW w:w="1447" w:type="pct"/>
            <w:shd w:val="clear" w:color="auto" w:fill="auto"/>
            <w:vAlign w:val="center"/>
          </w:tcPr>
          <w:p w14:paraId="5F3CC38B" w14:textId="77777777" w:rsidR="00676448" w:rsidRPr="00A9381C" w:rsidRDefault="00676448" w:rsidP="004C6478">
            <w:pPr>
              <w:jc w:val="left"/>
              <w:rPr>
                <w:sz w:val="20"/>
                <w:szCs w:val="20"/>
              </w:rPr>
            </w:pPr>
            <w:r w:rsidRPr="00A9381C">
              <w:rPr>
                <w:sz w:val="20"/>
                <w:szCs w:val="20"/>
              </w:rPr>
              <w:t>2</w:t>
            </w:r>
          </w:p>
        </w:tc>
        <w:tc>
          <w:tcPr>
            <w:tcW w:w="1382" w:type="pct"/>
            <w:shd w:val="clear" w:color="auto" w:fill="auto"/>
            <w:vAlign w:val="center"/>
          </w:tcPr>
          <w:p w14:paraId="3926A268" w14:textId="77777777" w:rsidR="00676448" w:rsidRPr="00A9381C" w:rsidRDefault="00676448" w:rsidP="004C6478">
            <w:pPr>
              <w:jc w:val="left"/>
              <w:rPr>
                <w:sz w:val="20"/>
                <w:szCs w:val="20"/>
              </w:rPr>
            </w:pPr>
            <w:r w:rsidRPr="00A9381C">
              <w:rPr>
                <w:sz w:val="20"/>
                <w:szCs w:val="20"/>
              </w:rPr>
              <w:t>2</w:t>
            </w:r>
          </w:p>
        </w:tc>
      </w:tr>
      <w:tr w:rsidR="00676448" w:rsidRPr="00676448" w14:paraId="79A494F3" w14:textId="77777777" w:rsidTr="005372FF">
        <w:trPr>
          <w:cantSplit/>
          <w:trHeight w:val="241"/>
        </w:trPr>
        <w:tc>
          <w:tcPr>
            <w:tcW w:w="5000" w:type="pct"/>
            <w:gridSpan w:val="3"/>
            <w:shd w:val="clear" w:color="auto" w:fill="auto"/>
            <w:vAlign w:val="bottom"/>
          </w:tcPr>
          <w:p w14:paraId="716638F9" w14:textId="77777777" w:rsidR="00676448" w:rsidRPr="00A9381C" w:rsidRDefault="00676448" w:rsidP="004C6478">
            <w:pPr>
              <w:jc w:val="left"/>
              <w:rPr>
                <w:sz w:val="20"/>
                <w:szCs w:val="20"/>
              </w:rPr>
            </w:pPr>
            <w:r w:rsidRPr="00A9381C">
              <w:rPr>
                <w:b/>
                <w:bCs/>
                <w:sz w:val="20"/>
                <w:szCs w:val="20"/>
              </w:rPr>
              <w:t>Ear and labyrinth disorders</w:t>
            </w:r>
          </w:p>
        </w:tc>
      </w:tr>
      <w:tr w:rsidR="00676448" w:rsidRPr="00676448" w14:paraId="10472785" w14:textId="77777777" w:rsidTr="005372FF">
        <w:trPr>
          <w:cantSplit/>
          <w:trHeight w:val="241"/>
        </w:trPr>
        <w:tc>
          <w:tcPr>
            <w:tcW w:w="2171" w:type="pct"/>
            <w:tcBorders>
              <w:bottom w:val="single" w:sz="4" w:space="0" w:color="auto"/>
            </w:tcBorders>
            <w:shd w:val="clear" w:color="auto" w:fill="auto"/>
            <w:vAlign w:val="bottom"/>
          </w:tcPr>
          <w:p w14:paraId="39F32F14" w14:textId="77777777" w:rsidR="00676448" w:rsidRPr="00A9381C" w:rsidRDefault="00676448" w:rsidP="004C6478">
            <w:pPr>
              <w:jc w:val="left"/>
              <w:rPr>
                <w:sz w:val="20"/>
                <w:szCs w:val="20"/>
              </w:rPr>
            </w:pPr>
            <w:r w:rsidRPr="00A9381C">
              <w:rPr>
                <w:sz w:val="20"/>
                <w:szCs w:val="20"/>
              </w:rPr>
              <w:t>Vertigo</w:t>
            </w:r>
          </w:p>
        </w:tc>
        <w:tc>
          <w:tcPr>
            <w:tcW w:w="1447" w:type="pct"/>
            <w:tcBorders>
              <w:bottom w:val="single" w:sz="4" w:space="0" w:color="auto"/>
            </w:tcBorders>
            <w:shd w:val="clear" w:color="auto" w:fill="auto"/>
            <w:vAlign w:val="center"/>
          </w:tcPr>
          <w:p w14:paraId="4161F565" w14:textId="77777777" w:rsidR="00676448" w:rsidRPr="00A9381C" w:rsidRDefault="00676448" w:rsidP="004C6478">
            <w:pPr>
              <w:jc w:val="left"/>
              <w:rPr>
                <w:sz w:val="20"/>
                <w:szCs w:val="20"/>
              </w:rPr>
            </w:pPr>
            <w:r w:rsidRPr="00A9381C">
              <w:rPr>
                <w:sz w:val="20"/>
                <w:szCs w:val="20"/>
              </w:rPr>
              <w:t>2</w:t>
            </w:r>
          </w:p>
        </w:tc>
        <w:tc>
          <w:tcPr>
            <w:tcW w:w="1382" w:type="pct"/>
            <w:tcBorders>
              <w:bottom w:val="single" w:sz="4" w:space="0" w:color="auto"/>
            </w:tcBorders>
            <w:shd w:val="clear" w:color="auto" w:fill="auto"/>
            <w:vAlign w:val="center"/>
          </w:tcPr>
          <w:p w14:paraId="66100971" w14:textId="77777777" w:rsidR="00676448" w:rsidRPr="00A9381C" w:rsidRDefault="00676448" w:rsidP="004C6478">
            <w:pPr>
              <w:jc w:val="left"/>
              <w:rPr>
                <w:sz w:val="20"/>
                <w:szCs w:val="20"/>
              </w:rPr>
            </w:pPr>
            <w:r w:rsidRPr="00A9381C">
              <w:rPr>
                <w:sz w:val="20"/>
                <w:szCs w:val="20"/>
              </w:rPr>
              <w:t>1</w:t>
            </w:r>
          </w:p>
        </w:tc>
      </w:tr>
      <w:tr w:rsidR="00676448" w:rsidRPr="00676448" w14:paraId="360D3F7F" w14:textId="77777777" w:rsidTr="005372FF">
        <w:trPr>
          <w:cantSplit/>
          <w:trHeight w:val="241"/>
        </w:trPr>
        <w:tc>
          <w:tcPr>
            <w:tcW w:w="5000" w:type="pct"/>
            <w:gridSpan w:val="3"/>
            <w:shd w:val="clear" w:color="auto" w:fill="auto"/>
            <w:vAlign w:val="bottom"/>
          </w:tcPr>
          <w:p w14:paraId="14C3C946" w14:textId="77777777" w:rsidR="00676448" w:rsidRPr="00A9381C" w:rsidRDefault="00676448" w:rsidP="004C6478">
            <w:pPr>
              <w:jc w:val="left"/>
              <w:rPr>
                <w:sz w:val="20"/>
                <w:szCs w:val="20"/>
              </w:rPr>
            </w:pPr>
            <w:r w:rsidRPr="00A9381C">
              <w:rPr>
                <w:b/>
                <w:bCs/>
                <w:sz w:val="20"/>
                <w:szCs w:val="20"/>
              </w:rPr>
              <w:t>Vascular disorders</w:t>
            </w:r>
          </w:p>
        </w:tc>
      </w:tr>
      <w:tr w:rsidR="00676448" w:rsidRPr="00676448" w14:paraId="53395856" w14:textId="77777777" w:rsidTr="005372FF">
        <w:trPr>
          <w:cantSplit/>
          <w:trHeight w:val="241"/>
        </w:trPr>
        <w:tc>
          <w:tcPr>
            <w:tcW w:w="2171" w:type="pct"/>
            <w:shd w:val="clear" w:color="auto" w:fill="auto"/>
            <w:vAlign w:val="bottom"/>
          </w:tcPr>
          <w:p w14:paraId="3549C666" w14:textId="77777777" w:rsidR="00676448" w:rsidRPr="00A9381C" w:rsidRDefault="00676448" w:rsidP="004C6478">
            <w:pPr>
              <w:jc w:val="left"/>
              <w:rPr>
                <w:sz w:val="20"/>
                <w:szCs w:val="20"/>
              </w:rPr>
            </w:pPr>
            <w:r w:rsidRPr="00A9381C">
              <w:rPr>
                <w:sz w:val="20"/>
                <w:szCs w:val="20"/>
              </w:rPr>
              <w:t>Hypertension</w:t>
            </w:r>
          </w:p>
        </w:tc>
        <w:tc>
          <w:tcPr>
            <w:tcW w:w="1447" w:type="pct"/>
            <w:shd w:val="clear" w:color="auto" w:fill="auto"/>
            <w:vAlign w:val="center"/>
          </w:tcPr>
          <w:p w14:paraId="6A4D1A08" w14:textId="77777777" w:rsidR="00676448" w:rsidRPr="00A9381C" w:rsidRDefault="00676448" w:rsidP="004C6478">
            <w:pPr>
              <w:jc w:val="left"/>
              <w:rPr>
                <w:sz w:val="20"/>
                <w:szCs w:val="20"/>
              </w:rPr>
            </w:pPr>
            <w:r w:rsidRPr="00A9381C">
              <w:rPr>
                <w:sz w:val="20"/>
                <w:szCs w:val="20"/>
              </w:rPr>
              <w:t>8</w:t>
            </w:r>
          </w:p>
        </w:tc>
        <w:tc>
          <w:tcPr>
            <w:tcW w:w="1382" w:type="pct"/>
            <w:shd w:val="clear" w:color="auto" w:fill="auto"/>
            <w:vAlign w:val="center"/>
          </w:tcPr>
          <w:p w14:paraId="2AECA316" w14:textId="77777777" w:rsidR="00676448" w:rsidRPr="00A9381C" w:rsidRDefault="00676448" w:rsidP="004C6478">
            <w:pPr>
              <w:jc w:val="left"/>
              <w:rPr>
                <w:sz w:val="20"/>
                <w:szCs w:val="20"/>
              </w:rPr>
            </w:pPr>
            <w:r w:rsidRPr="00A9381C">
              <w:rPr>
                <w:sz w:val="20"/>
                <w:szCs w:val="20"/>
              </w:rPr>
              <w:t>8</w:t>
            </w:r>
          </w:p>
        </w:tc>
      </w:tr>
      <w:tr w:rsidR="00676448" w:rsidRPr="00676448" w14:paraId="1AD1DFAD" w14:textId="77777777" w:rsidTr="005372FF">
        <w:trPr>
          <w:cantSplit/>
          <w:trHeight w:val="256"/>
        </w:trPr>
        <w:tc>
          <w:tcPr>
            <w:tcW w:w="5000" w:type="pct"/>
            <w:gridSpan w:val="3"/>
            <w:shd w:val="clear" w:color="auto" w:fill="auto"/>
            <w:vAlign w:val="bottom"/>
          </w:tcPr>
          <w:p w14:paraId="59FEB0CF" w14:textId="77777777" w:rsidR="00676448" w:rsidRPr="00A9381C" w:rsidRDefault="00676448" w:rsidP="004C6478">
            <w:pPr>
              <w:jc w:val="left"/>
              <w:rPr>
                <w:sz w:val="20"/>
                <w:szCs w:val="20"/>
              </w:rPr>
            </w:pPr>
            <w:r w:rsidRPr="00A9381C">
              <w:rPr>
                <w:b/>
                <w:bCs/>
                <w:sz w:val="20"/>
                <w:szCs w:val="20"/>
              </w:rPr>
              <w:t xml:space="preserve">Respiratory, </w:t>
            </w:r>
            <w:proofErr w:type="gramStart"/>
            <w:r w:rsidRPr="00A9381C">
              <w:rPr>
                <w:b/>
                <w:bCs/>
                <w:sz w:val="20"/>
                <w:szCs w:val="20"/>
              </w:rPr>
              <w:t>thoracic</w:t>
            </w:r>
            <w:proofErr w:type="gramEnd"/>
            <w:r w:rsidRPr="00A9381C">
              <w:rPr>
                <w:b/>
                <w:bCs/>
                <w:sz w:val="20"/>
                <w:szCs w:val="20"/>
              </w:rPr>
              <w:t xml:space="preserve"> and mediastinal disorders</w:t>
            </w:r>
          </w:p>
        </w:tc>
      </w:tr>
      <w:tr w:rsidR="00676448" w:rsidRPr="00676448" w14:paraId="05A62B49" w14:textId="77777777" w:rsidTr="005372FF">
        <w:trPr>
          <w:cantSplit/>
          <w:trHeight w:val="256"/>
        </w:trPr>
        <w:tc>
          <w:tcPr>
            <w:tcW w:w="2171" w:type="pct"/>
            <w:shd w:val="clear" w:color="auto" w:fill="auto"/>
            <w:vAlign w:val="bottom"/>
          </w:tcPr>
          <w:p w14:paraId="007EA799" w14:textId="77777777" w:rsidR="00676448" w:rsidRPr="00A9381C" w:rsidRDefault="00676448" w:rsidP="004C6478">
            <w:pPr>
              <w:jc w:val="left"/>
              <w:rPr>
                <w:sz w:val="20"/>
                <w:szCs w:val="20"/>
              </w:rPr>
            </w:pPr>
            <w:r w:rsidRPr="00A9381C">
              <w:rPr>
                <w:sz w:val="20"/>
                <w:szCs w:val="20"/>
              </w:rPr>
              <w:t>Dyspnea</w:t>
            </w:r>
          </w:p>
        </w:tc>
        <w:tc>
          <w:tcPr>
            <w:tcW w:w="1447" w:type="pct"/>
            <w:shd w:val="clear" w:color="auto" w:fill="auto"/>
            <w:vAlign w:val="center"/>
          </w:tcPr>
          <w:p w14:paraId="15F05175" w14:textId="77777777" w:rsidR="00676448" w:rsidRPr="00A9381C" w:rsidRDefault="00676448" w:rsidP="004C6478">
            <w:pPr>
              <w:jc w:val="left"/>
              <w:rPr>
                <w:sz w:val="20"/>
                <w:szCs w:val="20"/>
              </w:rPr>
            </w:pPr>
            <w:r w:rsidRPr="00A9381C">
              <w:rPr>
                <w:sz w:val="20"/>
                <w:szCs w:val="20"/>
              </w:rPr>
              <w:t>5</w:t>
            </w:r>
          </w:p>
        </w:tc>
        <w:tc>
          <w:tcPr>
            <w:tcW w:w="1382" w:type="pct"/>
            <w:shd w:val="clear" w:color="auto" w:fill="auto"/>
            <w:vAlign w:val="center"/>
          </w:tcPr>
          <w:p w14:paraId="3F71A3D0" w14:textId="77777777" w:rsidR="00676448" w:rsidRPr="00A9381C" w:rsidRDefault="00676448" w:rsidP="004C6478">
            <w:pPr>
              <w:jc w:val="left"/>
              <w:rPr>
                <w:sz w:val="20"/>
                <w:szCs w:val="20"/>
              </w:rPr>
            </w:pPr>
            <w:r w:rsidRPr="00A9381C">
              <w:rPr>
                <w:sz w:val="20"/>
                <w:szCs w:val="20"/>
              </w:rPr>
              <w:t>1</w:t>
            </w:r>
          </w:p>
        </w:tc>
      </w:tr>
      <w:tr w:rsidR="00676448" w:rsidRPr="00676448" w14:paraId="5ECEFC12" w14:textId="77777777" w:rsidTr="005372FF">
        <w:trPr>
          <w:cantSplit/>
          <w:trHeight w:val="256"/>
        </w:trPr>
        <w:tc>
          <w:tcPr>
            <w:tcW w:w="2171" w:type="pct"/>
            <w:shd w:val="clear" w:color="auto" w:fill="auto"/>
            <w:vAlign w:val="bottom"/>
          </w:tcPr>
          <w:p w14:paraId="52D73AAD" w14:textId="77777777" w:rsidR="00676448" w:rsidRPr="00A9381C" w:rsidRDefault="00676448" w:rsidP="004C6478">
            <w:pPr>
              <w:jc w:val="left"/>
              <w:rPr>
                <w:sz w:val="20"/>
                <w:szCs w:val="20"/>
              </w:rPr>
            </w:pPr>
            <w:r w:rsidRPr="00A9381C">
              <w:rPr>
                <w:sz w:val="20"/>
                <w:szCs w:val="20"/>
              </w:rPr>
              <w:t>Cough</w:t>
            </w:r>
          </w:p>
        </w:tc>
        <w:tc>
          <w:tcPr>
            <w:tcW w:w="1447" w:type="pct"/>
            <w:shd w:val="clear" w:color="auto" w:fill="auto"/>
            <w:vAlign w:val="center"/>
          </w:tcPr>
          <w:p w14:paraId="25F2F0AA" w14:textId="77777777" w:rsidR="00676448" w:rsidRPr="00A9381C" w:rsidRDefault="00676448" w:rsidP="004C6478">
            <w:pPr>
              <w:jc w:val="left"/>
              <w:rPr>
                <w:sz w:val="20"/>
                <w:szCs w:val="20"/>
              </w:rPr>
            </w:pPr>
            <w:r w:rsidRPr="00A9381C">
              <w:rPr>
                <w:sz w:val="20"/>
                <w:szCs w:val="20"/>
              </w:rPr>
              <w:t>4</w:t>
            </w:r>
          </w:p>
        </w:tc>
        <w:tc>
          <w:tcPr>
            <w:tcW w:w="1382" w:type="pct"/>
            <w:shd w:val="clear" w:color="auto" w:fill="auto"/>
            <w:vAlign w:val="center"/>
          </w:tcPr>
          <w:p w14:paraId="74078039" w14:textId="77777777" w:rsidR="00676448" w:rsidRPr="00A9381C" w:rsidRDefault="00676448" w:rsidP="004C6478">
            <w:pPr>
              <w:jc w:val="left"/>
              <w:rPr>
                <w:sz w:val="20"/>
                <w:szCs w:val="20"/>
              </w:rPr>
            </w:pPr>
            <w:r w:rsidRPr="00A9381C">
              <w:rPr>
                <w:sz w:val="20"/>
                <w:szCs w:val="20"/>
              </w:rPr>
              <w:t>2</w:t>
            </w:r>
          </w:p>
        </w:tc>
      </w:tr>
      <w:tr w:rsidR="00676448" w:rsidRPr="00676448" w14:paraId="07D61C57" w14:textId="77777777" w:rsidTr="005372FF">
        <w:trPr>
          <w:cantSplit/>
          <w:trHeight w:val="256"/>
        </w:trPr>
        <w:tc>
          <w:tcPr>
            <w:tcW w:w="5000" w:type="pct"/>
            <w:gridSpan w:val="3"/>
            <w:shd w:val="clear" w:color="auto" w:fill="auto"/>
            <w:vAlign w:val="bottom"/>
          </w:tcPr>
          <w:p w14:paraId="45A937FF" w14:textId="77777777" w:rsidR="00676448" w:rsidRPr="00A9381C" w:rsidRDefault="00676448" w:rsidP="004C6478">
            <w:pPr>
              <w:jc w:val="left"/>
              <w:rPr>
                <w:sz w:val="20"/>
                <w:szCs w:val="20"/>
              </w:rPr>
            </w:pPr>
            <w:r w:rsidRPr="00A9381C">
              <w:rPr>
                <w:b/>
                <w:bCs/>
                <w:sz w:val="20"/>
                <w:szCs w:val="20"/>
              </w:rPr>
              <w:t>Musculoskeletal and connective tissue disorders</w:t>
            </w:r>
          </w:p>
        </w:tc>
      </w:tr>
      <w:tr w:rsidR="00676448" w:rsidRPr="00676448" w14:paraId="144F0D54" w14:textId="77777777" w:rsidTr="005372FF">
        <w:trPr>
          <w:cantSplit/>
          <w:trHeight w:val="256"/>
        </w:trPr>
        <w:tc>
          <w:tcPr>
            <w:tcW w:w="2171" w:type="pct"/>
            <w:shd w:val="clear" w:color="auto" w:fill="auto"/>
            <w:vAlign w:val="bottom"/>
          </w:tcPr>
          <w:p w14:paraId="3C09DBE5" w14:textId="77777777" w:rsidR="00676448" w:rsidRPr="00A9381C" w:rsidRDefault="00676448" w:rsidP="004C6478">
            <w:pPr>
              <w:jc w:val="left"/>
              <w:rPr>
                <w:sz w:val="20"/>
                <w:szCs w:val="20"/>
              </w:rPr>
            </w:pPr>
            <w:r w:rsidRPr="00A9381C">
              <w:rPr>
                <w:sz w:val="20"/>
                <w:szCs w:val="20"/>
              </w:rPr>
              <w:t>Pain in extremity</w:t>
            </w:r>
          </w:p>
        </w:tc>
        <w:tc>
          <w:tcPr>
            <w:tcW w:w="1447" w:type="pct"/>
            <w:shd w:val="clear" w:color="auto" w:fill="auto"/>
            <w:vAlign w:val="center"/>
          </w:tcPr>
          <w:p w14:paraId="6145B30F" w14:textId="77777777" w:rsidR="00676448" w:rsidRPr="00A9381C" w:rsidRDefault="00676448" w:rsidP="004C6478">
            <w:pPr>
              <w:jc w:val="left"/>
              <w:rPr>
                <w:sz w:val="20"/>
                <w:szCs w:val="20"/>
              </w:rPr>
            </w:pPr>
            <w:r w:rsidRPr="00A9381C">
              <w:rPr>
                <w:sz w:val="20"/>
                <w:szCs w:val="20"/>
              </w:rPr>
              <w:t>4</w:t>
            </w:r>
          </w:p>
        </w:tc>
        <w:tc>
          <w:tcPr>
            <w:tcW w:w="1382" w:type="pct"/>
            <w:shd w:val="clear" w:color="auto" w:fill="auto"/>
            <w:vAlign w:val="center"/>
          </w:tcPr>
          <w:p w14:paraId="49F3429B" w14:textId="77777777" w:rsidR="00676448" w:rsidRPr="00A9381C" w:rsidRDefault="00676448" w:rsidP="004C6478">
            <w:pPr>
              <w:jc w:val="left"/>
              <w:rPr>
                <w:sz w:val="20"/>
                <w:szCs w:val="20"/>
              </w:rPr>
            </w:pPr>
            <w:r w:rsidRPr="00A9381C">
              <w:rPr>
                <w:sz w:val="20"/>
                <w:szCs w:val="20"/>
              </w:rPr>
              <w:t>3</w:t>
            </w:r>
          </w:p>
        </w:tc>
      </w:tr>
      <w:tr w:rsidR="00676448" w:rsidRPr="00676448" w14:paraId="2266E4AA" w14:textId="77777777" w:rsidTr="005372FF">
        <w:trPr>
          <w:cantSplit/>
          <w:trHeight w:val="256"/>
        </w:trPr>
        <w:tc>
          <w:tcPr>
            <w:tcW w:w="2171" w:type="pct"/>
            <w:shd w:val="clear" w:color="auto" w:fill="auto"/>
            <w:vAlign w:val="bottom"/>
          </w:tcPr>
          <w:p w14:paraId="37BEFAE6" w14:textId="77777777" w:rsidR="00676448" w:rsidRPr="00A9381C" w:rsidRDefault="00676448" w:rsidP="004C6478">
            <w:pPr>
              <w:jc w:val="left"/>
              <w:rPr>
                <w:sz w:val="20"/>
                <w:szCs w:val="20"/>
              </w:rPr>
            </w:pPr>
            <w:r w:rsidRPr="00A9381C">
              <w:rPr>
                <w:sz w:val="20"/>
                <w:szCs w:val="20"/>
              </w:rPr>
              <w:t>Arthralgia</w:t>
            </w:r>
          </w:p>
        </w:tc>
        <w:tc>
          <w:tcPr>
            <w:tcW w:w="1447" w:type="pct"/>
            <w:shd w:val="clear" w:color="auto" w:fill="auto"/>
            <w:vAlign w:val="center"/>
          </w:tcPr>
          <w:p w14:paraId="34AC29EA" w14:textId="77777777" w:rsidR="00676448" w:rsidRPr="00A9381C" w:rsidRDefault="00676448" w:rsidP="004C6478">
            <w:pPr>
              <w:jc w:val="left"/>
              <w:rPr>
                <w:sz w:val="20"/>
                <w:szCs w:val="20"/>
              </w:rPr>
            </w:pPr>
            <w:r w:rsidRPr="00A9381C">
              <w:rPr>
                <w:sz w:val="20"/>
                <w:szCs w:val="20"/>
              </w:rPr>
              <w:t>3</w:t>
            </w:r>
          </w:p>
        </w:tc>
        <w:tc>
          <w:tcPr>
            <w:tcW w:w="1382" w:type="pct"/>
            <w:shd w:val="clear" w:color="auto" w:fill="auto"/>
            <w:vAlign w:val="center"/>
          </w:tcPr>
          <w:p w14:paraId="4BD0C01D" w14:textId="77777777" w:rsidR="00676448" w:rsidRPr="00A9381C" w:rsidRDefault="00676448" w:rsidP="004C6478">
            <w:pPr>
              <w:jc w:val="left"/>
              <w:rPr>
                <w:sz w:val="20"/>
                <w:szCs w:val="20"/>
              </w:rPr>
            </w:pPr>
            <w:r w:rsidRPr="00A9381C">
              <w:rPr>
                <w:sz w:val="20"/>
                <w:szCs w:val="20"/>
              </w:rPr>
              <w:t>3</w:t>
            </w:r>
          </w:p>
        </w:tc>
      </w:tr>
      <w:tr w:rsidR="00676448" w:rsidRPr="00676448" w14:paraId="3AE40842" w14:textId="77777777" w:rsidTr="005372FF">
        <w:trPr>
          <w:cantSplit/>
          <w:trHeight w:val="256"/>
        </w:trPr>
        <w:tc>
          <w:tcPr>
            <w:tcW w:w="5000" w:type="pct"/>
            <w:gridSpan w:val="3"/>
            <w:shd w:val="clear" w:color="auto" w:fill="auto"/>
            <w:vAlign w:val="bottom"/>
          </w:tcPr>
          <w:p w14:paraId="605F1636" w14:textId="77777777" w:rsidR="00676448" w:rsidRPr="00A9381C" w:rsidRDefault="00676448" w:rsidP="004C6478">
            <w:pPr>
              <w:jc w:val="left"/>
              <w:rPr>
                <w:sz w:val="20"/>
                <w:szCs w:val="20"/>
              </w:rPr>
            </w:pPr>
            <w:r w:rsidRPr="00A9381C">
              <w:rPr>
                <w:b/>
                <w:bCs/>
                <w:sz w:val="20"/>
                <w:szCs w:val="20"/>
              </w:rPr>
              <w:t>General disorders and administration site conditions</w:t>
            </w:r>
          </w:p>
        </w:tc>
      </w:tr>
      <w:tr w:rsidR="00676448" w:rsidRPr="00676448" w14:paraId="1CD9575B" w14:textId="77777777" w:rsidTr="005372FF">
        <w:trPr>
          <w:cantSplit/>
          <w:trHeight w:val="256"/>
        </w:trPr>
        <w:tc>
          <w:tcPr>
            <w:tcW w:w="2171" w:type="pct"/>
            <w:shd w:val="clear" w:color="auto" w:fill="auto"/>
            <w:vAlign w:val="bottom"/>
          </w:tcPr>
          <w:p w14:paraId="591DA25E" w14:textId="77777777" w:rsidR="00676448" w:rsidRPr="00A9381C" w:rsidRDefault="00676448" w:rsidP="004C6478">
            <w:pPr>
              <w:jc w:val="left"/>
              <w:rPr>
                <w:sz w:val="20"/>
                <w:szCs w:val="20"/>
              </w:rPr>
            </w:pPr>
            <w:r w:rsidRPr="00A9381C">
              <w:rPr>
                <w:sz w:val="20"/>
                <w:szCs w:val="20"/>
              </w:rPr>
              <w:t>Pyrexia</w:t>
            </w:r>
          </w:p>
        </w:tc>
        <w:tc>
          <w:tcPr>
            <w:tcW w:w="1447" w:type="pct"/>
            <w:shd w:val="clear" w:color="auto" w:fill="auto"/>
            <w:vAlign w:val="center"/>
          </w:tcPr>
          <w:p w14:paraId="60EADA8C" w14:textId="77777777" w:rsidR="00676448" w:rsidRPr="00A9381C" w:rsidRDefault="00676448" w:rsidP="004C6478">
            <w:pPr>
              <w:jc w:val="left"/>
              <w:rPr>
                <w:sz w:val="20"/>
                <w:szCs w:val="20"/>
              </w:rPr>
            </w:pPr>
            <w:r w:rsidRPr="00A9381C">
              <w:rPr>
                <w:sz w:val="20"/>
                <w:szCs w:val="20"/>
              </w:rPr>
              <w:t>2</w:t>
            </w:r>
          </w:p>
        </w:tc>
        <w:tc>
          <w:tcPr>
            <w:tcW w:w="1382" w:type="pct"/>
            <w:shd w:val="clear" w:color="auto" w:fill="auto"/>
            <w:vAlign w:val="center"/>
          </w:tcPr>
          <w:p w14:paraId="2CCF0401" w14:textId="77777777" w:rsidR="00676448" w:rsidRPr="00A9381C" w:rsidRDefault="00676448" w:rsidP="004C6478">
            <w:pPr>
              <w:jc w:val="left"/>
              <w:rPr>
                <w:sz w:val="20"/>
                <w:szCs w:val="20"/>
              </w:rPr>
            </w:pPr>
            <w:r w:rsidRPr="00A9381C">
              <w:rPr>
                <w:sz w:val="20"/>
                <w:szCs w:val="20"/>
              </w:rPr>
              <w:t>1</w:t>
            </w:r>
          </w:p>
        </w:tc>
      </w:tr>
      <w:tr w:rsidR="00676448" w:rsidRPr="00676448" w14:paraId="6641EDCB" w14:textId="77777777" w:rsidTr="005372FF">
        <w:trPr>
          <w:cantSplit/>
          <w:trHeight w:val="256"/>
        </w:trPr>
        <w:tc>
          <w:tcPr>
            <w:tcW w:w="5000" w:type="pct"/>
            <w:gridSpan w:val="3"/>
            <w:shd w:val="clear" w:color="auto" w:fill="auto"/>
            <w:vAlign w:val="bottom"/>
          </w:tcPr>
          <w:p w14:paraId="58F9125A" w14:textId="77777777" w:rsidR="00676448" w:rsidRPr="00A9381C" w:rsidRDefault="00676448" w:rsidP="004C6478">
            <w:pPr>
              <w:jc w:val="left"/>
              <w:rPr>
                <w:sz w:val="20"/>
                <w:szCs w:val="20"/>
              </w:rPr>
            </w:pPr>
            <w:r w:rsidRPr="00A9381C">
              <w:rPr>
                <w:b/>
                <w:bCs/>
                <w:sz w:val="20"/>
                <w:szCs w:val="20"/>
              </w:rPr>
              <w:t>Investigations</w:t>
            </w:r>
          </w:p>
        </w:tc>
      </w:tr>
      <w:tr w:rsidR="00676448" w:rsidRPr="00676448" w14:paraId="6048A5DB" w14:textId="77777777" w:rsidTr="005372FF">
        <w:trPr>
          <w:cantSplit/>
          <w:trHeight w:val="256"/>
        </w:trPr>
        <w:tc>
          <w:tcPr>
            <w:tcW w:w="2171" w:type="pct"/>
            <w:shd w:val="clear" w:color="auto" w:fill="auto"/>
            <w:vAlign w:val="bottom"/>
          </w:tcPr>
          <w:p w14:paraId="0A4C828E" w14:textId="77777777" w:rsidR="00676448" w:rsidRPr="00A9381C" w:rsidRDefault="00676448" w:rsidP="004C6478">
            <w:pPr>
              <w:jc w:val="left"/>
              <w:rPr>
                <w:sz w:val="20"/>
                <w:szCs w:val="20"/>
              </w:rPr>
            </w:pPr>
            <w:bookmarkStart w:id="21" w:name="_Hlk23758930"/>
            <w:r w:rsidRPr="00A9381C">
              <w:rPr>
                <w:sz w:val="20"/>
                <w:szCs w:val="20"/>
              </w:rPr>
              <w:t>Alanine aminotransferase increased</w:t>
            </w:r>
            <w:bookmarkEnd w:id="21"/>
          </w:p>
        </w:tc>
        <w:tc>
          <w:tcPr>
            <w:tcW w:w="1447" w:type="pct"/>
            <w:shd w:val="clear" w:color="auto" w:fill="auto"/>
            <w:vAlign w:val="center"/>
          </w:tcPr>
          <w:p w14:paraId="34393417" w14:textId="77777777" w:rsidR="00676448" w:rsidRPr="00A9381C" w:rsidRDefault="00676448" w:rsidP="004C6478">
            <w:pPr>
              <w:jc w:val="left"/>
              <w:rPr>
                <w:sz w:val="20"/>
                <w:szCs w:val="20"/>
              </w:rPr>
            </w:pPr>
            <w:r w:rsidRPr="00A9381C">
              <w:rPr>
                <w:sz w:val="20"/>
                <w:szCs w:val="20"/>
              </w:rPr>
              <w:t>19</w:t>
            </w:r>
          </w:p>
        </w:tc>
        <w:tc>
          <w:tcPr>
            <w:tcW w:w="1382" w:type="pct"/>
            <w:shd w:val="clear" w:color="auto" w:fill="auto"/>
            <w:vAlign w:val="center"/>
          </w:tcPr>
          <w:p w14:paraId="11901A2B" w14:textId="77777777" w:rsidR="00676448" w:rsidRPr="00A9381C" w:rsidRDefault="00676448" w:rsidP="004C6478">
            <w:pPr>
              <w:jc w:val="left"/>
              <w:rPr>
                <w:sz w:val="20"/>
                <w:szCs w:val="20"/>
              </w:rPr>
            </w:pPr>
            <w:r w:rsidRPr="00A9381C">
              <w:rPr>
                <w:sz w:val="20"/>
                <w:szCs w:val="20"/>
              </w:rPr>
              <w:t>9</w:t>
            </w:r>
          </w:p>
        </w:tc>
      </w:tr>
      <w:tr w:rsidR="00676448" w:rsidRPr="00676448" w14:paraId="51C874CD" w14:textId="77777777" w:rsidTr="005372FF">
        <w:trPr>
          <w:cantSplit/>
          <w:trHeight w:val="256"/>
        </w:trPr>
        <w:tc>
          <w:tcPr>
            <w:tcW w:w="2171" w:type="pct"/>
            <w:shd w:val="clear" w:color="auto" w:fill="auto"/>
            <w:vAlign w:val="bottom"/>
          </w:tcPr>
          <w:p w14:paraId="5E0FB246" w14:textId="77777777" w:rsidR="00676448" w:rsidRPr="00A9381C" w:rsidRDefault="00676448" w:rsidP="004C6478">
            <w:pPr>
              <w:jc w:val="left"/>
              <w:rPr>
                <w:sz w:val="20"/>
                <w:szCs w:val="20"/>
              </w:rPr>
            </w:pPr>
            <w:r w:rsidRPr="00A9381C">
              <w:rPr>
                <w:sz w:val="20"/>
                <w:szCs w:val="20"/>
              </w:rPr>
              <w:t>Aspartate aminotransferase increased</w:t>
            </w:r>
          </w:p>
        </w:tc>
        <w:tc>
          <w:tcPr>
            <w:tcW w:w="1447" w:type="pct"/>
            <w:shd w:val="clear" w:color="auto" w:fill="auto"/>
            <w:vAlign w:val="center"/>
          </w:tcPr>
          <w:p w14:paraId="1B3720F7" w14:textId="77777777" w:rsidR="00676448" w:rsidRPr="00A9381C" w:rsidRDefault="00676448" w:rsidP="004C6478">
            <w:pPr>
              <w:jc w:val="left"/>
              <w:rPr>
                <w:sz w:val="20"/>
                <w:szCs w:val="20"/>
              </w:rPr>
            </w:pPr>
            <w:r w:rsidRPr="00A9381C">
              <w:rPr>
                <w:sz w:val="20"/>
                <w:szCs w:val="20"/>
              </w:rPr>
              <w:t>6</w:t>
            </w:r>
          </w:p>
        </w:tc>
        <w:tc>
          <w:tcPr>
            <w:tcW w:w="1382" w:type="pct"/>
            <w:shd w:val="clear" w:color="auto" w:fill="auto"/>
            <w:vAlign w:val="center"/>
          </w:tcPr>
          <w:p w14:paraId="2CF86F09" w14:textId="77777777" w:rsidR="00676448" w:rsidRPr="00A9381C" w:rsidRDefault="00676448" w:rsidP="004C6478">
            <w:pPr>
              <w:jc w:val="left"/>
              <w:rPr>
                <w:sz w:val="20"/>
                <w:szCs w:val="20"/>
              </w:rPr>
            </w:pPr>
            <w:r w:rsidRPr="00A9381C">
              <w:rPr>
                <w:sz w:val="20"/>
                <w:szCs w:val="20"/>
              </w:rPr>
              <w:t>4</w:t>
            </w:r>
          </w:p>
        </w:tc>
      </w:tr>
      <w:tr w:rsidR="00676448" w:rsidRPr="00676448" w14:paraId="095CB953" w14:textId="77777777" w:rsidTr="005372FF">
        <w:trPr>
          <w:cantSplit/>
          <w:trHeight w:val="256"/>
        </w:trPr>
        <w:tc>
          <w:tcPr>
            <w:tcW w:w="2171" w:type="pct"/>
            <w:shd w:val="clear" w:color="auto" w:fill="auto"/>
            <w:vAlign w:val="bottom"/>
          </w:tcPr>
          <w:p w14:paraId="1235AFB9" w14:textId="77777777" w:rsidR="00676448" w:rsidRPr="00A9381C" w:rsidRDefault="00676448" w:rsidP="004C6478">
            <w:pPr>
              <w:jc w:val="left"/>
              <w:rPr>
                <w:sz w:val="20"/>
                <w:szCs w:val="20"/>
              </w:rPr>
            </w:pPr>
            <w:r w:rsidRPr="00A9381C">
              <w:rPr>
                <w:sz w:val="20"/>
                <w:szCs w:val="20"/>
              </w:rPr>
              <w:t>C-reactive protein increased</w:t>
            </w:r>
          </w:p>
        </w:tc>
        <w:tc>
          <w:tcPr>
            <w:tcW w:w="1447" w:type="pct"/>
            <w:shd w:val="clear" w:color="auto" w:fill="auto"/>
            <w:vAlign w:val="center"/>
          </w:tcPr>
          <w:p w14:paraId="30A2F81E" w14:textId="77777777" w:rsidR="00676448" w:rsidRPr="00A9381C" w:rsidRDefault="00676448" w:rsidP="004C6478">
            <w:pPr>
              <w:jc w:val="left"/>
              <w:rPr>
                <w:sz w:val="20"/>
                <w:szCs w:val="20"/>
              </w:rPr>
            </w:pPr>
            <w:r w:rsidRPr="00A9381C">
              <w:rPr>
                <w:sz w:val="20"/>
                <w:szCs w:val="20"/>
              </w:rPr>
              <w:t>2</w:t>
            </w:r>
          </w:p>
        </w:tc>
        <w:tc>
          <w:tcPr>
            <w:tcW w:w="1382" w:type="pct"/>
            <w:shd w:val="clear" w:color="auto" w:fill="auto"/>
            <w:vAlign w:val="center"/>
          </w:tcPr>
          <w:p w14:paraId="77155B4E" w14:textId="77777777" w:rsidR="00676448" w:rsidRPr="00A9381C" w:rsidRDefault="00676448" w:rsidP="004C6478">
            <w:pPr>
              <w:jc w:val="left"/>
              <w:rPr>
                <w:sz w:val="20"/>
                <w:szCs w:val="20"/>
              </w:rPr>
            </w:pPr>
            <w:r w:rsidRPr="00A9381C">
              <w:rPr>
                <w:sz w:val="20"/>
                <w:szCs w:val="20"/>
              </w:rPr>
              <w:t>1</w:t>
            </w:r>
          </w:p>
        </w:tc>
      </w:tr>
      <w:tr w:rsidR="00676448" w:rsidRPr="00676448" w14:paraId="163760BE" w14:textId="77777777" w:rsidTr="005372FF">
        <w:trPr>
          <w:cantSplit/>
          <w:trHeight w:val="256"/>
        </w:trPr>
        <w:tc>
          <w:tcPr>
            <w:tcW w:w="2171" w:type="pct"/>
            <w:tcBorders>
              <w:bottom w:val="single" w:sz="4" w:space="0" w:color="auto"/>
            </w:tcBorders>
            <w:shd w:val="clear" w:color="auto" w:fill="auto"/>
            <w:vAlign w:val="bottom"/>
          </w:tcPr>
          <w:p w14:paraId="453E4D8A" w14:textId="77777777" w:rsidR="00676448" w:rsidRPr="00A9381C" w:rsidRDefault="00676448" w:rsidP="004C6478">
            <w:pPr>
              <w:jc w:val="left"/>
              <w:rPr>
                <w:sz w:val="20"/>
                <w:szCs w:val="20"/>
              </w:rPr>
            </w:pPr>
            <w:r w:rsidRPr="00A9381C">
              <w:rPr>
                <w:sz w:val="20"/>
                <w:szCs w:val="20"/>
              </w:rPr>
              <w:t>Hepatic enzyme increased</w:t>
            </w:r>
          </w:p>
        </w:tc>
        <w:tc>
          <w:tcPr>
            <w:tcW w:w="1447" w:type="pct"/>
            <w:tcBorders>
              <w:bottom w:val="single" w:sz="4" w:space="0" w:color="auto"/>
            </w:tcBorders>
            <w:shd w:val="clear" w:color="auto" w:fill="auto"/>
            <w:vAlign w:val="center"/>
          </w:tcPr>
          <w:p w14:paraId="02317D4E" w14:textId="77777777" w:rsidR="00676448" w:rsidRPr="00A9381C" w:rsidRDefault="00676448" w:rsidP="004C6478">
            <w:pPr>
              <w:jc w:val="left"/>
              <w:rPr>
                <w:sz w:val="20"/>
                <w:szCs w:val="20"/>
              </w:rPr>
            </w:pPr>
            <w:r w:rsidRPr="00A9381C">
              <w:rPr>
                <w:sz w:val="20"/>
                <w:szCs w:val="20"/>
              </w:rPr>
              <w:t>2</w:t>
            </w:r>
          </w:p>
        </w:tc>
        <w:tc>
          <w:tcPr>
            <w:tcW w:w="1382" w:type="pct"/>
            <w:tcBorders>
              <w:bottom w:val="single" w:sz="4" w:space="0" w:color="auto"/>
            </w:tcBorders>
            <w:shd w:val="clear" w:color="auto" w:fill="auto"/>
            <w:vAlign w:val="center"/>
          </w:tcPr>
          <w:p w14:paraId="3FA0C877" w14:textId="77777777" w:rsidR="00676448" w:rsidRPr="00A9381C" w:rsidRDefault="00676448" w:rsidP="004C6478">
            <w:pPr>
              <w:jc w:val="left"/>
              <w:rPr>
                <w:sz w:val="20"/>
                <w:szCs w:val="20"/>
              </w:rPr>
            </w:pPr>
            <w:r w:rsidRPr="00A9381C">
              <w:rPr>
                <w:sz w:val="20"/>
                <w:szCs w:val="20"/>
              </w:rPr>
              <w:t>1</w:t>
            </w:r>
          </w:p>
        </w:tc>
      </w:tr>
      <w:tr w:rsidR="00676448" w:rsidRPr="00676448" w14:paraId="07EC0834" w14:textId="77777777" w:rsidTr="005372FF">
        <w:trPr>
          <w:cantSplit/>
          <w:trHeight w:val="256"/>
        </w:trPr>
        <w:tc>
          <w:tcPr>
            <w:tcW w:w="5000" w:type="pct"/>
            <w:gridSpan w:val="3"/>
            <w:tcBorders>
              <w:left w:val="nil"/>
              <w:bottom w:val="nil"/>
              <w:right w:val="nil"/>
            </w:tcBorders>
            <w:shd w:val="clear" w:color="auto" w:fill="auto"/>
            <w:vAlign w:val="bottom"/>
          </w:tcPr>
          <w:p w14:paraId="65870587" w14:textId="77777777" w:rsidR="00676448" w:rsidRPr="00A9381C" w:rsidRDefault="00676448" w:rsidP="004C6478">
            <w:pPr>
              <w:jc w:val="left"/>
              <w:rPr>
                <w:sz w:val="20"/>
                <w:szCs w:val="20"/>
              </w:rPr>
            </w:pPr>
            <w:r w:rsidRPr="00A9381C">
              <w:rPr>
                <w:sz w:val="20"/>
                <w:szCs w:val="20"/>
                <w:vertAlign w:val="superscript"/>
              </w:rPr>
              <w:t>a</w:t>
            </w:r>
            <w:r w:rsidRPr="00A9381C">
              <w:rPr>
                <w:sz w:val="20"/>
                <w:szCs w:val="20"/>
              </w:rPr>
              <w:tab/>
            </w:r>
            <w:r w:rsidRPr="00A9381C">
              <w:rPr>
                <w:iCs/>
                <w:sz w:val="20"/>
                <w:szCs w:val="20"/>
              </w:rPr>
              <w:t>Rounded</w:t>
            </w:r>
            <w:r w:rsidRPr="00A9381C" w:rsidDel="00400174">
              <w:rPr>
                <w:iCs/>
                <w:sz w:val="20"/>
                <w:szCs w:val="20"/>
              </w:rPr>
              <w:t xml:space="preserve"> </w:t>
            </w:r>
            <w:r w:rsidRPr="00A9381C">
              <w:rPr>
                <w:iCs/>
                <w:sz w:val="20"/>
                <w:szCs w:val="20"/>
              </w:rPr>
              <w:t>percentages are presented in the table</w:t>
            </w:r>
          </w:p>
        </w:tc>
      </w:tr>
    </w:tbl>
    <w:p w14:paraId="0503658C" w14:textId="77777777" w:rsidR="00676448" w:rsidRPr="00676448" w:rsidRDefault="00676448" w:rsidP="004C6478">
      <w:pPr>
        <w:jc w:val="left"/>
      </w:pPr>
    </w:p>
    <w:p w14:paraId="6E5B573E" w14:textId="41765361" w:rsidR="00676448" w:rsidRPr="00676448" w:rsidRDefault="00676448" w:rsidP="004C6478">
      <w:pPr>
        <w:jc w:val="left"/>
      </w:pPr>
      <w:r w:rsidRPr="00676448">
        <w:t xml:space="preserve">In OPTIMUM, the following adverse reactions occurred in less than 2% of </w:t>
      </w:r>
      <w:r>
        <w:t>PONVORY</w:t>
      </w:r>
      <w:r w:rsidRPr="00676448">
        <w:noBreakHyphen/>
        <w:t xml:space="preserve">treated patients but at a rate at least 1% higher than in patients receiving teriflunomide </w:t>
      </w:r>
      <w:r w:rsidRPr="00676448">
        <w:rPr>
          <w:iCs/>
        </w:rPr>
        <w:t>14 mg</w:t>
      </w:r>
      <w:r w:rsidRPr="00676448">
        <w:t>: viral infection, herpes zoster, hyperkalemia, laryngitis, lymphocyte count decreased, lymphopenia, macular edema, transaminases increased, and ligament sprain.</w:t>
      </w:r>
    </w:p>
    <w:p w14:paraId="412EC5E2" w14:textId="58DC4C2B" w:rsidR="00676448" w:rsidRPr="00676448" w:rsidRDefault="00676448" w:rsidP="004C6478">
      <w:pPr>
        <w:jc w:val="left"/>
      </w:pPr>
      <w:bookmarkStart w:id="22" w:name="_Hlk23837727"/>
      <w:r w:rsidRPr="00676448">
        <w:t>In the Phase 2 (placebo</w:t>
      </w:r>
      <w:r w:rsidRPr="00676448">
        <w:noBreakHyphen/>
        <w:t xml:space="preserve">controlled) study, 85.3% of </w:t>
      </w:r>
      <w:r>
        <w:t>PONVORY</w:t>
      </w:r>
      <w:r w:rsidRPr="00676448">
        <w:noBreakHyphen/>
        <w:t>treated patients completed 6</w:t>
      </w:r>
      <w:r w:rsidRPr="00676448">
        <w:noBreakHyphen/>
        <w:t xml:space="preserve">months of study treatment, compared to 90.9% of patients receiving placebo. </w:t>
      </w:r>
      <w:bookmarkEnd w:id="22"/>
      <w:r w:rsidRPr="00676448">
        <w:t xml:space="preserve">Adverse events led to discontinuation of treatment in 5.3% of </w:t>
      </w:r>
      <w:r>
        <w:t>PONVORY</w:t>
      </w:r>
      <w:r w:rsidRPr="00676448">
        <w:noBreakHyphen/>
        <w:t xml:space="preserve">treated patients, compared to 3.3% of patients receiving placebo. The most common adverse reactions (incidence at least 5%) in </w:t>
      </w:r>
      <w:r>
        <w:t>PONVORY</w:t>
      </w:r>
      <w:r w:rsidRPr="00676448">
        <w:noBreakHyphen/>
        <w:t>treated patients in the Phase 2 placebo</w:t>
      </w:r>
      <w:r w:rsidRPr="00676448">
        <w:noBreakHyphen/>
        <w:t xml:space="preserve">controlled study were fatigue, dyspnea, dizziness, and </w:t>
      </w:r>
      <w:bookmarkStart w:id="23" w:name="_Hlk26873484"/>
      <w:r w:rsidRPr="00676448">
        <w:t xml:space="preserve">alanine aminotransferase </w:t>
      </w:r>
      <w:bookmarkEnd w:id="23"/>
      <w:r w:rsidRPr="00676448">
        <w:t>increased.</w:t>
      </w:r>
    </w:p>
    <w:p w14:paraId="3A6A395B" w14:textId="3FA0C050" w:rsidR="00676448" w:rsidRPr="00676448" w:rsidRDefault="00676448" w:rsidP="004C6478">
      <w:pPr>
        <w:jc w:val="left"/>
      </w:pPr>
      <w:r w:rsidRPr="00676448">
        <w:t xml:space="preserve">Adverse reactions with </w:t>
      </w:r>
      <w:r>
        <w:t>PONVORY</w:t>
      </w:r>
      <w:r w:rsidRPr="00676448">
        <w:t xml:space="preserve"> in the 6</w:t>
      </w:r>
      <w:r w:rsidRPr="00676448">
        <w:noBreakHyphen/>
        <w:t>month Phase 2 placebo</w:t>
      </w:r>
      <w:r w:rsidRPr="00676448">
        <w:noBreakHyphen/>
        <w:t xml:space="preserve">controlled study were generally </w:t>
      </w:r>
      <w:proofErr w:type="gramStart"/>
      <w:r w:rsidRPr="00676448">
        <w:t>similar to</w:t>
      </w:r>
      <w:proofErr w:type="gramEnd"/>
      <w:r w:rsidRPr="00676448">
        <w:t xml:space="preserve"> those in the OPTIMUM study. The following additional adverse reactions occurred in at least 2% of </w:t>
      </w:r>
      <w:r>
        <w:t>PONVORY</w:t>
      </w:r>
      <w:r w:rsidRPr="00676448">
        <w:t xml:space="preserve"> 20 mg</w:t>
      </w:r>
      <w:r w:rsidRPr="00676448">
        <w:noBreakHyphen/>
        <w:t xml:space="preserve">treated patients and at a higher rate than in patients receiving placebo (but did not meet the reporting rate criteria for inclusion in the OPTIMUM study): rhinitis, fatigue, chest discomfort, edema peripheral, joint swelling, blood </w:t>
      </w:r>
      <w:r w:rsidRPr="00676448">
        <w:lastRenderedPageBreak/>
        <w:t>cholesterol increased, migraine, insomnia, depression, dyspepsia, dry mouth, bradycardia, back pain, and sinusitis.</w:t>
      </w:r>
    </w:p>
    <w:p w14:paraId="18273220" w14:textId="36D39F64" w:rsidR="00676448" w:rsidRDefault="00676448" w:rsidP="004C6478">
      <w:pPr>
        <w:jc w:val="left"/>
      </w:pPr>
      <w:bookmarkStart w:id="24" w:name="_Hlk42156175"/>
      <w:r w:rsidRPr="00676448">
        <w:t>Additionally, in the uncontrolled extension trials the adverse reaction of pneumonia was reported.</w:t>
      </w:r>
    </w:p>
    <w:p w14:paraId="6F968C94" w14:textId="4932033B" w:rsidR="004B66B1" w:rsidRDefault="007249C5" w:rsidP="004C6478">
      <w:pPr>
        <w:pStyle w:val="Heading3"/>
      </w:pPr>
      <w:r>
        <w:t>Infections</w:t>
      </w:r>
    </w:p>
    <w:p w14:paraId="10FAD078" w14:textId="77777777" w:rsidR="0000645B" w:rsidRPr="006B2326" w:rsidRDefault="0000645B" w:rsidP="004C6478">
      <w:pPr>
        <w:jc w:val="left"/>
        <w:rPr>
          <w:noProof/>
        </w:rPr>
      </w:pPr>
      <w:r w:rsidRPr="0000645B">
        <w:rPr>
          <w:noProof/>
        </w:rPr>
        <w:t>In the Phase 3 OPTIMUM study (see Section 5.1 Pharmacodynamic Properties – Clinical Trials), the overall rate of infections was comparable between the PONVORY-treated patients and those receiving teriflunomide 14 mg (54.2% vs 52.1% respectively). Nasopharyngitis and viral infections were more common in PONVORY-treated patients. Serious or severe infections occurred in 1.6% in PONVORY-treated patients compared to 0.9% of patients receiving teriflunomide 14 mg.</w:t>
      </w:r>
    </w:p>
    <w:p w14:paraId="1804774D" w14:textId="29DA845D" w:rsidR="0000645B" w:rsidRPr="0000645B" w:rsidRDefault="0000645B" w:rsidP="004C6478">
      <w:pPr>
        <w:jc w:val="left"/>
      </w:pPr>
      <w:r w:rsidRPr="0000645B">
        <w:rPr>
          <w:noProof/>
        </w:rPr>
        <w:t xml:space="preserve">In OPTIMUM, the rate of herpetic infections was </w:t>
      </w:r>
      <w:r>
        <w:rPr>
          <w:noProof/>
        </w:rPr>
        <w:t xml:space="preserve">not different between the </w:t>
      </w:r>
      <w:r w:rsidRPr="0000645B">
        <w:rPr>
          <w:noProof/>
        </w:rPr>
        <w:t>PONVORY-treated patients and those receiving teriflunomide 14 mg</w:t>
      </w:r>
      <w:r>
        <w:rPr>
          <w:noProof/>
        </w:rPr>
        <w:t xml:space="preserve"> (4.8%)</w:t>
      </w:r>
      <w:r w:rsidRPr="0000645B">
        <w:rPr>
          <w:noProof/>
        </w:rPr>
        <w:t>.</w:t>
      </w:r>
    </w:p>
    <w:p w14:paraId="091D7247" w14:textId="367A65ED" w:rsidR="007249C5" w:rsidRDefault="007249C5" w:rsidP="004C6478">
      <w:pPr>
        <w:pStyle w:val="Heading3"/>
      </w:pPr>
      <w:r>
        <w:t>Bradycardia</w:t>
      </w:r>
    </w:p>
    <w:p w14:paraId="2307CF3B" w14:textId="166E5AD2" w:rsidR="002A7CBD" w:rsidRPr="006B2326" w:rsidRDefault="002A7CBD" w:rsidP="004C6478">
      <w:pPr>
        <w:jc w:val="left"/>
        <w:rPr>
          <w:noProof/>
        </w:rPr>
      </w:pPr>
      <w:r w:rsidRPr="002A7CBD">
        <w:rPr>
          <w:noProof/>
        </w:rPr>
        <w:t xml:space="preserve">In the </w:t>
      </w:r>
      <w:r w:rsidR="00806D87">
        <w:rPr>
          <w:noProof/>
        </w:rPr>
        <w:t xml:space="preserve">Phase 3 </w:t>
      </w:r>
      <w:r w:rsidRPr="002A7CBD">
        <w:rPr>
          <w:noProof/>
        </w:rPr>
        <w:t>OPTIMUM study</w:t>
      </w:r>
      <w:r w:rsidR="00806D87">
        <w:rPr>
          <w:noProof/>
        </w:rPr>
        <w:t xml:space="preserve"> (see </w:t>
      </w:r>
      <w:r w:rsidR="00806D87" w:rsidRPr="0000645B">
        <w:rPr>
          <w:noProof/>
        </w:rPr>
        <w:t>Section 5.1 Pharmacodynamic Properties – Clinical Trials)</w:t>
      </w:r>
      <w:r w:rsidRPr="002A7CBD">
        <w:rPr>
          <w:noProof/>
        </w:rPr>
        <w:t>, bradycardia at treatment initiation (sinus bradycardia</w:t>
      </w:r>
      <w:r w:rsidR="00806D87">
        <w:rPr>
          <w:noProof/>
        </w:rPr>
        <w:t>/</w:t>
      </w:r>
      <w:r w:rsidRPr="002A7CBD">
        <w:rPr>
          <w:noProof/>
        </w:rPr>
        <w:t>HR less than 50 bpm</w:t>
      </w:r>
      <w:r w:rsidR="00806D87">
        <w:rPr>
          <w:noProof/>
        </w:rPr>
        <w:t xml:space="preserve"> on ECG on day 1</w:t>
      </w:r>
      <w:r w:rsidRPr="002A7CBD">
        <w:rPr>
          <w:noProof/>
        </w:rPr>
        <w:t>) occurred in 5.8% of PONVORY-treated patients compared to 1.6% of patients receiving teriflunomide 14 mg. Patients who experienced bradycardia were generally asymptomatic. Bradycardia resolved in all patients without intervention and did not require discontinuation of PONVORY treatment. On Day 1, 3 patients treated with PONVORY had asymptomatic post-dose HR below or equal to 40 bpm; all 3 patients had baseline HRs below 55 bpm.</w:t>
      </w:r>
    </w:p>
    <w:p w14:paraId="10A4F2EB" w14:textId="5FD727D6" w:rsidR="002A7CBD" w:rsidRPr="002A7CBD" w:rsidRDefault="00806D87" w:rsidP="004C6478">
      <w:pPr>
        <w:jc w:val="left"/>
      </w:pPr>
      <w:r w:rsidRPr="002A7CBD">
        <w:rPr>
          <w:noProof/>
        </w:rPr>
        <w:t xml:space="preserve">Initiation of PONVORY treatment has been associated with transient atrioventricular conduction delays that follow a similar temporal pattern as the observed decrease in </w:t>
      </w:r>
      <w:r>
        <w:rPr>
          <w:noProof/>
        </w:rPr>
        <w:t xml:space="preserve">HR </w:t>
      </w:r>
      <w:r w:rsidRPr="002A7CBD">
        <w:rPr>
          <w:noProof/>
        </w:rPr>
        <w:t xml:space="preserve">during dose titration. </w:t>
      </w:r>
      <w:r>
        <w:rPr>
          <w:noProof/>
        </w:rPr>
        <w:t>T</w:t>
      </w:r>
      <w:r w:rsidRPr="002A7CBD">
        <w:rPr>
          <w:noProof/>
        </w:rPr>
        <w:t>he AV conduction delays manifested as first-degree AV block (prolonged PR interval on ECG), which occurred in 3.4% of PONVORY-treated patients and in 1.2% of patients receiving teriflunomide 14 mg</w:t>
      </w:r>
      <w:r>
        <w:rPr>
          <w:noProof/>
        </w:rPr>
        <w:t xml:space="preserve"> in the OPTIMUM study</w:t>
      </w:r>
      <w:r w:rsidRPr="002A7CBD">
        <w:rPr>
          <w:noProof/>
        </w:rPr>
        <w:t>. No second-degree AV blocks, Mobitz type I (Wenckebach), were observed in OPTIMUM. The conduction abnormalities typically were transient, asymptomatic, resolved within 24 hours, resolved without intervention, and did not require discontinuation of PONVORY treatment.</w:t>
      </w:r>
    </w:p>
    <w:p w14:paraId="39DA42E8" w14:textId="3B6B89BC" w:rsidR="007249C5" w:rsidRDefault="007249C5" w:rsidP="004C6478">
      <w:pPr>
        <w:pStyle w:val="Heading3"/>
      </w:pPr>
      <w:r>
        <w:t>Blood pressure</w:t>
      </w:r>
    </w:p>
    <w:p w14:paraId="278FCF55" w14:textId="491E601F" w:rsidR="00806D87" w:rsidRPr="00806D87" w:rsidRDefault="00806D87" w:rsidP="004C6478">
      <w:pPr>
        <w:jc w:val="left"/>
      </w:pPr>
      <w:r w:rsidRPr="00806D87">
        <w:rPr>
          <w:noProof/>
        </w:rPr>
        <w:t>In the OPTIMUM study, PONVORY-treated patients had an average increase of 2.9 mmHg in systolic blood pressure and 2.8 mmHg in diastolic blood pressure compared to 2.8 mmHg and 3.1 mmHg in patients receiving teriflunomide 14 mg, respectively. An increase in blood pressure with PONVORY was first detected after approximately 1 month of treatment initiation and persisted with continued treatment. The blood pressure values after PONVORY treatment discontinuation indicate reversibility. Hypertension was reported as an adverse reaction in 10.1% of PONVORY-treated patients and in 9.0% of patients receiving teriflunomide 14 mg.</w:t>
      </w:r>
    </w:p>
    <w:p w14:paraId="360AA840" w14:textId="4B7B5CCE" w:rsidR="007249C5" w:rsidRDefault="007249C5" w:rsidP="004C6478">
      <w:pPr>
        <w:pStyle w:val="Heading3"/>
      </w:pPr>
      <w:r>
        <w:t>Macular Oedema</w:t>
      </w:r>
    </w:p>
    <w:p w14:paraId="56A43A1A" w14:textId="5C202BA2" w:rsidR="002A7CBD" w:rsidRPr="002A7CBD" w:rsidRDefault="002A7CBD" w:rsidP="004C6478">
      <w:pPr>
        <w:jc w:val="left"/>
      </w:pPr>
      <w:r w:rsidRPr="002A7CBD">
        <w:rPr>
          <w:noProof/>
        </w:rPr>
        <w:t>In the OPTIMUM study, macular oedema was reported in 1.1% of PONVORY-treated patients compared to none of the patients receiving teriflunomide 14 mg.</w:t>
      </w:r>
    </w:p>
    <w:p w14:paraId="04C92DB5" w14:textId="02ADA2F3" w:rsidR="007249C5" w:rsidRDefault="007249C5" w:rsidP="004C6478">
      <w:pPr>
        <w:pStyle w:val="Heading3"/>
      </w:pPr>
      <w:r>
        <w:t>Hepatic Effects</w:t>
      </w:r>
    </w:p>
    <w:p w14:paraId="5A51058A" w14:textId="5936DF75" w:rsidR="005639CD" w:rsidRPr="005639CD" w:rsidRDefault="005639CD" w:rsidP="004C6478">
      <w:pPr>
        <w:jc w:val="left"/>
      </w:pPr>
      <w:r w:rsidRPr="005639CD">
        <w:rPr>
          <w:noProof/>
        </w:rPr>
        <w:t xml:space="preserve">In the OPTIMUM study, ALT increased to three and five times the upper limit of normal (ULN) in 17.3% and 4.6% of PONVORY-treated patients, respectively, compared to 8.3% and 2.5% of patients receiving, teriflunomide 14 mg, respectively. ALT increased eight times ULN in 0.7% PONVORY-treated patients compared to 2.1% in patients receiving </w:t>
      </w:r>
      <w:r w:rsidRPr="005639CD">
        <w:rPr>
          <w:noProof/>
        </w:rPr>
        <w:lastRenderedPageBreak/>
        <w:t>teriflunomide 14 mg. The majority of elevations occurred within 6 to 12 months of starting treatment.</w:t>
      </w:r>
      <w:r>
        <w:rPr>
          <w:noProof/>
        </w:rPr>
        <w:t xml:space="preserve"> ALT levels returned to normal after discontinuation of PONVORY.</w:t>
      </w:r>
      <w:r w:rsidRPr="005639CD">
        <w:rPr>
          <w:noProof/>
        </w:rPr>
        <w:t xml:space="preserve"> Most cases of ALT increases ≥3×ULN resolved on continued PONVORY treatment, and the remaining cases resolved upon treatment discontinuation. In clinical trials, PONVORY was discontinued if the elevation exceeded a 3 fold increase and the patient showed symptoms related to hepatic dysfunction.</w:t>
      </w:r>
    </w:p>
    <w:bookmarkEnd w:id="16"/>
    <w:bookmarkEnd w:id="24"/>
    <w:p w14:paraId="354C4B49" w14:textId="77777777" w:rsidR="00B87DA7" w:rsidRPr="006B2326" w:rsidRDefault="00B87DA7" w:rsidP="004C6478">
      <w:pPr>
        <w:pStyle w:val="Heading3"/>
      </w:pPr>
      <w:r w:rsidRPr="006B2326">
        <w:t>Seizures</w:t>
      </w:r>
    </w:p>
    <w:p w14:paraId="4AF10649" w14:textId="264BAE99" w:rsidR="00B87DA7" w:rsidRPr="006B2326" w:rsidRDefault="00B87DA7" w:rsidP="004C6478">
      <w:pPr>
        <w:jc w:val="left"/>
        <w:rPr>
          <w:noProof/>
        </w:rPr>
      </w:pPr>
      <w:r w:rsidRPr="006B2326">
        <w:rPr>
          <w:noProof/>
        </w:rPr>
        <w:t xml:space="preserve">In OPTIMUM, cases of seizures were reported in 1.4% of </w:t>
      </w:r>
      <w:r w:rsidR="00387EBC" w:rsidRPr="006B2326">
        <w:rPr>
          <w:noProof/>
        </w:rPr>
        <w:t>PONVORY</w:t>
      </w:r>
      <w:r w:rsidR="00B02864" w:rsidRPr="006B2326">
        <w:rPr>
          <w:noProof/>
        </w:rPr>
        <w:t>-</w:t>
      </w:r>
      <w:r w:rsidRPr="006B2326">
        <w:rPr>
          <w:noProof/>
        </w:rPr>
        <w:t xml:space="preserve">treated patients, compared to 0.2% in patients receiving teriflunomide 14 mg. It is not known whether these events were related to the effects of MS, to </w:t>
      </w:r>
      <w:r w:rsidR="00387EBC" w:rsidRPr="006B2326">
        <w:rPr>
          <w:noProof/>
        </w:rPr>
        <w:t>PONVORY</w:t>
      </w:r>
      <w:r w:rsidRPr="006B2326">
        <w:rPr>
          <w:noProof/>
        </w:rPr>
        <w:t>, or to a combination of both.</w:t>
      </w:r>
    </w:p>
    <w:p w14:paraId="1B8B0566" w14:textId="77777777" w:rsidR="00B87DA7" w:rsidRPr="006B2326" w:rsidRDefault="00B87DA7" w:rsidP="004C6478">
      <w:pPr>
        <w:pStyle w:val="Heading3"/>
      </w:pPr>
      <w:r w:rsidRPr="006B2326">
        <w:t>Respiratory effects</w:t>
      </w:r>
    </w:p>
    <w:p w14:paraId="3F5ADC97" w14:textId="304B362E" w:rsidR="00B87DA7" w:rsidRPr="006B2326" w:rsidRDefault="00B87DA7" w:rsidP="004C6478">
      <w:pPr>
        <w:jc w:val="left"/>
        <w:rPr>
          <w:noProof/>
        </w:rPr>
      </w:pPr>
      <w:r w:rsidRPr="006B2326">
        <w:rPr>
          <w:noProof/>
        </w:rPr>
        <w:t>Dose</w:t>
      </w:r>
      <w:r w:rsidR="000F32B5" w:rsidRPr="006B2326">
        <w:rPr>
          <w:noProof/>
        </w:rPr>
        <w:t>-</w:t>
      </w:r>
      <w:r w:rsidRPr="006B2326">
        <w:rPr>
          <w:noProof/>
        </w:rPr>
        <w:t>dependent reductions in forced expiratory volume over 1 second (</w:t>
      </w:r>
      <w:r w:rsidR="004C265F" w:rsidRPr="006B2326">
        <w:rPr>
          <w:noProof/>
        </w:rPr>
        <w:t>FEV</w:t>
      </w:r>
      <w:r w:rsidR="004C265F" w:rsidRPr="006B2326">
        <w:rPr>
          <w:noProof/>
          <w:vertAlign w:val="subscript"/>
        </w:rPr>
        <w:t>1</w:t>
      </w:r>
      <w:r w:rsidRPr="006B2326">
        <w:rPr>
          <w:noProof/>
        </w:rPr>
        <w:t xml:space="preserve">) were observed in patients treated with </w:t>
      </w:r>
      <w:r w:rsidR="00387EBC" w:rsidRPr="006B2326">
        <w:rPr>
          <w:noProof/>
        </w:rPr>
        <w:t>PONVORY</w:t>
      </w:r>
      <w:r w:rsidRPr="006B2326">
        <w:rPr>
          <w:noProof/>
        </w:rPr>
        <w:t xml:space="preserve"> (see </w:t>
      </w:r>
      <w:r w:rsidR="002742D1" w:rsidRPr="006B2326">
        <w:rPr>
          <w:noProof/>
        </w:rPr>
        <w:t xml:space="preserve">Section </w:t>
      </w:r>
      <w:r w:rsidR="00387EBC" w:rsidRPr="006B2326">
        <w:rPr>
          <w:noProof/>
        </w:rPr>
        <w:t xml:space="preserve">4.4 Special Warnings and Precautions </w:t>
      </w:r>
      <w:r w:rsidR="002742D1" w:rsidRPr="006B2326">
        <w:rPr>
          <w:noProof/>
        </w:rPr>
        <w:t>f</w:t>
      </w:r>
      <w:r w:rsidR="00387EBC" w:rsidRPr="006B2326">
        <w:rPr>
          <w:noProof/>
        </w:rPr>
        <w:t>or Use</w:t>
      </w:r>
      <w:r w:rsidRPr="006B2326">
        <w:rPr>
          <w:noProof/>
        </w:rPr>
        <w:t xml:space="preserve"> </w:t>
      </w:r>
      <w:r w:rsidR="002742D1" w:rsidRPr="006B2326">
        <w:rPr>
          <w:noProof/>
        </w:rPr>
        <w:t xml:space="preserve">- </w:t>
      </w:r>
      <w:r w:rsidRPr="006B2326">
        <w:rPr>
          <w:noProof/>
        </w:rPr>
        <w:t>Respiratory Effects).</w:t>
      </w:r>
    </w:p>
    <w:p w14:paraId="1BCD7216" w14:textId="77777777" w:rsidR="00B87DA7" w:rsidRPr="006B2326" w:rsidRDefault="00B87DA7" w:rsidP="004C6478">
      <w:pPr>
        <w:pStyle w:val="Heading3"/>
      </w:pPr>
      <w:r w:rsidRPr="006B2326">
        <w:t>Malignancies</w:t>
      </w:r>
    </w:p>
    <w:p w14:paraId="4B70EBE6" w14:textId="1F7719AA" w:rsidR="00B87DA7" w:rsidRPr="006B2326" w:rsidRDefault="00B87DA7" w:rsidP="004C6478">
      <w:pPr>
        <w:jc w:val="left"/>
        <w:rPr>
          <w:noProof/>
        </w:rPr>
      </w:pPr>
      <w:r w:rsidRPr="006B2326">
        <w:rPr>
          <w:noProof/>
        </w:rPr>
        <w:t xml:space="preserve">In OPTIMUM, a case of malignant melanoma and two cases of basal cell carcinoma (0.4%) were reported in </w:t>
      </w:r>
      <w:r w:rsidR="00387EBC" w:rsidRPr="006B2326">
        <w:rPr>
          <w:noProof/>
        </w:rPr>
        <w:t>PONVORY</w:t>
      </w:r>
      <w:r w:rsidR="00B02864" w:rsidRPr="006B2326">
        <w:rPr>
          <w:noProof/>
        </w:rPr>
        <w:t>-</w:t>
      </w:r>
      <w:r w:rsidRPr="006B2326">
        <w:rPr>
          <w:noProof/>
        </w:rPr>
        <w:t xml:space="preserve">treated patients compared to one case of basal cell carcinoma (0.2%) in patients receiving teriflunomide 14 mg. An increased risk of cutaneous malignancies has been reported in association with another S1P receptor modulator. </w:t>
      </w:r>
      <w:r w:rsidRPr="009725A8">
        <w:rPr>
          <w:noProof/>
        </w:rPr>
        <w:t>Physicians and patients should remain alert for the potential development of skin malignancies. Patients should be informed against exposure to sunlight without protection and avoid concomitant phototherapy with UV</w:t>
      </w:r>
      <w:r w:rsidR="00663360" w:rsidRPr="009725A8">
        <w:rPr>
          <w:noProof/>
        </w:rPr>
        <w:t>-</w:t>
      </w:r>
      <w:r w:rsidRPr="009725A8">
        <w:rPr>
          <w:noProof/>
        </w:rPr>
        <w:t>B</w:t>
      </w:r>
      <w:r w:rsidR="00663360" w:rsidRPr="009725A8">
        <w:rPr>
          <w:noProof/>
        </w:rPr>
        <w:t>-</w:t>
      </w:r>
      <w:r w:rsidRPr="009725A8">
        <w:rPr>
          <w:noProof/>
        </w:rPr>
        <w:t>radiation or PUVA</w:t>
      </w:r>
      <w:r w:rsidR="00663360" w:rsidRPr="009725A8">
        <w:rPr>
          <w:noProof/>
        </w:rPr>
        <w:t>-</w:t>
      </w:r>
      <w:r w:rsidRPr="009725A8">
        <w:rPr>
          <w:noProof/>
        </w:rPr>
        <w:t>photochemotherapy.</w:t>
      </w:r>
    </w:p>
    <w:p w14:paraId="3B739E2B" w14:textId="61887803" w:rsidR="00733965" w:rsidRPr="006B2326" w:rsidRDefault="00733965" w:rsidP="004C6478">
      <w:pPr>
        <w:pStyle w:val="Heading3"/>
      </w:pPr>
      <w:r w:rsidRPr="006B2326">
        <w:t>Reporting of suspected adverse reactions</w:t>
      </w:r>
    </w:p>
    <w:p w14:paraId="3E4F655C" w14:textId="3FA2FADB" w:rsidR="00396AF8" w:rsidRPr="006B2326" w:rsidRDefault="00396AF8" w:rsidP="004C6478">
      <w:pPr>
        <w:jc w:val="left"/>
        <w:rPr>
          <w:rFonts w:cs="Arial"/>
          <w:lang w:val="en-AU"/>
        </w:rPr>
      </w:pPr>
      <w:r w:rsidRPr="006B2326">
        <w:rPr>
          <w:rFonts w:cs="Arial"/>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6B2326">
          <w:rPr>
            <w:rStyle w:val="Hyperlink"/>
            <w:rFonts w:cs="Arial"/>
            <w:color w:val="auto"/>
            <w:lang w:val="en-AU"/>
          </w:rPr>
          <w:t>https://www.tga.gov.au/reporting-problems</w:t>
        </w:r>
      </w:hyperlink>
      <w:r w:rsidRPr="006B2326">
        <w:rPr>
          <w:rFonts w:cs="Arial"/>
          <w:lang w:val="en-AU"/>
        </w:rPr>
        <w:t>.</w:t>
      </w:r>
    </w:p>
    <w:p w14:paraId="6A7E893C" w14:textId="77777777" w:rsidR="008B5F6E" w:rsidRPr="006B2326" w:rsidRDefault="008B5F6E" w:rsidP="004C6478">
      <w:pPr>
        <w:jc w:val="left"/>
        <w:rPr>
          <w:rFonts w:cs="Arial"/>
          <w:lang w:val="en-AU"/>
        </w:rPr>
      </w:pPr>
    </w:p>
    <w:p w14:paraId="03575E11" w14:textId="5DD954D9" w:rsidR="00D92B0C" w:rsidRPr="006B2326" w:rsidRDefault="00D92B0C" w:rsidP="004C6478">
      <w:pPr>
        <w:pStyle w:val="Heading2"/>
        <w:rPr>
          <w:lang w:val="en-AU"/>
        </w:rPr>
      </w:pPr>
      <w:r w:rsidRPr="006B2326">
        <w:rPr>
          <w:lang w:val="en-AU"/>
        </w:rPr>
        <w:t>Overdose</w:t>
      </w:r>
    </w:p>
    <w:p w14:paraId="07FBF2CE" w14:textId="113CA923" w:rsidR="0041319B" w:rsidRPr="006B2326" w:rsidRDefault="0041319B" w:rsidP="004C6478">
      <w:pPr>
        <w:pStyle w:val="Heading3"/>
        <w:rPr>
          <w:noProof/>
        </w:rPr>
      </w:pPr>
      <w:r w:rsidRPr="006B2326">
        <w:rPr>
          <w:noProof/>
        </w:rPr>
        <w:t>Symptoms and signs</w:t>
      </w:r>
      <w:bookmarkStart w:id="25" w:name="_Hlk22126713"/>
    </w:p>
    <w:bookmarkEnd w:id="25"/>
    <w:p w14:paraId="188E2BA7" w14:textId="539040C5" w:rsidR="0041319B" w:rsidRPr="006B2326" w:rsidRDefault="00CD6DFF" w:rsidP="004C6478">
      <w:pPr>
        <w:jc w:val="left"/>
        <w:rPr>
          <w:noProof/>
        </w:rPr>
      </w:pPr>
      <w:r w:rsidRPr="006B2326">
        <w:rPr>
          <w:noProof/>
        </w:rPr>
        <w:t xml:space="preserve">In patients with overdosage of </w:t>
      </w:r>
      <w:r w:rsidR="00387EBC" w:rsidRPr="006B2326">
        <w:rPr>
          <w:noProof/>
        </w:rPr>
        <w:t>PONVORY</w:t>
      </w:r>
      <w:r w:rsidRPr="006B2326">
        <w:rPr>
          <w:noProof/>
        </w:rPr>
        <w:t xml:space="preserve">, especially upon initiation/re-initiation of treatment, it is important to observe for signs and symptoms of bradycardia as well as AV conduction blocks, which may include overnight monitoring. Regular measurements of pulse rate and blood pressure are required, and ECGs should be performed (see </w:t>
      </w:r>
      <w:r w:rsidR="002742D1" w:rsidRPr="006B2326">
        <w:rPr>
          <w:noProof/>
        </w:rPr>
        <w:t xml:space="preserve">Section </w:t>
      </w:r>
      <w:r w:rsidR="00387EBC" w:rsidRPr="006B2326">
        <w:rPr>
          <w:noProof/>
        </w:rPr>
        <w:t xml:space="preserve">4.4 Special Warnings and Precautions </w:t>
      </w:r>
      <w:r w:rsidR="002742D1" w:rsidRPr="006B2326">
        <w:rPr>
          <w:noProof/>
        </w:rPr>
        <w:t>f</w:t>
      </w:r>
      <w:r w:rsidR="00387EBC" w:rsidRPr="006B2326">
        <w:rPr>
          <w:noProof/>
        </w:rPr>
        <w:t>or Use</w:t>
      </w:r>
      <w:r w:rsidRPr="006B2326">
        <w:rPr>
          <w:noProof/>
        </w:rPr>
        <w:t xml:space="preserve"> - Bradyarrhythmia and Atrioventricular Conduction Delays, Increased Blood Pressure and Pharmacodynamic Properties - Heart Rate and Rhythm).</w:t>
      </w:r>
    </w:p>
    <w:p w14:paraId="649E0F82" w14:textId="77777777" w:rsidR="00CD6DFF" w:rsidRPr="006B2326" w:rsidRDefault="00CD6DFF" w:rsidP="004C6478">
      <w:pPr>
        <w:pStyle w:val="Heading3"/>
        <w:rPr>
          <w:noProof/>
        </w:rPr>
      </w:pPr>
      <w:r w:rsidRPr="006B2326">
        <w:rPr>
          <w:noProof/>
        </w:rPr>
        <w:t>Treatment</w:t>
      </w:r>
    </w:p>
    <w:p w14:paraId="1EC5D149" w14:textId="79BBB6C6" w:rsidR="00CD6DFF" w:rsidRPr="006B2326" w:rsidRDefault="00CD6DFF" w:rsidP="004C6478">
      <w:pPr>
        <w:jc w:val="left"/>
        <w:rPr>
          <w:noProof/>
        </w:rPr>
      </w:pPr>
      <w:r w:rsidRPr="006B2326">
        <w:rPr>
          <w:noProof/>
        </w:rPr>
        <w:t xml:space="preserve">There is no specific antidote to ponesimod. Neither dialysis nor plasma exchange would result in meaningful removal of ponesimod from the body. The decrease in heart rate induced by </w:t>
      </w:r>
      <w:r w:rsidR="00387EBC" w:rsidRPr="006B2326">
        <w:rPr>
          <w:noProof/>
        </w:rPr>
        <w:t>PONVORY</w:t>
      </w:r>
      <w:r w:rsidRPr="006B2326">
        <w:rPr>
          <w:noProof/>
        </w:rPr>
        <w:t xml:space="preserve"> can be reversed by atropine.</w:t>
      </w:r>
    </w:p>
    <w:p w14:paraId="39F8D500" w14:textId="448C58A5" w:rsidR="00CD6DFF" w:rsidRPr="006B2326" w:rsidRDefault="00CD6DFF" w:rsidP="004C6478">
      <w:pPr>
        <w:jc w:val="left"/>
        <w:rPr>
          <w:noProof/>
        </w:rPr>
      </w:pPr>
      <w:r w:rsidRPr="006B2326">
        <w:rPr>
          <w:noProof/>
        </w:rPr>
        <w:t xml:space="preserve">In the event of overdose, </w:t>
      </w:r>
      <w:r w:rsidR="00387EBC" w:rsidRPr="006B2326">
        <w:rPr>
          <w:noProof/>
        </w:rPr>
        <w:t>PONVORY</w:t>
      </w:r>
      <w:r w:rsidRPr="006B2326">
        <w:rPr>
          <w:noProof/>
        </w:rPr>
        <w:t xml:space="preserve"> should be discontinued, and general supportive treatment given until clinical toxicity has been diminished or resolved.</w:t>
      </w:r>
    </w:p>
    <w:p w14:paraId="72200AD5" w14:textId="135EE160" w:rsidR="001868BF" w:rsidRPr="006B2326" w:rsidRDefault="001868BF" w:rsidP="004C6478">
      <w:pPr>
        <w:jc w:val="left"/>
        <w:rPr>
          <w:lang w:val="en-AU"/>
        </w:rPr>
      </w:pPr>
      <w:r w:rsidRPr="006B2326">
        <w:rPr>
          <w:lang w:val="en-AU"/>
        </w:rPr>
        <w:t>For information on the management of overdose, contact the Poison Information Centre on 131126 (Australia).</w:t>
      </w:r>
    </w:p>
    <w:p w14:paraId="0AB9D7A0" w14:textId="76F6DA78" w:rsidR="00D92B0C" w:rsidRPr="006B2326" w:rsidRDefault="00927E9B" w:rsidP="004C6478">
      <w:pPr>
        <w:pStyle w:val="Heading1"/>
        <w:rPr>
          <w:lang w:val="en-AU"/>
        </w:rPr>
      </w:pPr>
      <w:r w:rsidRPr="006B2326">
        <w:rPr>
          <w:lang w:val="en-AU"/>
        </w:rPr>
        <w:lastRenderedPageBreak/>
        <w:t>PharmacologICAL PROPERTIES</w:t>
      </w:r>
    </w:p>
    <w:p w14:paraId="74FCC8C2" w14:textId="77281704" w:rsidR="00D92B0C" w:rsidRPr="006B2326" w:rsidRDefault="00D92B0C" w:rsidP="004C6478">
      <w:pPr>
        <w:pStyle w:val="Heading2"/>
        <w:rPr>
          <w:lang w:val="en-AU"/>
        </w:rPr>
      </w:pPr>
      <w:r w:rsidRPr="006B2326">
        <w:rPr>
          <w:lang w:val="en-AU"/>
        </w:rPr>
        <w:t>Pharmacodynamic</w:t>
      </w:r>
      <w:r w:rsidR="00927E9B" w:rsidRPr="006B2326">
        <w:rPr>
          <w:lang w:val="en-AU"/>
        </w:rPr>
        <w:t xml:space="preserve"> PROPERTIES</w:t>
      </w:r>
    </w:p>
    <w:p w14:paraId="7E8853C2" w14:textId="05D5C3EB" w:rsidR="0041319B" w:rsidRPr="006B2326" w:rsidRDefault="00E556EB" w:rsidP="004C6478">
      <w:pPr>
        <w:jc w:val="left"/>
        <w:rPr>
          <w:noProof/>
        </w:rPr>
      </w:pPr>
      <w:r w:rsidRPr="006B2326">
        <w:rPr>
          <w:noProof/>
        </w:rPr>
        <w:t>Pharmacotherapeutic group: Immunosuppressants, selective immunosuppressants, ATC code: L04AA50</w:t>
      </w:r>
    </w:p>
    <w:p w14:paraId="343C88E0" w14:textId="3127D035" w:rsidR="0041319B" w:rsidRPr="006B2326" w:rsidRDefault="004B74D3" w:rsidP="004C6478">
      <w:pPr>
        <w:pStyle w:val="Heading3"/>
        <w:rPr>
          <w:lang w:val="en-AU"/>
        </w:rPr>
      </w:pPr>
      <w:r w:rsidRPr="006B2326">
        <w:rPr>
          <w:lang w:val="en-AU"/>
        </w:rPr>
        <w:t>Mechanism of Action</w:t>
      </w:r>
    </w:p>
    <w:p w14:paraId="3370E876" w14:textId="6C051D7C" w:rsidR="00CD6DFF" w:rsidRPr="006B2326" w:rsidRDefault="00CD6DFF" w:rsidP="004C6478">
      <w:pPr>
        <w:jc w:val="left"/>
        <w:rPr>
          <w:noProof/>
        </w:rPr>
      </w:pPr>
      <w:bookmarkStart w:id="26" w:name="_Hlk13565940"/>
      <w:bookmarkStart w:id="27" w:name="_Hlk19702074"/>
      <w:bookmarkStart w:id="28" w:name="_Hlk52981204"/>
      <w:bookmarkStart w:id="29" w:name="_Hlk50735896"/>
      <w:bookmarkStart w:id="30" w:name="_Hlk15551202"/>
      <w:r w:rsidRPr="006B2326">
        <w:rPr>
          <w:noProof/>
        </w:rPr>
        <w:t>Ponesimod is a sphingosine 1-phosphate (S1P) receptor 1 modulator. Ponesimod binds with high affinity to S1P receptor 1</w:t>
      </w:r>
      <w:r w:rsidR="0034135E">
        <w:rPr>
          <w:noProof/>
        </w:rPr>
        <w:t>, which is expressed on a range of cell types including</w:t>
      </w:r>
      <w:r w:rsidRPr="006B2326">
        <w:rPr>
          <w:noProof/>
        </w:rPr>
        <w:t xml:space="preserve">  lymphocytes.</w:t>
      </w:r>
    </w:p>
    <w:p w14:paraId="78D4F95C" w14:textId="77777777" w:rsidR="00CD6DFF" w:rsidRPr="006B2326" w:rsidRDefault="00CD6DFF" w:rsidP="004C6478">
      <w:pPr>
        <w:jc w:val="left"/>
        <w:rPr>
          <w:noProof/>
        </w:rPr>
      </w:pPr>
      <w:r w:rsidRPr="006B2326">
        <w:rPr>
          <w:noProof/>
        </w:rPr>
        <w:t>Ponesimod blocks the capacity of lymphocytes to egress from lymph nodes reducing the number of lymphocytes in peripheral blood. The mechanism by which ponesimod exerts therapeutic effects in multiple sclerosis may involve reduction of lymphocyte migration into the central nervous system.</w:t>
      </w:r>
    </w:p>
    <w:p w14:paraId="17B694A0" w14:textId="54A27E52" w:rsidR="0041319B" w:rsidRPr="006B2326" w:rsidRDefault="008C0CE4" w:rsidP="004C6478">
      <w:pPr>
        <w:pStyle w:val="Heading3"/>
        <w:rPr>
          <w:lang w:val="en-AU"/>
        </w:rPr>
      </w:pPr>
      <w:r w:rsidRPr="006B2326">
        <w:rPr>
          <w:lang w:val="en-AU"/>
        </w:rPr>
        <w:t>Pharmacodynamic effects</w:t>
      </w:r>
    </w:p>
    <w:p w14:paraId="52708A41" w14:textId="77777777" w:rsidR="0041319B" w:rsidRPr="006B2326" w:rsidRDefault="0041319B" w:rsidP="004C6478">
      <w:pPr>
        <w:pStyle w:val="Heading4"/>
        <w:rPr>
          <w:noProof/>
        </w:rPr>
      </w:pPr>
      <w:r w:rsidRPr="006B2326">
        <w:rPr>
          <w:noProof/>
        </w:rPr>
        <w:t xml:space="preserve">Immune </w:t>
      </w:r>
      <w:bookmarkEnd w:id="26"/>
      <w:r w:rsidRPr="006B2326">
        <w:rPr>
          <w:noProof/>
        </w:rPr>
        <w:t>system</w:t>
      </w:r>
    </w:p>
    <w:p w14:paraId="7BC7E7AC" w14:textId="7B73AACC" w:rsidR="00CD6DFF" w:rsidRPr="006B2326" w:rsidRDefault="00CD6DFF" w:rsidP="004C6478">
      <w:pPr>
        <w:jc w:val="left"/>
        <w:rPr>
          <w:noProof/>
        </w:rPr>
      </w:pPr>
      <w:bookmarkStart w:id="31" w:name="_Hlk53996460"/>
      <w:bookmarkEnd w:id="27"/>
      <w:bookmarkEnd w:id="28"/>
      <w:bookmarkEnd w:id="29"/>
      <w:bookmarkEnd w:id="30"/>
      <w:r w:rsidRPr="006B2326">
        <w:rPr>
          <w:noProof/>
        </w:rPr>
        <w:t>In healthy volunteers, ponesimod induces a dose-dependent reduction of the peripheral blood lymphocyte count from a single dose of 5 mg onwards, with the greatest reduction observed 6 hours post</w:t>
      </w:r>
      <w:r w:rsidR="00956637" w:rsidRPr="006B2326">
        <w:rPr>
          <w:noProof/>
        </w:rPr>
        <w:t>-</w:t>
      </w:r>
      <w:r w:rsidRPr="006B2326">
        <w:rPr>
          <w:noProof/>
        </w:rPr>
        <w:t>dose, caused by reversible sequestration of lymphocytes in lymphoid tissues. After 7 daily doses of 20 mg, the greatest decrease in absolute mean lymphocyte count was to 26% of baseline (650 cells/</w:t>
      </w:r>
      <w:r w:rsidR="002742D1" w:rsidRPr="006B2326">
        <w:rPr>
          <w:noProof/>
        </w:rPr>
        <w:t>microlitre</w:t>
      </w:r>
      <w:r w:rsidRPr="006B2326">
        <w:rPr>
          <w:noProof/>
        </w:rPr>
        <w:t>), observed 6 hours after administration. Peripheral blood B cells [CD19+] and T cells [CD3+], T-helper [CD3+CD4+], and T cytotoxic [CD3+CD8+] cell subsets are all affected, while NK cells are not. T</w:t>
      </w:r>
      <w:r w:rsidR="00956637" w:rsidRPr="006B2326">
        <w:rPr>
          <w:noProof/>
        </w:rPr>
        <w:t>-</w:t>
      </w:r>
      <w:r w:rsidRPr="006B2326">
        <w:rPr>
          <w:noProof/>
        </w:rPr>
        <w:t xml:space="preserve">helper cells were more sensitive to the effects of ponesimod than </w:t>
      </w:r>
      <w:r w:rsidR="00956637" w:rsidRPr="006B2326">
        <w:rPr>
          <w:noProof/>
        </w:rPr>
        <w:t>T-</w:t>
      </w:r>
      <w:r w:rsidRPr="006B2326">
        <w:rPr>
          <w:noProof/>
        </w:rPr>
        <w:t>cytotoxic cells.</w:t>
      </w:r>
    </w:p>
    <w:p w14:paraId="3F0FACF7" w14:textId="238CE0AA" w:rsidR="00CD6DFF" w:rsidRPr="006B2326" w:rsidRDefault="00CD6DFF" w:rsidP="004C6478">
      <w:pPr>
        <w:jc w:val="left"/>
        <w:rPr>
          <w:noProof/>
        </w:rPr>
      </w:pPr>
      <w:r w:rsidRPr="006B2326">
        <w:rPr>
          <w:noProof/>
        </w:rPr>
        <w:t xml:space="preserve">PK/PD modeling indicates lymphocyte counts returned to the normal range in &gt;90% of healthy subjects within 1 week of stopping therapy. In the development program, peripheral lymphocyte counts returned to the normal range within 1 week after discontinuation of </w:t>
      </w:r>
      <w:r w:rsidR="00387EBC" w:rsidRPr="006B2326">
        <w:rPr>
          <w:noProof/>
        </w:rPr>
        <w:t>PONVORY</w:t>
      </w:r>
      <w:r w:rsidRPr="006B2326">
        <w:rPr>
          <w:noProof/>
        </w:rPr>
        <w:t>.</w:t>
      </w:r>
    </w:p>
    <w:p w14:paraId="576B66C1" w14:textId="77777777" w:rsidR="00CD6DFF" w:rsidRPr="006B2326" w:rsidRDefault="00CD6DFF" w:rsidP="004C6478">
      <w:pPr>
        <w:pStyle w:val="Heading4"/>
        <w:rPr>
          <w:noProof/>
        </w:rPr>
      </w:pPr>
      <w:r w:rsidRPr="006B2326">
        <w:rPr>
          <w:noProof/>
        </w:rPr>
        <w:t>Heart rate and rhythm</w:t>
      </w:r>
    </w:p>
    <w:p w14:paraId="4E51F0F3" w14:textId="1A4D0E6A" w:rsidR="00CD6DFF" w:rsidRPr="006B2326" w:rsidRDefault="00CD6DFF" w:rsidP="004C6478">
      <w:pPr>
        <w:jc w:val="left"/>
        <w:rPr>
          <w:noProof/>
        </w:rPr>
      </w:pPr>
      <w:r w:rsidRPr="006B2326">
        <w:rPr>
          <w:noProof/>
        </w:rPr>
        <w:t xml:space="preserve">Ponesimod causes a transient dose dependent reduction in heart rate (HR) and AV conduction delays upon treatment initiation (see </w:t>
      </w:r>
      <w:r w:rsidR="002742D1" w:rsidRPr="006B2326">
        <w:rPr>
          <w:noProof/>
        </w:rPr>
        <w:t xml:space="preserve">Section </w:t>
      </w:r>
      <w:r w:rsidR="00387EBC" w:rsidRPr="006B2326">
        <w:rPr>
          <w:noProof/>
        </w:rPr>
        <w:t xml:space="preserve">4.4 Special Warnings and Precautions </w:t>
      </w:r>
      <w:r w:rsidR="002742D1" w:rsidRPr="006B2326">
        <w:rPr>
          <w:noProof/>
        </w:rPr>
        <w:t>f</w:t>
      </w:r>
      <w:r w:rsidR="00387EBC" w:rsidRPr="006B2326">
        <w:rPr>
          <w:noProof/>
        </w:rPr>
        <w:t>or Use</w:t>
      </w:r>
      <w:r w:rsidRPr="006B2326">
        <w:rPr>
          <w:noProof/>
        </w:rPr>
        <w:t xml:space="preserve"> - Bradyarrhythmia and Atrioventricular Conduction Delays). The heart rate decreases plateaued at doses greater than or equal to 40 mg, and bradyarrhythmic events (AV blocks) were detected at a higher incidence under </w:t>
      </w:r>
      <w:r w:rsidR="00387EBC" w:rsidRPr="006B2326">
        <w:rPr>
          <w:noProof/>
        </w:rPr>
        <w:t>PONVORY</w:t>
      </w:r>
      <w:r w:rsidRPr="006B2326">
        <w:rPr>
          <w:noProof/>
        </w:rPr>
        <w:t xml:space="preserve"> treatment, compared to placebo. This effect starts within the first hour of dosing and is maximal at 2</w:t>
      </w:r>
      <w:r w:rsidR="002742D1" w:rsidRPr="006B2326">
        <w:rPr>
          <w:noProof/>
        </w:rPr>
        <w:t>-</w:t>
      </w:r>
      <w:r w:rsidRPr="006B2326">
        <w:rPr>
          <w:noProof/>
        </w:rPr>
        <w:t>4 hours post-dose and HR generally returns to pre</w:t>
      </w:r>
      <w:r w:rsidR="00956637" w:rsidRPr="006B2326">
        <w:rPr>
          <w:noProof/>
        </w:rPr>
        <w:t>-</w:t>
      </w:r>
      <w:r w:rsidRPr="006B2326">
        <w:rPr>
          <w:noProof/>
        </w:rPr>
        <w:t>dose values by 4</w:t>
      </w:r>
      <w:r w:rsidR="002742D1" w:rsidRPr="006B2326">
        <w:rPr>
          <w:noProof/>
        </w:rPr>
        <w:t>-</w:t>
      </w:r>
      <w:r w:rsidRPr="006B2326">
        <w:rPr>
          <w:noProof/>
        </w:rPr>
        <w:t>5 hours post</w:t>
      </w:r>
      <w:r w:rsidR="00956637" w:rsidRPr="006B2326">
        <w:rPr>
          <w:noProof/>
        </w:rPr>
        <w:t>-</w:t>
      </w:r>
      <w:r w:rsidRPr="006B2326">
        <w:rPr>
          <w:noProof/>
        </w:rPr>
        <w:t>dose on Day 1 and the effect diminishes with repeated administration, indicating tolerance.</w:t>
      </w:r>
    </w:p>
    <w:p w14:paraId="38957744" w14:textId="318271F3" w:rsidR="00CD6DFF" w:rsidRPr="006B2326" w:rsidRDefault="00CD6DFF" w:rsidP="004C6478">
      <w:pPr>
        <w:jc w:val="left"/>
        <w:rPr>
          <w:noProof/>
        </w:rPr>
      </w:pPr>
      <w:r w:rsidRPr="006B2326">
        <w:rPr>
          <w:noProof/>
        </w:rPr>
        <w:t>With the gradual up</w:t>
      </w:r>
      <w:r w:rsidR="00956637" w:rsidRPr="006B2326">
        <w:rPr>
          <w:noProof/>
        </w:rPr>
        <w:t>-</w:t>
      </w:r>
      <w:r w:rsidRPr="006B2326">
        <w:rPr>
          <w:noProof/>
        </w:rPr>
        <w:t>titration of ponesimod, the HR reduction is less pronounced and no second degree AV blocks of Mobitz type II or higher degree were observed.</w:t>
      </w:r>
    </w:p>
    <w:p w14:paraId="590D2F23" w14:textId="77777777" w:rsidR="00CD6DFF" w:rsidRPr="006B2326" w:rsidRDefault="00CD6DFF" w:rsidP="004C6478">
      <w:pPr>
        <w:jc w:val="left"/>
        <w:rPr>
          <w:noProof/>
        </w:rPr>
      </w:pPr>
      <w:r w:rsidRPr="006B2326">
        <w:rPr>
          <w:noProof/>
        </w:rPr>
        <w:t>The decrease in heart rate induced by ponesimod can be reversed by atropine.</w:t>
      </w:r>
    </w:p>
    <w:p w14:paraId="69D63DD6" w14:textId="77777777" w:rsidR="00CD6DFF" w:rsidRPr="006B2326" w:rsidRDefault="00CD6DFF" w:rsidP="004C6478">
      <w:pPr>
        <w:pStyle w:val="Heading4"/>
        <w:rPr>
          <w:noProof/>
        </w:rPr>
      </w:pPr>
      <w:r w:rsidRPr="006B2326">
        <w:rPr>
          <w:noProof/>
        </w:rPr>
        <w:t>Beta-blockers</w:t>
      </w:r>
    </w:p>
    <w:p w14:paraId="5B0F18B3" w14:textId="336F1671" w:rsidR="00CD6DFF" w:rsidRPr="006B2326" w:rsidRDefault="00CD6DFF" w:rsidP="004C6478">
      <w:pPr>
        <w:jc w:val="left"/>
        <w:rPr>
          <w:noProof/>
        </w:rPr>
      </w:pPr>
      <w:r w:rsidRPr="006B2326">
        <w:rPr>
          <w:noProof/>
        </w:rPr>
        <w:t>The negative chronotropic effect of co administration of ponesimod and propranolol was evaluated in a dedicated pharmacodynamics safety study. The addition of ponesimod to propranolol at steady state has an additive effect on HR effect (see</w:t>
      </w:r>
      <w:r w:rsidR="002742D1" w:rsidRPr="006B2326">
        <w:rPr>
          <w:noProof/>
        </w:rPr>
        <w:t xml:space="preserve"> Section</w:t>
      </w:r>
      <w:r w:rsidRPr="006B2326">
        <w:rPr>
          <w:noProof/>
        </w:rPr>
        <w:t xml:space="preserve"> </w:t>
      </w:r>
      <w:r w:rsidR="00E30C50" w:rsidRPr="006B2326">
        <w:rPr>
          <w:noProof/>
        </w:rPr>
        <w:t>4.5 Interactions with Other Medicines and Other Forms of Interactions</w:t>
      </w:r>
      <w:r w:rsidRPr="006B2326">
        <w:rPr>
          <w:noProof/>
        </w:rPr>
        <w:t xml:space="preserve"> – Beta</w:t>
      </w:r>
      <w:r w:rsidR="00776116" w:rsidRPr="006B2326">
        <w:rPr>
          <w:noProof/>
        </w:rPr>
        <w:t>-</w:t>
      </w:r>
      <w:r w:rsidRPr="006B2326">
        <w:rPr>
          <w:noProof/>
        </w:rPr>
        <w:t>Blockers).</w:t>
      </w:r>
    </w:p>
    <w:p w14:paraId="6D3382AF" w14:textId="77777777" w:rsidR="00CD6DFF" w:rsidRPr="006B2326" w:rsidRDefault="00CD6DFF" w:rsidP="004C6478">
      <w:pPr>
        <w:pStyle w:val="Heading4"/>
        <w:rPr>
          <w:noProof/>
        </w:rPr>
      </w:pPr>
      <w:r w:rsidRPr="006B2326">
        <w:rPr>
          <w:noProof/>
        </w:rPr>
        <w:lastRenderedPageBreak/>
        <w:t>Effect on QT/QTc interval and cardiac electrophysiology</w:t>
      </w:r>
    </w:p>
    <w:p w14:paraId="6C2976D9" w14:textId="702EF1B9" w:rsidR="00CD6DFF" w:rsidRPr="006B2326" w:rsidRDefault="00CD6DFF" w:rsidP="004C6478">
      <w:pPr>
        <w:jc w:val="left"/>
        <w:rPr>
          <w:noProof/>
        </w:rPr>
      </w:pPr>
      <w:r w:rsidRPr="006B2326">
        <w:rPr>
          <w:noProof/>
        </w:rPr>
        <w:t>In a thorough QT study of supra</w:t>
      </w:r>
      <w:r w:rsidR="000F32B5" w:rsidRPr="006B2326">
        <w:rPr>
          <w:noProof/>
        </w:rPr>
        <w:t>-</w:t>
      </w:r>
      <w:r w:rsidRPr="006B2326">
        <w:rPr>
          <w:noProof/>
        </w:rPr>
        <w:t>therapeutic doses of 40 mg and 100 mg (2</w:t>
      </w:r>
      <w:r w:rsidR="002742D1" w:rsidRPr="006B2326">
        <w:rPr>
          <w:noProof/>
        </w:rPr>
        <w:t>-</w:t>
      </w:r>
      <w:r w:rsidRPr="006B2326">
        <w:rPr>
          <w:noProof/>
        </w:rPr>
        <w:t xml:space="preserve">  and 5</w:t>
      </w:r>
      <w:r w:rsidR="002742D1" w:rsidRPr="006B2326">
        <w:rPr>
          <w:noProof/>
        </w:rPr>
        <w:t>-</w:t>
      </w:r>
      <w:r w:rsidRPr="006B2326">
        <w:rPr>
          <w:noProof/>
        </w:rPr>
        <w:t>fold respectively, the recommended maintenance dose) ponesimod at steady-state, ponesimod treatment resulted in mild prolongation of individually corrected QT (QTcI) interval, with the upper bound of 90% two-sided confidence interval (CI) at 11.3 ms (40 mg) and 14.0 ms (100 mg). There was no consistent signal of increased incidence of QTcI outliers associated with ponesimod treatment, either as absolute values or change from baseline. Based on the concentration-effect relationship, no clinically relevant effect on QTc interval is expected for the therapeutic dose of 20 mg.</w:t>
      </w:r>
    </w:p>
    <w:p w14:paraId="0DC145AA" w14:textId="77777777" w:rsidR="00CD6DFF" w:rsidRPr="006B2326" w:rsidRDefault="00CD6DFF" w:rsidP="004C6478">
      <w:pPr>
        <w:pStyle w:val="Heading4"/>
        <w:rPr>
          <w:noProof/>
        </w:rPr>
      </w:pPr>
      <w:r w:rsidRPr="006B2326">
        <w:rPr>
          <w:noProof/>
        </w:rPr>
        <w:t>Pulmonary function</w:t>
      </w:r>
    </w:p>
    <w:p w14:paraId="4A9A54B6" w14:textId="106818FF" w:rsidR="00CD6DFF" w:rsidRPr="006B2326" w:rsidRDefault="00CD6DFF" w:rsidP="004C6478">
      <w:pPr>
        <w:jc w:val="left"/>
        <w:rPr>
          <w:noProof/>
        </w:rPr>
      </w:pPr>
      <w:r w:rsidRPr="006B2326">
        <w:rPr>
          <w:noProof/>
        </w:rPr>
        <w:t>Dose</w:t>
      </w:r>
      <w:r w:rsidR="000F32B5" w:rsidRPr="006B2326">
        <w:rPr>
          <w:noProof/>
        </w:rPr>
        <w:t>-</w:t>
      </w:r>
      <w:r w:rsidRPr="006B2326">
        <w:rPr>
          <w:noProof/>
        </w:rPr>
        <w:t xml:space="preserve">dependent reductions in absolute forced expiratory volume over 1 second were observed in ponesimod treated subjects and were greater than in subjects taking placebo (see </w:t>
      </w:r>
      <w:r w:rsidR="002742D1" w:rsidRPr="006B2326">
        <w:rPr>
          <w:noProof/>
        </w:rPr>
        <w:t xml:space="preserve">Section </w:t>
      </w:r>
      <w:r w:rsidR="00387EBC" w:rsidRPr="006B2326">
        <w:rPr>
          <w:noProof/>
        </w:rPr>
        <w:t xml:space="preserve">4.4 Special Warnings and Precautions </w:t>
      </w:r>
      <w:r w:rsidR="002742D1" w:rsidRPr="006B2326">
        <w:rPr>
          <w:noProof/>
        </w:rPr>
        <w:t>f</w:t>
      </w:r>
      <w:r w:rsidR="00387EBC" w:rsidRPr="006B2326">
        <w:rPr>
          <w:noProof/>
        </w:rPr>
        <w:t>or Use</w:t>
      </w:r>
      <w:r w:rsidRPr="006B2326">
        <w:rPr>
          <w:noProof/>
        </w:rPr>
        <w:t xml:space="preserve"> - Respiratory Effects). These effects can be reversed with administration of a short acting beta</w:t>
      </w:r>
      <w:r w:rsidRPr="006B2326">
        <w:rPr>
          <w:noProof/>
          <w:vertAlign w:val="subscript"/>
        </w:rPr>
        <w:t>2</w:t>
      </w:r>
      <w:r w:rsidRPr="006B2326">
        <w:rPr>
          <w:noProof/>
        </w:rPr>
        <w:t xml:space="preserve"> agonist.</w:t>
      </w:r>
    </w:p>
    <w:p w14:paraId="1DB0AEAC" w14:textId="71FF85F1" w:rsidR="00CD6DFF" w:rsidRPr="006B2326" w:rsidRDefault="00CD6DFF" w:rsidP="004C6478">
      <w:pPr>
        <w:pStyle w:val="Heading3"/>
        <w:rPr>
          <w:noProof/>
        </w:rPr>
      </w:pPr>
      <w:r w:rsidRPr="006B2326">
        <w:rPr>
          <w:noProof/>
        </w:rPr>
        <w:t>Clinical trials</w:t>
      </w:r>
    </w:p>
    <w:p w14:paraId="1E29CD2F" w14:textId="4E7E3833" w:rsidR="00CD6DFF" w:rsidRPr="006B2326" w:rsidRDefault="00CD6DFF" w:rsidP="004C6478">
      <w:pPr>
        <w:jc w:val="left"/>
        <w:rPr>
          <w:noProof/>
        </w:rPr>
      </w:pPr>
      <w:r w:rsidRPr="006B2326">
        <w:rPr>
          <w:noProof/>
        </w:rPr>
        <w:t xml:space="preserve">The efficacy of </w:t>
      </w:r>
      <w:r w:rsidR="00387EBC" w:rsidRPr="006B2326">
        <w:rPr>
          <w:noProof/>
        </w:rPr>
        <w:t>PONVORY</w:t>
      </w:r>
      <w:r w:rsidRPr="006B2326">
        <w:rPr>
          <w:noProof/>
        </w:rPr>
        <w:t xml:space="preserve"> was </w:t>
      </w:r>
      <w:r w:rsidR="003F68A8">
        <w:rPr>
          <w:noProof/>
        </w:rPr>
        <w:t>evaluated</w:t>
      </w:r>
      <w:r w:rsidR="003F68A8" w:rsidRPr="006B2326">
        <w:rPr>
          <w:noProof/>
        </w:rPr>
        <w:t xml:space="preserve"> </w:t>
      </w:r>
      <w:r w:rsidRPr="006B2326">
        <w:rPr>
          <w:noProof/>
        </w:rPr>
        <w:t>in the Phase 3 study, OPTIMUM, a multicent</w:t>
      </w:r>
      <w:r w:rsidR="000F32B5" w:rsidRPr="006B2326">
        <w:rPr>
          <w:noProof/>
        </w:rPr>
        <w:t>re</w:t>
      </w:r>
      <w:r w:rsidRPr="006B2326">
        <w:rPr>
          <w:noProof/>
        </w:rPr>
        <w:t>, randomi</w:t>
      </w:r>
      <w:r w:rsidR="000F32B5" w:rsidRPr="006B2326">
        <w:rPr>
          <w:noProof/>
        </w:rPr>
        <w:t>s</w:t>
      </w:r>
      <w:r w:rsidRPr="006B2326">
        <w:rPr>
          <w:noProof/>
        </w:rPr>
        <w:t>ed, double blind, parallel group active controlled superiority study in patients with relapsing MS (RMS) treated for 108 weeks</w:t>
      </w:r>
      <w:r w:rsidRPr="008E1A66">
        <w:rPr>
          <w:noProof/>
        </w:rPr>
        <w:t>.</w:t>
      </w:r>
      <w:r w:rsidRPr="006B2326">
        <w:rPr>
          <w:noProof/>
        </w:rPr>
        <w:t xml:space="preserve"> The study included patients with relapsing course of MS from onset (RRMS or SPMS with superimposed relapses) and an Expanded Disability Status Scale (EDSS) score of 0 to 5.5, having experienced at least one relapse within the prior year, or two relapses within the prior two years, or having at least one gadolinium-enhancing (Gd+) lesion on a brain MRI within the prior 6 months or at baseline.</w:t>
      </w:r>
    </w:p>
    <w:p w14:paraId="44B14F9A" w14:textId="1D4B1B1B" w:rsidR="00CD6DFF" w:rsidRPr="006B2326" w:rsidRDefault="00CD6DFF" w:rsidP="004C6478">
      <w:pPr>
        <w:jc w:val="left"/>
        <w:rPr>
          <w:noProof/>
        </w:rPr>
      </w:pPr>
      <w:r w:rsidRPr="006B2326">
        <w:rPr>
          <w:noProof/>
        </w:rPr>
        <w:t xml:space="preserve">Patients were </w:t>
      </w:r>
      <w:r w:rsidR="000F32B5" w:rsidRPr="006B2326">
        <w:rPr>
          <w:noProof/>
        </w:rPr>
        <w:t>randomised</w:t>
      </w:r>
      <w:r w:rsidRPr="006B2326">
        <w:rPr>
          <w:noProof/>
        </w:rPr>
        <w:t xml:space="preserve"> to receive either once daily </w:t>
      </w:r>
      <w:r w:rsidR="00387EBC" w:rsidRPr="006B2326">
        <w:rPr>
          <w:noProof/>
        </w:rPr>
        <w:t>PONVORY</w:t>
      </w:r>
      <w:r w:rsidRPr="006B2326">
        <w:rPr>
          <w:noProof/>
        </w:rPr>
        <w:t xml:space="preserve"> or teriflunomide 14 mg, beginning with a 14</w:t>
      </w:r>
      <w:r w:rsidR="000F32B5" w:rsidRPr="006B2326">
        <w:rPr>
          <w:noProof/>
        </w:rPr>
        <w:t>-</w:t>
      </w:r>
      <w:r w:rsidRPr="006B2326">
        <w:rPr>
          <w:noProof/>
        </w:rPr>
        <w:t xml:space="preserve">day dose titration (see </w:t>
      </w:r>
      <w:r w:rsidR="002742D1" w:rsidRPr="006B2326">
        <w:rPr>
          <w:noProof/>
        </w:rPr>
        <w:t xml:space="preserve">Section </w:t>
      </w:r>
      <w:r w:rsidR="00387EBC" w:rsidRPr="006B2326">
        <w:rPr>
          <w:noProof/>
        </w:rPr>
        <w:t xml:space="preserve">4.2 Dose and Method of Administration  </w:t>
      </w:r>
      <w:r w:rsidRPr="006B2326">
        <w:rPr>
          <w:noProof/>
        </w:rPr>
        <w:t xml:space="preserve"> –Dosage</w:t>
      </w:r>
      <w:r w:rsidR="002742D1" w:rsidRPr="006B2326">
        <w:rPr>
          <w:noProof/>
        </w:rPr>
        <w:t xml:space="preserve"> (Dose and Internal)</w:t>
      </w:r>
      <w:r w:rsidRPr="006B2326">
        <w:rPr>
          <w:noProof/>
        </w:rPr>
        <w:t xml:space="preserve">). Neurological evaluations were performed every </w:t>
      </w:r>
      <w:r w:rsidR="00832C20" w:rsidRPr="006B2326">
        <w:rPr>
          <w:noProof/>
        </w:rPr>
        <w:t>12 week</w:t>
      </w:r>
      <w:r w:rsidRPr="006B2326">
        <w:rPr>
          <w:noProof/>
        </w:rPr>
        <w:t>s as well as at the time of a suspected relapse. Brain MRIs were performed at baseline and at Weeks 60 and 108.</w:t>
      </w:r>
    </w:p>
    <w:p w14:paraId="6147A461" w14:textId="26AE4975" w:rsidR="00CD6DFF" w:rsidRPr="006B2326" w:rsidRDefault="00CD6DFF" w:rsidP="004C6478">
      <w:pPr>
        <w:jc w:val="left"/>
        <w:rPr>
          <w:noProof/>
        </w:rPr>
      </w:pPr>
      <w:r w:rsidRPr="006B2326">
        <w:rPr>
          <w:noProof/>
        </w:rPr>
        <w:t xml:space="preserve">The primary endpoint of the study was the </w:t>
      </w:r>
      <w:r w:rsidR="00E2097C" w:rsidRPr="006B2326">
        <w:rPr>
          <w:noProof/>
        </w:rPr>
        <w:t>annualised</w:t>
      </w:r>
      <w:r w:rsidRPr="006B2326">
        <w:rPr>
          <w:noProof/>
        </w:rPr>
        <w:t xml:space="preserve"> relapse rate (ARR) from baseline up to end of study (EOS). The prespecified hierarchical fallback testing sequence included the primary endpoint and </w:t>
      </w:r>
      <w:r w:rsidR="00844514">
        <w:rPr>
          <w:noProof/>
        </w:rPr>
        <w:t xml:space="preserve">the </w:t>
      </w:r>
      <w:r w:rsidRPr="006B2326">
        <w:rPr>
          <w:noProof/>
        </w:rPr>
        <w:t>secondary endpoints: cumulative number of combined unique active lesions (CUAL, defined as new Gd+ T1 lesions plus new or enlarging T2 lesions [without double</w:t>
      </w:r>
      <w:r w:rsidR="000F32B5" w:rsidRPr="006B2326">
        <w:rPr>
          <w:noProof/>
        </w:rPr>
        <w:t>-</w:t>
      </w:r>
      <w:r w:rsidRPr="006B2326">
        <w:rPr>
          <w:noProof/>
        </w:rPr>
        <w:t>counting of lesions]) from baseline to Week 108; time to 12</w:t>
      </w:r>
      <w:r w:rsidR="000F32B5" w:rsidRPr="006B2326">
        <w:rPr>
          <w:noProof/>
        </w:rPr>
        <w:t>-</w:t>
      </w:r>
      <w:r w:rsidRPr="006B2326">
        <w:rPr>
          <w:noProof/>
        </w:rPr>
        <w:t>week confirmed disability accumulation (CDA) from baseline to EOS; and time to 24</w:t>
      </w:r>
      <w:r w:rsidR="005B028B">
        <w:rPr>
          <w:noProof/>
        </w:rPr>
        <w:t>-</w:t>
      </w:r>
      <w:r w:rsidRPr="006B2326">
        <w:rPr>
          <w:noProof/>
        </w:rPr>
        <w:t xml:space="preserve">week CDA from baseline to EOS. A </w:t>
      </w:r>
      <w:r w:rsidR="00832C20" w:rsidRPr="006B2326">
        <w:rPr>
          <w:noProof/>
        </w:rPr>
        <w:t>12-week</w:t>
      </w:r>
      <w:r w:rsidRPr="006B2326">
        <w:rPr>
          <w:noProof/>
        </w:rPr>
        <w:t xml:space="preserve"> CDA was defined as an increase of at least 1.5 in EDSS for subjects with a baseline EDSS score of 0 or an increase of at least 1.0 in EDSS for subjects with a baseline EDSS score of 1.0 to 5.0, or an increase of at least 0.5 in EDSS for subjects with a baseline EDSS score ≥5.5 which was confirmed after </w:t>
      </w:r>
      <w:r w:rsidR="00832C20" w:rsidRPr="006B2326">
        <w:rPr>
          <w:noProof/>
        </w:rPr>
        <w:t>12 week</w:t>
      </w:r>
      <w:r w:rsidRPr="006B2326">
        <w:rPr>
          <w:noProof/>
        </w:rPr>
        <w:t>s.</w:t>
      </w:r>
    </w:p>
    <w:p w14:paraId="147A0A7D" w14:textId="70A6E51C" w:rsidR="00CD6DFF" w:rsidRPr="006B2326" w:rsidRDefault="00CD6DFF" w:rsidP="004C6478">
      <w:pPr>
        <w:jc w:val="left"/>
        <w:rPr>
          <w:noProof/>
        </w:rPr>
      </w:pPr>
      <w:r w:rsidRPr="006B2326">
        <w:rPr>
          <w:noProof/>
        </w:rPr>
        <w:t xml:space="preserve">In OPTIMUM, 1133 patients were </w:t>
      </w:r>
      <w:r w:rsidR="000F32B5" w:rsidRPr="006B2326">
        <w:rPr>
          <w:noProof/>
        </w:rPr>
        <w:t>randomised</w:t>
      </w:r>
      <w:r w:rsidRPr="006B2326">
        <w:rPr>
          <w:noProof/>
        </w:rPr>
        <w:t xml:space="preserve"> to either </w:t>
      </w:r>
      <w:r w:rsidR="00387EBC" w:rsidRPr="006B2326">
        <w:rPr>
          <w:noProof/>
        </w:rPr>
        <w:t>PONVORY</w:t>
      </w:r>
      <w:r w:rsidRPr="006B2326">
        <w:rPr>
          <w:noProof/>
        </w:rPr>
        <w:t xml:space="preserve"> (N=567) or teriflunomide 14 mg (N=566); 86.4% of </w:t>
      </w:r>
      <w:r w:rsidR="00387EBC" w:rsidRPr="006B2326">
        <w:rPr>
          <w:noProof/>
        </w:rPr>
        <w:t>PONVORY</w:t>
      </w:r>
      <w:r w:rsidR="00B02864" w:rsidRPr="006B2326">
        <w:rPr>
          <w:noProof/>
        </w:rPr>
        <w:t>-</w:t>
      </w:r>
      <w:r w:rsidRPr="006B2326">
        <w:rPr>
          <w:noProof/>
        </w:rPr>
        <w:t>treated patients and 87.5% of teriflunomide 14 mg</w:t>
      </w:r>
      <w:r w:rsidR="00832C20" w:rsidRPr="006B2326">
        <w:rPr>
          <w:noProof/>
        </w:rPr>
        <w:t>-</w:t>
      </w:r>
      <w:r w:rsidRPr="006B2326">
        <w:rPr>
          <w:noProof/>
        </w:rPr>
        <w:t xml:space="preserve"> treated patients completed the study as per protocol. The baseline demographic and disease characteristics were balanced between the treatment groups. At baseline, the mean age of patients was 37 years</w:t>
      </w:r>
      <w:r w:rsidR="00844514">
        <w:rPr>
          <w:noProof/>
        </w:rPr>
        <w:t xml:space="preserve"> (standard deviation 8.74)</w:t>
      </w:r>
      <w:r w:rsidRPr="006B2326">
        <w:rPr>
          <w:noProof/>
        </w:rPr>
        <w:t>, 97% were white and 65% were female. The mean disease duration was 7.6 years, the mean number of relapses in the previous year was 1.3, and the mean EDSS score was 2.6; 57% of patients had not received any prior disease</w:t>
      </w:r>
      <w:r w:rsidR="00832C20" w:rsidRPr="006B2326">
        <w:rPr>
          <w:noProof/>
        </w:rPr>
        <w:t>-</w:t>
      </w:r>
      <w:r w:rsidRPr="006B2326">
        <w:rPr>
          <w:noProof/>
        </w:rPr>
        <w:t xml:space="preserve">modifying treatments </w:t>
      </w:r>
      <w:r w:rsidR="007D3987">
        <w:rPr>
          <w:noProof/>
        </w:rPr>
        <w:t xml:space="preserve">(DMT) </w:t>
      </w:r>
      <w:r w:rsidRPr="006B2326">
        <w:rPr>
          <w:noProof/>
        </w:rPr>
        <w:t xml:space="preserve">for MS. At baseline, 40% of </w:t>
      </w:r>
      <w:r w:rsidR="00387EBC" w:rsidRPr="006B2326">
        <w:rPr>
          <w:noProof/>
        </w:rPr>
        <w:t>PONVORY</w:t>
      </w:r>
      <w:r w:rsidR="00B02864" w:rsidRPr="006B2326">
        <w:rPr>
          <w:noProof/>
        </w:rPr>
        <w:t>-</w:t>
      </w:r>
      <w:r w:rsidRPr="006B2326">
        <w:rPr>
          <w:noProof/>
        </w:rPr>
        <w:t>treated patients had one or more Gd+ T1 lesions on brain MRI (mean 1.9).</w:t>
      </w:r>
    </w:p>
    <w:p w14:paraId="28F10A72" w14:textId="38AC2743" w:rsidR="00CD6DFF" w:rsidRPr="006B2326" w:rsidRDefault="00CD6DFF" w:rsidP="004C6478">
      <w:pPr>
        <w:jc w:val="left"/>
        <w:rPr>
          <w:noProof/>
        </w:rPr>
      </w:pPr>
      <w:r w:rsidRPr="006B2326">
        <w:rPr>
          <w:noProof/>
        </w:rPr>
        <w:t xml:space="preserve">Results are presented in Table 4. Analysis of patient populations with differing baseline levels of disease activity, including active and highly active disease, showed that the efficacy </w:t>
      </w:r>
      <w:r w:rsidRPr="006B2326">
        <w:rPr>
          <w:noProof/>
        </w:rPr>
        <w:lastRenderedPageBreak/>
        <w:t xml:space="preserve">of </w:t>
      </w:r>
      <w:r w:rsidR="00387EBC" w:rsidRPr="006B2326">
        <w:rPr>
          <w:noProof/>
        </w:rPr>
        <w:t>PONVORY</w:t>
      </w:r>
      <w:r w:rsidRPr="006B2326">
        <w:rPr>
          <w:noProof/>
        </w:rPr>
        <w:t xml:space="preserve"> on the primary and secondary endpoints was consistent with the overall population.</w:t>
      </w:r>
    </w:p>
    <w:p w14:paraId="5BD60358" w14:textId="2E539AE6" w:rsidR="005D7541" w:rsidRPr="006B2326" w:rsidRDefault="005D7541" w:rsidP="004C6478">
      <w:pPr>
        <w:spacing w:after="160" w:line="259" w:lineRule="auto"/>
        <w:jc w:val="left"/>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2512"/>
        <w:gridCol w:w="2662"/>
        <w:gridCol w:w="7"/>
      </w:tblGrid>
      <w:tr w:rsidR="00CD6DFF" w:rsidRPr="006B2326" w14:paraId="34F11128" w14:textId="77777777" w:rsidTr="00CD6DFF">
        <w:trPr>
          <w:gridAfter w:val="1"/>
          <w:wAfter w:w="7" w:type="dxa"/>
          <w:trHeight w:val="426"/>
        </w:trPr>
        <w:tc>
          <w:tcPr>
            <w:tcW w:w="8911" w:type="dxa"/>
            <w:gridSpan w:val="3"/>
            <w:tcBorders>
              <w:top w:val="nil"/>
              <w:left w:val="nil"/>
              <w:right w:val="nil"/>
            </w:tcBorders>
            <w:shd w:val="clear" w:color="auto" w:fill="auto"/>
            <w:vAlign w:val="center"/>
          </w:tcPr>
          <w:bookmarkEnd w:id="31"/>
          <w:p w14:paraId="2F10DCBD" w14:textId="77777777" w:rsidR="00CD6DFF" w:rsidRPr="006B2326" w:rsidRDefault="00CD6DFF" w:rsidP="004C6478">
            <w:pPr>
              <w:pStyle w:val="TableTitle"/>
              <w:ind w:left="0" w:firstLine="0"/>
              <w:jc w:val="left"/>
              <w:rPr>
                <w:rFonts w:ascii="Arial" w:hAnsi="Arial" w:cs="Arial"/>
                <w:sz w:val="22"/>
                <w:szCs w:val="22"/>
              </w:rPr>
            </w:pPr>
            <w:r w:rsidRPr="006B2326">
              <w:rPr>
                <w:rFonts w:ascii="Arial" w:hAnsi="Arial" w:cs="Arial"/>
                <w:sz w:val="22"/>
                <w:szCs w:val="22"/>
              </w:rPr>
              <w:t>Table 4:</w:t>
            </w:r>
            <w:r w:rsidRPr="006B2326">
              <w:rPr>
                <w:rFonts w:ascii="Arial" w:hAnsi="Arial" w:cs="Arial"/>
                <w:sz w:val="22"/>
                <w:szCs w:val="22"/>
              </w:rPr>
              <w:tab/>
              <w:t>OPTIMUM Study Efficacy Results</w:t>
            </w:r>
          </w:p>
        </w:tc>
      </w:tr>
      <w:tr w:rsidR="00CD6DFF" w:rsidRPr="006B2326" w14:paraId="20725D30" w14:textId="77777777" w:rsidTr="00CD6DFF">
        <w:trPr>
          <w:gridAfter w:val="1"/>
          <w:wAfter w:w="7" w:type="dxa"/>
          <w:trHeight w:val="426"/>
        </w:trPr>
        <w:tc>
          <w:tcPr>
            <w:tcW w:w="3737" w:type="dxa"/>
            <w:shd w:val="clear" w:color="auto" w:fill="auto"/>
            <w:vAlign w:val="center"/>
          </w:tcPr>
          <w:p w14:paraId="1F2C04D9" w14:textId="77777777" w:rsidR="00CD6DFF" w:rsidRPr="006B2326" w:rsidRDefault="00CD6DFF" w:rsidP="004C6478">
            <w:pPr>
              <w:tabs>
                <w:tab w:val="left" w:pos="1644"/>
              </w:tabs>
              <w:autoSpaceDE w:val="0"/>
              <w:autoSpaceDN w:val="0"/>
              <w:adjustRightInd w:val="0"/>
              <w:jc w:val="left"/>
              <w:rPr>
                <w:sz w:val="20"/>
                <w:szCs w:val="20"/>
              </w:rPr>
            </w:pPr>
          </w:p>
        </w:tc>
        <w:tc>
          <w:tcPr>
            <w:tcW w:w="2512" w:type="dxa"/>
            <w:vAlign w:val="center"/>
          </w:tcPr>
          <w:p w14:paraId="76C2C016" w14:textId="04ADD029" w:rsidR="00CD6DFF" w:rsidRPr="006B2326" w:rsidRDefault="00387EBC" w:rsidP="004C6478">
            <w:pPr>
              <w:tabs>
                <w:tab w:val="left" w:pos="1644"/>
              </w:tabs>
              <w:autoSpaceDE w:val="0"/>
              <w:autoSpaceDN w:val="0"/>
              <w:adjustRightInd w:val="0"/>
              <w:jc w:val="left"/>
              <w:rPr>
                <w:sz w:val="20"/>
                <w:szCs w:val="20"/>
              </w:rPr>
            </w:pPr>
            <w:r w:rsidRPr="006B2326">
              <w:rPr>
                <w:b/>
                <w:sz w:val="20"/>
                <w:szCs w:val="20"/>
              </w:rPr>
              <w:t>PONVORY</w:t>
            </w:r>
          </w:p>
        </w:tc>
        <w:tc>
          <w:tcPr>
            <w:tcW w:w="2662" w:type="dxa"/>
            <w:shd w:val="clear" w:color="auto" w:fill="auto"/>
            <w:vAlign w:val="center"/>
          </w:tcPr>
          <w:p w14:paraId="2850023B" w14:textId="77777777" w:rsidR="00CD6DFF" w:rsidRPr="006B2326" w:rsidRDefault="00CD6DFF" w:rsidP="004C6478">
            <w:pPr>
              <w:tabs>
                <w:tab w:val="left" w:pos="1644"/>
              </w:tabs>
              <w:autoSpaceDE w:val="0"/>
              <w:autoSpaceDN w:val="0"/>
              <w:adjustRightInd w:val="0"/>
              <w:jc w:val="left"/>
              <w:rPr>
                <w:sz w:val="20"/>
                <w:szCs w:val="20"/>
              </w:rPr>
            </w:pPr>
            <w:r w:rsidRPr="006B2326">
              <w:rPr>
                <w:b/>
                <w:sz w:val="20"/>
                <w:szCs w:val="20"/>
              </w:rPr>
              <w:t>Teriflunomide 14 mg</w:t>
            </w:r>
          </w:p>
        </w:tc>
      </w:tr>
      <w:tr w:rsidR="00CD6DFF" w:rsidRPr="006B2326" w14:paraId="6488E379" w14:textId="77777777" w:rsidTr="00CD6DFF">
        <w:trPr>
          <w:gridAfter w:val="1"/>
          <w:wAfter w:w="7" w:type="dxa"/>
          <w:trHeight w:val="287"/>
        </w:trPr>
        <w:tc>
          <w:tcPr>
            <w:tcW w:w="3737" w:type="dxa"/>
            <w:shd w:val="clear" w:color="auto" w:fill="auto"/>
            <w:vAlign w:val="center"/>
          </w:tcPr>
          <w:p w14:paraId="5E6DC66A"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Clinical Endpoint</w:t>
            </w:r>
          </w:p>
        </w:tc>
        <w:tc>
          <w:tcPr>
            <w:tcW w:w="2512" w:type="dxa"/>
            <w:vAlign w:val="center"/>
          </w:tcPr>
          <w:p w14:paraId="3461B164" w14:textId="77777777" w:rsidR="00CD6DFF" w:rsidRPr="006B2326" w:rsidRDefault="00CD6DFF" w:rsidP="004C6478">
            <w:pPr>
              <w:tabs>
                <w:tab w:val="left" w:pos="1644"/>
              </w:tabs>
              <w:autoSpaceDE w:val="0"/>
              <w:autoSpaceDN w:val="0"/>
              <w:adjustRightInd w:val="0"/>
              <w:jc w:val="left"/>
              <w:rPr>
                <w:bCs/>
                <w:sz w:val="20"/>
                <w:szCs w:val="20"/>
              </w:rPr>
            </w:pPr>
            <w:r w:rsidRPr="006B2326">
              <w:rPr>
                <w:sz w:val="20"/>
                <w:szCs w:val="20"/>
              </w:rPr>
              <w:t>N=567</w:t>
            </w:r>
          </w:p>
        </w:tc>
        <w:tc>
          <w:tcPr>
            <w:tcW w:w="2662" w:type="dxa"/>
            <w:shd w:val="clear" w:color="auto" w:fill="auto"/>
            <w:vAlign w:val="center"/>
          </w:tcPr>
          <w:p w14:paraId="22DF1DD9" w14:textId="77777777" w:rsidR="00CD6DFF" w:rsidRPr="006B2326" w:rsidRDefault="00CD6DFF" w:rsidP="004C6478">
            <w:pPr>
              <w:tabs>
                <w:tab w:val="left" w:pos="1644"/>
              </w:tabs>
              <w:autoSpaceDE w:val="0"/>
              <w:autoSpaceDN w:val="0"/>
              <w:adjustRightInd w:val="0"/>
              <w:jc w:val="left"/>
              <w:rPr>
                <w:bCs/>
                <w:sz w:val="20"/>
                <w:szCs w:val="20"/>
              </w:rPr>
            </w:pPr>
            <w:r w:rsidRPr="006B2326">
              <w:rPr>
                <w:sz w:val="20"/>
                <w:szCs w:val="20"/>
              </w:rPr>
              <w:t>N=566</w:t>
            </w:r>
          </w:p>
        </w:tc>
      </w:tr>
      <w:tr w:rsidR="007D3987" w:rsidRPr="006B2326" w14:paraId="174A8A85" w14:textId="77777777" w:rsidTr="00525454">
        <w:trPr>
          <w:gridAfter w:val="1"/>
          <w:wAfter w:w="7" w:type="dxa"/>
          <w:trHeight w:val="287"/>
        </w:trPr>
        <w:tc>
          <w:tcPr>
            <w:tcW w:w="8911" w:type="dxa"/>
            <w:gridSpan w:val="3"/>
            <w:shd w:val="clear" w:color="auto" w:fill="auto"/>
            <w:vAlign w:val="center"/>
          </w:tcPr>
          <w:p w14:paraId="566FBA4A" w14:textId="4258C6FF" w:rsidR="007D3987" w:rsidRPr="006B2326" w:rsidRDefault="007D3987" w:rsidP="004C6478">
            <w:pPr>
              <w:tabs>
                <w:tab w:val="left" w:pos="1644"/>
              </w:tabs>
              <w:autoSpaceDE w:val="0"/>
              <w:autoSpaceDN w:val="0"/>
              <w:adjustRightInd w:val="0"/>
              <w:jc w:val="left"/>
              <w:rPr>
                <w:bCs/>
                <w:sz w:val="20"/>
                <w:szCs w:val="20"/>
              </w:rPr>
            </w:pPr>
            <w:r>
              <w:rPr>
                <w:bCs/>
                <w:sz w:val="20"/>
                <w:szCs w:val="20"/>
              </w:rPr>
              <w:t>Primary endpoint</w:t>
            </w:r>
          </w:p>
        </w:tc>
      </w:tr>
      <w:tr w:rsidR="00CD6DFF" w:rsidRPr="006B2326" w14:paraId="41A36967" w14:textId="77777777" w:rsidTr="00CD6DFF">
        <w:trPr>
          <w:gridAfter w:val="1"/>
          <w:wAfter w:w="7" w:type="dxa"/>
          <w:trHeight w:val="287"/>
        </w:trPr>
        <w:tc>
          <w:tcPr>
            <w:tcW w:w="3737" w:type="dxa"/>
            <w:shd w:val="clear" w:color="auto" w:fill="auto"/>
            <w:vAlign w:val="center"/>
          </w:tcPr>
          <w:p w14:paraId="728B8A65" w14:textId="122087E7" w:rsidR="00CD6DFF" w:rsidRPr="006B2326" w:rsidRDefault="00CD6DFF" w:rsidP="004C6478">
            <w:pPr>
              <w:tabs>
                <w:tab w:val="left" w:pos="1644"/>
              </w:tabs>
              <w:autoSpaceDE w:val="0"/>
              <w:autoSpaceDN w:val="0"/>
              <w:adjustRightInd w:val="0"/>
              <w:ind w:left="256"/>
              <w:jc w:val="left"/>
              <w:rPr>
                <w:sz w:val="20"/>
                <w:szCs w:val="20"/>
              </w:rPr>
            </w:pPr>
            <w:r w:rsidRPr="006B2326">
              <w:rPr>
                <w:sz w:val="20"/>
                <w:szCs w:val="20"/>
              </w:rPr>
              <w:t xml:space="preserve">Mean </w:t>
            </w:r>
            <w:proofErr w:type="spellStart"/>
            <w:r w:rsidR="00E2097C" w:rsidRPr="006B2326">
              <w:rPr>
                <w:sz w:val="20"/>
                <w:szCs w:val="20"/>
              </w:rPr>
              <w:t>Annualised</w:t>
            </w:r>
            <w:proofErr w:type="spellEnd"/>
            <w:r w:rsidRPr="006B2326">
              <w:rPr>
                <w:sz w:val="20"/>
                <w:szCs w:val="20"/>
              </w:rPr>
              <w:t xml:space="preserve"> Relapse </w:t>
            </w:r>
            <w:proofErr w:type="spellStart"/>
            <w:r w:rsidRPr="006B2326">
              <w:rPr>
                <w:sz w:val="20"/>
                <w:szCs w:val="20"/>
              </w:rPr>
              <w:t>Rate</w:t>
            </w:r>
            <w:r w:rsidRPr="006B2326">
              <w:rPr>
                <w:sz w:val="20"/>
                <w:szCs w:val="20"/>
                <w:vertAlign w:val="superscript"/>
              </w:rPr>
              <w:t>a</w:t>
            </w:r>
            <w:proofErr w:type="spellEnd"/>
          </w:p>
        </w:tc>
        <w:tc>
          <w:tcPr>
            <w:tcW w:w="2512" w:type="dxa"/>
            <w:vAlign w:val="center"/>
          </w:tcPr>
          <w:p w14:paraId="6E49450B" w14:textId="77777777" w:rsidR="00CD6DFF" w:rsidRPr="006B2326" w:rsidRDefault="00CD6DFF" w:rsidP="004C6478">
            <w:pPr>
              <w:tabs>
                <w:tab w:val="left" w:pos="1644"/>
              </w:tabs>
              <w:autoSpaceDE w:val="0"/>
              <w:autoSpaceDN w:val="0"/>
              <w:adjustRightInd w:val="0"/>
              <w:jc w:val="left"/>
              <w:rPr>
                <w:sz w:val="20"/>
                <w:szCs w:val="20"/>
              </w:rPr>
            </w:pPr>
            <w:r w:rsidRPr="006B2326">
              <w:rPr>
                <w:bCs/>
                <w:sz w:val="20"/>
                <w:szCs w:val="20"/>
              </w:rPr>
              <w:t>0.202</w:t>
            </w:r>
          </w:p>
        </w:tc>
        <w:tc>
          <w:tcPr>
            <w:tcW w:w="2662" w:type="dxa"/>
            <w:shd w:val="clear" w:color="auto" w:fill="auto"/>
            <w:vAlign w:val="center"/>
          </w:tcPr>
          <w:p w14:paraId="0BEA96AF" w14:textId="77777777" w:rsidR="00CD6DFF" w:rsidRPr="006B2326" w:rsidRDefault="00CD6DFF" w:rsidP="004C6478">
            <w:pPr>
              <w:tabs>
                <w:tab w:val="left" w:pos="1644"/>
              </w:tabs>
              <w:autoSpaceDE w:val="0"/>
              <w:autoSpaceDN w:val="0"/>
              <w:adjustRightInd w:val="0"/>
              <w:jc w:val="left"/>
              <w:rPr>
                <w:sz w:val="20"/>
                <w:szCs w:val="20"/>
              </w:rPr>
            </w:pPr>
            <w:r w:rsidRPr="006B2326">
              <w:rPr>
                <w:bCs/>
                <w:sz w:val="20"/>
                <w:szCs w:val="20"/>
              </w:rPr>
              <w:t>0.290</w:t>
            </w:r>
          </w:p>
        </w:tc>
      </w:tr>
      <w:tr w:rsidR="00CD6DFF" w:rsidRPr="006B2326" w14:paraId="59289664" w14:textId="77777777" w:rsidTr="00CD6DFF">
        <w:trPr>
          <w:trHeight w:val="287"/>
        </w:trPr>
        <w:tc>
          <w:tcPr>
            <w:tcW w:w="3737" w:type="dxa"/>
            <w:shd w:val="clear" w:color="auto" w:fill="auto"/>
            <w:vAlign w:val="center"/>
          </w:tcPr>
          <w:p w14:paraId="350F663E" w14:textId="77777777" w:rsidR="00CD6DFF" w:rsidRPr="006B2326" w:rsidRDefault="00CD6DFF" w:rsidP="004C6478">
            <w:pPr>
              <w:tabs>
                <w:tab w:val="left" w:pos="1644"/>
              </w:tabs>
              <w:autoSpaceDE w:val="0"/>
              <w:autoSpaceDN w:val="0"/>
              <w:adjustRightInd w:val="0"/>
              <w:ind w:left="256"/>
              <w:jc w:val="left"/>
              <w:rPr>
                <w:sz w:val="20"/>
                <w:szCs w:val="20"/>
              </w:rPr>
            </w:pPr>
            <w:r w:rsidRPr="006B2326">
              <w:rPr>
                <w:sz w:val="20"/>
                <w:szCs w:val="20"/>
              </w:rPr>
              <w:t>Relative ARR reduction</w:t>
            </w:r>
          </w:p>
        </w:tc>
        <w:tc>
          <w:tcPr>
            <w:tcW w:w="5181" w:type="dxa"/>
            <w:gridSpan w:val="3"/>
            <w:vAlign w:val="center"/>
          </w:tcPr>
          <w:p w14:paraId="52DC57EC" w14:textId="77777777" w:rsidR="00CD6DFF" w:rsidRDefault="00CD6DFF" w:rsidP="004C6478">
            <w:pPr>
              <w:tabs>
                <w:tab w:val="left" w:pos="1644"/>
              </w:tabs>
              <w:autoSpaceDE w:val="0"/>
              <w:autoSpaceDN w:val="0"/>
              <w:adjustRightInd w:val="0"/>
              <w:jc w:val="left"/>
              <w:rPr>
                <w:bCs/>
                <w:sz w:val="20"/>
                <w:szCs w:val="20"/>
                <w:vertAlign w:val="superscript"/>
              </w:rPr>
            </w:pPr>
            <w:r w:rsidRPr="006B2326">
              <w:rPr>
                <w:bCs/>
                <w:sz w:val="20"/>
                <w:szCs w:val="20"/>
              </w:rPr>
              <w:t>30.5% (p=0.</w:t>
            </w:r>
            <w:proofErr w:type="gramStart"/>
            <w:r w:rsidRPr="006B2326">
              <w:rPr>
                <w:bCs/>
                <w:sz w:val="20"/>
                <w:szCs w:val="20"/>
              </w:rPr>
              <w:t>0003)</w:t>
            </w:r>
            <w:r w:rsidRPr="006B2326">
              <w:rPr>
                <w:bCs/>
                <w:sz w:val="20"/>
                <w:szCs w:val="20"/>
                <w:vertAlign w:val="superscript"/>
              </w:rPr>
              <w:t>*</w:t>
            </w:r>
            <w:proofErr w:type="gramEnd"/>
          </w:p>
          <w:p w14:paraId="2AD2197D" w14:textId="673CC210" w:rsidR="003F68A8" w:rsidRPr="006B2326" w:rsidRDefault="003F68A8" w:rsidP="004C6478">
            <w:pPr>
              <w:tabs>
                <w:tab w:val="left" w:pos="1644"/>
              </w:tabs>
              <w:autoSpaceDE w:val="0"/>
              <w:autoSpaceDN w:val="0"/>
              <w:adjustRightInd w:val="0"/>
              <w:jc w:val="left"/>
              <w:rPr>
                <w:sz w:val="20"/>
                <w:szCs w:val="20"/>
              </w:rPr>
            </w:pPr>
            <w:r>
              <w:rPr>
                <w:iCs/>
                <w:sz w:val="20"/>
                <w:szCs w:val="20"/>
              </w:rPr>
              <w:t>(95%CLs: 15.2%, 43.0%)</w:t>
            </w:r>
          </w:p>
        </w:tc>
      </w:tr>
      <w:tr w:rsidR="00CD6DFF" w:rsidRPr="006B2326" w14:paraId="52881C3D" w14:textId="77777777" w:rsidTr="00CD6DFF">
        <w:trPr>
          <w:gridAfter w:val="1"/>
          <w:wAfter w:w="7" w:type="dxa"/>
          <w:trHeight w:val="287"/>
        </w:trPr>
        <w:tc>
          <w:tcPr>
            <w:tcW w:w="3737" w:type="dxa"/>
            <w:shd w:val="clear" w:color="auto" w:fill="auto"/>
            <w:vAlign w:val="center"/>
          </w:tcPr>
          <w:p w14:paraId="051E6D32" w14:textId="77777777" w:rsidR="00CD6DFF" w:rsidRPr="006B2326" w:rsidRDefault="00CD6DFF" w:rsidP="004C6478">
            <w:pPr>
              <w:tabs>
                <w:tab w:val="left" w:pos="1644"/>
              </w:tabs>
              <w:autoSpaceDE w:val="0"/>
              <w:autoSpaceDN w:val="0"/>
              <w:adjustRightInd w:val="0"/>
              <w:ind w:left="255"/>
              <w:jc w:val="left"/>
              <w:rPr>
                <w:sz w:val="20"/>
                <w:szCs w:val="20"/>
              </w:rPr>
            </w:pPr>
            <w:r w:rsidRPr="006B2326">
              <w:rPr>
                <w:sz w:val="20"/>
                <w:szCs w:val="20"/>
              </w:rPr>
              <w:t>Patients with at least one confirmed relapse</w:t>
            </w:r>
          </w:p>
        </w:tc>
        <w:tc>
          <w:tcPr>
            <w:tcW w:w="2512" w:type="dxa"/>
            <w:vAlign w:val="center"/>
          </w:tcPr>
          <w:p w14:paraId="7B4FDC18" w14:textId="77777777" w:rsidR="00CD6DFF" w:rsidRPr="006B2326" w:rsidRDefault="00CD6DFF" w:rsidP="004C6478">
            <w:pPr>
              <w:tabs>
                <w:tab w:val="left" w:pos="1644"/>
              </w:tabs>
              <w:autoSpaceDE w:val="0"/>
              <w:autoSpaceDN w:val="0"/>
              <w:adjustRightInd w:val="0"/>
              <w:jc w:val="left"/>
              <w:rPr>
                <w:b/>
                <w:sz w:val="20"/>
                <w:szCs w:val="20"/>
              </w:rPr>
            </w:pPr>
            <w:r w:rsidRPr="006B2326">
              <w:rPr>
                <w:bCs/>
                <w:sz w:val="20"/>
                <w:szCs w:val="20"/>
              </w:rPr>
              <w:t>29.3%</w:t>
            </w:r>
          </w:p>
        </w:tc>
        <w:tc>
          <w:tcPr>
            <w:tcW w:w="2662" w:type="dxa"/>
            <w:shd w:val="clear" w:color="auto" w:fill="auto"/>
            <w:vAlign w:val="center"/>
          </w:tcPr>
          <w:p w14:paraId="41BB891E" w14:textId="77777777" w:rsidR="00CD6DFF" w:rsidRPr="006B2326" w:rsidRDefault="00CD6DFF" w:rsidP="004C6478">
            <w:pPr>
              <w:tabs>
                <w:tab w:val="left" w:pos="1644"/>
              </w:tabs>
              <w:autoSpaceDE w:val="0"/>
              <w:autoSpaceDN w:val="0"/>
              <w:adjustRightInd w:val="0"/>
              <w:jc w:val="left"/>
              <w:rPr>
                <w:b/>
                <w:sz w:val="20"/>
                <w:szCs w:val="20"/>
              </w:rPr>
            </w:pPr>
            <w:r w:rsidRPr="006B2326">
              <w:rPr>
                <w:bCs/>
                <w:sz w:val="20"/>
                <w:szCs w:val="20"/>
              </w:rPr>
              <w:t>39.4%</w:t>
            </w:r>
          </w:p>
        </w:tc>
      </w:tr>
      <w:tr w:rsidR="00CD6DFF" w:rsidRPr="006B2326" w14:paraId="642B2974" w14:textId="77777777" w:rsidTr="00CD6DFF">
        <w:trPr>
          <w:gridAfter w:val="1"/>
          <w:wAfter w:w="7" w:type="dxa"/>
          <w:trHeight w:val="287"/>
        </w:trPr>
        <w:tc>
          <w:tcPr>
            <w:tcW w:w="8911" w:type="dxa"/>
            <w:gridSpan w:val="3"/>
            <w:shd w:val="clear" w:color="auto" w:fill="auto"/>
            <w:vAlign w:val="center"/>
          </w:tcPr>
          <w:p w14:paraId="4AB02FEB" w14:textId="77777777" w:rsidR="00CD6DFF" w:rsidRPr="006B2326" w:rsidRDefault="00CD6DFF" w:rsidP="004C6478">
            <w:pPr>
              <w:tabs>
                <w:tab w:val="left" w:pos="1644"/>
              </w:tabs>
              <w:autoSpaceDE w:val="0"/>
              <w:autoSpaceDN w:val="0"/>
              <w:adjustRightInd w:val="0"/>
              <w:jc w:val="left"/>
              <w:rPr>
                <w:b/>
                <w:sz w:val="20"/>
                <w:szCs w:val="20"/>
              </w:rPr>
            </w:pPr>
          </w:p>
        </w:tc>
      </w:tr>
      <w:tr w:rsidR="007D3987" w:rsidRPr="006B2326" w14:paraId="784436B4" w14:textId="77777777" w:rsidTr="00CD6DFF">
        <w:trPr>
          <w:gridAfter w:val="1"/>
          <w:wAfter w:w="7" w:type="dxa"/>
          <w:trHeight w:val="287"/>
        </w:trPr>
        <w:tc>
          <w:tcPr>
            <w:tcW w:w="8911" w:type="dxa"/>
            <w:gridSpan w:val="3"/>
            <w:shd w:val="clear" w:color="auto" w:fill="auto"/>
            <w:vAlign w:val="center"/>
          </w:tcPr>
          <w:p w14:paraId="4CB5DF4C" w14:textId="062707C6" w:rsidR="007D3987" w:rsidRPr="007D3987" w:rsidRDefault="007D3987" w:rsidP="004C6478">
            <w:pPr>
              <w:tabs>
                <w:tab w:val="left" w:pos="1644"/>
              </w:tabs>
              <w:autoSpaceDE w:val="0"/>
              <w:autoSpaceDN w:val="0"/>
              <w:adjustRightInd w:val="0"/>
              <w:jc w:val="left"/>
              <w:rPr>
                <w:bCs/>
                <w:sz w:val="20"/>
                <w:szCs w:val="20"/>
              </w:rPr>
            </w:pPr>
            <w:r w:rsidRPr="007D3987">
              <w:rPr>
                <w:bCs/>
                <w:sz w:val="20"/>
                <w:szCs w:val="20"/>
              </w:rPr>
              <w:t>Secondary endpoints</w:t>
            </w:r>
          </w:p>
        </w:tc>
      </w:tr>
      <w:tr w:rsidR="007D3987" w:rsidRPr="006B2326" w14:paraId="34503D96" w14:textId="77777777" w:rsidTr="00526105">
        <w:trPr>
          <w:gridAfter w:val="1"/>
          <w:wAfter w:w="7" w:type="dxa"/>
          <w:trHeight w:val="287"/>
        </w:trPr>
        <w:tc>
          <w:tcPr>
            <w:tcW w:w="3737" w:type="dxa"/>
            <w:shd w:val="clear" w:color="auto" w:fill="auto"/>
            <w:vAlign w:val="center"/>
          </w:tcPr>
          <w:p w14:paraId="12043EC0" w14:textId="1F95DE89" w:rsidR="007D3987" w:rsidRPr="006B2326" w:rsidRDefault="007D3987" w:rsidP="004C6478">
            <w:pPr>
              <w:tabs>
                <w:tab w:val="left" w:pos="1644"/>
              </w:tabs>
              <w:autoSpaceDE w:val="0"/>
              <w:autoSpaceDN w:val="0"/>
              <w:adjustRightInd w:val="0"/>
              <w:jc w:val="left"/>
              <w:rPr>
                <w:sz w:val="20"/>
                <w:szCs w:val="20"/>
              </w:rPr>
            </w:pPr>
            <w:r w:rsidRPr="006B2326">
              <w:rPr>
                <w:sz w:val="20"/>
                <w:szCs w:val="20"/>
              </w:rPr>
              <w:t>Confirmed Disability Accumulation (CDA)</w:t>
            </w:r>
            <w:r>
              <w:rPr>
                <w:sz w:val="20"/>
                <w:szCs w:val="20"/>
                <w:vertAlign w:val="superscript"/>
              </w:rPr>
              <w:t>b</w:t>
            </w:r>
          </w:p>
        </w:tc>
        <w:tc>
          <w:tcPr>
            <w:tcW w:w="2512" w:type="dxa"/>
            <w:vAlign w:val="center"/>
          </w:tcPr>
          <w:p w14:paraId="47E801D9" w14:textId="77777777" w:rsidR="007D3987" w:rsidRPr="006B2326" w:rsidRDefault="007D3987" w:rsidP="004C6478">
            <w:pPr>
              <w:tabs>
                <w:tab w:val="left" w:pos="1644"/>
              </w:tabs>
              <w:autoSpaceDE w:val="0"/>
              <w:autoSpaceDN w:val="0"/>
              <w:adjustRightInd w:val="0"/>
              <w:jc w:val="left"/>
              <w:rPr>
                <w:bCs/>
                <w:sz w:val="20"/>
                <w:szCs w:val="20"/>
              </w:rPr>
            </w:pPr>
            <w:r w:rsidRPr="006B2326">
              <w:rPr>
                <w:bCs/>
                <w:sz w:val="20"/>
                <w:szCs w:val="20"/>
              </w:rPr>
              <w:t>N=567</w:t>
            </w:r>
          </w:p>
        </w:tc>
        <w:tc>
          <w:tcPr>
            <w:tcW w:w="2662" w:type="dxa"/>
            <w:shd w:val="clear" w:color="auto" w:fill="auto"/>
            <w:vAlign w:val="center"/>
          </w:tcPr>
          <w:p w14:paraId="2A9BC138" w14:textId="77777777" w:rsidR="007D3987" w:rsidRPr="006B2326" w:rsidRDefault="007D3987" w:rsidP="004C6478">
            <w:pPr>
              <w:tabs>
                <w:tab w:val="left" w:pos="1644"/>
              </w:tabs>
              <w:autoSpaceDE w:val="0"/>
              <w:autoSpaceDN w:val="0"/>
              <w:adjustRightInd w:val="0"/>
              <w:jc w:val="left"/>
              <w:rPr>
                <w:sz w:val="20"/>
                <w:szCs w:val="20"/>
              </w:rPr>
            </w:pPr>
            <w:r w:rsidRPr="006B2326">
              <w:rPr>
                <w:sz w:val="20"/>
                <w:szCs w:val="20"/>
              </w:rPr>
              <w:t>N=566</w:t>
            </w:r>
          </w:p>
        </w:tc>
      </w:tr>
      <w:tr w:rsidR="007D3987" w:rsidRPr="006B2326" w14:paraId="55D25A51" w14:textId="77777777" w:rsidTr="00526105">
        <w:trPr>
          <w:gridAfter w:val="1"/>
          <w:wAfter w:w="7" w:type="dxa"/>
          <w:trHeight w:val="287"/>
        </w:trPr>
        <w:tc>
          <w:tcPr>
            <w:tcW w:w="3737" w:type="dxa"/>
            <w:shd w:val="clear" w:color="auto" w:fill="auto"/>
            <w:vAlign w:val="center"/>
          </w:tcPr>
          <w:p w14:paraId="05577ED5" w14:textId="7B58FE94" w:rsidR="007D3987" w:rsidRPr="006B2326" w:rsidRDefault="007D3987" w:rsidP="004C6478">
            <w:pPr>
              <w:tabs>
                <w:tab w:val="left" w:pos="1644"/>
              </w:tabs>
              <w:autoSpaceDE w:val="0"/>
              <w:autoSpaceDN w:val="0"/>
              <w:adjustRightInd w:val="0"/>
              <w:ind w:left="256"/>
              <w:jc w:val="left"/>
              <w:rPr>
                <w:i/>
                <w:sz w:val="20"/>
                <w:szCs w:val="20"/>
              </w:rPr>
            </w:pPr>
            <w:proofErr w:type="spellStart"/>
            <w:r w:rsidRPr="006B2326">
              <w:rPr>
                <w:sz w:val="20"/>
                <w:szCs w:val="20"/>
              </w:rPr>
              <w:t>Patients</w:t>
            </w:r>
            <w:r>
              <w:rPr>
                <w:sz w:val="20"/>
                <w:szCs w:val="20"/>
                <w:vertAlign w:val="superscript"/>
              </w:rPr>
              <w:t>b</w:t>
            </w:r>
            <w:proofErr w:type="spellEnd"/>
            <w:r w:rsidRPr="006B2326">
              <w:rPr>
                <w:sz w:val="20"/>
                <w:szCs w:val="20"/>
              </w:rPr>
              <w:t xml:space="preserve"> with first 12</w:t>
            </w:r>
            <w:r w:rsidRPr="006B2326">
              <w:rPr>
                <w:sz w:val="20"/>
                <w:szCs w:val="20"/>
              </w:rPr>
              <w:noBreakHyphen/>
              <w:t>week CDA</w:t>
            </w:r>
          </w:p>
        </w:tc>
        <w:tc>
          <w:tcPr>
            <w:tcW w:w="2512" w:type="dxa"/>
            <w:vAlign w:val="center"/>
          </w:tcPr>
          <w:p w14:paraId="08A974F8" w14:textId="77777777" w:rsidR="007D3987" w:rsidRPr="006B2326" w:rsidRDefault="007D3987" w:rsidP="004C6478">
            <w:pPr>
              <w:tabs>
                <w:tab w:val="left" w:pos="1644"/>
              </w:tabs>
              <w:autoSpaceDE w:val="0"/>
              <w:autoSpaceDN w:val="0"/>
              <w:adjustRightInd w:val="0"/>
              <w:jc w:val="left"/>
              <w:rPr>
                <w:sz w:val="20"/>
                <w:szCs w:val="20"/>
              </w:rPr>
            </w:pPr>
            <w:r w:rsidRPr="006B2326">
              <w:rPr>
                <w:bCs/>
                <w:sz w:val="20"/>
                <w:szCs w:val="20"/>
              </w:rPr>
              <w:t>10.8%</w:t>
            </w:r>
          </w:p>
        </w:tc>
        <w:tc>
          <w:tcPr>
            <w:tcW w:w="2662" w:type="dxa"/>
            <w:shd w:val="clear" w:color="auto" w:fill="auto"/>
            <w:vAlign w:val="center"/>
          </w:tcPr>
          <w:p w14:paraId="67F8FB6C" w14:textId="77777777" w:rsidR="007D3987" w:rsidRPr="006B2326" w:rsidRDefault="007D3987" w:rsidP="004C6478">
            <w:pPr>
              <w:tabs>
                <w:tab w:val="left" w:pos="1644"/>
              </w:tabs>
              <w:autoSpaceDE w:val="0"/>
              <w:autoSpaceDN w:val="0"/>
              <w:adjustRightInd w:val="0"/>
              <w:jc w:val="left"/>
              <w:rPr>
                <w:sz w:val="20"/>
                <w:szCs w:val="20"/>
              </w:rPr>
            </w:pPr>
            <w:r w:rsidRPr="006B2326">
              <w:rPr>
                <w:sz w:val="20"/>
                <w:szCs w:val="20"/>
              </w:rPr>
              <w:t>13.2%</w:t>
            </w:r>
          </w:p>
        </w:tc>
      </w:tr>
      <w:tr w:rsidR="007D3987" w:rsidRPr="006B2326" w14:paraId="3DFB58A3" w14:textId="77777777" w:rsidTr="00526105">
        <w:trPr>
          <w:trHeight w:val="287"/>
        </w:trPr>
        <w:tc>
          <w:tcPr>
            <w:tcW w:w="3737" w:type="dxa"/>
            <w:shd w:val="clear" w:color="auto" w:fill="auto"/>
            <w:vAlign w:val="center"/>
          </w:tcPr>
          <w:p w14:paraId="01DFA77A" w14:textId="3BB9BD89" w:rsidR="007D3987" w:rsidRPr="006B2326" w:rsidRDefault="007D3987" w:rsidP="004C6478">
            <w:pPr>
              <w:tabs>
                <w:tab w:val="left" w:pos="1644"/>
              </w:tabs>
              <w:autoSpaceDE w:val="0"/>
              <w:autoSpaceDN w:val="0"/>
              <w:adjustRightInd w:val="0"/>
              <w:ind w:left="256"/>
              <w:jc w:val="left"/>
              <w:rPr>
                <w:sz w:val="20"/>
                <w:szCs w:val="20"/>
              </w:rPr>
            </w:pPr>
            <w:r w:rsidRPr="006B2326">
              <w:rPr>
                <w:sz w:val="20"/>
                <w:szCs w:val="20"/>
              </w:rPr>
              <w:t xml:space="preserve">Relative risk </w:t>
            </w:r>
            <w:proofErr w:type="spellStart"/>
            <w:r w:rsidRPr="006B2326">
              <w:rPr>
                <w:sz w:val="20"/>
                <w:szCs w:val="20"/>
              </w:rPr>
              <w:t>reduction</w:t>
            </w:r>
            <w:r>
              <w:rPr>
                <w:sz w:val="20"/>
                <w:szCs w:val="20"/>
                <w:vertAlign w:val="superscript"/>
              </w:rPr>
              <w:t>c</w:t>
            </w:r>
            <w:proofErr w:type="spellEnd"/>
          </w:p>
        </w:tc>
        <w:tc>
          <w:tcPr>
            <w:tcW w:w="5181" w:type="dxa"/>
            <w:gridSpan w:val="3"/>
            <w:vAlign w:val="center"/>
          </w:tcPr>
          <w:p w14:paraId="45A8C5A1" w14:textId="77777777" w:rsidR="007D3987" w:rsidRDefault="007D3987" w:rsidP="004C6478">
            <w:pPr>
              <w:autoSpaceDE w:val="0"/>
              <w:autoSpaceDN w:val="0"/>
              <w:adjustRightInd w:val="0"/>
              <w:jc w:val="left"/>
              <w:rPr>
                <w:iCs/>
                <w:sz w:val="20"/>
                <w:szCs w:val="20"/>
              </w:rPr>
            </w:pPr>
            <w:r w:rsidRPr="006B2326">
              <w:rPr>
                <w:iCs/>
                <w:sz w:val="20"/>
                <w:szCs w:val="20"/>
              </w:rPr>
              <w:t xml:space="preserve">17% (p = </w:t>
            </w:r>
            <w:r w:rsidR="00C87491">
              <w:rPr>
                <w:iCs/>
                <w:sz w:val="20"/>
                <w:szCs w:val="20"/>
              </w:rPr>
              <w:t>0.2939</w:t>
            </w:r>
            <w:r w:rsidRPr="006B2326">
              <w:rPr>
                <w:iCs/>
                <w:sz w:val="20"/>
                <w:szCs w:val="20"/>
              </w:rPr>
              <w:t>)</w:t>
            </w:r>
          </w:p>
          <w:p w14:paraId="7C28A2D2" w14:textId="15447703" w:rsidR="00C87491" w:rsidRPr="006B2326" w:rsidRDefault="00C87491" w:rsidP="004C6478">
            <w:pPr>
              <w:autoSpaceDE w:val="0"/>
              <w:autoSpaceDN w:val="0"/>
              <w:adjustRightInd w:val="0"/>
              <w:jc w:val="left"/>
              <w:rPr>
                <w:sz w:val="20"/>
                <w:szCs w:val="20"/>
              </w:rPr>
            </w:pPr>
            <w:r>
              <w:rPr>
                <w:iCs/>
                <w:sz w:val="20"/>
                <w:szCs w:val="20"/>
              </w:rPr>
              <w:t>(95%CLs: -18%, 42%)</w:t>
            </w:r>
          </w:p>
        </w:tc>
      </w:tr>
      <w:tr w:rsidR="007D3987" w:rsidRPr="006B2326" w14:paraId="4B8243D0" w14:textId="77777777" w:rsidTr="00526105">
        <w:trPr>
          <w:gridAfter w:val="1"/>
          <w:wAfter w:w="7" w:type="dxa"/>
          <w:trHeight w:val="287"/>
        </w:trPr>
        <w:tc>
          <w:tcPr>
            <w:tcW w:w="3737" w:type="dxa"/>
            <w:shd w:val="clear" w:color="auto" w:fill="auto"/>
            <w:vAlign w:val="center"/>
          </w:tcPr>
          <w:p w14:paraId="6E8449D7" w14:textId="4EA057F7" w:rsidR="007D3987" w:rsidRPr="006B2326" w:rsidRDefault="007D3987" w:rsidP="004C6478">
            <w:pPr>
              <w:tabs>
                <w:tab w:val="left" w:pos="1644"/>
              </w:tabs>
              <w:autoSpaceDE w:val="0"/>
              <w:autoSpaceDN w:val="0"/>
              <w:adjustRightInd w:val="0"/>
              <w:ind w:left="256"/>
              <w:jc w:val="left"/>
              <w:rPr>
                <w:i/>
                <w:sz w:val="20"/>
                <w:szCs w:val="20"/>
              </w:rPr>
            </w:pPr>
            <w:proofErr w:type="spellStart"/>
            <w:r w:rsidRPr="006B2326">
              <w:rPr>
                <w:sz w:val="20"/>
                <w:szCs w:val="20"/>
              </w:rPr>
              <w:t>Patients</w:t>
            </w:r>
            <w:r>
              <w:rPr>
                <w:sz w:val="20"/>
                <w:szCs w:val="20"/>
                <w:vertAlign w:val="superscript"/>
              </w:rPr>
              <w:t>b</w:t>
            </w:r>
            <w:proofErr w:type="spellEnd"/>
            <w:r>
              <w:rPr>
                <w:sz w:val="20"/>
                <w:szCs w:val="20"/>
                <w:vertAlign w:val="superscript"/>
              </w:rPr>
              <w:t xml:space="preserve"> </w:t>
            </w:r>
            <w:r w:rsidRPr="006B2326">
              <w:rPr>
                <w:sz w:val="20"/>
                <w:szCs w:val="20"/>
              </w:rPr>
              <w:t>with first 24</w:t>
            </w:r>
            <w:r w:rsidRPr="006B2326">
              <w:rPr>
                <w:sz w:val="20"/>
                <w:szCs w:val="20"/>
              </w:rPr>
              <w:noBreakHyphen/>
              <w:t>week CDA</w:t>
            </w:r>
          </w:p>
        </w:tc>
        <w:tc>
          <w:tcPr>
            <w:tcW w:w="2512" w:type="dxa"/>
            <w:vAlign w:val="center"/>
          </w:tcPr>
          <w:p w14:paraId="6411BB22" w14:textId="77777777" w:rsidR="007D3987" w:rsidRPr="006B2326" w:rsidRDefault="007D3987" w:rsidP="004C6478">
            <w:pPr>
              <w:tabs>
                <w:tab w:val="left" w:pos="1644"/>
              </w:tabs>
              <w:autoSpaceDE w:val="0"/>
              <w:autoSpaceDN w:val="0"/>
              <w:adjustRightInd w:val="0"/>
              <w:jc w:val="left"/>
              <w:rPr>
                <w:sz w:val="20"/>
                <w:szCs w:val="20"/>
              </w:rPr>
            </w:pPr>
            <w:r w:rsidRPr="006B2326">
              <w:rPr>
                <w:sz w:val="20"/>
                <w:szCs w:val="20"/>
              </w:rPr>
              <w:t>8.7%</w:t>
            </w:r>
          </w:p>
        </w:tc>
        <w:tc>
          <w:tcPr>
            <w:tcW w:w="2662" w:type="dxa"/>
            <w:shd w:val="clear" w:color="auto" w:fill="auto"/>
            <w:vAlign w:val="center"/>
          </w:tcPr>
          <w:p w14:paraId="1744F546" w14:textId="77777777" w:rsidR="007D3987" w:rsidRPr="006B2326" w:rsidRDefault="007D3987" w:rsidP="004C6478">
            <w:pPr>
              <w:tabs>
                <w:tab w:val="left" w:pos="1644"/>
              </w:tabs>
              <w:autoSpaceDE w:val="0"/>
              <w:autoSpaceDN w:val="0"/>
              <w:adjustRightInd w:val="0"/>
              <w:jc w:val="left"/>
              <w:rPr>
                <w:sz w:val="20"/>
                <w:szCs w:val="20"/>
              </w:rPr>
            </w:pPr>
            <w:r w:rsidRPr="006B2326">
              <w:rPr>
                <w:sz w:val="20"/>
                <w:szCs w:val="20"/>
              </w:rPr>
              <w:t>10.5%</w:t>
            </w:r>
          </w:p>
        </w:tc>
      </w:tr>
      <w:tr w:rsidR="007D3987" w:rsidRPr="006B2326" w14:paraId="1D2C5598" w14:textId="77777777" w:rsidTr="00526105">
        <w:trPr>
          <w:trHeight w:val="287"/>
        </w:trPr>
        <w:tc>
          <w:tcPr>
            <w:tcW w:w="3737" w:type="dxa"/>
            <w:tcBorders>
              <w:bottom w:val="single" w:sz="4" w:space="0" w:color="auto"/>
            </w:tcBorders>
            <w:shd w:val="clear" w:color="auto" w:fill="auto"/>
            <w:vAlign w:val="center"/>
          </w:tcPr>
          <w:p w14:paraId="5F70640B" w14:textId="689D65AA" w:rsidR="007D3987" w:rsidRPr="006B2326" w:rsidRDefault="007D3987" w:rsidP="004C6478">
            <w:pPr>
              <w:tabs>
                <w:tab w:val="left" w:pos="1644"/>
              </w:tabs>
              <w:autoSpaceDE w:val="0"/>
              <w:autoSpaceDN w:val="0"/>
              <w:adjustRightInd w:val="0"/>
              <w:ind w:left="256"/>
              <w:jc w:val="left"/>
              <w:rPr>
                <w:sz w:val="20"/>
                <w:szCs w:val="20"/>
              </w:rPr>
            </w:pPr>
            <w:r w:rsidRPr="006B2326">
              <w:rPr>
                <w:sz w:val="20"/>
                <w:szCs w:val="20"/>
              </w:rPr>
              <w:t xml:space="preserve">Relative risk </w:t>
            </w:r>
            <w:proofErr w:type="spellStart"/>
            <w:r w:rsidRPr="006B2326">
              <w:rPr>
                <w:sz w:val="20"/>
                <w:szCs w:val="20"/>
              </w:rPr>
              <w:t>reduction</w:t>
            </w:r>
            <w:r>
              <w:rPr>
                <w:sz w:val="20"/>
                <w:szCs w:val="20"/>
                <w:vertAlign w:val="superscript"/>
              </w:rPr>
              <w:t>c</w:t>
            </w:r>
            <w:proofErr w:type="spellEnd"/>
          </w:p>
        </w:tc>
        <w:tc>
          <w:tcPr>
            <w:tcW w:w="5181" w:type="dxa"/>
            <w:gridSpan w:val="3"/>
            <w:tcBorders>
              <w:bottom w:val="single" w:sz="4" w:space="0" w:color="auto"/>
            </w:tcBorders>
            <w:vAlign w:val="center"/>
          </w:tcPr>
          <w:p w14:paraId="5896E551" w14:textId="77777777" w:rsidR="007D3987" w:rsidRDefault="007D3987" w:rsidP="004C6478">
            <w:pPr>
              <w:autoSpaceDE w:val="0"/>
              <w:autoSpaceDN w:val="0"/>
              <w:adjustRightInd w:val="0"/>
              <w:jc w:val="left"/>
              <w:rPr>
                <w:iCs/>
                <w:sz w:val="20"/>
                <w:szCs w:val="20"/>
              </w:rPr>
            </w:pPr>
            <w:r w:rsidRPr="006B2326">
              <w:rPr>
                <w:iCs/>
                <w:sz w:val="20"/>
                <w:szCs w:val="20"/>
              </w:rPr>
              <w:t xml:space="preserve">16% (p = </w:t>
            </w:r>
            <w:r w:rsidR="00C87491">
              <w:rPr>
                <w:iCs/>
                <w:sz w:val="20"/>
                <w:szCs w:val="20"/>
              </w:rPr>
              <w:t>0.3720</w:t>
            </w:r>
            <w:r w:rsidRPr="006B2326">
              <w:rPr>
                <w:iCs/>
                <w:sz w:val="20"/>
                <w:szCs w:val="20"/>
              </w:rPr>
              <w:t>)</w:t>
            </w:r>
          </w:p>
          <w:p w14:paraId="75BADFE5" w14:textId="7E966EC0" w:rsidR="00C87491" w:rsidRPr="006B2326" w:rsidRDefault="00C87491" w:rsidP="004C6478">
            <w:pPr>
              <w:autoSpaceDE w:val="0"/>
              <w:autoSpaceDN w:val="0"/>
              <w:adjustRightInd w:val="0"/>
              <w:jc w:val="left"/>
              <w:rPr>
                <w:sz w:val="20"/>
                <w:szCs w:val="20"/>
              </w:rPr>
            </w:pPr>
            <w:r>
              <w:rPr>
                <w:iCs/>
                <w:sz w:val="20"/>
                <w:szCs w:val="20"/>
              </w:rPr>
              <w:t>(95%CLs: -24%, 43%)</w:t>
            </w:r>
          </w:p>
        </w:tc>
      </w:tr>
      <w:tr w:rsidR="005B028B" w:rsidRPr="006B2326" w:rsidDel="00844514" w14:paraId="0CDCD911" w14:textId="77777777" w:rsidTr="00202E6D">
        <w:trPr>
          <w:gridAfter w:val="1"/>
          <w:wAfter w:w="7" w:type="dxa"/>
          <w:trHeight w:val="287"/>
        </w:trPr>
        <w:tc>
          <w:tcPr>
            <w:tcW w:w="8911" w:type="dxa"/>
            <w:gridSpan w:val="3"/>
            <w:shd w:val="clear" w:color="auto" w:fill="auto"/>
            <w:vAlign w:val="center"/>
          </w:tcPr>
          <w:p w14:paraId="77081A10" w14:textId="77777777" w:rsidR="005B028B" w:rsidRPr="006B2326" w:rsidDel="00844514" w:rsidRDefault="005B028B" w:rsidP="004C6478">
            <w:pPr>
              <w:tabs>
                <w:tab w:val="left" w:pos="1644"/>
              </w:tabs>
              <w:autoSpaceDE w:val="0"/>
              <w:autoSpaceDN w:val="0"/>
              <w:adjustRightInd w:val="0"/>
              <w:jc w:val="left"/>
              <w:rPr>
                <w:sz w:val="20"/>
                <w:szCs w:val="20"/>
              </w:rPr>
            </w:pPr>
          </w:p>
        </w:tc>
      </w:tr>
      <w:tr w:rsidR="00CD6DFF" w:rsidRPr="006B2326" w14:paraId="1C19B896" w14:textId="77777777" w:rsidTr="00CD6DFF">
        <w:trPr>
          <w:gridAfter w:val="1"/>
          <w:wAfter w:w="7" w:type="dxa"/>
          <w:trHeight w:val="287"/>
        </w:trPr>
        <w:tc>
          <w:tcPr>
            <w:tcW w:w="3737" w:type="dxa"/>
            <w:shd w:val="clear" w:color="auto" w:fill="auto"/>
            <w:vAlign w:val="center"/>
          </w:tcPr>
          <w:p w14:paraId="23ED8A47"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MRI Endpoints</w:t>
            </w:r>
          </w:p>
        </w:tc>
        <w:tc>
          <w:tcPr>
            <w:tcW w:w="2512" w:type="dxa"/>
            <w:vAlign w:val="center"/>
          </w:tcPr>
          <w:p w14:paraId="6ADE833B" w14:textId="77777777" w:rsidR="00CD6DFF" w:rsidRPr="006B2326" w:rsidRDefault="00CD6DFF" w:rsidP="004C6478">
            <w:pPr>
              <w:tabs>
                <w:tab w:val="left" w:pos="1644"/>
              </w:tabs>
              <w:autoSpaceDE w:val="0"/>
              <w:autoSpaceDN w:val="0"/>
              <w:adjustRightInd w:val="0"/>
              <w:jc w:val="left"/>
              <w:rPr>
                <w:sz w:val="20"/>
                <w:szCs w:val="20"/>
              </w:rPr>
            </w:pPr>
          </w:p>
        </w:tc>
        <w:tc>
          <w:tcPr>
            <w:tcW w:w="2662" w:type="dxa"/>
            <w:shd w:val="clear" w:color="auto" w:fill="auto"/>
            <w:vAlign w:val="center"/>
          </w:tcPr>
          <w:p w14:paraId="755D6C89" w14:textId="77777777" w:rsidR="00CD6DFF" w:rsidRPr="006B2326" w:rsidRDefault="00CD6DFF" w:rsidP="004C6478">
            <w:pPr>
              <w:tabs>
                <w:tab w:val="left" w:pos="1644"/>
              </w:tabs>
              <w:autoSpaceDE w:val="0"/>
              <w:autoSpaceDN w:val="0"/>
              <w:adjustRightInd w:val="0"/>
              <w:jc w:val="left"/>
              <w:rPr>
                <w:sz w:val="20"/>
                <w:szCs w:val="20"/>
              </w:rPr>
            </w:pPr>
          </w:p>
        </w:tc>
      </w:tr>
      <w:tr w:rsidR="00CD6DFF" w:rsidRPr="006B2326" w14:paraId="56A2EC19" w14:textId="77777777" w:rsidTr="00CD6DFF">
        <w:trPr>
          <w:gridAfter w:val="1"/>
          <w:wAfter w:w="7" w:type="dxa"/>
          <w:trHeight w:val="287"/>
        </w:trPr>
        <w:tc>
          <w:tcPr>
            <w:tcW w:w="3737" w:type="dxa"/>
            <w:shd w:val="clear" w:color="auto" w:fill="auto"/>
            <w:vAlign w:val="center"/>
          </w:tcPr>
          <w:p w14:paraId="21CB0CDD"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Cumulative number of Combined Unique Active Lesions (CUALs)</w:t>
            </w:r>
          </w:p>
        </w:tc>
        <w:tc>
          <w:tcPr>
            <w:tcW w:w="2512" w:type="dxa"/>
            <w:vAlign w:val="center"/>
          </w:tcPr>
          <w:p w14:paraId="05B940DF"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N=539</w:t>
            </w:r>
          </w:p>
        </w:tc>
        <w:tc>
          <w:tcPr>
            <w:tcW w:w="2662" w:type="dxa"/>
            <w:shd w:val="clear" w:color="auto" w:fill="auto"/>
            <w:vAlign w:val="center"/>
          </w:tcPr>
          <w:p w14:paraId="2EFA6289"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N=536</w:t>
            </w:r>
          </w:p>
        </w:tc>
      </w:tr>
      <w:tr w:rsidR="00CD6DFF" w:rsidRPr="006B2326" w14:paraId="741157AC" w14:textId="77777777" w:rsidTr="00CD6DFF">
        <w:trPr>
          <w:gridAfter w:val="1"/>
          <w:wAfter w:w="7" w:type="dxa"/>
          <w:trHeight w:val="287"/>
        </w:trPr>
        <w:tc>
          <w:tcPr>
            <w:tcW w:w="3737" w:type="dxa"/>
            <w:shd w:val="clear" w:color="auto" w:fill="auto"/>
            <w:vAlign w:val="center"/>
          </w:tcPr>
          <w:p w14:paraId="43485C1D" w14:textId="23F9F1FC" w:rsidR="00CD6DFF" w:rsidRPr="006B2326" w:rsidRDefault="00CD6DFF" w:rsidP="004C6478">
            <w:pPr>
              <w:tabs>
                <w:tab w:val="left" w:pos="1644"/>
              </w:tabs>
              <w:autoSpaceDE w:val="0"/>
              <w:autoSpaceDN w:val="0"/>
              <w:adjustRightInd w:val="0"/>
              <w:ind w:left="256"/>
              <w:jc w:val="left"/>
              <w:rPr>
                <w:sz w:val="20"/>
                <w:szCs w:val="20"/>
              </w:rPr>
            </w:pPr>
            <w:r w:rsidRPr="006B2326">
              <w:rPr>
                <w:sz w:val="20"/>
                <w:szCs w:val="20"/>
              </w:rPr>
              <w:t xml:space="preserve">Mean number of CUALs per </w:t>
            </w:r>
            <w:proofErr w:type="spellStart"/>
            <w:r w:rsidRPr="006B2326">
              <w:rPr>
                <w:sz w:val="20"/>
                <w:szCs w:val="20"/>
              </w:rPr>
              <w:t>year</w:t>
            </w:r>
            <w:r w:rsidR="005B028B">
              <w:rPr>
                <w:sz w:val="20"/>
                <w:szCs w:val="20"/>
                <w:vertAlign w:val="superscript"/>
              </w:rPr>
              <w:t>d</w:t>
            </w:r>
            <w:proofErr w:type="spellEnd"/>
          </w:p>
        </w:tc>
        <w:tc>
          <w:tcPr>
            <w:tcW w:w="2512" w:type="dxa"/>
            <w:vAlign w:val="center"/>
          </w:tcPr>
          <w:p w14:paraId="4A02A6FE"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1.41</w:t>
            </w:r>
          </w:p>
        </w:tc>
        <w:tc>
          <w:tcPr>
            <w:tcW w:w="2662" w:type="dxa"/>
            <w:shd w:val="clear" w:color="auto" w:fill="auto"/>
            <w:vAlign w:val="center"/>
          </w:tcPr>
          <w:p w14:paraId="62CD2BAC" w14:textId="77777777" w:rsidR="00CD6DFF" w:rsidRPr="006B2326" w:rsidRDefault="00CD6DFF" w:rsidP="004C6478">
            <w:pPr>
              <w:tabs>
                <w:tab w:val="left" w:pos="1644"/>
              </w:tabs>
              <w:autoSpaceDE w:val="0"/>
              <w:autoSpaceDN w:val="0"/>
              <w:adjustRightInd w:val="0"/>
              <w:jc w:val="left"/>
              <w:rPr>
                <w:sz w:val="20"/>
                <w:szCs w:val="20"/>
              </w:rPr>
            </w:pPr>
            <w:r w:rsidRPr="006B2326">
              <w:rPr>
                <w:sz w:val="20"/>
                <w:szCs w:val="20"/>
              </w:rPr>
              <w:t>3.16</w:t>
            </w:r>
          </w:p>
        </w:tc>
      </w:tr>
      <w:tr w:rsidR="00CD6DFF" w:rsidRPr="006B2326" w14:paraId="594A01FD" w14:textId="77777777" w:rsidTr="00CD6DFF">
        <w:trPr>
          <w:trHeight w:val="287"/>
        </w:trPr>
        <w:tc>
          <w:tcPr>
            <w:tcW w:w="3737" w:type="dxa"/>
            <w:shd w:val="clear" w:color="auto" w:fill="auto"/>
            <w:vAlign w:val="center"/>
          </w:tcPr>
          <w:p w14:paraId="585D5ACB" w14:textId="77777777" w:rsidR="00CD6DFF" w:rsidRPr="006B2326" w:rsidRDefault="00CD6DFF" w:rsidP="004C6478">
            <w:pPr>
              <w:tabs>
                <w:tab w:val="left" w:pos="1644"/>
              </w:tabs>
              <w:autoSpaceDE w:val="0"/>
              <w:autoSpaceDN w:val="0"/>
              <w:adjustRightInd w:val="0"/>
              <w:ind w:left="256"/>
              <w:jc w:val="left"/>
              <w:rPr>
                <w:sz w:val="20"/>
                <w:szCs w:val="20"/>
              </w:rPr>
            </w:pPr>
            <w:r w:rsidRPr="006B2326">
              <w:rPr>
                <w:sz w:val="20"/>
                <w:szCs w:val="20"/>
              </w:rPr>
              <w:t>Relative reduction</w:t>
            </w:r>
          </w:p>
        </w:tc>
        <w:tc>
          <w:tcPr>
            <w:tcW w:w="5181" w:type="dxa"/>
            <w:gridSpan w:val="3"/>
            <w:vAlign w:val="center"/>
          </w:tcPr>
          <w:p w14:paraId="0A5171B1" w14:textId="77777777" w:rsidR="00CD6DFF" w:rsidRDefault="00CD6DFF" w:rsidP="004C6478">
            <w:pPr>
              <w:tabs>
                <w:tab w:val="left" w:pos="1644"/>
              </w:tabs>
              <w:autoSpaceDE w:val="0"/>
              <w:autoSpaceDN w:val="0"/>
              <w:adjustRightInd w:val="0"/>
              <w:jc w:val="left"/>
              <w:rPr>
                <w:bCs/>
                <w:sz w:val="20"/>
                <w:szCs w:val="20"/>
                <w:vertAlign w:val="superscript"/>
              </w:rPr>
            </w:pPr>
            <w:r w:rsidRPr="006B2326">
              <w:rPr>
                <w:bCs/>
                <w:sz w:val="20"/>
                <w:szCs w:val="20"/>
              </w:rPr>
              <w:t>56% (p&lt;</w:t>
            </w:r>
            <w:proofErr w:type="gramStart"/>
            <w:r w:rsidRPr="006B2326">
              <w:rPr>
                <w:bCs/>
                <w:sz w:val="20"/>
                <w:szCs w:val="20"/>
              </w:rPr>
              <w:t>0.0001)</w:t>
            </w:r>
            <w:r w:rsidRPr="006B2326">
              <w:rPr>
                <w:bCs/>
                <w:sz w:val="20"/>
                <w:szCs w:val="20"/>
                <w:vertAlign w:val="superscript"/>
              </w:rPr>
              <w:t>*</w:t>
            </w:r>
            <w:proofErr w:type="gramEnd"/>
          </w:p>
          <w:p w14:paraId="1070FA96" w14:textId="3FE1EBFE" w:rsidR="005B028B" w:rsidRPr="005B028B" w:rsidRDefault="005B028B" w:rsidP="004C6478">
            <w:pPr>
              <w:tabs>
                <w:tab w:val="left" w:pos="1644"/>
              </w:tabs>
              <w:autoSpaceDE w:val="0"/>
              <w:autoSpaceDN w:val="0"/>
              <w:adjustRightInd w:val="0"/>
              <w:jc w:val="left"/>
              <w:rPr>
                <w:sz w:val="20"/>
                <w:szCs w:val="20"/>
              </w:rPr>
            </w:pPr>
            <w:r w:rsidRPr="005B028B">
              <w:rPr>
                <w:bCs/>
                <w:sz w:val="20"/>
                <w:szCs w:val="20"/>
              </w:rPr>
              <w:t>(95% CL: 45</w:t>
            </w:r>
            <w:r>
              <w:rPr>
                <w:bCs/>
                <w:sz w:val="20"/>
                <w:szCs w:val="20"/>
              </w:rPr>
              <w:t>.8%, 63.6%)</w:t>
            </w:r>
          </w:p>
        </w:tc>
      </w:tr>
      <w:tr w:rsidR="00CD6DFF" w:rsidRPr="006B2326" w14:paraId="11F69751" w14:textId="77777777" w:rsidTr="00CD6DFF">
        <w:trPr>
          <w:trHeight w:val="422"/>
        </w:trPr>
        <w:tc>
          <w:tcPr>
            <w:tcW w:w="8918" w:type="dxa"/>
            <w:gridSpan w:val="4"/>
            <w:tcBorders>
              <w:left w:val="nil"/>
              <w:bottom w:val="nil"/>
              <w:right w:val="nil"/>
            </w:tcBorders>
            <w:shd w:val="clear" w:color="auto" w:fill="auto"/>
            <w:vAlign w:val="center"/>
          </w:tcPr>
          <w:p w14:paraId="02304768" w14:textId="46C5199A" w:rsidR="00CD6DFF" w:rsidRPr="006B2326" w:rsidRDefault="00CD6DFF" w:rsidP="004C6478">
            <w:pPr>
              <w:autoSpaceDE w:val="0"/>
              <w:autoSpaceDN w:val="0"/>
              <w:jc w:val="left"/>
              <w:rPr>
                <w:sz w:val="16"/>
                <w:szCs w:val="16"/>
              </w:rPr>
            </w:pPr>
            <w:r w:rsidRPr="006B2326">
              <w:rPr>
                <w:sz w:val="16"/>
                <w:szCs w:val="16"/>
              </w:rPr>
              <w:t xml:space="preserve">All analyses are based on the full analysis set (FAS), which includes all </w:t>
            </w:r>
            <w:proofErr w:type="spellStart"/>
            <w:r w:rsidR="000F32B5" w:rsidRPr="006B2326">
              <w:rPr>
                <w:sz w:val="16"/>
                <w:szCs w:val="16"/>
              </w:rPr>
              <w:t>randomised</w:t>
            </w:r>
            <w:proofErr w:type="spellEnd"/>
            <w:r w:rsidRPr="006B2326">
              <w:rPr>
                <w:sz w:val="16"/>
                <w:szCs w:val="16"/>
              </w:rPr>
              <w:t xml:space="preserve"> patients. N refers to the number of patients included in each of the endpoint analysis, per treatment group.</w:t>
            </w:r>
          </w:p>
          <w:p w14:paraId="11302232" w14:textId="1274069C" w:rsidR="00CD6DFF" w:rsidRPr="006B2326" w:rsidRDefault="00CD6DFF" w:rsidP="004C6478">
            <w:pPr>
              <w:autoSpaceDE w:val="0"/>
              <w:autoSpaceDN w:val="0"/>
              <w:spacing w:after="0"/>
              <w:ind w:left="357" w:hanging="357"/>
              <w:jc w:val="left"/>
              <w:rPr>
                <w:sz w:val="16"/>
                <w:szCs w:val="16"/>
              </w:rPr>
            </w:pPr>
            <w:r w:rsidRPr="006B2326">
              <w:rPr>
                <w:sz w:val="16"/>
                <w:szCs w:val="16"/>
              </w:rPr>
              <w:t>a</w:t>
            </w:r>
            <w:r w:rsidRPr="006B2326">
              <w:rPr>
                <w:sz w:val="16"/>
                <w:szCs w:val="16"/>
              </w:rPr>
              <w:tab/>
            </w:r>
            <w:bookmarkStart w:id="32" w:name="_Hlk35524281"/>
            <w:r w:rsidRPr="006B2326">
              <w:rPr>
                <w:sz w:val="16"/>
                <w:szCs w:val="16"/>
              </w:rPr>
              <w:t>Defined as confirmed relapses per year up to EOS (</w:t>
            </w:r>
            <w:r w:rsidR="00C87491">
              <w:rPr>
                <w:sz w:val="16"/>
                <w:szCs w:val="16"/>
              </w:rPr>
              <w:t>n</w:t>
            </w:r>
            <w:r w:rsidR="00C87491" w:rsidRPr="006B2326">
              <w:rPr>
                <w:sz w:val="16"/>
                <w:szCs w:val="16"/>
              </w:rPr>
              <w:t xml:space="preserve">egative </w:t>
            </w:r>
            <w:r w:rsidRPr="006B2326">
              <w:rPr>
                <w:sz w:val="16"/>
                <w:szCs w:val="16"/>
              </w:rPr>
              <w:t xml:space="preserve">binomial regression model with stratification variables (EDSS ≤ 3.5 versus EDSS &gt; 3.5; DMT within last 2 years prior to </w:t>
            </w:r>
            <w:proofErr w:type="spellStart"/>
            <w:r w:rsidRPr="006B2326">
              <w:rPr>
                <w:sz w:val="16"/>
                <w:szCs w:val="16"/>
              </w:rPr>
              <w:t>randomi</w:t>
            </w:r>
            <w:r w:rsidR="000F32B5" w:rsidRPr="006B2326">
              <w:rPr>
                <w:sz w:val="16"/>
                <w:szCs w:val="16"/>
              </w:rPr>
              <w:t>s</w:t>
            </w:r>
            <w:r w:rsidRPr="006B2326">
              <w:rPr>
                <w:sz w:val="16"/>
                <w:szCs w:val="16"/>
              </w:rPr>
              <w:t>ation</w:t>
            </w:r>
            <w:proofErr w:type="spellEnd"/>
            <w:r w:rsidRPr="006B2326">
              <w:rPr>
                <w:sz w:val="16"/>
                <w:szCs w:val="16"/>
              </w:rPr>
              <w:t xml:space="preserve"> [Yes/No]) and the number of relapses in the year prior to study </w:t>
            </w:r>
            <w:proofErr w:type="gramStart"/>
            <w:r w:rsidRPr="006B2326">
              <w:rPr>
                <w:sz w:val="16"/>
                <w:szCs w:val="16"/>
              </w:rPr>
              <w:t>entry(</w:t>
            </w:r>
            <w:proofErr w:type="gramEnd"/>
            <w:r w:rsidRPr="006B2326">
              <w:rPr>
                <w:sz w:val="16"/>
                <w:szCs w:val="16"/>
              </w:rPr>
              <w:t>≤1, ≥2) as covariates)</w:t>
            </w:r>
          </w:p>
          <w:bookmarkEnd w:id="32"/>
          <w:p w14:paraId="540DA223" w14:textId="21D5B502" w:rsidR="00C87491" w:rsidRPr="006B2326" w:rsidRDefault="00CD6DFF" w:rsidP="004C6478">
            <w:pPr>
              <w:autoSpaceDE w:val="0"/>
              <w:autoSpaceDN w:val="0"/>
              <w:spacing w:after="0"/>
              <w:ind w:left="357" w:hanging="357"/>
              <w:jc w:val="left"/>
              <w:rPr>
                <w:sz w:val="16"/>
                <w:szCs w:val="16"/>
              </w:rPr>
            </w:pPr>
            <w:r w:rsidRPr="006B2326">
              <w:rPr>
                <w:sz w:val="16"/>
                <w:szCs w:val="16"/>
              </w:rPr>
              <w:t>b</w:t>
            </w:r>
            <w:r w:rsidRPr="006B2326">
              <w:rPr>
                <w:sz w:val="16"/>
                <w:szCs w:val="16"/>
                <w:vertAlign w:val="superscript"/>
              </w:rPr>
              <w:tab/>
            </w:r>
            <w:r w:rsidR="00C87491" w:rsidRPr="006B2326">
              <w:rPr>
                <w:sz w:val="16"/>
                <w:szCs w:val="16"/>
              </w:rPr>
              <w:t>Based on time to first 12-Week/24</w:t>
            </w:r>
            <w:r w:rsidR="00C87491" w:rsidRPr="006B2326">
              <w:rPr>
                <w:sz w:val="16"/>
                <w:szCs w:val="16"/>
              </w:rPr>
              <w:noBreakHyphen/>
              <w:t xml:space="preserve">Week CDA event up to </w:t>
            </w:r>
            <w:r w:rsidR="00C87491">
              <w:rPr>
                <w:sz w:val="16"/>
                <w:szCs w:val="16"/>
              </w:rPr>
              <w:t>EOS</w:t>
            </w:r>
            <w:r w:rsidR="00C87491" w:rsidRPr="006B2326">
              <w:rPr>
                <w:sz w:val="16"/>
                <w:szCs w:val="16"/>
              </w:rPr>
              <w:t xml:space="preserve"> (Kaplan-Meier estimates</w:t>
            </w:r>
            <w:r w:rsidR="00C87491">
              <w:rPr>
                <w:sz w:val="16"/>
                <w:szCs w:val="16"/>
              </w:rPr>
              <w:t xml:space="preserve"> at Week 108</w:t>
            </w:r>
            <w:r w:rsidR="00C87491" w:rsidRPr="006B2326">
              <w:rPr>
                <w:sz w:val="16"/>
                <w:szCs w:val="16"/>
              </w:rPr>
              <w:t>)</w:t>
            </w:r>
          </w:p>
          <w:p w14:paraId="59F0355C" w14:textId="7ECE592F" w:rsidR="00CD6DFF" w:rsidRPr="003F68A8" w:rsidRDefault="00CD6DFF" w:rsidP="004C6478">
            <w:pPr>
              <w:autoSpaceDE w:val="0"/>
              <w:autoSpaceDN w:val="0"/>
              <w:adjustRightInd w:val="0"/>
              <w:spacing w:after="0"/>
              <w:ind w:left="357" w:hanging="357"/>
              <w:jc w:val="left"/>
              <w:rPr>
                <w:rFonts w:eastAsia="TimesNewRoman" w:cs="Arial"/>
                <w:sz w:val="16"/>
                <w:szCs w:val="16"/>
                <w:lang w:val="en-AU"/>
              </w:rPr>
            </w:pPr>
            <w:r w:rsidRPr="006B2326">
              <w:rPr>
                <w:sz w:val="16"/>
                <w:szCs w:val="16"/>
              </w:rPr>
              <w:t>c</w:t>
            </w:r>
            <w:r w:rsidR="00C87491">
              <w:rPr>
                <w:sz w:val="16"/>
                <w:szCs w:val="16"/>
              </w:rPr>
              <w:t xml:space="preserve">      </w:t>
            </w:r>
            <w:r w:rsidR="00C87491" w:rsidRPr="006B2326">
              <w:rPr>
                <w:sz w:val="16"/>
                <w:szCs w:val="16"/>
              </w:rPr>
              <w:t>Defined as time to 12-Week/24-Week CDA from baseline to EOS (Stratified Cox proportional hazard model, p value</w:t>
            </w:r>
            <w:r w:rsidR="00C87491">
              <w:rPr>
                <w:sz w:val="16"/>
                <w:szCs w:val="16"/>
              </w:rPr>
              <w:t xml:space="preserve"> </w:t>
            </w:r>
            <w:r w:rsidR="00C87491" w:rsidRPr="006B2326">
              <w:rPr>
                <w:sz w:val="16"/>
                <w:szCs w:val="16"/>
              </w:rPr>
              <w:t>based on the stratified log rank test)</w:t>
            </w:r>
            <w:r w:rsidR="00C87491">
              <w:rPr>
                <w:sz w:val="16"/>
                <w:szCs w:val="16"/>
              </w:rPr>
              <w:t xml:space="preserve">. </w:t>
            </w:r>
            <w:r w:rsidR="00C87491" w:rsidRPr="00C87491">
              <w:rPr>
                <w:rFonts w:eastAsia="TimesNewRoman" w:cs="Arial"/>
                <w:sz w:val="16"/>
                <w:szCs w:val="16"/>
                <w:lang w:val="en-AU"/>
              </w:rPr>
              <w:t>Two pre-planned indirect comparison methods both showed a consistent</w:t>
            </w:r>
            <w:r w:rsidR="00C87491">
              <w:rPr>
                <w:rFonts w:eastAsia="TimesNewRoman" w:cs="Arial"/>
                <w:sz w:val="16"/>
                <w:szCs w:val="16"/>
                <w:lang w:val="en-AU"/>
              </w:rPr>
              <w:t xml:space="preserve"> </w:t>
            </w:r>
            <w:r w:rsidR="00C87491" w:rsidRPr="00C87491">
              <w:rPr>
                <w:rFonts w:eastAsia="TimesNewRoman" w:cs="Arial"/>
                <w:sz w:val="16"/>
                <w:szCs w:val="16"/>
                <w:lang w:val="en-AU"/>
              </w:rPr>
              <w:t xml:space="preserve">clinically meaningful effect of </w:t>
            </w:r>
            <w:proofErr w:type="spellStart"/>
            <w:r w:rsidR="00C87491" w:rsidRPr="00C87491">
              <w:rPr>
                <w:rFonts w:eastAsia="TimesNewRoman" w:cs="Arial"/>
                <w:sz w:val="16"/>
                <w:szCs w:val="16"/>
                <w:lang w:val="en-AU"/>
              </w:rPr>
              <w:t>ponesimod</w:t>
            </w:r>
            <w:proofErr w:type="spellEnd"/>
            <w:r w:rsidR="00C87491" w:rsidRPr="00C87491">
              <w:rPr>
                <w:rFonts w:eastAsia="TimesNewRoman" w:cs="Arial"/>
                <w:sz w:val="16"/>
                <w:szCs w:val="16"/>
                <w:lang w:val="en-AU"/>
              </w:rPr>
              <w:t xml:space="preserve"> compared to placebo on time to first 12-week CDA, the Matching-Adjusted</w:t>
            </w:r>
            <w:r w:rsidR="00C87491">
              <w:rPr>
                <w:rFonts w:eastAsia="TimesNewRoman" w:cs="Arial"/>
                <w:sz w:val="16"/>
                <w:szCs w:val="16"/>
                <w:lang w:val="en-AU"/>
              </w:rPr>
              <w:t xml:space="preserve"> </w:t>
            </w:r>
            <w:r w:rsidR="00C87491" w:rsidRPr="00C87491">
              <w:rPr>
                <w:rFonts w:eastAsia="TimesNewRoman" w:cs="Arial"/>
                <w:sz w:val="16"/>
                <w:szCs w:val="16"/>
                <w:lang w:val="en-AU"/>
              </w:rPr>
              <w:t xml:space="preserve">Indirect Comparison (MAIC) approach showed that </w:t>
            </w:r>
            <w:proofErr w:type="spellStart"/>
            <w:r w:rsidR="00C87491" w:rsidRPr="00C87491">
              <w:rPr>
                <w:rFonts w:eastAsia="TimesNewRoman" w:cs="Arial"/>
                <w:sz w:val="16"/>
                <w:szCs w:val="16"/>
                <w:lang w:val="en-AU"/>
              </w:rPr>
              <w:t>ponesimod</w:t>
            </w:r>
            <w:proofErr w:type="spellEnd"/>
            <w:r w:rsidR="00C87491" w:rsidRPr="00C87491">
              <w:rPr>
                <w:rFonts w:eastAsia="TimesNewRoman" w:cs="Arial"/>
                <w:sz w:val="16"/>
                <w:szCs w:val="16"/>
                <w:lang w:val="en-AU"/>
              </w:rPr>
              <w:t xml:space="preserve"> reduced 12-week CDA by 40% compared to placebo</w:t>
            </w:r>
            <w:r w:rsidR="00C87491">
              <w:rPr>
                <w:rFonts w:eastAsia="TimesNewRoman" w:cs="Arial"/>
                <w:sz w:val="16"/>
                <w:szCs w:val="16"/>
                <w:lang w:val="en-AU"/>
              </w:rPr>
              <w:t xml:space="preserve"> </w:t>
            </w:r>
            <w:r w:rsidR="00C87491" w:rsidRPr="00C87491">
              <w:rPr>
                <w:rFonts w:eastAsia="TimesNewRoman" w:cs="Arial"/>
                <w:sz w:val="16"/>
                <w:szCs w:val="16"/>
                <w:lang w:val="en-AU"/>
              </w:rPr>
              <w:t xml:space="preserve">(hazard ratio: 0.60 [95% CI: 0.34, 1.05]) and the Model-Based Meta-Analysis (MBMA) showed that </w:t>
            </w:r>
            <w:proofErr w:type="spellStart"/>
            <w:r w:rsidR="00C87491" w:rsidRPr="00C87491">
              <w:rPr>
                <w:rFonts w:eastAsia="TimesNewRoman" w:cs="Arial"/>
                <w:sz w:val="16"/>
                <w:szCs w:val="16"/>
                <w:lang w:val="en-AU"/>
              </w:rPr>
              <w:t>ponesimod</w:t>
            </w:r>
            <w:proofErr w:type="spellEnd"/>
            <w:r w:rsidR="00C87491">
              <w:rPr>
                <w:rFonts w:eastAsia="TimesNewRoman" w:cs="Arial"/>
                <w:sz w:val="16"/>
                <w:szCs w:val="16"/>
                <w:lang w:val="en-AU"/>
              </w:rPr>
              <w:t xml:space="preserve"> </w:t>
            </w:r>
            <w:r w:rsidR="00C87491" w:rsidRPr="00C87491">
              <w:rPr>
                <w:rFonts w:eastAsia="TimesNewRoman" w:cs="Arial"/>
                <w:sz w:val="16"/>
                <w:szCs w:val="16"/>
                <w:lang w:val="en-AU"/>
              </w:rPr>
              <w:t>reduced the risk of 12-week CDA by 39% compared to placebo (hazard ratio: 0.61 [95% CLs: 0.47, 0.80]).</w:t>
            </w:r>
          </w:p>
          <w:p w14:paraId="6F3BEF0C" w14:textId="4D404FA4" w:rsidR="00CD6DFF" w:rsidRPr="006B2326" w:rsidRDefault="00CD6DFF" w:rsidP="004C6478">
            <w:pPr>
              <w:autoSpaceDE w:val="0"/>
              <w:autoSpaceDN w:val="0"/>
              <w:spacing w:after="0"/>
              <w:ind w:left="357" w:hanging="357"/>
              <w:jc w:val="left"/>
              <w:rPr>
                <w:sz w:val="16"/>
                <w:szCs w:val="16"/>
              </w:rPr>
            </w:pPr>
            <w:r w:rsidRPr="006B2326">
              <w:rPr>
                <w:sz w:val="16"/>
                <w:szCs w:val="16"/>
              </w:rPr>
              <w:t>d</w:t>
            </w:r>
            <w:r w:rsidRPr="006B2326">
              <w:rPr>
                <w:sz w:val="16"/>
                <w:szCs w:val="16"/>
              </w:rPr>
              <w:tab/>
            </w:r>
            <w:r w:rsidR="00C87491" w:rsidRPr="006B2326">
              <w:rPr>
                <w:sz w:val="16"/>
                <w:szCs w:val="16"/>
              </w:rPr>
              <w:t xml:space="preserve">Defined as new Gd+ T1 lesions plus new or enlarging T2 lesions [without </w:t>
            </w:r>
            <w:proofErr w:type="gramStart"/>
            <w:r w:rsidR="00C87491" w:rsidRPr="006B2326">
              <w:rPr>
                <w:sz w:val="16"/>
                <w:szCs w:val="16"/>
              </w:rPr>
              <w:t>double-counting</w:t>
            </w:r>
            <w:proofErr w:type="gramEnd"/>
            <w:r w:rsidR="00C87491" w:rsidRPr="006B2326">
              <w:rPr>
                <w:sz w:val="16"/>
                <w:szCs w:val="16"/>
              </w:rPr>
              <w:t xml:space="preserve"> of lesions] per year from baseline to Week 108 (Negative binomial regression model with stratification factors and Gd+ T1 lesions (present/absent) at baseline as covariates)</w:t>
            </w:r>
          </w:p>
          <w:p w14:paraId="07F8CCE3" w14:textId="2AA0BFCC" w:rsidR="00CD6DFF" w:rsidRPr="006B2326" w:rsidRDefault="00CD6DFF" w:rsidP="004C6478">
            <w:pPr>
              <w:autoSpaceDE w:val="0"/>
              <w:autoSpaceDN w:val="0"/>
              <w:spacing w:after="0"/>
              <w:ind w:left="357" w:hanging="357"/>
              <w:jc w:val="left"/>
              <w:rPr>
                <w:sz w:val="16"/>
                <w:szCs w:val="16"/>
              </w:rPr>
            </w:pPr>
          </w:p>
          <w:p w14:paraId="6ED8E5D9" w14:textId="38887DBB" w:rsidR="005D558F" w:rsidRPr="006B2326" w:rsidRDefault="00CD6DFF" w:rsidP="004C6478">
            <w:pPr>
              <w:autoSpaceDE w:val="0"/>
              <w:autoSpaceDN w:val="0"/>
              <w:spacing w:after="0"/>
              <w:ind w:left="357" w:hanging="357"/>
              <w:jc w:val="left"/>
              <w:rPr>
                <w:iCs/>
              </w:rPr>
            </w:pPr>
            <w:r w:rsidRPr="006B2326">
              <w:rPr>
                <w:sz w:val="16"/>
                <w:szCs w:val="16"/>
              </w:rPr>
              <w:t>*</w:t>
            </w:r>
            <w:r w:rsidRPr="006B2326">
              <w:rPr>
                <w:sz w:val="16"/>
                <w:szCs w:val="16"/>
              </w:rPr>
              <w:tab/>
            </w:r>
            <w:proofErr w:type="gramStart"/>
            <w:r w:rsidRPr="006B2326">
              <w:rPr>
                <w:sz w:val="16"/>
                <w:szCs w:val="16"/>
              </w:rPr>
              <w:t>statistically</w:t>
            </w:r>
            <w:proofErr w:type="gramEnd"/>
            <w:r w:rsidRPr="006B2326">
              <w:rPr>
                <w:sz w:val="16"/>
                <w:szCs w:val="16"/>
              </w:rPr>
              <w:t xml:space="preserve"> significant </w:t>
            </w:r>
            <w:bookmarkStart w:id="33" w:name="_Hlk63923709"/>
            <w:r w:rsidRPr="006B2326">
              <w:rPr>
                <w:sz w:val="16"/>
                <w:szCs w:val="16"/>
              </w:rPr>
              <w:t>according to the predefined multiplicity testing strategy</w:t>
            </w:r>
            <w:bookmarkEnd w:id="33"/>
            <w:r w:rsidRPr="006B2326">
              <w:rPr>
                <w:sz w:val="16"/>
                <w:szCs w:val="16"/>
              </w:rPr>
              <w:t xml:space="preserve">, </w:t>
            </w:r>
            <w:r w:rsidR="00C87491">
              <w:rPr>
                <w:sz w:val="16"/>
                <w:szCs w:val="16"/>
              </w:rPr>
              <w:t>CLs: Confidence Limits.</w:t>
            </w:r>
          </w:p>
        </w:tc>
      </w:tr>
    </w:tbl>
    <w:p w14:paraId="20AEA2A1" w14:textId="48C67C86" w:rsidR="00320CD9" w:rsidRPr="006B2326" w:rsidRDefault="00D92B0C" w:rsidP="004C6478">
      <w:pPr>
        <w:pStyle w:val="Heading2"/>
        <w:rPr>
          <w:lang w:val="en-AU"/>
        </w:rPr>
      </w:pPr>
      <w:r w:rsidRPr="006B2326">
        <w:rPr>
          <w:lang w:val="en-AU"/>
        </w:rPr>
        <w:lastRenderedPageBreak/>
        <w:t>Pharmacokinetic</w:t>
      </w:r>
      <w:r w:rsidR="00927E9B" w:rsidRPr="006B2326">
        <w:rPr>
          <w:lang w:val="en-AU"/>
        </w:rPr>
        <w:t xml:space="preserve"> PROPERTIES</w:t>
      </w:r>
    </w:p>
    <w:p w14:paraId="4B37C786" w14:textId="4DFF9072" w:rsidR="00A26F4D" w:rsidRPr="006B2326" w:rsidRDefault="00A26F4D" w:rsidP="004C6478">
      <w:pPr>
        <w:jc w:val="left"/>
        <w:rPr>
          <w:noProof/>
          <w:szCs w:val="24"/>
        </w:rPr>
      </w:pPr>
      <w:bookmarkStart w:id="34" w:name="_Hlk16160278"/>
      <w:r w:rsidRPr="006B2326">
        <w:rPr>
          <w:noProof/>
        </w:rPr>
        <w:t xml:space="preserve">Following ponesimod oral dosing, </w:t>
      </w:r>
      <w:r w:rsidRPr="006B2326">
        <w:rPr>
          <w:noProof/>
          <w:szCs w:val="24"/>
        </w:rPr>
        <w:t>C</w:t>
      </w:r>
      <w:r w:rsidRPr="006B2326">
        <w:rPr>
          <w:noProof/>
          <w:szCs w:val="24"/>
          <w:vertAlign w:val="subscript"/>
        </w:rPr>
        <w:t>max</w:t>
      </w:r>
      <w:r w:rsidRPr="006B2326">
        <w:rPr>
          <w:noProof/>
          <w:szCs w:val="24"/>
        </w:rPr>
        <w:t xml:space="preserve"> and AUC increased approximately dose</w:t>
      </w:r>
      <w:r w:rsidR="00B11A5A" w:rsidRPr="006B2326">
        <w:rPr>
          <w:noProof/>
          <w:szCs w:val="24"/>
        </w:rPr>
        <w:t>-</w:t>
      </w:r>
      <w:r w:rsidRPr="006B2326">
        <w:rPr>
          <w:noProof/>
          <w:szCs w:val="24"/>
        </w:rPr>
        <w:t>proportionally in the dose</w:t>
      </w:r>
      <w:r w:rsidR="00B11A5A" w:rsidRPr="006B2326">
        <w:rPr>
          <w:noProof/>
          <w:szCs w:val="24"/>
        </w:rPr>
        <w:t>-</w:t>
      </w:r>
      <w:r w:rsidRPr="006B2326">
        <w:rPr>
          <w:noProof/>
          <w:szCs w:val="24"/>
        </w:rPr>
        <w:t>range studied (1</w:t>
      </w:r>
      <w:r w:rsidRPr="006B2326">
        <w:rPr>
          <w:noProof/>
          <w:szCs w:val="24"/>
        </w:rPr>
        <w:noBreakHyphen/>
        <w:t>75 mg). Steady-state levels are approximately 2.0 to 2.6</w:t>
      </w:r>
      <w:r w:rsidRPr="006B2326">
        <w:rPr>
          <w:noProof/>
          <w:szCs w:val="24"/>
        </w:rPr>
        <w:noBreakHyphen/>
        <w:t xml:space="preserve">fold greater than with a single dose and are achieved following </w:t>
      </w:r>
      <w:r w:rsidR="001D3CAF" w:rsidRPr="006B2326">
        <w:rPr>
          <w:noProof/>
          <w:szCs w:val="24"/>
        </w:rPr>
        <w:t>3</w:t>
      </w:r>
      <w:r w:rsidRPr="006B2326">
        <w:rPr>
          <w:noProof/>
          <w:szCs w:val="24"/>
        </w:rPr>
        <w:t> days of administration of the maintenance dose of ponesimod.</w:t>
      </w:r>
    </w:p>
    <w:bookmarkEnd w:id="34"/>
    <w:p w14:paraId="43B30CD8" w14:textId="77777777" w:rsidR="009E6516" w:rsidRPr="006B2326" w:rsidRDefault="009E6516" w:rsidP="004C6478">
      <w:pPr>
        <w:pStyle w:val="BodyText12"/>
        <w:jc w:val="left"/>
        <w:rPr>
          <w:rFonts w:ascii="Arial" w:hAnsi="Arial" w:cs="Arial"/>
          <w:sz w:val="22"/>
          <w:szCs w:val="22"/>
        </w:rPr>
      </w:pPr>
      <w:r w:rsidRPr="006B2326">
        <w:rPr>
          <w:rFonts w:ascii="Arial" w:hAnsi="Arial" w:cs="Arial"/>
          <w:sz w:val="22"/>
          <w:szCs w:val="22"/>
        </w:rPr>
        <w:t xml:space="preserve">The pharmacokinetic profile of </w:t>
      </w:r>
      <w:proofErr w:type="spellStart"/>
      <w:r w:rsidRPr="006B2326">
        <w:rPr>
          <w:rFonts w:ascii="Arial" w:hAnsi="Arial" w:cs="Arial"/>
          <w:sz w:val="22"/>
          <w:szCs w:val="22"/>
        </w:rPr>
        <w:t>ponesimod</w:t>
      </w:r>
      <w:proofErr w:type="spellEnd"/>
      <w:r w:rsidRPr="006B2326">
        <w:rPr>
          <w:rFonts w:ascii="Arial" w:hAnsi="Arial" w:cs="Arial"/>
          <w:sz w:val="22"/>
          <w:szCs w:val="22"/>
        </w:rPr>
        <w:t xml:space="preserve"> is characterized by low inter-subject variability, approximately 25% across studies.</w:t>
      </w:r>
    </w:p>
    <w:p w14:paraId="47008446" w14:textId="77777777" w:rsidR="009E6516" w:rsidRPr="006B2326" w:rsidRDefault="009E6516" w:rsidP="004C6478">
      <w:pPr>
        <w:pStyle w:val="BodyText12"/>
        <w:jc w:val="left"/>
        <w:rPr>
          <w:rFonts w:ascii="Arial" w:hAnsi="Arial" w:cs="Arial"/>
          <w:sz w:val="22"/>
          <w:szCs w:val="22"/>
        </w:rPr>
      </w:pPr>
      <w:bookmarkStart w:id="35" w:name="_Hlk15465268"/>
      <w:r w:rsidRPr="006B2326">
        <w:rPr>
          <w:rFonts w:ascii="Arial" w:hAnsi="Arial" w:cs="Arial"/>
          <w:sz w:val="22"/>
          <w:szCs w:val="22"/>
        </w:rPr>
        <w:t xml:space="preserve">The pharmacokinetics of </w:t>
      </w:r>
      <w:proofErr w:type="spellStart"/>
      <w:r w:rsidRPr="006B2326">
        <w:rPr>
          <w:rFonts w:ascii="Arial" w:hAnsi="Arial" w:cs="Arial"/>
          <w:sz w:val="22"/>
          <w:szCs w:val="22"/>
        </w:rPr>
        <w:t>ponesimod</w:t>
      </w:r>
      <w:proofErr w:type="spellEnd"/>
      <w:r w:rsidRPr="006B2326">
        <w:rPr>
          <w:rFonts w:ascii="Arial" w:hAnsi="Arial" w:cs="Arial"/>
          <w:sz w:val="22"/>
          <w:szCs w:val="22"/>
        </w:rPr>
        <w:t xml:space="preserve"> is similar in healthy subjects and subjects with multiple sclerosis.</w:t>
      </w:r>
    </w:p>
    <w:bookmarkEnd w:id="35"/>
    <w:p w14:paraId="11AFFA94" w14:textId="1E3999AB" w:rsidR="0041319B" w:rsidRPr="006B2326" w:rsidRDefault="0041319B" w:rsidP="004C6478">
      <w:pPr>
        <w:pStyle w:val="Heading3"/>
        <w:rPr>
          <w:noProof/>
        </w:rPr>
      </w:pPr>
      <w:r w:rsidRPr="006B2326">
        <w:rPr>
          <w:noProof/>
        </w:rPr>
        <w:t>Absorption</w:t>
      </w:r>
    </w:p>
    <w:p w14:paraId="784715CE" w14:textId="32321650" w:rsidR="0041319B" w:rsidRPr="006B2326" w:rsidRDefault="0041319B" w:rsidP="004C6478">
      <w:pPr>
        <w:jc w:val="left"/>
        <w:rPr>
          <w:rFonts w:eastAsia="SimSun"/>
          <w:noProof/>
        </w:rPr>
      </w:pPr>
      <w:r w:rsidRPr="006B2326">
        <w:rPr>
          <w:rFonts w:eastAsia="SimSun"/>
          <w:noProof/>
        </w:rPr>
        <w:t>The time to reach maximum plasma concentration of ponesimod is 2</w:t>
      </w:r>
      <w:r w:rsidRPr="006B2326">
        <w:rPr>
          <w:noProof/>
        </w:rPr>
        <w:noBreakHyphen/>
      </w:r>
      <w:r w:rsidRPr="006B2326">
        <w:rPr>
          <w:rFonts w:eastAsia="SimSun"/>
          <w:noProof/>
        </w:rPr>
        <w:t>4 hours post</w:t>
      </w:r>
      <w:r w:rsidRPr="006B2326">
        <w:rPr>
          <w:noProof/>
        </w:rPr>
        <w:t>-</w:t>
      </w:r>
      <w:r w:rsidRPr="006B2326">
        <w:rPr>
          <w:rFonts w:eastAsia="SimSun"/>
          <w:noProof/>
        </w:rPr>
        <w:t>dose. The absolute oral bioavailability of a 10 mg dose is 83.8%.</w:t>
      </w:r>
    </w:p>
    <w:p w14:paraId="5A1C8AB7" w14:textId="77777777" w:rsidR="0041319B" w:rsidRPr="006B2326" w:rsidRDefault="0041319B" w:rsidP="004C6478">
      <w:pPr>
        <w:pStyle w:val="Heading4"/>
        <w:rPr>
          <w:noProof/>
        </w:rPr>
      </w:pPr>
      <w:r w:rsidRPr="006B2326">
        <w:rPr>
          <w:noProof/>
        </w:rPr>
        <w:t>Food effect</w:t>
      </w:r>
    </w:p>
    <w:p w14:paraId="4A35EB68" w14:textId="049D971E" w:rsidR="009E6516" w:rsidRPr="006B2326" w:rsidRDefault="009E6516" w:rsidP="004C6478">
      <w:pPr>
        <w:jc w:val="left"/>
        <w:rPr>
          <w:b/>
          <w:noProof/>
        </w:rPr>
      </w:pPr>
      <w:r w:rsidRPr="006B2326">
        <w:rPr>
          <w:noProof/>
        </w:rPr>
        <w:t xml:space="preserve">Food does not have a clinically relevant effect on ponesimod pharmacokinetics, therefore </w:t>
      </w:r>
      <w:r w:rsidR="00387EBC" w:rsidRPr="006B2326">
        <w:rPr>
          <w:noProof/>
        </w:rPr>
        <w:t>PONVORY</w:t>
      </w:r>
      <w:r w:rsidRPr="006B2326">
        <w:rPr>
          <w:noProof/>
        </w:rPr>
        <w:t xml:space="preserve"> may be taken with or without food.</w:t>
      </w:r>
    </w:p>
    <w:p w14:paraId="118AE70C" w14:textId="2A5CEE7D" w:rsidR="0041319B" w:rsidRPr="006B2326" w:rsidRDefault="0041319B" w:rsidP="004C6478">
      <w:pPr>
        <w:pStyle w:val="Heading3"/>
        <w:rPr>
          <w:noProof/>
        </w:rPr>
      </w:pPr>
      <w:r w:rsidRPr="006B2326">
        <w:rPr>
          <w:noProof/>
        </w:rPr>
        <w:t>Distribution</w:t>
      </w:r>
    </w:p>
    <w:p w14:paraId="4515C0AF" w14:textId="33565FBB" w:rsidR="0041319B" w:rsidRPr="006B2326" w:rsidRDefault="0041319B" w:rsidP="004C6478">
      <w:pPr>
        <w:jc w:val="left"/>
        <w:rPr>
          <w:rFonts w:eastAsia="SimSun"/>
          <w:noProof/>
        </w:rPr>
      </w:pPr>
      <w:r w:rsidRPr="006B2326">
        <w:rPr>
          <w:rFonts w:eastAsia="SimSun"/>
          <w:noProof/>
        </w:rPr>
        <w:t xml:space="preserve">Following intravenous administration in healthy subjects, the </w:t>
      </w:r>
      <w:bookmarkStart w:id="36" w:name="_Hlk16678464"/>
      <w:r w:rsidRPr="006B2326">
        <w:rPr>
          <w:rFonts w:eastAsia="SimSun"/>
          <w:noProof/>
        </w:rPr>
        <w:t>steady-state</w:t>
      </w:r>
      <w:bookmarkEnd w:id="36"/>
      <w:r w:rsidRPr="006B2326">
        <w:rPr>
          <w:rFonts w:eastAsia="SimSun"/>
          <w:noProof/>
        </w:rPr>
        <w:t xml:space="preserve"> volume of distribution of ponesimod is 160 L.</w:t>
      </w:r>
    </w:p>
    <w:p w14:paraId="54B77B5D" w14:textId="4DCC908B" w:rsidR="0041319B" w:rsidRPr="006B2326" w:rsidRDefault="0041319B" w:rsidP="004C6478">
      <w:pPr>
        <w:jc w:val="left"/>
        <w:rPr>
          <w:rFonts w:eastAsia="SimSun"/>
          <w:noProof/>
        </w:rPr>
      </w:pPr>
      <w:r w:rsidRPr="006B2326">
        <w:rPr>
          <w:rFonts w:eastAsia="SimSun"/>
          <w:noProof/>
        </w:rPr>
        <w:t>Ponesimod is highly bound to plasma proteins, (&gt; 99%) and is mainly (78.5%) distributed in the plasma fraction of whole blood. Animal studies show that ponesimod readily crosses the blood</w:t>
      </w:r>
      <w:r w:rsidRPr="006B2326">
        <w:rPr>
          <w:rFonts w:eastAsia="SimSun"/>
          <w:noProof/>
        </w:rPr>
        <w:noBreakHyphen/>
        <w:t>brain</w:t>
      </w:r>
      <w:r w:rsidRPr="006B2326">
        <w:rPr>
          <w:rFonts w:eastAsia="SimSun"/>
          <w:noProof/>
        </w:rPr>
        <w:noBreakHyphen/>
        <w:t>barrier.</w:t>
      </w:r>
    </w:p>
    <w:p w14:paraId="2FD03E8D" w14:textId="61B612CD" w:rsidR="0041319B" w:rsidRPr="006B2326" w:rsidRDefault="00A26F4D" w:rsidP="004C6478">
      <w:pPr>
        <w:pStyle w:val="Heading3"/>
        <w:rPr>
          <w:noProof/>
        </w:rPr>
      </w:pPr>
      <w:bookmarkStart w:id="37" w:name="_Hlk54356989"/>
      <w:r w:rsidRPr="006B2326">
        <w:rPr>
          <w:noProof/>
        </w:rPr>
        <w:t>Metabolism</w:t>
      </w:r>
    </w:p>
    <w:bookmarkEnd w:id="37"/>
    <w:p w14:paraId="581C277C" w14:textId="38B83452" w:rsidR="009E6516" w:rsidRPr="006B2326" w:rsidRDefault="009E6516" w:rsidP="004C6478">
      <w:pPr>
        <w:jc w:val="left"/>
        <w:rPr>
          <w:noProof/>
          <w:lang w:eastAsia="zh-CN"/>
        </w:rPr>
      </w:pPr>
      <w:r w:rsidRPr="006B2326">
        <w:rPr>
          <w:noProof/>
          <w:lang w:eastAsia="zh-CN"/>
        </w:rPr>
        <w:t>Ponesimod is extensively metaboli</w:t>
      </w:r>
      <w:r w:rsidR="001D3CAF" w:rsidRPr="006B2326">
        <w:rPr>
          <w:noProof/>
          <w:lang w:eastAsia="zh-CN"/>
        </w:rPr>
        <w:t>s</w:t>
      </w:r>
      <w:r w:rsidRPr="006B2326">
        <w:rPr>
          <w:noProof/>
          <w:lang w:eastAsia="zh-CN"/>
        </w:rPr>
        <w:t>ed prior to excretion in humans, though unchanged ponesimod was the main circulating component in plasma. Two inactive circulating metabolites, M12 and M13, have also been identified in human plasma. M13 is approximately 20% and M12 is 6% of total drug</w:t>
      </w:r>
      <w:r w:rsidR="009D0F27" w:rsidRPr="006B2326">
        <w:rPr>
          <w:noProof/>
          <w:lang w:eastAsia="zh-CN"/>
        </w:rPr>
        <w:t>-</w:t>
      </w:r>
      <w:r w:rsidRPr="006B2326">
        <w:rPr>
          <w:noProof/>
          <w:lang w:eastAsia="zh-CN"/>
        </w:rPr>
        <w:t>related exposure. Both metabolites are inactive at S1P receptors at concentrations achieved with therapeutic doses of ponesimod.</w:t>
      </w:r>
    </w:p>
    <w:p w14:paraId="1F5E12FD" w14:textId="7DCBD32B" w:rsidR="009E6516" w:rsidRPr="006B2326" w:rsidRDefault="009E6516" w:rsidP="004C6478">
      <w:pPr>
        <w:jc w:val="left"/>
        <w:rPr>
          <w:b/>
          <w:noProof/>
          <w:lang w:eastAsia="zh-CN"/>
        </w:rPr>
      </w:pPr>
      <w:r w:rsidRPr="006B2326">
        <w:rPr>
          <w:noProof/>
          <w:lang w:eastAsia="zh-CN"/>
        </w:rPr>
        <w:t>Experiments with human liver preparations indicate that metabolism of ponesimod to M13 occurs primarily through a combination of non</w:t>
      </w:r>
      <w:r w:rsidR="001D3CAF" w:rsidRPr="006B2326">
        <w:rPr>
          <w:noProof/>
          <w:lang w:eastAsia="zh-CN"/>
        </w:rPr>
        <w:t>-</w:t>
      </w:r>
      <w:r w:rsidRPr="006B2326">
        <w:rPr>
          <w:noProof/>
          <w:lang w:eastAsia="zh-CN"/>
        </w:rPr>
        <w:t>Cytochrome P450 (CYP450) enzymatic activities. Multiple CYP450 (CYP2J2, CYP3A4, CYP3A5, CYP4F3A, and CYP4F12) and non-CYP450 enzymes catalyze the oxidation of ponesimod to M12. Ponesimod also undergoes direct glucuronidation (mainly UGT1A1 and UGT2B7).</w:t>
      </w:r>
    </w:p>
    <w:p w14:paraId="0A58AD9D" w14:textId="31E45358" w:rsidR="0041319B" w:rsidRPr="006B2326" w:rsidRDefault="0041319B" w:rsidP="004C6478">
      <w:pPr>
        <w:pStyle w:val="Heading3"/>
        <w:rPr>
          <w:noProof/>
        </w:rPr>
      </w:pPr>
      <w:r w:rsidRPr="006B2326">
        <w:rPr>
          <w:noProof/>
        </w:rPr>
        <w:t>Elimination</w:t>
      </w:r>
    </w:p>
    <w:p w14:paraId="02AE7539" w14:textId="35330F62" w:rsidR="0041319B" w:rsidRPr="006B2326" w:rsidRDefault="0041319B" w:rsidP="004C6478">
      <w:pPr>
        <w:jc w:val="left"/>
        <w:rPr>
          <w:rFonts w:eastAsia="SimSun"/>
          <w:noProof/>
        </w:rPr>
      </w:pPr>
      <w:r w:rsidRPr="006B2326">
        <w:rPr>
          <w:noProof/>
        </w:rPr>
        <w:t xml:space="preserve">After a single intravenous administration, the </w:t>
      </w:r>
      <w:r w:rsidRPr="006B2326">
        <w:rPr>
          <w:rFonts w:eastAsia="SimSun"/>
          <w:noProof/>
        </w:rPr>
        <w:t>total clearance of ponesimod is 3.8 L/hour. The elimination half</w:t>
      </w:r>
      <w:r w:rsidRPr="006B2326">
        <w:rPr>
          <w:noProof/>
        </w:rPr>
        <w:noBreakHyphen/>
      </w:r>
      <w:r w:rsidRPr="006B2326">
        <w:rPr>
          <w:rFonts w:eastAsia="SimSun"/>
          <w:noProof/>
        </w:rPr>
        <w:t>life after oral administration is approximately 33 hours.</w:t>
      </w:r>
    </w:p>
    <w:p w14:paraId="4A322D12" w14:textId="670060B9" w:rsidR="0041319B" w:rsidRPr="006B2326" w:rsidRDefault="0041319B" w:rsidP="004C6478">
      <w:pPr>
        <w:jc w:val="left"/>
        <w:rPr>
          <w:rFonts w:eastAsia="SimSun"/>
          <w:noProof/>
        </w:rPr>
      </w:pPr>
      <w:r w:rsidRPr="006B2326">
        <w:rPr>
          <w:rFonts w:eastAsia="SimSun"/>
          <w:noProof/>
        </w:rPr>
        <w:t xml:space="preserve">Following a single oral administration of </w:t>
      </w:r>
      <w:r w:rsidRPr="006B2326">
        <w:rPr>
          <w:rFonts w:eastAsia="SimSun"/>
          <w:noProof/>
          <w:vertAlign w:val="superscript"/>
        </w:rPr>
        <w:t>14</w:t>
      </w:r>
      <w:r w:rsidRPr="006B2326">
        <w:rPr>
          <w:rFonts w:eastAsia="SimSun"/>
          <w:noProof/>
        </w:rPr>
        <w:t>C</w:t>
      </w:r>
      <w:r w:rsidRPr="006B2326">
        <w:rPr>
          <w:rFonts w:eastAsia="SimSun"/>
          <w:noProof/>
        </w:rPr>
        <w:noBreakHyphen/>
        <w:t>ponesimod, 57%</w:t>
      </w:r>
      <w:r w:rsidRPr="006B2326">
        <w:rPr>
          <w:noProof/>
        </w:rPr>
        <w:t xml:space="preserve"> to </w:t>
      </w:r>
      <w:r w:rsidRPr="006B2326">
        <w:rPr>
          <w:rFonts w:eastAsia="SimSun"/>
          <w:noProof/>
        </w:rPr>
        <w:t>80% of the dose was recovered in faeces (16% as unchanged ponesimod), and 10% to18% in urine (no unchanged ponesimod).</w:t>
      </w:r>
    </w:p>
    <w:p w14:paraId="2C9302E5" w14:textId="20B64D12" w:rsidR="0041319B" w:rsidRPr="006B2326" w:rsidRDefault="0041319B" w:rsidP="004C6478">
      <w:pPr>
        <w:pStyle w:val="Heading3"/>
        <w:rPr>
          <w:noProof/>
        </w:rPr>
      </w:pPr>
      <w:r w:rsidRPr="006B2326">
        <w:rPr>
          <w:noProof/>
        </w:rPr>
        <w:t>Specific populations</w:t>
      </w:r>
    </w:p>
    <w:p w14:paraId="1EE2D17A" w14:textId="77777777" w:rsidR="0041319B" w:rsidRPr="006B2326" w:rsidRDefault="0041319B" w:rsidP="004C6478">
      <w:pPr>
        <w:pStyle w:val="Heading4"/>
        <w:rPr>
          <w:noProof/>
        </w:rPr>
      </w:pPr>
      <w:r w:rsidRPr="006B2326">
        <w:rPr>
          <w:noProof/>
        </w:rPr>
        <w:t>Renal impairment</w:t>
      </w:r>
    </w:p>
    <w:p w14:paraId="343F52B1" w14:textId="10A20BCC" w:rsidR="0041319B" w:rsidRPr="006B2326" w:rsidRDefault="0041319B" w:rsidP="004C6478">
      <w:pPr>
        <w:jc w:val="left"/>
        <w:rPr>
          <w:noProof/>
        </w:rPr>
      </w:pPr>
      <w:bookmarkStart w:id="38" w:name="_Hlk9417624"/>
      <w:r w:rsidRPr="006B2326">
        <w:rPr>
          <w:noProof/>
        </w:rPr>
        <w:t xml:space="preserve">No dose adjustment is necessary in patients with renal impairment. In adult subjects with moderate or severe renal impairment (estimated creatinine clearance (CrCl) as determined </w:t>
      </w:r>
      <w:r w:rsidRPr="006B2326">
        <w:rPr>
          <w:noProof/>
        </w:rPr>
        <w:lastRenderedPageBreak/>
        <w:t>by the Cockroft</w:t>
      </w:r>
      <w:r w:rsidRPr="006B2326">
        <w:rPr>
          <w:noProof/>
        </w:rPr>
        <w:noBreakHyphen/>
        <w:t>Gault between 30-59 mL/min for moderate and &lt;30 mL/min for severe), there were no significant changes in ponesimod C</w:t>
      </w:r>
      <w:r w:rsidRPr="006B2326">
        <w:rPr>
          <w:noProof/>
          <w:vertAlign w:val="subscript"/>
        </w:rPr>
        <w:t>max</w:t>
      </w:r>
      <w:r w:rsidRPr="006B2326">
        <w:rPr>
          <w:noProof/>
        </w:rPr>
        <w:t xml:space="preserve"> and AUC compared to subjects with normal renal function (CrCl&gt;90 mL/min). The effect of dialysis on the pharmacokinetics of ponesimod has not been studied. Due to the high plasma protein binding (greater than 99%) of ponesimod, dialysis is not expected to alter the total and unbound ponesimod concentration and no dose adjustments are anticipated based on these considerations.</w:t>
      </w:r>
    </w:p>
    <w:p w14:paraId="7C542FD5" w14:textId="77777777" w:rsidR="0041319B" w:rsidRPr="006B2326" w:rsidRDefault="0041319B" w:rsidP="004C6478">
      <w:pPr>
        <w:pStyle w:val="Heading4"/>
        <w:rPr>
          <w:noProof/>
        </w:rPr>
      </w:pPr>
      <w:bookmarkStart w:id="39" w:name="_Hlk61601028"/>
      <w:r w:rsidRPr="006B2326">
        <w:rPr>
          <w:noProof/>
        </w:rPr>
        <w:t>Hepatic impairment</w:t>
      </w:r>
      <w:bookmarkEnd w:id="38"/>
    </w:p>
    <w:p w14:paraId="5FB13645" w14:textId="6EA9DAC0" w:rsidR="009E6516" w:rsidRPr="006B2326" w:rsidRDefault="009E6516" w:rsidP="004C6478">
      <w:pPr>
        <w:jc w:val="left"/>
        <w:rPr>
          <w:rFonts w:eastAsia="SimSun"/>
          <w:noProof/>
          <w:lang w:eastAsia="en-GB"/>
        </w:rPr>
      </w:pPr>
      <w:bookmarkStart w:id="40" w:name="_Hlk534806907"/>
      <w:bookmarkStart w:id="41" w:name="_Hlk14705577"/>
      <w:r w:rsidRPr="006B2326">
        <w:rPr>
          <w:rFonts w:eastAsia="SimSun"/>
          <w:noProof/>
          <w:lang w:eastAsia="en-GB"/>
        </w:rPr>
        <w:t>In adult subjects with mild, moderate or severe hepatic impairment (Child-Pugh class A, B and C, respectively), no change in ponesimod C</w:t>
      </w:r>
      <w:r w:rsidRPr="006B2326">
        <w:rPr>
          <w:rFonts w:eastAsia="SimSun"/>
          <w:noProof/>
          <w:vertAlign w:val="subscript"/>
          <w:lang w:eastAsia="en-GB"/>
        </w:rPr>
        <w:t xml:space="preserve">max </w:t>
      </w:r>
      <w:r w:rsidRPr="006B2326">
        <w:rPr>
          <w:rFonts w:eastAsia="SimSun"/>
          <w:noProof/>
          <w:lang w:eastAsia="en-GB"/>
        </w:rPr>
        <w:t>was observed, but ponesimod AUC</w:t>
      </w:r>
      <w:r w:rsidRPr="006B2326">
        <w:rPr>
          <w:rFonts w:eastAsia="SimSun"/>
          <w:noProof/>
          <w:vertAlign w:val="subscript"/>
          <w:lang w:eastAsia="en-GB"/>
        </w:rPr>
        <w:t>0-∞</w:t>
      </w:r>
      <w:r w:rsidRPr="006B2326">
        <w:rPr>
          <w:rFonts w:eastAsia="SimSun"/>
          <w:noProof/>
          <w:lang w:eastAsia="en-GB"/>
        </w:rPr>
        <w:t xml:space="preserve"> was increased by 1.3</w:t>
      </w:r>
      <w:r w:rsidR="001D3CAF" w:rsidRPr="006B2326">
        <w:rPr>
          <w:rFonts w:eastAsia="SimSun"/>
          <w:noProof/>
          <w:lang w:eastAsia="en-GB"/>
        </w:rPr>
        <w:t>-</w:t>
      </w:r>
      <w:r w:rsidRPr="006B2326">
        <w:rPr>
          <w:rFonts w:eastAsia="SimSun"/>
          <w:noProof/>
          <w:lang w:eastAsia="en-GB"/>
        </w:rPr>
        <w:t xml:space="preserve"> , 2.0</w:t>
      </w:r>
      <w:r w:rsidR="001D3CAF" w:rsidRPr="006B2326">
        <w:rPr>
          <w:rFonts w:eastAsia="SimSun"/>
          <w:noProof/>
          <w:lang w:eastAsia="en-GB"/>
        </w:rPr>
        <w:t>-</w:t>
      </w:r>
      <w:r w:rsidRPr="006B2326">
        <w:rPr>
          <w:rFonts w:eastAsia="SimSun"/>
          <w:noProof/>
          <w:lang w:eastAsia="en-GB"/>
        </w:rPr>
        <w:t xml:space="preserve">  and 3.1</w:t>
      </w:r>
      <w:r w:rsidR="001D3CAF" w:rsidRPr="006B2326">
        <w:rPr>
          <w:rFonts w:eastAsia="SimSun"/>
          <w:noProof/>
          <w:lang w:eastAsia="en-GB"/>
        </w:rPr>
        <w:t>-</w:t>
      </w:r>
      <w:r w:rsidRPr="006B2326">
        <w:rPr>
          <w:rFonts w:eastAsia="SimSun"/>
          <w:noProof/>
          <w:lang w:eastAsia="en-GB"/>
        </w:rPr>
        <w:t xml:space="preserve"> fold respectively compared to healthy subjects.</w:t>
      </w:r>
    </w:p>
    <w:p w14:paraId="2C7BCBC3" w14:textId="2197CF8C" w:rsidR="009E6516" w:rsidRPr="006B2326" w:rsidRDefault="00387EBC" w:rsidP="004C6478">
      <w:pPr>
        <w:jc w:val="left"/>
        <w:rPr>
          <w:rFonts w:eastAsia="SimSun"/>
          <w:noProof/>
          <w:lang w:eastAsia="en-GB"/>
        </w:rPr>
      </w:pPr>
      <w:r w:rsidRPr="006B2326">
        <w:rPr>
          <w:rFonts w:eastAsia="SimSun"/>
          <w:noProof/>
          <w:lang w:eastAsia="en-GB"/>
        </w:rPr>
        <w:t>PONVORY</w:t>
      </w:r>
      <w:r w:rsidR="009E6516" w:rsidRPr="006B2326">
        <w:rPr>
          <w:rFonts w:eastAsia="SimSun"/>
          <w:noProof/>
          <w:lang w:eastAsia="en-GB"/>
        </w:rPr>
        <w:t xml:space="preserve"> is not recommended in patients with moderate and severe hepatic impairment, as the risk of adverse reactions may be greater.</w:t>
      </w:r>
    </w:p>
    <w:p w14:paraId="3AF6D3E4" w14:textId="20DBA775" w:rsidR="0041319B" w:rsidRPr="006B2326" w:rsidRDefault="009E6516" w:rsidP="004C6478">
      <w:pPr>
        <w:jc w:val="left"/>
        <w:rPr>
          <w:noProof/>
        </w:rPr>
      </w:pPr>
      <w:r w:rsidRPr="006B2326">
        <w:rPr>
          <w:rFonts w:eastAsia="SimSun"/>
          <w:noProof/>
          <w:lang w:eastAsia="en-GB"/>
        </w:rPr>
        <w:t>No dose adjustment is needed in patients with mild hepatic impairment (Child-Pugh class A).</w:t>
      </w:r>
      <w:bookmarkEnd w:id="39"/>
    </w:p>
    <w:p w14:paraId="2A2BA4A0" w14:textId="77777777" w:rsidR="0041319B" w:rsidRPr="006B2326" w:rsidRDefault="0041319B" w:rsidP="004C6478">
      <w:pPr>
        <w:pStyle w:val="Heading4"/>
        <w:rPr>
          <w:noProof/>
        </w:rPr>
      </w:pPr>
      <w:bookmarkStart w:id="42" w:name="_Hlk14946468"/>
      <w:bookmarkEnd w:id="40"/>
      <w:bookmarkEnd w:id="41"/>
      <w:r w:rsidRPr="006B2326">
        <w:rPr>
          <w:noProof/>
        </w:rPr>
        <w:t>Age</w:t>
      </w:r>
    </w:p>
    <w:bookmarkEnd w:id="42"/>
    <w:p w14:paraId="304C52B6" w14:textId="77777777" w:rsidR="00C5122F" w:rsidRPr="006B2326" w:rsidRDefault="00C5122F" w:rsidP="004C6478">
      <w:pPr>
        <w:jc w:val="left"/>
        <w:rPr>
          <w:iCs/>
          <w:noProof/>
        </w:rPr>
      </w:pPr>
      <w:r w:rsidRPr="006B2326">
        <w:rPr>
          <w:noProof/>
        </w:rPr>
        <w:t>The results from population pharmacokinetics of ponesimod demonstrated age (range: 17 to 65 years) was not identified to significantly influence the PK of ponesimod. The population pharmacokinetics results suggest no dose adjustment is necessary in elderly patients.</w:t>
      </w:r>
    </w:p>
    <w:p w14:paraId="1310BAE2" w14:textId="02C3E59C" w:rsidR="0041319B" w:rsidRPr="006B2326" w:rsidRDefault="0041319B" w:rsidP="004C6478">
      <w:pPr>
        <w:pStyle w:val="Heading4"/>
        <w:rPr>
          <w:noProof/>
        </w:rPr>
      </w:pPr>
      <w:r w:rsidRPr="006B2326">
        <w:rPr>
          <w:noProof/>
        </w:rPr>
        <w:t>Gender</w:t>
      </w:r>
    </w:p>
    <w:p w14:paraId="7D88E51B" w14:textId="7CB2AE01" w:rsidR="0041319B" w:rsidRPr="006B2326" w:rsidRDefault="0041319B" w:rsidP="004C6478">
      <w:pPr>
        <w:jc w:val="left"/>
        <w:rPr>
          <w:noProof/>
        </w:rPr>
      </w:pPr>
      <w:r w:rsidRPr="006B2326">
        <w:rPr>
          <w:noProof/>
        </w:rPr>
        <w:t>Gender has no clinically significant influence on ponesimod pharmacokinetics.</w:t>
      </w:r>
    </w:p>
    <w:p w14:paraId="07CA2D6E" w14:textId="77777777" w:rsidR="0041319B" w:rsidRPr="006B2326" w:rsidRDefault="0041319B" w:rsidP="004C6478">
      <w:pPr>
        <w:pStyle w:val="Heading4"/>
        <w:rPr>
          <w:noProof/>
        </w:rPr>
      </w:pPr>
      <w:bookmarkStart w:id="43" w:name="_Hlk45368578"/>
      <w:r w:rsidRPr="006B2326">
        <w:rPr>
          <w:noProof/>
        </w:rPr>
        <w:t>Race</w:t>
      </w:r>
    </w:p>
    <w:p w14:paraId="723D88BC" w14:textId="7B0DEB71" w:rsidR="0041319B" w:rsidRPr="006B2326" w:rsidRDefault="0041319B" w:rsidP="004C6478">
      <w:pPr>
        <w:jc w:val="left"/>
        <w:rPr>
          <w:noProof/>
        </w:rPr>
      </w:pPr>
      <w:r w:rsidRPr="006B2326">
        <w:rPr>
          <w:noProof/>
        </w:rPr>
        <w:t>No clinically relevant pharmacokinetic differences were observed between Japanese and Caucasian subjects.</w:t>
      </w:r>
    </w:p>
    <w:bookmarkEnd w:id="43"/>
    <w:p w14:paraId="48383ED7" w14:textId="77777777" w:rsidR="0041319B" w:rsidRPr="006B2326" w:rsidRDefault="0041319B" w:rsidP="004C6478">
      <w:pPr>
        <w:jc w:val="left"/>
      </w:pPr>
    </w:p>
    <w:p w14:paraId="458259DC" w14:textId="1860DCF2" w:rsidR="00320CD9" w:rsidRPr="006B2326" w:rsidRDefault="00320CD9" w:rsidP="004C6478">
      <w:pPr>
        <w:pStyle w:val="Heading2"/>
        <w:rPr>
          <w:lang w:val="en-AU"/>
        </w:rPr>
      </w:pPr>
      <w:r w:rsidRPr="006B2326">
        <w:rPr>
          <w:lang w:val="en-AU"/>
        </w:rPr>
        <w:t>PRECLINICAL SAFETY DATA</w:t>
      </w:r>
    </w:p>
    <w:p w14:paraId="03DE491C" w14:textId="6AD91208" w:rsidR="0041319B" w:rsidRPr="006B2326" w:rsidRDefault="00BD43D8" w:rsidP="004C6478">
      <w:pPr>
        <w:pStyle w:val="Heading3"/>
        <w:rPr>
          <w:lang w:val="en-AU"/>
        </w:rPr>
      </w:pPr>
      <w:r w:rsidRPr="006B2326">
        <w:rPr>
          <w:lang w:val="en-AU"/>
        </w:rPr>
        <w:t>Genotoxicity</w:t>
      </w:r>
      <w:bookmarkStart w:id="44" w:name="_Hlk12954325"/>
    </w:p>
    <w:p w14:paraId="552E4F47" w14:textId="77777777" w:rsidR="009E6516" w:rsidRPr="006B2326" w:rsidRDefault="009E6516" w:rsidP="004C6478">
      <w:pPr>
        <w:jc w:val="left"/>
        <w:rPr>
          <w:b/>
          <w:noProof/>
        </w:rPr>
      </w:pPr>
      <w:r w:rsidRPr="006B2326">
        <w:rPr>
          <w:noProof/>
        </w:rPr>
        <w:t xml:space="preserve">Ponesimod was negative in a battery of </w:t>
      </w:r>
      <w:r w:rsidRPr="006B2326">
        <w:rPr>
          <w:i/>
          <w:iCs/>
          <w:noProof/>
        </w:rPr>
        <w:t>in vitro</w:t>
      </w:r>
      <w:r w:rsidRPr="006B2326">
        <w:rPr>
          <w:noProof/>
        </w:rPr>
        <w:t xml:space="preserve"> (Ames, chromosomal aberration in mammalian cells) and </w:t>
      </w:r>
      <w:r w:rsidRPr="006B2326">
        <w:rPr>
          <w:i/>
          <w:iCs/>
          <w:noProof/>
        </w:rPr>
        <w:t>in vivo</w:t>
      </w:r>
      <w:r w:rsidRPr="006B2326">
        <w:rPr>
          <w:noProof/>
        </w:rPr>
        <w:t xml:space="preserve"> (micronucleus in rat) assays</w:t>
      </w:r>
      <w:r w:rsidRPr="006B2326">
        <w:rPr>
          <w:b/>
          <w:noProof/>
        </w:rPr>
        <w:t>.</w:t>
      </w:r>
    </w:p>
    <w:p w14:paraId="0D5483C2" w14:textId="0328F43C" w:rsidR="0041319B" w:rsidRPr="006B2326" w:rsidRDefault="00BD43D8" w:rsidP="004C6478">
      <w:pPr>
        <w:pStyle w:val="Heading3"/>
        <w:rPr>
          <w:lang w:val="en-AU"/>
        </w:rPr>
      </w:pPr>
      <w:r w:rsidRPr="006B2326">
        <w:rPr>
          <w:lang w:val="en-AU"/>
        </w:rPr>
        <w:t>Carcinogenicity</w:t>
      </w:r>
    </w:p>
    <w:bookmarkEnd w:id="44"/>
    <w:p w14:paraId="6EEFD273" w14:textId="1B6B7C33" w:rsidR="00D20A5A" w:rsidRPr="006B2326" w:rsidRDefault="00D20A5A" w:rsidP="004C6478">
      <w:pPr>
        <w:jc w:val="left"/>
        <w:rPr>
          <w:noProof/>
        </w:rPr>
      </w:pPr>
      <w:r w:rsidRPr="006B2326">
        <w:rPr>
          <w:noProof/>
        </w:rPr>
        <w:t xml:space="preserve">Oral carcinogenicity studies of ponesimod were conducted in mice and rats. In rats, ponesimod was administered at oral doses of 3, 10 and 30 mg/kg/day in males and 100 mg/kg/day in females for up to 2 years. Ponesimod did not induce neoplastic lesions. The highest doses tested (30/100 mg/kg/day) are </w:t>
      </w:r>
      <w:r w:rsidR="000A6E14">
        <w:rPr>
          <w:noProof/>
        </w:rPr>
        <w:t>4</w:t>
      </w:r>
      <w:r w:rsidRPr="006B2326">
        <w:rPr>
          <w:noProof/>
        </w:rPr>
        <w:t xml:space="preserve"> and </w:t>
      </w:r>
      <w:r w:rsidR="000A6E14">
        <w:rPr>
          <w:noProof/>
        </w:rPr>
        <w:t>19</w:t>
      </w:r>
      <w:r w:rsidRPr="006B2326">
        <w:rPr>
          <w:noProof/>
        </w:rPr>
        <w:t xml:space="preserve"> times the human systemic exposures at </w:t>
      </w:r>
      <w:r w:rsidR="00A2214F">
        <w:rPr>
          <w:noProof/>
        </w:rPr>
        <w:t>M</w:t>
      </w:r>
      <w:r w:rsidRPr="006B2326">
        <w:rPr>
          <w:noProof/>
        </w:rPr>
        <w:t>RHD of 20 mg based on the steady state clinical AUC</w:t>
      </w:r>
      <w:r w:rsidRPr="006B2326">
        <w:rPr>
          <w:noProof/>
          <w:vertAlign w:val="subscript"/>
        </w:rPr>
        <w:t>0-24</w:t>
      </w:r>
      <w:r w:rsidRPr="006B2326">
        <w:rPr>
          <w:noProof/>
        </w:rPr>
        <w:t>.</w:t>
      </w:r>
    </w:p>
    <w:p w14:paraId="4637D39B" w14:textId="2B58E1D1" w:rsidR="0041319B" w:rsidRPr="006B2326" w:rsidRDefault="00D20A5A" w:rsidP="004C6478">
      <w:pPr>
        <w:jc w:val="left"/>
        <w:rPr>
          <w:noProof/>
        </w:rPr>
      </w:pPr>
      <w:r w:rsidRPr="006B2326">
        <w:rPr>
          <w:noProof/>
        </w:rPr>
        <w:t xml:space="preserve">In mice, ponesimod was administered at oral doses of 50, 150 and 400 mg/kg/day in males and 30, 100 and 300 mg/kg/day in females for up to 2 years. The combined total incidence of hemangiosarcoma and hemangioma was increased in all treated males and high dose females. </w:t>
      </w:r>
      <w:r w:rsidR="000A6E14">
        <w:rPr>
          <w:noProof/>
        </w:rPr>
        <w:t xml:space="preserve">The </w:t>
      </w:r>
      <w:r w:rsidR="000A6E14" w:rsidRPr="006B2326">
        <w:rPr>
          <w:noProof/>
        </w:rPr>
        <w:t>AUC</w:t>
      </w:r>
      <w:r w:rsidR="000A6E14" w:rsidRPr="006B2326">
        <w:rPr>
          <w:noProof/>
          <w:vertAlign w:val="subscript"/>
        </w:rPr>
        <w:t>0-24</w:t>
      </w:r>
      <w:r w:rsidR="000A6E14">
        <w:rPr>
          <w:noProof/>
          <w:vertAlign w:val="subscript"/>
        </w:rPr>
        <w:t xml:space="preserve"> </w:t>
      </w:r>
      <w:r w:rsidR="000A6E14">
        <w:t xml:space="preserve">was approximately 5 times the human systemic exposures at MRHD of 20 mg/day. Similar species-specific incidences of </w:t>
      </w:r>
      <w:proofErr w:type="spellStart"/>
      <w:r w:rsidR="000A6E14">
        <w:t>haemangiosarcoma</w:t>
      </w:r>
      <w:proofErr w:type="spellEnd"/>
      <w:r w:rsidR="000A6E14">
        <w:t>/</w:t>
      </w:r>
      <w:proofErr w:type="spellStart"/>
      <w:r w:rsidR="000A6E14">
        <w:t>haemangioma</w:t>
      </w:r>
      <w:proofErr w:type="spellEnd"/>
      <w:r w:rsidR="000A6E14">
        <w:t xml:space="preserve"> were reported in carcinogenicity studies with drugs of the same pharmacological class. Mechanistic studies showed activation of vascular endothelial cells, leading to induction of abnormal angiogenesis and finally </w:t>
      </w:r>
      <w:proofErr w:type="spellStart"/>
      <w:r w:rsidR="000A6E14">
        <w:t>haemangiosarcoma</w:t>
      </w:r>
      <w:proofErr w:type="spellEnd"/>
      <w:r w:rsidR="000A6E14">
        <w:t xml:space="preserve">. No sustained vascular endothelial cell activation and no increased incidences of </w:t>
      </w:r>
      <w:proofErr w:type="spellStart"/>
      <w:r w:rsidR="000A6E14">
        <w:t>haemangiosarcoma</w:t>
      </w:r>
      <w:proofErr w:type="spellEnd"/>
      <w:r w:rsidR="000A6E14">
        <w:t xml:space="preserve"> were found in rats.</w:t>
      </w:r>
    </w:p>
    <w:p w14:paraId="5A1AAB2C" w14:textId="25D7AF70" w:rsidR="00666718" w:rsidRPr="005D7541" w:rsidRDefault="00666718" w:rsidP="004C6478">
      <w:pPr>
        <w:pStyle w:val="BodyText12"/>
        <w:jc w:val="left"/>
        <w:rPr>
          <w:rFonts w:ascii="Arial" w:hAnsi="Arial" w:cs="Arial"/>
          <w:sz w:val="22"/>
          <w:szCs w:val="22"/>
        </w:rPr>
      </w:pPr>
    </w:p>
    <w:p w14:paraId="792612A4" w14:textId="77777777" w:rsidR="008A13A7" w:rsidRPr="006B2326" w:rsidRDefault="008A13A7" w:rsidP="004C6478">
      <w:pPr>
        <w:pStyle w:val="Heading1"/>
        <w:rPr>
          <w:lang w:val="en-AU"/>
        </w:rPr>
      </w:pPr>
      <w:r w:rsidRPr="006B2326">
        <w:rPr>
          <w:lang w:val="en-AU"/>
        </w:rPr>
        <w:lastRenderedPageBreak/>
        <w:t xml:space="preserve">Pharmaceutical particulars </w:t>
      </w:r>
    </w:p>
    <w:p w14:paraId="44A61AB5" w14:textId="7D6CB6E7" w:rsidR="008A13A7" w:rsidRPr="006B2326" w:rsidRDefault="00320CD9" w:rsidP="004C6478">
      <w:pPr>
        <w:pStyle w:val="Heading2"/>
        <w:rPr>
          <w:lang w:val="en-AU"/>
        </w:rPr>
      </w:pPr>
      <w:r w:rsidRPr="006B2326">
        <w:rPr>
          <w:lang w:val="en-AU"/>
        </w:rPr>
        <w:t>List of excipients</w:t>
      </w:r>
    </w:p>
    <w:p w14:paraId="10298A04" w14:textId="77777777" w:rsidR="0041319B" w:rsidRPr="006B2326" w:rsidRDefault="0041319B" w:rsidP="004C6478">
      <w:pPr>
        <w:pStyle w:val="Heading3"/>
        <w:rPr>
          <w:noProof/>
        </w:rPr>
      </w:pPr>
      <w:bookmarkStart w:id="45" w:name="_Hlk14192233"/>
      <w:r w:rsidRPr="006B2326">
        <w:rPr>
          <w:noProof/>
        </w:rPr>
        <w:t>Tablet core</w:t>
      </w:r>
    </w:p>
    <w:p w14:paraId="24A062DE" w14:textId="77777777" w:rsidR="0041319B" w:rsidRPr="006B2326" w:rsidRDefault="0041319B" w:rsidP="004C6478">
      <w:pPr>
        <w:jc w:val="left"/>
        <w:rPr>
          <w:noProof/>
        </w:rPr>
      </w:pPr>
      <w:bookmarkStart w:id="46" w:name="_Hlk12543700"/>
      <w:r w:rsidRPr="006B2326">
        <w:rPr>
          <w:noProof/>
        </w:rPr>
        <w:t>Croscarmellose sodium</w:t>
      </w:r>
    </w:p>
    <w:p w14:paraId="37FDA6F4" w14:textId="77777777" w:rsidR="0041319B" w:rsidRPr="006B2326" w:rsidRDefault="0041319B" w:rsidP="004C6478">
      <w:pPr>
        <w:jc w:val="left"/>
        <w:rPr>
          <w:noProof/>
        </w:rPr>
      </w:pPr>
      <w:r w:rsidRPr="006B2326">
        <w:rPr>
          <w:noProof/>
        </w:rPr>
        <w:t>Lactose monohydrate</w:t>
      </w:r>
    </w:p>
    <w:p w14:paraId="18FAC359" w14:textId="77777777" w:rsidR="0041319B" w:rsidRPr="006B2326" w:rsidRDefault="0041319B" w:rsidP="004C6478">
      <w:pPr>
        <w:jc w:val="left"/>
        <w:rPr>
          <w:noProof/>
        </w:rPr>
      </w:pPr>
      <w:r w:rsidRPr="006B2326">
        <w:rPr>
          <w:noProof/>
        </w:rPr>
        <w:t>Magnesium stearate</w:t>
      </w:r>
    </w:p>
    <w:p w14:paraId="6724E59A" w14:textId="77777777" w:rsidR="0041319B" w:rsidRPr="006B2326" w:rsidRDefault="0041319B" w:rsidP="004C6478">
      <w:pPr>
        <w:jc w:val="left"/>
        <w:rPr>
          <w:noProof/>
        </w:rPr>
      </w:pPr>
      <w:r w:rsidRPr="006B2326">
        <w:rPr>
          <w:noProof/>
        </w:rPr>
        <w:t>Microcrystalline cellulose</w:t>
      </w:r>
    </w:p>
    <w:p w14:paraId="0D892E99" w14:textId="31E73078" w:rsidR="0041319B" w:rsidRPr="006B2326" w:rsidRDefault="0041319B" w:rsidP="004C6478">
      <w:pPr>
        <w:jc w:val="left"/>
        <w:rPr>
          <w:noProof/>
        </w:rPr>
      </w:pPr>
      <w:r w:rsidRPr="006B2326">
        <w:rPr>
          <w:noProof/>
        </w:rPr>
        <w:t xml:space="preserve">Povidone </w:t>
      </w:r>
    </w:p>
    <w:p w14:paraId="62CD5B67" w14:textId="5C5F8B4B" w:rsidR="0041319B" w:rsidRPr="006B2326" w:rsidRDefault="008F3629" w:rsidP="004C6478">
      <w:pPr>
        <w:jc w:val="left"/>
        <w:rPr>
          <w:noProof/>
        </w:rPr>
      </w:pPr>
      <w:r w:rsidRPr="006B2326">
        <w:rPr>
          <w:noProof/>
        </w:rPr>
        <w:t>C</w:t>
      </w:r>
      <w:r w:rsidR="0041319B" w:rsidRPr="006B2326">
        <w:rPr>
          <w:noProof/>
        </w:rPr>
        <w:t>olloidal anhydrous</w:t>
      </w:r>
      <w:r w:rsidRPr="006B2326">
        <w:rPr>
          <w:noProof/>
        </w:rPr>
        <w:t xml:space="preserve"> </w:t>
      </w:r>
      <w:bookmarkStart w:id="47" w:name="_Hlk12958066"/>
      <w:r w:rsidR="00456553" w:rsidRPr="006B2326">
        <w:rPr>
          <w:noProof/>
        </w:rPr>
        <w:t>s</w:t>
      </w:r>
      <w:r w:rsidRPr="006B2326">
        <w:rPr>
          <w:noProof/>
        </w:rPr>
        <w:t>ilica</w:t>
      </w:r>
      <w:bookmarkEnd w:id="47"/>
    </w:p>
    <w:p w14:paraId="7B38649E" w14:textId="6B5C2F1F" w:rsidR="0041319B" w:rsidRPr="006B2326" w:rsidRDefault="0041319B" w:rsidP="004C6478">
      <w:pPr>
        <w:jc w:val="left"/>
        <w:rPr>
          <w:noProof/>
        </w:rPr>
      </w:pPr>
      <w:r w:rsidRPr="006B2326">
        <w:rPr>
          <w:noProof/>
        </w:rPr>
        <w:t xml:space="preserve">Sodium </w:t>
      </w:r>
      <w:bookmarkStart w:id="48" w:name="_Hlk12958111"/>
      <w:r w:rsidRPr="006B2326">
        <w:rPr>
          <w:noProof/>
        </w:rPr>
        <w:t>laur</w:t>
      </w:r>
      <w:bookmarkEnd w:id="48"/>
      <w:r w:rsidR="00C67678" w:rsidRPr="006B2326">
        <w:rPr>
          <w:noProof/>
        </w:rPr>
        <w:t>yl sulfate</w:t>
      </w:r>
    </w:p>
    <w:bookmarkEnd w:id="45"/>
    <w:bookmarkEnd w:id="46"/>
    <w:p w14:paraId="69B1E631" w14:textId="77777777" w:rsidR="005C0A0F" w:rsidRPr="006B2326" w:rsidRDefault="005C0A0F" w:rsidP="004C6478">
      <w:pPr>
        <w:pStyle w:val="Heading3"/>
        <w:rPr>
          <w:noProof/>
        </w:rPr>
      </w:pPr>
      <w:r w:rsidRPr="006B2326">
        <w:rPr>
          <w:noProof/>
        </w:rPr>
        <w:t>Tablet coating</w:t>
      </w:r>
    </w:p>
    <w:p w14:paraId="68D8D299" w14:textId="3846792D" w:rsidR="005C0A0F" w:rsidRPr="006B2326" w:rsidRDefault="00387EBC" w:rsidP="004C6478">
      <w:pPr>
        <w:pStyle w:val="Heading4"/>
        <w:rPr>
          <w:noProof/>
        </w:rPr>
      </w:pPr>
      <w:r w:rsidRPr="006B2326">
        <w:rPr>
          <w:noProof/>
        </w:rPr>
        <w:t>PONVORY</w:t>
      </w:r>
      <w:r w:rsidR="005C0A0F" w:rsidRPr="006B2326">
        <w:rPr>
          <w:noProof/>
        </w:rPr>
        <w:t xml:space="preserve"> 2 mg film</w:t>
      </w:r>
      <w:r w:rsidR="005C0A0F" w:rsidRPr="006B2326">
        <w:rPr>
          <w:noProof/>
        </w:rPr>
        <w:noBreakHyphen/>
        <w:t>coated tablets</w:t>
      </w:r>
    </w:p>
    <w:p w14:paraId="61141E88" w14:textId="16A48AA6" w:rsidR="005C0A0F" w:rsidRPr="006B2326" w:rsidRDefault="005C0A0F" w:rsidP="004C6478">
      <w:pPr>
        <w:keepNext/>
        <w:jc w:val="left"/>
        <w:rPr>
          <w:rFonts w:cs="Arial"/>
          <w:noProof/>
        </w:rPr>
      </w:pPr>
      <w:r w:rsidRPr="006B2326">
        <w:rPr>
          <w:noProof/>
        </w:rPr>
        <w:t>Opadry</w:t>
      </w:r>
      <w:r w:rsidR="00D20A5A"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 xml:space="preserve">tem </w:t>
      </w:r>
      <w:r w:rsidRPr="006B2326">
        <w:rPr>
          <w:rFonts w:cs="Arial"/>
          <w:noProof/>
        </w:rPr>
        <w:t xml:space="preserve">33G280000 White, ARTG </w:t>
      </w:r>
      <w:r w:rsidR="00326814">
        <w:rPr>
          <w:rFonts w:cs="Arial"/>
          <w:noProof/>
        </w:rPr>
        <w:t xml:space="preserve">PI </w:t>
      </w:r>
      <w:r w:rsidRPr="006B2326">
        <w:rPr>
          <w:rFonts w:cs="Arial"/>
          <w:noProof/>
        </w:rPr>
        <w:t xml:space="preserve">No. 140386 </w:t>
      </w:r>
      <w:r w:rsidR="00DA76D3" w:rsidRPr="006B2326">
        <w:rPr>
          <w:rFonts w:cs="Arial"/>
          <w:noProof/>
        </w:rPr>
        <w:t xml:space="preserve"> </w:t>
      </w:r>
    </w:p>
    <w:p w14:paraId="5BE43746" w14:textId="549D9C71" w:rsidR="005C0A0F" w:rsidRPr="006B2326" w:rsidRDefault="00387EBC" w:rsidP="004C6478">
      <w:pPr>
        <w:pStyle w:val="Heading4"/>
        <w:rPr>
          <w:noProof/>
        </w:rPr>
      </w:pPr>
      <w:bookmarkStart w:id="49" w:name="_Hlk61956517"/>
      <w:r w:rsidRPr="006B2326">
        <w:rPr>
          <w:noProof/>
        </w:rPr>
        <w:t>PONVORY</w:t>
      </w:r>
      <w:r w:rsidR="005C0A0F" w:rsidRPr="006B2326">
        <w:rPr>
          <w:noProof/>
        </w:rPr>
        <w:t xml:space="preserve"> 3 mg film</w:t>
      </w:r>
      <w:r w:rsidR="005C0A0F" w:rsidRPr="006B2326">
        <w:rPr>
          <w:noProof/>
        </w:rPr>
        <w:noBreakHyphen/>
        <w:t>coated tablets</w:t>
      </w:r>
    </w:p>
    <w:p w14:paraId="5D295989" w14:textId="4167CCDC"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Pr="006B2326">
        <w:rPr>
          <w:rFonts w:cs="Arial"/>
        </w:rPr>
        <w:t xml:space="preserve"> 33G250004 Red</w:t>
      </w:r>
      <w:r w:rsidRPr="006B2326">
        <w:rPr>
          <w:rFonts w:cs="Arial"/>
          <w:noProof/>
        </w:rPr>
        <w:t xml:space="preserve">, ARTG </w:t>
      </w:r>
      <w:r w:rsidR="00326814">
        <w:rPr>
          <w:rFonts w:cs="Arial"/>
          <w:noProof/>
        </w:rPr>
        <w:t xml:space="preserve">PI </w:t>
      </w:r>
      <w:r w:rsidRPr="006B2326">
        <w:rPr>
          <w:rFonts w:cs="Arial"/>
          <w:noProof/>
        </w:rPr>
        <w:t xml:space="preserve">No. 140385  </w:t>
      </w:r>
    </w:p>
    <w:p w14:paraId="165CC632" w14:textId="0FB641DA" w:rsidR="005C0A0F" w:rsidRPr="006B2326" w:rsidRDefault="00387EBC" w:rsidP="004C6478">
      <w:pPr>
        <w:pStyle w:val="Heading4"/>
        <w:rPr>
          <w:noProof/>
        </w:rPr>
      </w:pPr>
      <w:r w:rsidRPr="006B2326">
        <w:rPr>
          <w:noProof/>
        </w:rPr>
        <w:t>PONVORY</w:t>
      </w:r>
      <w:r w:rsidR="005C0A0F" w:rsidRPr="006B2326">
        <w:rPr>
          <w:noProof/>
        </w:rPr>
        <w:t xml:space="preserve"> 4 mg film</w:t>
      </w:r>
      <w:r w:rsidR="005C0A0F" w:rsidRPr="006B2326">
        <w:rPr>
          <w:noProof/>
        </w:rPr>
        <w:noBreakHyphen/>
        <w:t>coated tablets</w:t>
      </w:r>
    </w:p>
    <w:p w14:paraId="002C3573" w14:textId="462AE37F"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II</w:t>
      </w:r>
      <w:r w:rsidR="00D20A5A" w:rsidRPr="006B2326">
        <w:rPr>
          <w:rFonts w:cs="Arial"/>
          <w:noProof/>
        </w:rPr>
        <w:t xml:space="preserve"> Complete Film Coating Sy</w:t>
      </w:r>
      <w:r w:rsidR="00326814">
        <w:rPr>
          <w:rFonts w:cs="Arial"/>
          <w:noProof/>
        </w:rPr>
        <w:t>s</w:t>
      </w:r>
      <w:r w:rsidR="00D20A5A" w:rsidRPr="006B2326">
        <w:rPr>
          <w:rFonts w:cs="Arial"/>
          <w:noProof/>
        </w:rPr>
        <w:t>tem</w:t>
      </w:r>
      <w:r w:rsidRPr="006B2326">
        <w:rPr>
          <w:rFonts w:cs="Arial"/>
          <w:noProof/>
        </w:rPr>
        <w:t xml:space="preserve"> </w:t>
      </w:r>
      <w:r w:rsidRPr="006B2326">
        <w:rPr>
          <w:rFonts w:cs="Arial"/>
        </w:rPr>
        <w:t>33G200005 Purple</w:t>
      </w:r>
      <w:r w:rsidRPr="006B2326">
        <w:rPr>
          <w:rFonts w:cs="Arial"/>
          <w:noProof/>
        </w:rPr>
        <w:t xml:space="preserve">, ARTG </w:t>
      </w:r>
      <w:r w:rsidR="00326814">
        <w:rPr>
          <w:rFonts w:cs="Arial"/>
          <w:noProof/>
        </w:rPr>
        <w:t xml:space="preserve">PI </w:t>
      </w:r>
      <w:r w:rsidRPr="006B2326">
        <w:rPr>
          <w:rFonts w:cs="Arial"/>
          <w:noProof/>
        </w:rPr>
        <w:t xml:space="preserve">No. 140384  </w:t>
      </w:r>
    </w:p>
    <w:p w14:paraId="3B0B229E" w14:textId="1BA89045" w:rsidR="005C0A0F" w:rsidRPr="006B2326" w:rsidRDefault="00387EBC" w:rsidP="004C6478">
      <w:pPr>
        <w:pStyle w:val="Heading4"/>
        <w:rPr>
          <w:noProof/>
        </w:rPr>
      </w:pPr>
      <w:r w:rsidRPr="006B2326">
        <w:rPr>
          <w:noProof/>
        </w:rPr>
        <w:t>PONVORY</w:t>
      </w:r>
      <w:r w:rsidR="005C0A0F" w:rsidRPr="006B2326">
        <w:rPr>
          <w:noProof/>
        </w:rPr>
        <w:t xml:space="preserve"> 5 mg film</w:t>
      </w:r>
      <w:r w:rsidR="005C0A0F" w:rsidRPr="006B2326">
        <w:rPr>
          <w:noProof/>
        </w:rPr>
        <w:noBreakHyphen/>
        <w:t>coated tablets</w:t>
      </w:r>
    </w:p>
    <w:p w14:paraId="353BD6D3" w14:textId="7666553A"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33G210008 Green</w:t>
      </w:r>
      <w:r w:rsidRPr="006B2326">
        <w:rPr>
          <w:rFonts w:cs="Arial"/>
          <w:noProof/>
        </w:rPr>
        <w:t xml:space="preserve">, ARTG </w:t>
      </w:r>
      <w:r w:rsidR="00326814">
        <w:rPr>
          <w:rFonts w:cs="Arial"/>
          <w:noProof/>
        </w:rPr>
        <w:t xml:space="preserve">PI </w:t>
      </w:r>
      <w:r w:rsidRPr="006B2326">
        <w:rPr>
          <w:rFonts w:cs="Arial"/>
          <w:noProof/>
        </w:rPr>
        <w:t xml:space="preserve">No. 140383 </w:t>
      </w:r>
    </w:p>
    <w:p w14:paraId="53AD3332" w14:textId="777FF9D9" w:rsidR="005C0A0F" w:rsidRPr="006B2326" w:rsidRDefault="00387EBC" w:rsidP="004C6478">
      <w:pPr>
        <w:pStyle w:val="Heading4"/>
        <w:rPr>
          <w:noProof/>
        </w:rPr>
      </w:pPr>
      <w:r w:rsidRPr="006B2326">
        <w:rPr>
          <w:noProof/>
        </w:rPr>
        <w:t>PONVORY</w:t>
      </w:r>
      <w:r w:rsidR="005C0A0F" w:rsidRPr="006B2326">
        <w:rPr>
          <w:noProof/>
        </w:rPr>
        <w:t xml:space="preserve"> 6 mg film</w:t>
      </w:r>
      <w:r w:rsidR="005C0A0F" w:rsidRPr="006B2326">
        <w:rPr>
          <w:noProof/>
        </w:rPr>
        <w:noBreakHyphen/>
        <w:t>coated tablets</w:t>
      </w:r>
    </w:p>
    <w:p w14:paraId="3691D723" w14:textId="4EE086F5"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 xml:space="preserve">tem </w:t>
      </w:r>
      <w:r w:rsidRPr="006B2326">
        <w:rPr>
          <w:rFonts w:cs="Arial"/>
          <w:noProof/>
        </w:rPr>
        <w:t xml:space="preserve">33G280000 White, ARTG </w:t>
      </w:r>
      <w:r w:rsidR="00326814">
        <w:rPr>
          <w:rFonts w:cs="Arial"/>
          <w:noProof/>
        </w:rPr>
        <w:t xml:space="preserve">PI </w:t>
      </w:r>
      <w:r w:rsidRPr="006B2326">
        <w:rPr>
          <w:rFonts w:cs="Arial"/>
          <w:noProof/>
        </w:rPr>
        <w:t xml:space="preserve">No. 140386  </w:t>
      </w:r>
    </w:p>
    <w:p w14:paraId="13F7289E" w14:textId="4E1B85AE" w:rsidR="005C0A0F" w:rsidRPr="006B2326" w:rsidRDefault="00387EBC" w:rsidP="004C6478">
      <w:pPr>
        <w:pStyle w:val="Heading4"/>
        <w:rPr>
          <w:noProof/>
        </w:rPr>
      </w:pPr>
      <w:r w:rsidRPr="006B2326">
        <w:rPr>
          <w:noProof/>
        </w:rPr>
        <w:t>PONVORY</w:t>
      </w:r>
      <w:r w:rsidR="005C0A0F" w:rsidRPr="006B2326">
        <w:rPr>
          <w:noProof/>
        </w:rPr>
        <w:t xml:space="preserve"> 7 mg film</w:t>
      </w:r>
      <w:r w:rsidR="005C0A0F" w:rsidRPr="006B2326">
        <w:rPr>
          <w:noProof/>
        </w:rPr>
        <w:noBreakHyphen/>
        <w:t>coated tablets</w:t>
      </w:r>
    </w:p>
    <w:p w14:paraId="0BDDF325" w14:textId="16A64CA2"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33G250004 Red</w:t>
      </w:r>
      <w:r w:rsidRPr="006B2326">
        <w:rPr>
          <w:rFonts w:cs="Arial"/>
          <w:noProof/>
        </w:rPr>
        <w:t xml:space="preserve">, ARTG </w:t>
      </w:r>
      <w:r w:rsidR="00326814">
        <w:rPr>
          <w:rFonts w:cs="Arial"/>
          <w:noProof/>
        </w:rPr>
        <w:t xml:space="preserve">PI </w:t>
      </w:r>
      <w:r w:rsidRPr="006B2326">
        <w:rPr>
          <w:rFonts w:cs="Arial"/>
          <w:noProof/>
        </w:rPr>
        <w:t>No. 140385</w:t>
      </w:r>
    </w:p>
    <w:p w14:paraId="5CC57954" w14:textId="1E2D75E8" w:rsidR="005C0A0F" w:rsidRPr="006B2326" w:rsidRDefault="00387EBC" w:rsidP="004C6478">
      <w:pPr>
        <w:pStyle w:val="Heading4"/>
        <w:rPr>
          <w:noProof/>
        </w:rPr>
      </w:pPr>
      <w:r w:rsidRPr="006B2326">
        <w:rPr>
          <w:noProof/>
        </w:rPr>
        <w:t>PONVORY</w:t>
      </w:r>
      <w:r w:rsidR="005C0A0F" w:rsidRPr="006B2326">
        <w:rPr>
          <w:noProof/>
        </w:rPr>
        <w:t xml:space="preserve"> 8 mg film</w:t>
      </w:r>
      <w:r w:rsidR="005C0A0F" w:rsidRPr="006B2326">
        <w:rPr>
          <w:noProof/>
        </w:rPr>
        <w:noBreakHyphen/>
        <w:t>coated tablets</w:t>
      </w:r>
    </w:p>
    <w:p w14:paraId="1ECC6FC6" w14:textId="04D69E59"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33G200005 Purple</w:t>
      </w:r>
      <w:r w:rsidRPr="006B2326">
        <w:rPr>
          <w:rFonts w:cs="Arial"/>
          <w:noProof/>
        </w:rPr>
        <w:t xml:space="preserve">, ARTG </w:t>
      </w:r>
      <w:r w:rsidR="00326814">
        <w:rPr>
          <w:rFonts w:cs="Arial"/>
          <w:noProof/>
        </w:rPr>
        <w:t xml:space="preserve">PI </w:t>
      </w:r>
      <w:r w:rsidRPr="006B2326">
        <w:rPr>
          <w:rFonts w:cs="Arial"/>
          <w:noProof/>
        </w:rPr>
        <w:t xml:space="preserve">No. 140384 </w:t>
      </w:r>
    </w:p>
    <w:p w14:paraId="23E8B3C2" w14:textId="164BB7D0" w:rsidR="005C0A0F" w:rsidRPr="006B2326" w:rsidRDefault="00387EBC" w:rsidP="004C6478">
      <w:pPr>
        <w:pStyle w:val="Heading4"/>
        <w:rPr>
          <w:noProof/>
        </w:rPr>
      </w:pPr>
      <w:r w:rsidRPr="006B2326">
        <w:rPr>
          <w:noProof/>
        </w:rPr>
        <w:t>PONVORY</w:t>
      </w:r>
      <w:r w:rsidR="005C0A0F" w:rsidRPr="006B2326">
        <w:rPr>
          <w:noProof/>
        </w:rPr>
        <w:t xml:space="preserve"> 9 mg film</w:t>
      </w:r>
      <w:r w:rsidR="005C0A0F" w:rsidRPr="006B2326">
        <w:rPr>
          <w:noProof/>
        </w:rPr>
        <w:noBreakHyphen/>
        <w:t>coated tablets</w:t>
      </w:r>
    </w:p>
    <w:p w14:paraId="3144CF20" w14:textId="3885785A"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33G265005 Brown</w:t>
      </w:r>
      <w:r w:rsidRPr="006B2326">
        <w:rPr>
          <w:rFonts w:cs="Arial"/>
          <w:noProof/>
        </w:rPr>
        <w:t xml:space="preserve">, ARTG </w:t>
      </w:r>
      <w:r w:rsidR="00326814">
        <w:rPr>
          <w:rFonts w:cs="Arial"/>
          <w:noProof/>
        </w:rPr>
        <w:t xml:space="preserve">PI </w:t>
      </w:r>
      <w:r w:rsidRPr="006B2326">
        <w:rPr>
          <w:rFonts w:cs="Arial"/>
          <w:noProof/>
        </w:rPr>
        <w:t xml:space="preserve">No. 140382 </w:t>
      </w:r>
    </w:p>
    <w:p w14:paraId="37CADA90" w14:textId="6C83B05D" w:rsidR="005C0A0F" w:rsidRPr="006B2326" w:rsidRDefault="00387EBC" w:rsidP="004C6478">
      <w:pPr>
        <w:pStyle w:val="Heading4"/>
        <w:rPr>
          <w:noProof/>
        </w:rPr>
      </w:pPr>
      <w:r w:rsidRPr="006B2326">
        <w:rPr>
          <w:noProof/>
        </w:rPr>
        <w:t>PONVORY</w:t>
      </w:r>
      <w:r w:rsidR="005C0A0F" w:rsidRPr="006B2326">
        <w:rPr>
          <w:noProof/>
        </w:rPr>
        <w:t xml:space="preserve"> 10 mg film</w:t>
      </w:r>
      <w:r w:rsidR="005C0A0F" w:rsidRPr="006B2326">
        <w:rPr>
          <w:noProof/>
        </w:rPr>
        <w:noBreakHyphen/>
        <w:t>coated tablets</w:t>
      </w:r>
    </w:p>
    <w:p w14:paraId="7C2F9B47" w14:textId="7366DB20"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33G230009 Orange</w:t>
      </w:r>
      <w:r w:rsidRPr="006B2326">
        <w:rPr>
          <w:rFonts w:cs="Arial"/>
          <w:noProof/>
        </w:rPr>
        <w:t xml:space="preserve">, ARTG </w:t>
      </w:r>
      <w:r w:rsidR="00326814">
        <w:rPr>
          <w:rFonts w:cs="Arial"/>
          <w:noProof/>
        </w:rPr>
        <w:t xml:space="preserve">PI </w:t>
      </w:r>
      <w:r w:rsidRPr="006B2326">
        <w:rPr>
          <w:rFonts w:cs="Arial"/>
          <w:noProof/>
        </w:rPr>
        <w:t xml:space="preserve">No. 140381 </w:t>
      </w:r>
    </w:p>
    <w:p w14:paraId="4964F23F" w14:textId="2EDF0943" w:rsidR="005C0A0F" w:rsidRPr="006B2326" w:rsidRDefault="00387EBC" w:rsidP="004C6478">
      <w:pPr>
        <w:pStyle w:val="Heading4"/>
        <w:rPr>
          <w:noProof/>
        </w:rPr>
      </w:pPr>
      <w:r w:rsidRPr="006B2326">
        <w:rPr>
          <w:noProof/>
        </w:rPr>
        <w:t>PONVORY</w:t>
      </w:r>
      <w:r w:rsidR="005C0A0F" w:rsidRPr="006B2326">
        <w:rPr>
          <w:noProof/>
        </w:rPr>
        <w:t xml:space="preserve"> 20 mg film</w:t>
      </w:r>
      <w:r w:rsidR="005C0A0F" w:rsidRPr="006B2326">
        <w:rPr>
          <w:noProof/>
        </w:rPr>
        <w:noBreakHyphen/>
        <w:t>coated tablets</w:t>
      </w:r>
    </w:p>
    <w:p w14:paraId="40AE33AD" w14:textId="4BF150F0" w:rsidR="005C0A0F" w:rsidRPr="006B2326" w:rsidRDefault="005C0A0F" w:rsidP="004C6478">
      <w:pPr>
        <w:keepNext/>
        <w:jc w:val="left"/>
        <w:rPr>
          <w:rFonts w:cs="Arial"/>
          <w:noProof/>
        </w:rPr>
      </w:pPr>
      <w:r w:rsidRPr="006B2326">
        <w:rPr>
          <w:noProof/>
        </w:rPr>
        <w:t>Opadry</w:t>
      </w:r>
      <w:r w:rsidR="006A3379" w:rsidRPr="006B2326">
        <w:rPr>
          <w:rFonts w:cs="Arial"/>
          <w:noProof/>
          <w:vertAlign w:val="superscript"/>
        </w:rPr>
        <w:t xml:space="preserve"> </w:t>
      </w:r>
      <w:r w:rsidRPr="006B2326">
        <w:rPr>
          <w:rFonts w:cs="Arial"/>
          <w:noProof/>
        </w:rPr>
        <w:t xml:space="preserve">II </w:t>
      </w:r>
      <w:r w:rsidR="00D20A5A" w:rsidRPr="006B2326">
        <w:rPr>
          <w:rFonts w:cs="Arial"/>
          <w:noProof/>
        </w:rPr>
        <w:t>Complete Film Coating Sy</w:t>
      </w:r>
      <w:r w:rsidR="00326814">
        <w:rPr>
          <w:rFonts w:cs="Arial"/>
          <w:noProof/>
        </w:rPr>
        <w:t>s</w:t>
      </w:r>
      <w:r w:rsidR="00D20A5A" w:rsidRPr="006B2326">
        <w:rPr>
          <w:rFonts w:cs="Arial"/>
          <w:noProof/>
        </w:rPr>
        <w:t>tem</w:t>
      </w:r>
      <w:r w:rsidR="00D20A5A" w:rsidRPr="006B2326">
        <w:rPr>
          <w:rFonts w:cs="Arial"/>
        </w:rPr>
        <w:t xml:space="preserve"> </w:t>
      </w:r>
      <w:r w:rsidRPr="006B2326">
        <w:rPr>
          <w:rFonts w:cs="Arial"/>
        </w:rPr>
        <w:t>33G220020 Yellow</w:t>
      </w:r>
      <w:r w:rsidRPr="006B2326">
        <w:rPr>
          <w:rFonts w:cs="Arial"/>
          <w:noProof/>
        </w:rPr>
        <w:t xml:space="preserve">, ARTG </w:t>
      </w:r>
      <w:r w:rsidR="00326814">
        <w:rPr>
          <w:rFonts w:cs="Arial"/>
          <w:noProof/>
        </w:rPr>
        <w:t xml:space="preserve">PI </w:t>
      </w:r>
      <w:r w:rsidRPr="006B2326">
        <w:rPr>
          <w:rFonts w:cs="Arial"/>
          <w:noProof/>
        </w:rPr>
        <w:t xml:space="preserve">No. 140387 </w:t>
      </w:r>
    </w:p>
    <w:bookmarkEnd w:id="49"/>
    <w:p w14:paraId="3765DCEE" w14:textId="77777777" w:rsidR="005C0A0F" w:rsidRPr="006B2326" w:rsidRDefault="005C0A0F" w:rsidP="004C6478">
      <w:pPr>
        <w:jc w:val="left"/>
      </w:pPr>
    </w:p>
    <w:p w14:paraId="57356121" w14:textId="447B32DF" w:rsidR="008A13A7" w:rsidRPr="006B2326" w:rsidRDefault="00320CD9" w:rsidP="004C6478">
      <w:pPr>
        <w:pStyle w:val="Heading2"/>
        <w:rPr>
          <w:lang w:val="en-AU"/>
        </w:rPr>
      </w:pPr>
      <w:r w:rsidRPr="006B2326">
        <w:rPr>
          <w:lang w:val="en-AU"/>
        </w:rPr>
        <w:t>Incompatibilities</w:t>
      </w:r>
    </w:p>
    <w:p w14:paraId="455B8076" w14:textId="6FEEB283" w:rsidR="0041319B" w:rsidRPr="006B2326" w:rsidRDefault="0041319B" w:rsidP="004C6478">
      <w:pPr>
        <w:jc w:val="left"/>
        <w:rPr>
          <w:lang w:val="en-AU"/>
        </w:rPr>
      </w:pPr>
      <w:r w:rsidRPr="006B2326">
        <w:rPr>
          <w:lang w:val="en-AU"/>
        </w:rPr>
        <w:t>Not applicable</w:t>
      </w:r>
    </w:p>
    <w:p w14:paraId="334335EA" w14:textId="77777777" w:rsidR="00C67678" w:rsidRPr="006B2326" w:rsidRDefault="00C67678" w:rsidP="004C6478">
      <w:pPr>
        <w:jc w:val="left"/>
        <w:rPr>
          <w:lang w:val="en-AU"/>
        </w:rPr>
      </w:pPr>
    </w:p>
    <w:p w14:paraId="056ACB58" w14:textId="62EA8503" w:rsidR="008A13A7" w:rsidRPr="006B2326" w:rsidRDefault="00320CD9" w:rsidP="004C6478">
      <w:pPr>
        <w:pStyle w:val="Heading2"/>
        <w:rPr>
          <w:lang w:val="en-AU"/>
        </w:rPr>
      </w:pPr>
      <w:r w:rsidRPr="006B2326">
        <w:rPr>
          <w:lang w:val="en-AU"/>
        </w:rPr>
        <w:lastRenderedPageBreak/>
        <w:t>Shelf Life</w:t>
      </w:r>
    </w:p>
    <w:p w14:paraId="59FDA1AD" w14:textId="40166FE4" w:rsidR="000E60EC" w:rsidRPr="006B2326" w:rsidRDefault="009B7390" w:rsidP="004C6478">
      <w:pPr>
        <w:jc w:val="left"/>
        <w:rPr>
          <w:lang w:val="en-AU"/>
        </w:rPr>
      </w:pPr>
      <w:r w:rsidRPr="006B2326">
        <w:rPr>
          <w:lang w:val="en-AU"/>
        </w:rPr>
        <w:t>In Australia, information on the shelf life can be found on the public summary of the Australian Register of Therapeutic Goods (ARTG). The expiry date can be found on the packaging.</w:t>
      </w:r>
    </w:p>
    <w:p w14:paraId="37CF575E" w14:textId="77777777" w:rsidR="00134477" w:rsidRPr="006B2326" w:rsidRDefault="00134477" w:rsidP="004C6478">
      <w:pPr>
        <w:jc w:val="left"/>
        <w:rPr>
          <w:lang w:val="en-AU"/>
        </w:rPr>
      </w:pPr>
    </w:p>
    <w:p w14:paraId="3ABD0DB9" w14:textId="5ED0F2AB" w:rsidR="00320CD9" w:rsidRPr="006B2326" w:rsidRDefault="00320CD9" w:rsidP="004C6478">
      <w:pPr>
        <w:pStyle w:val="Heading2"/>
        <w:rPr>
          <w:lang w:val="en-AU"/>
        </w:rPr>
      </w:pPr>
      <w:r w:rsidRPr="006B2326">
        <w:rPr>
          <w:lang w:val="en-AU"/>
        </w:rPr>
        <w:t>Special precautions for storage</w:t>
      </w:r>
    </w:p>
    <w:p w14:paraId="10FA7FE9" w14:textId="2FFA5E52" w:rsidR="009435F7" w:rsidRPr="006B2326" w:rsidRDefault="009435F7" w:rsidP="004C6478">
      <w:pPr>
        <w:jc w:val="left"/>
        <w:rPr>
          <w:lang w:val="en-AU"/>
        </w:rPr>
      </w:pPr>
      <w:r w:rsidRPr="006B2326">
        <w:rPr>
          <w:lang w:val="en-AU"/>
        </w:rPr>
        <w:t>Store below 30</w:t>
      </w:r>
      <w:r w:rsidRPr="006B2326">
        <w:rPr>
          <w:rFonts w:cs="Arial"/>
          <w:lang w:val="en-AU"/>
        </w:rPr>
        <w:t>°</w:t>
      </w:r>
      <w:r w:rsidRPr="006B2326">
        <w:rPr>
          <w:lang w:val="en-AU"/>
        </w:rPr>
        <w:t>C.</w:t>
      </w:r>
      <w:r w:rsidR="00B91D15">
        <w:rPr>
          <w:lang w:val="en-AU"/>
        </w:rPr>
        <w:t xml:space="preserve"> Do not remove the tablets from the blister until use.</w:t>
      </w:r>
    </w:p>
    <w:p w14:paraId="3D56A576" w14:textId="77777777" w:rsidR="00134477" w:rsidRPr="006B2326" w:rsidRDefault="00134477" w:rsidP="004C6478">
      <w:pPr>
        <w:jc w:val="left"/>
        <w:rPr>
          <w:lang w:val="en-AU"/>
        </w:rPr>
      </w:pPr>
    </w:p>
    <w:p w14:paraId="1A3F562C" w14:textId="57C6113F" w:rsidR="00320CD9" w:rsidRPr="006B2326" w:rsidRDefault="00320CD9" w:rsidP="004C6478">
      <w:pPr>
        <w:pStyle w:val="Heading2"/>
        <w:rPr>
          <w:lang w:val="en-AU"/>
        </w:rPr>
      </w:pPr>
      <w:r w:rsidRPr="006B2326">
        <w:rPr>
          <w:lang w:val="en-AU"/>
        </w:rPr>
        <w:t>Nature and contents of container</w:t>
      </w:r>
    </w:p>
    <w:p w14:paraId="4F56E82D" w14:textId="4650AF08" w:rsidR="0041319B" w:rsidRPr="006B2326" w:rsidRDefault="0041319B" w:rsidP="004C6478">
      <w:pPr>
        <w:jc w:val="left"/>
        <w:rPr>
          <w:noProof/>
        </w:rPr>
      </w:pPr>
      <w:r w:rsidRPr="006B2326">
        <w:rPr>
          <w:noProof/>
        </w:rPr>
        <w:t xml:space="preserve">The Alu/alu blister with desiccant consists of a laminated Alu cold form film with integrated desiccant and a laminated Alu push-through lidding film. </w:t>
      </w:r>
      <w:r w:rsidR="00983AEE">
        <w:rPr>
          <w:noProof/>
        </w:rPr>
        <w:t xml:space="preserve">The blister packs are enclosed within a wallet which has </w:t>
      </w:r>
      <w:r w:rsidR="00FE3E08">
        <w:rPr>
          <w:noProof/>
        </w:rPr>
        <w:t xml:space="preserve">an </w:t>
      </w:r>
      <w:r w:rsidR="00983AEE">
        <w:rPr>
          <w:noProof/>
        </w:rPr>
        <w:t>outer wallet</w:t>
      </w:r>
      <w:r w:rsidR="00FE3E08">
        <w:rPr>
          <w:noProof/>
        </w:rPr>
        <w:t>,</w:t>
      </w:r>
      <w:r w:rsidR="00983AEE">
        <w:rPr>
          <w:noProof/>
        </w:rPr>
        <w:t xml:space="preserve"> and</w:t>
      </w:r>
      <w:r w:rsidR="00FE3E08">
        <w:rPr>
          <w:noProof/>
        </w:rPr>
        <w:t xml:space="preserve"> a</w:t>
      </w:r>
      <w:r w:rsidR="00983AEE">
        <w:rPr>
          <w:noProof/>
        </w:rPr>
        <w:t xml:space="preserve"> inner wallet</w:t>
      </w:r>
      <w:r w:rsidR="00FE3E08">
        <w:rPr>
          <w:noProof/>
        </w:rPr>
        <w:t xml:space="preserve"> which can be pulled out and unfolded.</w:t>
      </w:r>
      <w:r w:rsidR="00983AEE">
        <w:rPr>
          <w:noProof/>
        </w:rPr>
        <w:t xml:space="preserve"> </w:t>
      </w:r>
      <w:r w:rsidR="00FE3E08">
        <w:rPr>
          <w:noProof/>
        </w:rPr>
        <w:t>T</w:t>
      </w:r>
      <w:r w:rsidR="00983AEE">
        <w:rPr>
          <w:noProof/>
        </w:rPr>
        <w:t>he tablets</w:t>
      </w:r>
      <w:r w:rsidR="00FE3E08">
        <w:rPr>
          <w:noProof/>
        </w:rPr>
        <w:t xml:space="preserve"> are</w:t>
      </w:r>
      <w:r w:rsidR="00983AEE">
        <w:rPr>
          <w:noProof/>
        </w:rPr>
        <w:t xml:space="preserve"> presented in</w:t>
      </w:r>
      <w:r w:rsidR="00FE3E08">
        <w:rPr>
          <w:noProof/>
        </w:rPr>
        <w:t xml:space="preserve"> a</w:t>
      </w:r>
      <w:r w:rsidR="00983AEE">
        <w:rPr>
          <w:noProof/>
        </w:rPr>
        <w:t xml:space="preserve"> calendar blister.</w:t>
      </w:r>
    </w:p>
    <w:p w14:paraId="67E4507C" w14:textId="6A0DA022" w:rsidR="0041319B" w:rsidRPr="006B2326" w:rsidRDefault="00DF1E9B" w:rsidP="004C6478">
      <w:pPr>
        <w:pStyle w:val="Heading3"/>
        <w:rPr>
          <w:noProof/>
        </w:rPr>
      </w:pPr>
      <w:bookmarkStart w:id="50" w:name="_Hlk22881662"/>
      <w:r w:rsidRPr="006B2326">
        <w:rPr>
          <w:noProof/>
        </w:rPr>
        <w:t xml:space="preserve">Treatment </w:t>
      </w:r>
      <w:r w:rsidR="00AA00F8" w:rsidRPr="006B2326">
        <w:rPr>
          <w:noProof/>
        </w:rPr>
        <w:t xml:space="preserve"> </w:t>
      </w:r>
      <w:r w:rsidR="00B377B6" w:rsidRPr="006B2326">
        <w:rPr>
          <w:noProof/>
        </w:rPr>
        <w:t xml:space="preserve">initiation </w:t>
      </w:r>
      <w:r w:rsidR="0041319B" w:rsidRPr="006B2326">
        <w:rPr>
          <w:noProof/>
        </w:rPr>
        <w:t>pack</w:t>
      </w:r>
    </w:p>
    <w:p w14:paraId="3CF092D1" w14:textId="77777777" w:rsidR="0041319B" w:rsidRPr="006B2326" w:rsidRDefault="0041319B" w:rsidP="004C6478">
      <w:pPr>
        <w:jc w:val="left"/>
        <w:rPr>
          <w:rFonts w:eastAsia="SimSun"/>
          <w:noProof/>
        </w:rPr>
      </w:pPr>
      <w:r w:rsidRPr="006B2326">
        <w:rPr>
          <w:rFonts w:eastAsia="SimSun"/>
          <w:noProof/>
        </w:rPr>
        <w:t xml:space="preserve">Each blister pack of 14 film-coated tablets </w:t>
      </w:r>
      <w:bookmarkStart w:id="51" w:name="_Hlk52282000"/>
      <w:r w:rsidRPr="006B2326">
        <w:rPr>
          <w:rFonts w:eastAsia="SimSun"/>
          <w:noProof/>
        </w:rPr>
        <w:t>for a 2</w:t>
      </w:r>
      <w:r w:rsidRPr="006B2326">
        <w:rPr>
          <w:rFonts w:eastAsia="SimSun"/>
          <w:noProof/>
        </w:rPr>
        <w:noBreakHyphen/>
        <w:t xml:space="preserve">week treatment schedule </w:t>
      </w:r>
      <w:bookmarkEnd w:id="51"/>
      <w:r w:rsidRPr="006B2326">
        <w:rPr>
          <w:rFonts w:eastAsia="SimSun"/>
          <w:noProof/>
        </w:rPr>
        <w:t>contains:</w:t>
      </w:r>
    </w:p>
    <w:p w14:paraId="743D39BC" w14:textId="77777777" w:rsidR="0041319B" w:rsidRPr="006B2326" w:rsidRDefault="0041319B" w:rsidP="004C6478">
      <w:pPr>
        <w:jc w:val="left"/>
        <w:rPr>
          <w:rFonts w:eastAsia="SimSun"/>
          <w:noProof/>
        </w:rPr>
      </w:pPr>
      <w:r w:rsidRPr="006B2326">
        <w:rPr>
          <w:rFonts w:eastAsia="SimSun"/>
          <w:noProof/>
        </w:rPr>
        <w:t>2 film-coated tablets of 2 mg</w:t>
      </w:r>
    </w:p>
    <w:p w14:paraId="6BDCCB05" w14:textId="77777777" w:rsidR="0041319B" w:rsidRPr="006B2326" w:rsidRDefault="0041319B" w:rsidP="004C6478">
      <w:pPr>
        <w:jc w:val="left"/>
        <w:rPr>
          <w:rFonts w:eastAsia="SimSun"/>
          <w:noProof/>
        </w:rPr>
      </w:pPr>
      <w:r w:rsidRPr="006B2326">
        <w:rPr>
          <w:rFonts w:eastAsia="SimSun"/>
          <w:noProof/>
        </w:rPr>
        <w:t>2 film-coated tablets of 3 mg</w:t>
      </w:r>
    </w:p>
    <w:p w14:paraId="1065640C" w14:textId="77777777" w:rsidR="0041319B" w:rsidRPr="006B2326" w:rsidRDefault="0041319B" w:rsidP="004C6478">
      <w:pPr>
        <w:jc w:val="left"/>
        <w:rPr>
          <w:rFonts w:eastAsia="SimSun"/>
          <w:noProof/>
        </w:rPr>
      </w:pPr>
      <w:r w:rsidRPr="006B2326">
        <w:rPr>
          <w:rFonts w:eastAsia="SimSun"/>
          <w:noProof/>
        </w:rPr>
        <w:t>2 film-coated tablets of 4 mg</w:t>
      </w:r>
    </w:p>
    <w:p w14:paraId="1CBBE31F" w14:textId="77777777" w:rsidR="0041319B" w:rsidRPr="006B2326" w:rsidRDefault="0041319B" w:rsidP="004C6478">
      <w:pPr>
        <w:jc w:val="left"/>
        <w:rPr>
          <w:rFonts w:eastAsia="SimSun"/>
          <w:noProof/>
        </w:rPr>
      </w:pPr>
      <w:r w:rsidRPr="006B2326">
        <w:rPr>
          <w:rFonts w:eastAsia="SimSun"/>
          <w:noProof/>
        </w:rPr>
        <w:t>1 film-coated tablet of 5 mg</w:t>
      </w:r>
    </w:p>
    <w:p w14:paraId="6F04F007" w14:textId="77777777" w:rsidR="0041319B" w:rsidRPr="006B2326" w:rsidRDefault="0041319B" w:rsidP="004C6478">
      <w:pPr>
        <w:jc w:val="left"/>
        <w:rPr>
          <w:rFonts w:eastAsia="SimSun"/>
          <w:noProof/>
        </w:rPr>
      </w:pPr>
      <w:r w:rsidRPr="006B2326">
        <w:rPr>
          <w:rFonts w:eastAsia="SimSun"/>
          <w:noProof/>
        </w:rPr>
        <w:t>1 film-coated tablet of 6 mg</w:t>
      </w:r>
    </w:p>
    <w:p w14:paraId="2B793F98" w14:textId="77777777" w:rsidR="0041319B" w:rsidRPr="006B2326" w:rsidRDefault="0041319B" w:rsidP="004C6478">
      <w:pPr>
        <w:jc w:val="left"/>
        <w:rPr>
          <w:rFonts w:eastAsia="SimSun"/>
          <w:noProof/>
        </w:rPr>
      </w:pPr>
      <w:r w:rsidRPr="006B2326">
        <w:rPr>
          <w:rFonts w:eastAsia="SimSun"/>
          <w:noProof/>
        </w:rPr>
        <w:t>1 film-coated tablet of 7 mg</w:t>
      </w:r>
    </w:p>
    <w:p w14:paraId="65897838" w14:textId="77777777" w:rsidR="0041319B" w:rsidRPr="006B2326" w:rsidRDefault="0041319B" w:rsidP="004C6478">
      <w:pPr>
        <w:jc w:val="left"/>
        <w:rPr>
          <w:rFonts w:eastAsia="SimSun"/>
          <w:noProof/>
        </w:rPr>
      </w:pPr>
      <w:r w:rsidRPr="006B2326">
        <w:rPr>
          <w:rFonts w:eastAsia="SimSun"/>
          <w:noProof/>
        </w:rPr>
        <w:t>1 film-coated tablet of 8 mg</w:t>
      </w:r>
    </w:p>
    <w:p w14:paraId="65D5D98D" w14:textId="77777777" w:rsidR="0041319B" w:rsidRPr="006B2326" w:rsidRDefault="0041319B" w:rsidP="004C6478">
      <w:pPr>
        <w:jc w:val="left"/>
        <w:rPr>
          <w:rFonts w:eastAsia="SimSun"/>
          <w:noProof/>
        </w:rPr>
      </w:pPr>
      <w:r w:rsidRPr="006B2326">
        <w:rPr>
          <w:rFonts w:eastAsia="SimSun"/>
          <w:noProof/>
        </w:rPr>
        <w:t>1 film-coated tablet of 9 mg</w:t>
      </w:r>
    </w:p>
    <w:p w14:paraId="444C07DB" w14:textId="706C14EE" w:rsidR="0041319B" w:rsidRPr="006B2326" w:rsidRDefault="0041319B" w:rsidP="004C6478">
      <w:pPr>
        <w:jc w:val="left"/>
        <w:rPr>
          <w:rFonts w:eastAsia="SimSun"/>
          <w:noProof/>
        </w:rPr>
      </w:pPr>
      <w:r w:rsidRPr="006B2326">
        <w:rPr>
          <w:rFonts w:eastAsia="SimSun"/>
          <w:noProof/>
        </w:rPr>
        <w:t>3 film-coated tablets of 10 mg</w:t>
      </w:r>
    </w:p>
    <w:p w14:paraId="7D6BDBDA" w14:textId="77777777" w:rsidR="00D20A5A" w:rsidRPr="006B2326" w:rsidRDefault="00D20A5A" w:rsidP="004C6478">
      <w:pPr>
        <w:jc w:val="left"/>
        <w:rPr>
          <w:rFonts w:eastAsia="SimSun"/>
          <w:noProof/>
        </w:rPr>
      </w:pPr>
    </w:p>
    <w:p w14:paraId="3CBAEFAD" w14:textId="74B2C8FF" w:rsidR="0041319B" w:rsidRPr="006B2326" w:rsidRDefault="00387EBC" w:rsidP="004C6478">
      <w:pPr>
        <w:pStyle w:val="Heading3"/>
        <w:rPr>
          <w:noProof/>
        </w:rPr>
      </w:pPr>
      <w:r w:rsidRPr="006B2326">
        <w:rPr>
          <w:noProof/>
        </w:rPr>
        <w:t>PONVORY</w:t>
      </w:r>
      <w:r w:rsidR="0041319B" w:rsidRPr="006B2326">
        <w:rPr>
          <w:noProof/>
        </w:rPr>
        <w:t xml:space="preserve"> 20 mg film</w:t>
      </w:r>
      <w:r w:rsidR="0041319B" w:rsidRPr="006B2326">
        <w:rPr>
          <w:noProof/>
        </w:rPr>
        <w:noBreakHyphen/>
        <w:t>coated tablets (maintenance pack)</w:t>
      </w:r>
    </w:p>
    <w:p w14:paraId="6A89854E" w14:textId="38D33F12" w:rsidR="0041319B" w:rsidRPr="006B2326" w:rsidRDefault="0041319B" w:rsidP="004C6478">
      <w:pPr>
        <w:jc w:val="left"/>
        <w:rPr>
          <w:noProof/>
        </w:rPr>
      </w:pPr>
      <w:r w:rsidRPr="006B2326">
        <w:rPr>
          <w:noProof/>
        </w:rPr>
        <w:t>Pack of 28 film-coated tablets</w:t>
      </w:r>
      <w:r w:rsidR="00983AEE">
        <w:rPr>
          <w:noProof/>
        </w:rPr>
        <w:t xml:space="preserve"> for a 4-week treatment schedule</w:t>
      </w:r>
      <w:r w:rsidRPr="006B2326">
        <w:rPr>
          <w:noProof/>
        </w:rPr>
        <w:t>.</w:t>
      </w:r>
      <w:bookmarkEnd w:id="50"/>
    </w:p>
    <w:p w14:paraId="649077E0" w14:textId="77777777" w:rsidR="0041319B" w:rsidRPr="006B2326" w:rsidRDefault="0041319B" w:rsidP="004C6478">
      <w:pPr>
        <w:jc w:val="left"/>
      </w:pPr>
    </w:p>
    <w:p w14:paraId="3EB2588C" w14:textId="77777777" w:rsidR="00320CD9" w:rsidRPr="006B2326" w:rsidRDefault="00320CD9" w:rsidP="004C6478">
      <w:pPr>
        <w:pStyle w:val="Heading2"/>
        <w:rPr>
          <w:lang w:val="en-AU"/>
        </w:rPr>
      </w:pPr>
      <w:bookmarkStart w:id="52" w:name="_Ref471299056"/>
      <w:bookmarkStart w:id="53" w:name="_Hlk502927584"/>
      <w:r w:rsidRPr="006B2326">
        <w:rPr>
          <w:lang w:val="en-AU"/>
        </w:rPr>
        <w:t xml:space="preserve">Special precautions for disposal </w:t>
      </w:r>
      <w:bookmarkEnd w:id="52"/>
    </w:p>
    <w:p w14:paraId="5AFBC235" w14:textId="5D2FDA4C" w:rsidR="00320CD9" w:rsidRPr="006B2326" w:rsidRDefault="003628F3" w:rsidP="004C6478">
      <w:pPr>
        <w:jc w:val="left"/>
        <w:rPr>
          <w:lang w:val="en-AU"/>
        </w:rPr>
      </w:pPr>
      <w:r w:rsidRPr="006B2326">
        <w:rPr>
          <w:lang w:val="en-AU"/>
        </w:rPr>
        <w:t>In Australia, any unused medicine or waste material should be disposed of by taking to your local pharmacy.</w:t>
      </w:r>
    </w:p>
    <w:p w14:paraId="0FD68B40" w14:textId="77777777" w:rsidR="00E92580" w:rsidRPr="006B2326" w:rsidRDefault="00E92580" w:rsidP="004C6478">
      <w:pPr>
        <w:jc w:val="left"/>
        <w:rPr>
          <w:lang w:val="en-AU"/>
        </w:rPr>
      </w:pPr>
    </w:p>
    <w:bookmarkEnd w:id="53"/>
    <w:p w14:paraId="075652CF" w14:textId="77777777" w:rsidR="00320CD9" w:rsidRPr="006B2326" w:rsidRDefault="00320CD9" w:rsidP="004C6478">
      <w:pPr>
        <w:pStyle w:val="Heading2"/>
        <w:rPr>
          <w:lang w:val="en-AU"/>
        </w:rPr>
      </w:pPr>
      <w:r w:rsidRPr="006B2326">
        <w:rPr>
          <w:lang w:val="en-AU"/>
        </w:rPr>
        <w:lastRenderedPageBreak/>
        <w:t>Physicochemical properties</w:t>
      </w:r>
    </w:p>
    <w:p w14:paraId="15B383BA" w14:textId="40540C2C" w:rsidR="00320CD9" w:rsidRPr="006B2326" w:rsidRDefault="00320CD9" w:rsidP="004C6478">
      <w:pPr>
        <w:pStyle w:val="Heading3"/>
      </w:pPr>
      <w:bookmarkStart w:id="54" w:name="_Hlk502927676"/>
      <w:r w:rsidRPr="006B2326">
        <w:t>Chemical structure:</w:t>
      </w:r>
      <w:bookmarkEnd w:id="54"/>
    </w:p>
    <w:p w14:paraId="7363D623" w14:textId="52206067" w:rsidR="009435F7" w:rsidRPr="006B2326" w:rsidRDefault="009435F7" w:rsidP="004C6478">
      <w:pPr>
        <w:jc w:val="left"/>
        <w:rPr>
          <w:lang w:val="en-AU"/>
        </w:rPr>
      </w:pPr>
      <w:r w:rsidRPr="006B2326">
        <w:rPr>
          <w:noProof/>
          <w:lang w:val="en-AU"/>
        </w:rPr>
        <w:drawing>
          <wp:inline distT="0" distB="0" distL="0" distR="0" wp14:anchorId="5C30A1D6" wp14:editId="50BD7265">
            <wp:extent cx="3267531" cy="1790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7531" cy="1790950"/>
                    </a:xfrm>
                    <a:prstGeom prst="rect">
                      <a:avLst/>
                    </a:prstGeom>
                  </pic:spPr>
                </pic:pic>
              </a:graphicData>
            </a:graphic>
          </wp:inline>
        </w:drawing>
      </w:r>
    </w:p>
    <w:p w14:paraId="3F1F30C0" w14:textId="4D6A10D1" w:rsidR="00911895" w:rsidRPr="006B2326" w:rsidRDefault="00911895" w:rsidP="004C6478">
      <w:pPr>
        <w:jc w:val="left"/>
        <w:rPr>
          <w:lang w:val="en-AU"/>
        </w:rPr>
      </w:pPr>
      <w:r w:rsidRPr="006B2326">
        <w:rPr>
          <w:lang w:val="en-AU"/>
        </w:rPr>
        <w:t>Molecular formula: C</w:t>
      </w:r>
      <w:r w:rsidRPr="006B2326">
        <w:rPr>
          <w:vertAlign w:val="subscript"/>
          <w:lang w:val="en-AU"/>
        </w:rPr>
        <w:t>23</w:t>
      </w:r>
      <w:r w:rsidRPr="006B2326">
        <w:rPr>
          <w:lang w:val="en-AU"/>
        </w:rPr>
        <w:t>H</w:t>
      </w:r>
      <w:r w:rsidRPr="006B2326">
        <w:rPr>
          <w:vertAlign w:val="subscript"/>
          <w:lang w:val="en-AU"/>
        </w:rPr>
        <w:t>25</w:t>
      </w:r>
      <w:r w:rsidRPr="006B2326">
        <w:rPr>
          <w:lang w:val="en-AU"/>
        </w:rPr>
        <w:t>ClN</w:t>
      </w:r>
      <w:r w:rsidRPr="006B2326">
        <w:rPr>
          <w:vertAlign w:val="subscript"/>
          <w:lang w:val="en-AU"/>
        </w:rPr>
        <w:t>2</w:t>
      </w:r>
      <w:r w:rsidRPr="006B2326">
        <w:rPr>
          <w:lang w:val="en-AU"/>
        </w:rPr>
        <w:t>O</w:t>
      </w:r>
      <w:r w:rsidRPr="006B2326">
        <w:rPr>
          <w:vertAlign w:val="subscript"/>
          <w:lang w:val="en-AU"/>
        </w:rPr>
        <w:t>4</w:t>
      </w:r>
      <w:r w:rsidRPr="006B2326">
        <w:rPr>
          <w:lang w:val="en-AU"/>
        </w:rPr>
        <w:t xml:space="preserve">S </w:t>
      </w:r>
    </w:p>
    <w:p w14:paraId="791408A6" w14:textId="39C91DC2" w:rsidR="00911895" w:rsidRPr="006B2326" w:rsidRDefault="00911895" w:rsidP="004C6478">
      <w:pPr>
        <w:jc w:val="left"/>
        <w:rPr>
          <w:lang w:val="en-AU"/>
        </w:rPr>
      </w:pPr>
      <w:r w:rsidRPr="006B2326">
        <w:rPr>
          <w:lang w:val="en-AU"/>
        </w:rPr>
        <w:t>Molecular Mass: 460.97 g/mol</w:t>
      </w:r>
    </w:p>
    <w:p w14:paraId="3AA7CAEB" w14:textId="77777777" w:rsidR="00911895" w:rsidRPr="006B2326" w:rsidRDefault="000C60F2" w:rsidP="004C6478">
      <w:pPr>
        <w:pStyle w:val="Heading3"/>
        <w:rPr>
          <w:lang w:val="en-AU"/>
        </w:rPr>
      </w:pPr>
      <w:r w:rsidRPr="006B2326">
        <w:rPr>
          <w:lang w:val="en-AU"/>
        </w:rPr>
        <w:t>CAS number:</w:t>
      </w:r>
      <w:r w:rsidR="00911895" w:rsidRPr="006B2326">
        <w:rPr>
          <w:lang w:val="en-AU"/>
        </w:rPr>
        <w:t xml:space="preserve"> </w:t>
      </w:r>
    </w:p>
    <w:p w14:paraId="79E67DE3" w14:textId="6034AE7B" w:rsidR="000C60F2" w:rsidRPr="006B2326" w:rsidRDefault="00911895" w:rsidP="004C6478">
      <w:pPr>
        <w:jc w:val="left"/>
        <w:rPr>
          <w:lang w:val="en-AU"/>
        </w:rPr>
      </w:pPr>
      <w:r w:rsidRPr="006B2326">
        <w:rPr>
          <w:lang w:val="en-AU"/>
        </w:rPr>
        <w:t>854107-55-4</w:t>
      </w:r>
    </w:p>
    <w:p w14:paraId="60168CC2" w14:textId="77777777" w:rsidR="00E92580" w:rsidRPr="006B2326" w:rsidRDefault="00E92580" w:rsidP="004C6478">
      <w:pPr>
        <w:jc w:val="left"/>
        <w:rPr>
          <w:lang w:val="en-AU"/>
        </w:rPr>
      </w:pPr>
    </w:p>
    <w:p w14:paraId="5261601A" w14:textId="60639C28" w:rsidR="00BA1291" w:rsidRPr="006B2326" w:rsidRDefault="007A74AA" w:rsidP="004C6478">
      <w:pPr>
        <w:pStyle w:val="Heading1"/>
        <w:rPr>
          <w:lang w:val="en-AU"/>
        </w:rPr>
      </w:pPr>
      <w:r w:rsidRPr="006B2326">
        <w:rPr>
          <w:lang w:val="en-AU"/>
        </w:rPr>
        <w:t>Medicine</w:t>
      </w:r>
      <w:r w:rsidRPr="006B2326" w:rsidDel="007A74AA">
        <w:rPr>
          <w:lang w:val="en-AU"/>
        </w:rPr>
        <w:t xml:space="preserve"> </w:t>
      </w:r>
      <w:r w:rsidR="00BA1291" w:rsidRPr="006B2326">
        <w:rPr>
          <w:lang w:val="en-AU"/>
        </w:rPr>
        <w:t>Schedule</w:t>
      </w:r>
      <w:r w:rsidRPr="006B2326">
        <w:rPr>
          <w:lang w:val="en-AU"/>
        </w:rPr>
        <w:t xml:space="preserve"> (POISON STANDARD)</w:t>
      </w:r>
    </w:p>
    <w:p w14:paraId="7CB0A3ED" w14:textId="6249B503" w:rsidR="00BA1291" w:rsidRPr="006B2326" w:rsidRDefault="00BA1291" w:rsidP="004C6478">
      <w:pPr>
        <w:jc w:val="left"/>
        <w:rPr>
          <w:lang w:val="en-AU"/>
        </w:rPr>
      </w:pPr>
      <w:r w:rsidRPr="006B2326">
        <w:rPr>
          <w:lang w:val="en-AU"/>
        </w:rPr>
        <w:t>S4</w:t>
      </w:r>
      <w:r w:rsidR="003D6E5E" w:rsidRPr="006B2326">
        <w:rPr>
          <w:lang w:val="en-AU"/>
        </w:rPr>
        <w:t xml:space="preserve"> – Prescription Only Medicine</w:t>
      </w:r>
    </w:p>
    <w:p w14:paraId="40B21AD1" w14:textId="77777777" w:rsidR="00F921DC" w:rsidRPr="006B2326" w:rsidRDefault="00F921DC" w:rsidP="004C6478">
      <w:pPr>
        <w:jc w:val="left"/>
        <w:rPr>
          <w:lang w:val="en-AU"/>
        </w:rPr>
      </w:pPr>
    </w:p>
    <w:p w14:paraId="1F8DBD2D" w14:textId="5E8C66D2" w:rsidR="00D92B0C" w:rsidRPr="006B2326" w:rsidRDefault="00D92B0C" w:rsidP="004C6478">
      <w:pPr>
        <w:pStyle w:val="Heading1"/>
        <w:rPr>
          <w:lang w:val="en-AU"/>
        </w:rPr>
      </w:pPr>
      <w:r w:rsidRPr="006B2326">
        <w:rPr>
          <w:lang w:val="en-AU"/>
        </w:rPr>
        <w:t>Sponsor</w:t>
      </w:r>
    </w:p>
    <w:p w14:paraId="6EFD80F4" w14:textId="77777777" w:rsidR="009435F7" w:rsidRPr="006B2326" w:rsidRDefault="00BA1291" w:rsidP="004C6478">
      <w:pPr>
        <w:spacing w:after="0"/>
        <w:jc w:val="left"/>
        <w:rPr>
          <w:lang w:val="en-AU"/>
        </w:rPr>
      </w:pPr>
      <w:r w:rsidRPr="006B2326">
        <w:rPr>
          <w:lang w:val="en-AU"/>
        </w:rPr>
        <w:t>JANSSEN-CILAG Pty Ltd</w:t>
      </w:r>
      <w:r w:rsidRPr="006B2326">
        <w:rPr>
          <w:lang w:val="en-AU"/>
        </w:rPr>
        <w:br/>
        <w:t>1-5 Khartoum Rd</w:t>
      </w:r>
      <w:r w:rsidRPr="006B2326">
        <w:rPr>
          <w:lang w:val="en-AU"/>
        </w:rPr>
        <w:br/>
        <w:t>Macquarie Park NSW 2113 Australia</w:t>
      </w:r>
    </w:p>
    <w:p w14:paraId="37CB57F0" w14:textId="5C22D3C7" w:rsidR="00F921DC" w:rsidRPr="006B2326" w:rsidRDefault="009435F7" w:rsidP="004C6478">
      <w:pPr>
        <w:spacing w:after="0"/>
        <w:jc w:val="left"/>
      </w:pPr>
      <w:r w:rsidRPr="006B2326">
        <w:t>Telephone: 1800 226 334</w:t>
      </w:r>
    </w:p>
    <w:p w14:paraId="3F236950" w14:textId="77777777" w:rsidR="00E92580" w:rsidRPr="006B2326" w:rsidRDefault="00E92580" w:rsidP="004C6478">
      <w:pPr>
        <w:spacing w:after="0"/>
        <w:jc w:val="left"/>
        <w:rPr>
          <w:lang w:val="en-AU"/>
        </w:rPr>
      </w:pPr>
    </w:p>
    <w:p w14:paraId="43B7CC99" w14:textId="77777777" w:rsidR="00D92B0C" w:rsidRPr="006B2326" w:rsidRDefault="00D92B0C" w:rsidP="004C6478">
      <w:pPr>
        <w:pStyle w:val="Heading1"/>
        <w:rPr>
          <w:lang w:val="en-AU"/>
        </w:rPr>
      </w:pPr>
      <w:r w:rsidRPr="006B2326">
        <w:rPr>
          <w:lang w:val="en-AU"/>
        </w:rPr>
        <w:t xml:space="preserve">Date of first </w:t>
      </w:r>
      <w:r w:rsidR="003D6E5E" w:rsidRPr="006B2326">
        <w:rPr>
          <w:lang w:val="en-AU"/>
        </w:rPr>
        <w:t>APPROVAL</w:t>
      </w:r>
    </w:p>
    <w:p w14:paraId="41AE87D2" w14:textId="76B8DAFF" w:rsidR="00E821B3" w:rsidRPr="006B2326" w:rsidRDefault="009A4C8D" w:rsidP="004C6478">
      <w:pPr>
        <w:spacing w:after="160" w:line="259" w:lineRule="auto"/>
        <w:jc w:val="left"/>
        <w:rPr>
          <w:lang w:val="en-AU"/>
        </w:rPr>
      </w:pPr>
      <w:r>
        <w:rPr>
          <w:lang w:val="en-AU"/>
        </w:rPr>
        <w:t>11 March 2022</w:t>
      </w:r>
    </w:p>
    <w:sectPr w:rsidR="00E821B3" w:rsidRPr="006B2326" w:rsidSect="0008066D">
      <w:headerReference w:type="default" r:id="rId14"/>
      <w:footerReference w:type="default" r:id="rId15"/>
      <w:headerReference w:type="first" r:id="rId16"/>
      <w:footerReference w:type="first" r:id="rId17"/>
      <w:pgSz w:w="11906" w:h="16838" w:code="9"/>
      <w:pgMar w:top="1440" w:right="1440" w:bottom="1282" w:left="1440" w:header="70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3A0B" w14:textId="77777777" w:rsidR="00676448" w:rsidRDefault="00676448" w:rsidP="00BA1291">
      <w:pPr>
        <w:spacing w:after="0"/>
      </w:pPr>
      <w:r>
        <w:separator/>
      </w:r>
    </w:p>
  </w:endnote>
  <w:endnote w:type="continuationSeparator" w:id="0">
    <w:p w14:paraId="533A6C36" w14:textId="77777777" w:rsidR="00676448" w:rsidRDefault="00676448" w:rsidP="00BA1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tblBorders>
      <w:tblLook w:val="0000" w:firstRow="0" w:lastRow="0" w:firstColumn="0" w:lastColumn="0" w:noHBand="0" w:noVBand="0"/>
    </w:tblPr>
    <w:tblGrid>
      <w:gridCol w:w="3119"/>
      <w:gridCol w:w="2377"/>
      <w:gridCol w:w="3860"/>
    </w:tblGrid>
    <w:tr w:rsidR="00676448" w:rsidRPr="005A6179" w14:paraId="53CB3965" w14:textId="77777777" w:rsidTr="00EB1B6C">
      <w:trPr>
        <w:trHeight w:val="127"/>
      </w:trPr>
      <w:tc>
        <w:tcPr>
          <w:tcW w:w="3119" w:type="dxa"/>
        </w:tcPr>
        <w:p w14:paraId="295EBC47" w14:textId="0182CE2A" w:rsidR="00676448" w:rsidRPr="005A6179" w:rsidRDefault="00676448" w:rsidP="005A6179">
          <w:pPr>
            <w:pStyle w:val="Footer"/>
            <w:rPr>
              <w:rStyle w:val="PageNumber"/>
            </w:rPr>
          </w:pPr>
          <w:r w:rsidRPr="005A6179">
            <w:t>CCDS</w:t>
          </w:r>
          <w:r>
            <w:t xml:space="preserve"> 210511</w:t>
          </w:r>
        </w:p>
      </w:tc>
      <w:tc>
        <w:tcPr>
          <w:tcW w:w="2377" w:type="dxa"/>
        </w:tcPr>
        <w:p w14:paraId="3269C969" w14:textId="4E5B03F2" w:rsidR="00676448" w:rsidRPr="005A6179" w:rsidRDefault="00676448" w:rsidP="00541F3E">
          <w:pPr>
            <w:pStyle w:val="Footer"/>
            <w:jc w:val="center"/>
            <w:rPr>
              <w:rStyle w:val="PageNumber"/>
            </w:rPr>
          </w:pPr>
          <w:r w:rsidRPr="005A6179">
            <w:t xml:space="preserve">Page </w:t>
          </w:r>
          <w:r w:rsidRPr="005A6179">
            <w:rPr>
              <w:rStyle w:val="PageNumber"/>
            </w:rPr>
            <w:fldChar w:fldCharType="begin"/>
          </w:r>
          <w:r w:rsidRPr="005A6179">
            <w:rPr>
              <w:rStyle w:val="PageNumber"/>
            </w:rPr>
            <w:instrText xml:space="preserve"> PAGE </w:instrText>
          </w:r>
          <w:r w:rsidRPr="005A6179">
            <w:rPr>
              <w:rStyle w:val="PageNumber"/>
            </w:rPr>
            <w:fldChar w:fldCharType="separate"/>
          </w:r>
          <w:r>
            <w:rPr>
              <w:rStyle w:val="PageNumber"/>
              <w:noProof/>
            </w:rPr>
            <w:t>13</w:t>
          </w:r>
          <w:r w:rsidRPr="005A6179">
            <w:rPr>
              <w:rStyle w:val="PageNumber"/>
            </w:rPr>
            <w:fldChar w:fldCharType="end"/>
          </w:r>
        </w:p>
      </w:tc>
      <w:tc>
        <w:tcPr>
          <w:tcW w:w="3860" w:type="dxa"/>
        </w:tcPr>
        <w:p w14:paraId="1F607DEA" w14:textId="3D94DAEE" w:rsidR="00676448" w:rsidRPr="00D0128F" w:rsidRDefault="00676448" w:rsidP="00541F3E">
          <w:pPr>
            <w:pStyle w:val="Footer"/>
            <w:jc w:val="right"/>
            <w:rPr>
              <w:rStyle w:val="PageNumber"/>
            </w:rPr>
          </w:pPr>
          <w:r>
            <w:rPr>
              <w:rStyle w:val="PageNumber"/>
            </w:rPr>
            <w:t>PONVORY</w:t>
          </w:r>
          <w:r w:rsidRPr="00D0128F">
            <w:rPr>
              <w:rStyle w:val="PageNumber"/>
            </w:rPr>
            <w:t xml:space="preserve"> (</w:t>
          </w:r>
          <w:r w:rsidR="007D67E3">
            <w:rPr>
              <w:rStyle w:val="PageNumber"/>
            </w:rPr>
            <w:t>220</w:t>
          </w:r>
          <w:r w:rsidR="00460ED1">
            <w:rPr>
              <w:rStyle w:val="PageNumber"/>
            </w:rPr>
            <w:t>3</w:t>
          </w:r>
          <w:r w:rsidR="009A4C8D">
            <w:rPr>
              <w:rStyle w:val="PageNumber"/>
            </w:rPr>
            <w:t>11</w:t>
          </w:r>
          <w:r w:rsidRPr="00D0128F">
            <w:rPr>
              <w:rStyle w:val="PageNumber"/>
            </w:rPr>
            <w:t xml:space="preserve">) </w:t>
          </w:r>
          <w:r w:rsidR="009A4C8D">
            <w:rPr>
              <w:rStyle w:val="PageNumber"/>
            </w:rPr>
            <w:t>A</w:t>
          </w:r>
          <w:r w:rsidRPr="00D0128F">
            <w:rPr>
              <w:rStyle w:val="PageNumber"/>
            </w:rPr>
            <w:t>PI</w:t>
          </w:r>
        </w:p>
      </w:tc>
    </w:tr>
  </w:tbl>
  <w:p w14:paraId="3665CB28" w14:textId="77777777" w:rsidR="00676448" w:rsidRDefault="00676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tblBorders>
      <w:tblLook w:val="0000" w:firstRow="0" w:lastRow="0" w:firstColumn="0" w:lastColumn="0" w:noHBand="0" w:noVBand="0"/>
    </w:tblPr>
    <w:tblGrid>
      <w:gridCol w:w="3119"/>
      <w:gridCol w:w="2377"/>
      <w:gridCol w:w="3860"/>
    </w:tblGrid>
    <w:tr w:rsidR="00676448" w:rsidRPr="005A6179" w14:paraId="0A9BE87C" w14:textId="77777777" w:rsidTr="00066D58">
      <w:tc>
        <w:tcPr>
          <w:tcW w:w="3119" w:type="dxa"/>
        </w:tcPr>
        <w:p w14:paraId="522212A4" w14:textId="1971743B" w:rsidR="00676448" w:rsidRPr="005A6179" w:rsidRDefault="00676448" w:rsidP="00066D58">
          <w:pPr>
            <w:pStyle w:val="Footer"/>
            <w:rPr>
              <w:rStyle w:val="PageNumber"/>
            </w:rPr>
          </w:pPr>
          <w:r w:rsidRPr="005A6179">
            <w:t>CCDS</w:t>
          </w:r>
          <w:r>
            <w:t xml:space="preserve"> 210511</w:t>
          </w:r>
        </w:p>
      </w:tc>
      <w:tc>
        <w:tcPr>
          <w:tcW w:w="2377" w:type="dxa"/>
        </w:tcPr>
        <w:p w14:paraId="0031F912" w14:textId="77777777" w:rsidR="00676448" w:rsidRPr="005A6179" w:rsidRDefault="00676448" w:rsidP="00066D58">
          <w:pPr>
            <w:pStyle w:val="Footer"/>
            <w:jc w:val="center"/>
            <w:rPr>
              <w:rStyle w:val="PageNumber"/>
            </w:rPr>
          </w:pPr>
          <w:r w:rsidRPr="005A6179">
            <w:t xml:space="preserve">Page </w:t>
          </w:r>
          <w:r w:rsidRPr="005A6179">
            <w:rPr>
              <w:rStyle w:val="PageNumber"/>
            </w:rPr>
            <w:fldChar w:fldCharType="begin"/>
          </w:r>
          <w:r w:rsidRPr="005A6179">
            <w:rPr>
              <w:rStyle w:val="PageNumber"/>
            </w:rPr>
            <w:instrText xml:space="preserve"> PAGE </w:instrText>
          </w:r>
          <w:r w:rsidRPr="005A6179">
            <w:rPr>
              <w:rStyle w:val="PageNumber"/>
            </w:rPr>
            <w:fldChar w:fldCharType="separate"/>
          </w:r>
          <w:r>
            <w:rPr>
              <w:rStyle w:val="PageNumber"/>
            </w:rPr>
            <w:t>2</w:t>
          </w:r>
          <w:r w:rsidRPr="005A6179">
            <w:rPr>
              <w:rStyle w:val="PageNumber"/>
            </w:rPr>
            <w:fldChar w:fldCharType="end"/>
          </w:r>
        </w:p>
      </w:tc>
      <w:tc>
        <w:tcPr>
          <w:tcW w:w="3860" w:type="dxa"/>
        </w:tcPr>
        <w:p w14:paraId="182CD2B3" w14:textId="1EFCBE55" w:rsidR="00676448" w:rsidRPr="00D0128F" w:rsidRDefault="00676448" w:rsidP="00066D58">
          <w:pPr>
            <w:pStyle w:val="Footer"/>
            <w:jc w:val="right"/>
            <w:rPr>
              <w:rStyle w:val="PageNumber"/>
            </w:rPr>
          </w:pPr>
          <w:r>
            <w:rPr>
              <w:rStyle w:val="PageNumber"/>
            </w:rPr>
            <w:t>PONVORY</w:t>
          </w:r>
          <w:r w:rsidRPr="00D0128F">
            <w:rPr>
              <w:rStyle w:val="PageNumber"/>
            </w:rPr>
            <w:t xml:space="preserve"> (</w:t>
          </w:r>
          <w:r w:rsidR="00B91D15">
            <w:rPr>
              <w:rStyle w:val="PageNumber"/>
            </w:rPr>
            <w:t>2</w:t>
          </w:r>
          <w:r w:rsidR="007D67E3">
            <w:rPr>
              <w:rStyle w:val="PageNumber"/>
            </w:rPr>
            <w:t>20</w:t>
          </w:r>
          <w:r w:rsidR="00460ED1">
            <w:rPr>
              <w:rStyle w:val="PageNumber"/>
            </w:rPr>
            <w:t>3</w:t>
          </w:r>
          <w:r w:rsidR="009A4C8D">
            <w:rPr>
              <w:rStyle w:val="PageNumber"/>
            </w:rPr>
            <w:t>11</w:t>
          </w:r>
          <w:r w:rsidRPr="00D0128F">
            <w:rPr>
              <w:rStyle w:val="PageNumber"/>
            </w:rPr>
            <w:t xml:space="preserve">) </w:t>
          </w:r>
          <w:r w:rsidR="009A4C8D">
            <w:rPr>
              <w:rStyle w:val="PageNumber"/>
            </w:rPr>
            <w:t>A</w:t>
          </w:r>
          <w:r w:rsidRPr="00D0128F">
            <w:rPr>
              <w:rStyle w:val="PageNumber"/>
            </w:rPr>
            <w:t>PI</w:t>
          </w:r>
        </w:p>
      </w:tc>
    </w:tr>
  </w:tbl>
  <w:p w14:paraId="708945DD" w14:textId="22850B60" w:rsidR="00676448" w:rsidRDefault="0067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2451" w14:textId="77777777" w:rsidR="00676448" w:rsidRDefault="00676448" w:rsidP="00BA1291">
      <w:pPr>
        <w:spacing w:after="0"/>
      </w:pPr>
      <w:r>
        <w:separator/>
      </w:r>
    </w:p>
  </w:footnote>
  <w:footnote w:type="continuationSeparator" w:id="0">
    <w:p w14:paraId="31A42A34" w14:textId="77777777" w:rsidR="00676448" w:rsidRDefault="00676448" w:rsidP="00BA12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A8799E" w:rsidRPr="000B2145" w14:paraId="7337C708" w14:textId="77777777" w:rsidTr="00FE1A86">
      <w:trPr>
        <w:trHeight w:val="1012"/>
      </w:trPr>
      <w:tc>
        <w:tcPr>
          <w:tcW w:w="9039" w:type="dxa"/>
          <w:shd w:val="clear" w:color="auto" w:fill="E4F2E0"/>
        </w:tcPr>
        <w:p w14:paraId="58BD5A23" w14:textId="77777777" w:rsidR="00A8799E" w:rsidRPr="000E4791" w:rsidRDefault="00A8799E" w:rsidP="00A8799E">
          <w:pPr>
            <w:pStyle w:val="Footer"/>
            <w:rPr>
              <w:b/>
              <w:szCs w:val="18"/>
            </w:rPr>
          </w:pPr>
          <w:r w:rsidRPr="00E74845">
            <w:rPr>
              <w:b/>
              <w:szCs w:val="18"/>
            </w:rPr>
            <w:t xml:space="preserve">Attachment </w:t>
          </w:r>
          <w:proofErr w:type="spellStart"/>
          <w:r w:rsidRPr="00381938">
            <w:rPr>
              <w:b/>
            </w:rPr>
            <w:t>AusPAR</w:t>
          </w:r>
          <w:proofErr w:type="spellEnd"/>
          <w:r w:rsidRPr="00381938">
            <w:rPr>
              <w:b/>
            </w:rPr>
            <w:t xml:space="preserve"> - </w:t>
          </w:r>
          <w:proofErr w:type="spellStart"/>
          <w:r w:rsidRPr="00381938">
            <w:rPr>
              <w:b/>
            </w:rPr>
            <w:t>Ponvory</w:t>
          </w:r>
          <w:proofErr w:type="spellEnd"/>
          <w:r w:rsidRPr="00381938">
            <w:rPr>
              <w:b/>
            </w:rPr>
            <w:t xml:space="preserve"> - </w:t>
          </w:r>
          <w:proofErr w:type="spellStart"/>
          <w:r w:rsidRPr="00381938">
            <w:rPr>
              <w:b/>
            </w:rPr>
            <w:t>ponesimod</w:t>
          </w:r>
          <w:proofErr w:type="spellEnd"/>
          <w:r w:rsidRPr="00381938">
            <w:rPr>
              <w:b/>
            </w:rPr>
            <w:t xml:space="preserve"> - Janssen-</w:t>
          </w:r>
          <w:proofErr w:type="spellStart"/>
          <w:r w:rsidRPr="00381938">
            <w:rPr>
              <w:b/>
            </w:rPr>
            <w:t>Cilag</w:t>
          </w:r>
          <w:proofErr w:type="spellEnd"/>
          <w:r w:rsidRPr="00381938">
            <w:rPr>
              <w:b/>
            </w:rPr>
            <w:t xml:space="preserve"> Pty Ltd - PM-2021-02609-1-1</w:t>
          </w:r>
          <w:r>
            <w:rPr>
              <w:b/>
            </w:rPr>
            <w:t xml:space="preserve"> </w:t>
          </w:r>
          <w:r w:rsidRPr="00381938">
            <w:rPr>
              <w:b/>
            </w:rPr>
            <w:t>Final 31 October 2022</w:t>
          </w:r>
          <w:r w:rsidRPr="00E74845">
            <w:rPr>
              <w:b/>
              <w:szCs w:val="18"/>
            </w:rPr>
            <w:t xml:space="preserve">. </w:t>
          </w:r>
          <w:r w:rsidRPr="00EE2A41">
            <w:rPr>
              <w:b/>
              <w:szCs w:val="18"/>
            </w:rPr>
            <w:t xml:space="preserve">This is the Product Information that was approved with the submission described in this </w:t>
          </w:r>
          <w:proofErr w:type="spellStart"/>
          <w:r w:rsidRPr="00EE2A41">
            <w:rPr>
              <w:b/>
              <w:szCs w:val="18"/>
            </w:rPr>
            <w:t>AusPAR</w:t>
          </w:r>
          <w:proofErr w:type="spellEnd"/>
          <w:r w:rsidRPr="00EE2A41">
            <w:rPr>
              <w:b/>
              <w:szCs w:val="18"/>
            </w:rPr>
            <w:t>. It may have been superseded. For the most recent PI, please refer to the TGA website at</w:t>
          </w:r>
          <w:r w:rsidRPr="000E4791">
            <w:rPr>
              <w:b/>
              <w:szCs w:val="18"/>
            </w:rPr>
            <w:t xml:space="preserve"> &lt;</w:t>
          </w:r>
          <w:hyperlink r:id="rId1" w:history="1">
            <w:r w:rsidRPr="000E4791">
              <w:rPr>
                <w:rStyle w:val="Hyperlink"/>
                <w:b/>
                <w:szCs w:val="18"/>
              </w:rPr>
              <w:t>https://www.tga.gov.au/product-information-pi</w:t>
            </w:r>
          </w:hyperlink>
          <w:r w:rsidRPr="000E4791">
            <w:rPr>
              <w:b/>
              <w:szCs w:val="18"/>
              <w:u w:val="single"/>
            </w:rPr>
            <w:t>&gt;</w:t>
          </w:r>
        </w:p>
      </w:tc>
    </w:tr>
  </w:tbl>
  <w:p w14:paraId="75259462" w14:textId="77777777" w:rsidR="00A8799E" w:rsidRDefault="00A87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4C6478" w:rsidRPr="000B2145" w14:paraId="355CFB16" w14:textId="77777777" w:rsidTr="00FE1A86">
      <w:trPr>
        <w:trHeight w:val="1012"/>
      </w:trPr>
      <w:tc>
        <w:tcPr>
          <w:tcW w:w="9039" w:type="dxa"/>
          <w:shd w:val="clear" w:color="auto" w:fill="E4F2E0"/>
        </w:tcPr>
        <w:p w14:paraId="5DAF9E69" w14:textId="77777777" w:rsidR="004C6478" w:rsidRPr="000E4791" w:rsidRDefault="004C6478" w:rsidP="004C6478">
          <w:pPr>
            <w:pStyle w:val="Footer"/>
            <w:rPr>
              <w:b/>
              <w:szCs w:val="18"/>
            </w:rPr>
          </w:pPr>
          <w:bookmarkStart w:id="55" w:name="_Hlk110255651"/>
          <w:r w:rsidRPr="00E74845">
            <w:rPr>
              <w:b/>
              <w:szCs w:val="18"/>
            </w:rPr>
            <w:t xml:space="preserve">Attachment </w:t>
          </w:r>
          <w:proofErr w:type="spellStart"/>
          <w:r w:rsidRPr="00381938">
            <w:rPr>
              <w:b/>
            </w:rPr>
            <w:t>AusPAR</w:t>
          </w:r>
          <w:proofErr w:type="spellEnd"/>
          <w:r w:rsidRPr="00381938">
            <w:rPr>
              <w:b/>
            </w:rPr>
            <w:t xml:space="preserve"> - </w:t>
          </w:r>
          <w:proofErr w:type="spellStart"/>
          <w:r w:rsidRPr="00381938">
            <w:rPr>
              <w:b/>
            </w:rPr>
            <w:t>Ponvory</w:t>
          </w:r>
          <w:proofErr w:type="spellEnd"/>
          <w:r w:rsidRPr="00381938">
            <w:rPr>
              <w:b/>
            </w:rPr>
            <w:t xml:space="preserve"> - </w:t>
          </w:r>
          <w:proofErr w:type="spellStart"/>
          <w:r w:rsidRPr="00381938">
            <w:rPr>
              <w:b/>
            </w:rPr>
            <w:t>ponesimod</w:t>
          </w:r>
          <w:proofErr w:type="spellEnd"/>
          <w:r w:rsidRPr="00381938">
            <w:rPr>
              <w:b/>
            </w:rPr>
            <w:t xml:space="preserve"> - Janssen-</w:t>
          </w:r>
          <w:proofErr w:type="spellStart"/>
          <w:r w:rsidRPr="00381938">
            <w:rPr>
              <w:b/>
            </w:rPr>
            <w:t>Cilag</w:t>
          </w:r>
          <w:proofErr w:type="spellEnd"/>
          <w:r w:rsidRPr="00381938">
            <w:rPr>
              <w:b/>
            </w:rPr>
            <w:t xml:space="preserve"> Pty Ltd - PM-2021-02609-1-1</w:t>
          </w:r>
          <w:r>
            <w:rPr>
              <w:b/>
            </w:rPr>
            <w:t xml:space="preserve"> </w:t>
          </w:r>
          <w:r w:rsidRPr="00381938">
            <w:rPr>
              <w:b/>
            </w:rPr>
            <w:t>Final 31 October 2022</w:t>
          </w:r>
          <w:r w:rsidRPr="00E74845">
            <w:rPr>
              <w:b/>
              <w:szCs w:val="18"/>
            </w:rPr>
            <w:t xml:space="preserve">. </w:t>
          </w:r>
          <w:r w:rsidRPr="00EE2A41">
            <w:rPr>
              <w:b/>
              <w:szCs w:val="18"/>
            </w:rPr>
            <w:t xml:space="preserve">This is the Product Information that was approved with the submission described in this </w:t>
          </w:r>
          <w:proofErr w:type="spellStart"/>
          <w:r w:rsidRPr="00EE2A41">
            <w:rPr>
              <w:b/>
              <w:szCs w:val="18"/>
            </w:rPr>
            <w:t>AusPAR</w:t>
          </w:r>
          <w:proofErr w:type="spellEnd"/>
          <w:r w:rsidRPr="00EE2A41">
            <w:rPr>
              <w:b/>
              <w:szCs w:val="18"/>
            </w:rPr>
            <w:t>. It may have been superseded. For the most recent PI, please refer to the TGA website at</w:t>
          </w:r>
          <w:r w:rsidRPr="000E4791">
            <w:rPr>
              <w:b/>
              <w:szCs w:val="18"/>
            </w:rPr>
            <w:t xml:space="preserve"> &lt;</w:t>
          </w:r>
          <w:hyperlink r:id="rId1" w:history="1">
            <w:r w:rsidRPr="000E4791">
              <w:rPr>
                <w:rStyle w:val="Hyperlink"/>
                <w:b/>
                <w:szCs w:val="18"/>
              </w:rPr>
              <w:t>https://www.tga.gov.au/product-information-pi</w:t>
            </w:r>
          </w:hyperlink>
          <w:r w:rsidRPr="000E4791">
            <w:rPr>
              <w:b/>
              <w:szCs w:val="18"/>
              <w:u w:val="single"/>
            </w:rPr>
            <w:t>&gt;</w:t>
          </w:r>
        </w:p>
      </w:tc>
    </w:tr>
  </w:tbl>
  <w:bookmarkEnd w:id="55"/>
  <w:p w14:paraId="0E47CF44" w14:textId="651385FC" w:rsidR="00676448" w:rsidRDefault="00676448" w:rsidP="0066370D">
    <w:pPr>
      <w:pStyle w:val="Header"/>
      <w:jc w:val="right"/>
    </w:pPr>
    <w:r w:rsidRPr="00D60E1D">
      <w:rPr>
        <w:noProof/>
      </w:rPr>
      <w:drawing>
        <wp:inline distT="0" distB="0" distL="0" distR="0" wp14:anchorId="4134FBF4" wp14:editId="28B2A34C">
          <wp:extent cx="1828800" cy="819150"/>
          <wp:effectExtent l="0" t="0" r="0" b="0"/>
          <wp:docPr id="5" name="Picture 5"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ssen_Cons_RGB"/>
                  <pic:cNvPicPr>
                    <a:picLocks noChangeAspect="1" noChangeArrowheads="1"/>
                  </pic:cNvPicPr>
                </pic:nvPicPr>
                <pic:blipFill>
                  <a:blip r:embed="rId2">
                    <a:extLst>
                      <a:ext uri="{28A0092B-C50C-407E-A947-70E740481C1C}">
                        <a14:useLocalDpi xmlns:a14="http://schemas.microsoft.com/office/drawing/2010/main" val="0"/>
                      </a:ext>
                    </a:extLst>
                  </a:blip>
                  <a:srcRect t="23622" b="31496"/>
                  <a:stretch>
                    <a:fillRect/>
                  </a:stretch>
                </pic:blipFill>
                <pic:spPr bwMode="auto">
                  <a:xfrm>
                    <a:off x="0" y="0"/>
                    <a:ext cx="1828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38106C"/>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2" w15:restartNumberingAfterBreak="0">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3" w15:restartNumberingAfterBreak="0">
    <w:nsid w:val="054D0A97"/>
    <w:multiLevelType w:val="hybridMultilevel"/>
    <w:tmpl w:val="21AC0D6E"/>
    <w:lvl w:ilvl="0" w:tplc="7CBA4CD0">
      <w:start w:val="1"/>
      <w:numFmt w:val="lowerLetter"/>
      <w:pStyle w:val="Numbered11-2"/>
      <w:lvlText w:val="%1."/>
      <w:lvlJc w:val="left"/>
      <w:pPr>
        <w:tabs>
          <w:tab w:val="num" w:pos="864"/>
        </w:tabs>
        <w:ind w:left="864" w:hanging="432"/>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47A4DA8"/>
    <w:multiLevelType w:val="hybridMultilevel"/>
    <w:tmpl w:val="8406616A"/>
    <w:lvl w:ilvl="0" w:tplc="50B49BA8">
      <w:start w:val="1"/>
      <w:numFmt w:val="decimal"/>
      <w:pStyle w:val="NumberList-DS-1double-spaced"/>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5E1179"/>
    <w:multiLevelType w:val="hybridMultilevel"/>
    <w:tmpl w:val="2202F57E"/>
    <w:lvl w:ilvl="0" w:tplc="E7D6A98E">
      <w:start w:val="1"/>
      <w:numFmt w:val="bullet"/>
      <w:pStyle w:val="Bullet11-1"/>
      <w:lvlText w:val=""/>
      <w:lvlJc w:val="left"/>
      <w:pPr>
        <w:tabs>
          <w:tab w:val="num" w:pos="432"/>
        </w:tabs>
        <w:ind w:left="432" w:hanging="432"/>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63FF"/>
    <w:multiLevelType w:val="hybridMultilevel"/>
    <w:tmpl w:val="FEDE2A32"/>
    <w:lvl w:ilvl="0" w:tplc="0484A49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6395A"/>
    <w:multiLevelType w:val="hybridMultilevel"/>
    <w:tmpl w:val="1CC06AF0"/>
    <w:lvl w:ilvl="0" w:tplc="81700F12">
      <w:start w:val="1"/>
      <w:numFmt w:val="lowerLetter"/>
      <w:pStyle w:val="Numbered12-2"/>
      <w:lvlText w:val="%1."/>
      <w:lvlJc w:val="left"/>
      <w:pPr>
        <w:tabs>
          <w:tab w:val="num" w:pos="864"/>
        </w:tabs>
        <w:ind w:left="864" w:hanging="432"/>
      </w:pPr>
      <w:rPr>
        <w:rFonts w:hint="default"/>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8" w15:restartNumberingAfterBreak="0">
    <w:nsid w:val="20FB7B82"/>
    <w:multiLevelType w:val="multilevel"/>
    <w:tmpl w:val="40D0DB70"/>
    <w:lvl w:ilvl="0">
      <w:start w:val="1"/>
      <w:numFmt w:val="upperLetter"/>
      <w:pStyle w:val="Narrative1"/>
      <w:lvlText w:val="%1."/>
      <w:lvlJc w:val="left"/>
      <w:pPr>
        <w:tabs>
          <w:tab w:val="num" w:pos="1210"/>
        </w:tabs>
        <w:ind w:left="1210" w:hanging="360"/>
      </w:pPr>
    </w:lvl>
    <w:lvl w:ilvl="1">
      <w:start w:val="1"/>
      <w:numFmt w:val="decimal"/>
      <w:pStyle w:val="Narrative2"/>
      <w:lvlText w:val="%2."/>
      <w:lvlJc w:val="left"/>
      <w:pPr>
        <w:tabs>
          <w:tab w:val="num" w:pos="1570"/>
        </w:tabs>
        <w:ind w:left="1570" w:hanging="360"/>
      </w:pPr>
    </w:lvl>
    <w:lvl w:ilvl="2">
      <w:start w:val="1"/>
      <w:numFmt w:val="lowerLetter"/>
      <w:pStyle w:val="Narrative3"/>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25B84494"/>
    <w:multiLevelType w:val="hybridMultilevel"/>
    <w:tmpl w:val="6DEA1B10"/>
    <w:lvl w:ilvl="0" w:tplc="4E24535A">
      <w:start w:val="1"/>
      <w:numFmt w:val="bullet"/>
      <w:pStyle w:val="Bullet11-2"/>
      <w:lvlText w:val=""/>
      <w:lvlJc w:val="left"/>
      <w:pPr>
        <w:tabs>
          <w:tab w:val="num" w:pos="864"/>
        </w:tabs>
        <w:ind w:left="864" w:hanging="432"/>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 w15:restartNumberingAfterBreak="0">
    <w:nsid w:val="26012133"/>
    <w:multiLevelType w:val="hybridMultilevel"/>
    <w:tmpl w:val="086EAE32"/>
    <w:lvl w:ilvl="0" w:tplc="A8F0B08E">
      <w:start w:val="1"/>
      <w:numFmt w:val="bullet"/>
      <w:pStyle w:val="GuideDash"/>
      <w:lvlText w:val=""/>
      <w:lvlJc w:val="left"/>
      <w:pPr>
        <w:tabs>
          <w:tab w:val="num" w:pos="1786"/>
        </w:tabs>
        <w:ind w:left="171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96F28"/>
    <w:multiLevelType w:val="hybridMultilevel"/>
    <w:tmpl w:val="BA84FCE2"/>
    <w:lvl w:ilvl="0" w:tplc="CF52285A">
      <w:start w:val="1"/>
      <w:numFmt w:val="bullet"/>
      <w:pStyle w:val="BulletList-SS-3single-spaced"/>
      <w:lvlText w:val=""/>
      <w:lvlJc w:val="left"/>
      <w:pPr>
        <w:tabs>
          <w:tab w:val="num" w:pos="1728"/>
        </w:tabs>
        <w:ind w:left="1728" w:hanging="57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132FB"/>
    <w:multiLevelType w:val="hybridMultilevel"/>
    <w:tmpl w:val="199AA300"/>
    <w:lvl w:ilvl="0" w:tplc="563240EE">
      <w:start w:val="1"/>
      <w:numFmt w:val="decimal"/>
      <w:pStyle w:val="Numbered12-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13" w15:restartNumberingAfterBreak="0">
    <w:nsid w:val="2B307925"/>
    <w:multiLevelType w:val="hybridMultilevel"/>
    <w:tmpl w:val="8398F8CC"/>
    <w:lvl w:ilvl="0" w:tplc="1048FB7C">
      <w:start w:val="1"/>
      <w:numFmt w:val="lowerLetter"/>
      <w:pStyle w:val="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56A99"/>
    <w:multiLevelType w:val="hybridMultilevel"/>
    <w:tmpl w:val="6AACD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9340E1"/>
    <w:multiLevelType w:val="hybridMultilevel"/>
    <w:tmpl w:val="40B6106E"/>
    <w:lvl w:ilvl="0" w:tplc="543CD1EE">
      <w:start w:val="1"/>
      <w:numFmt w:val="bullet"/>
      <w:pStyle w:val="Bullet11-4"/>
      <w:lvlText w:val=""/>
      <w:lvlJc w:val="left"/>
      <w:pPr>
        <w:tabs>
          <w:tab w:val="num" w:pos="1728"/>
        </w:tabs>
        <w:ind w:left="1728" w:hanging="432"/>
      </w:pPr>
      <w:rPr>
        <w:rFonts w:ascii="Symbol" w:hAnsi="Symbol" w:hint="default"/>
      </w:rPr>
    </w:lvl>
    <w:lvl w:ilvl="1" w:tplc="04090019" w:tentative="1">
      <w:start w:val="1"/>
      <w:numFmt w:val="bullet"/>
      <w:lvlText w:val="o"/>
      <w:lvlJc w:val="left"/>
      <w:pPr>
        <w:ind w:left="2736" w:hanging="360"/>
      </w:pPr>
      <w:rPr>
        <w:rFonts w:ascii="Courier New" w:hAnsi="Courier New" w:cs="Courier New" w:hint="default"/>
      </w:rPr>
    </w:lvl>
    <w:lvl w:ilvl="2" w:tplc="0409001B" w:tentative="1">
      <w:start w:val="1"/>
      <w:numFmt w:val="bullet"/>
      <w:lvlText w:val=""/>
      <w:lvlJc w:val="left"/>
      <w:pPr>
        <w:ind w:left="3456" w:hanging="360"/>
      </w:pPr>
      <w:rPr>
        <w:rFonts w:ascii="Wingdings" w:hAnsi="Wingdings" w:hint="default"/>
      </w:rPr>
    </w:lvl>
    <w:lvl w:ilvl="3" w:tplc="0409000F" w:tentative="1">
      <w:start w:val="1"/>
      <w:numFmt w:val="bullet"/>
      <w:lvlText w:val=""/>
      <w:lvlJc w:val="left"/>
      <w:pPr>
        <w:ind w:left="4176" w:hanging="360"/>
      </w:pPr>
      <w:rPr>
        <w:rFonts w:ascii="Symbol" w:hAnsi="Symbol" w:hint="default"/>
      </w:rPr>
    </w:lvl>
    <w:lvl w:ilvl="4" w:tplc="04090019" w:tentative="1">
      <w:start w:val="1"/>
      <w:numFmt w:val="bullet"/>
      <w:lvlText w:val="o"/>
      <w:lvlJc w:val="left"/>
      <w:pPr>
        <w:ind w:left="4896" w:hanging="360"/>
      </w:pPr>
      <w:rPr>
        <w:rFonts w:ascii="Courier New" w:hAnsi="Courier New" w:cs="Courier New" w:hint="default"/>
      </w:rPr>
    </w:lvl>
    <w:lvl w:ilvl="5" w:tplc="0409001B" w:tentative="1">
      <w:start w:val="1"/>
      <w:numFmt w:val="bullet"/>
      <w:lvlText w:val=""/>
      <w:lvlJc w:val="left"/>
      <w:pPr>
        <w:ind w:left="5616" w:hanging="360"/>
      </w:pPr>
      <w:rPr>
        <w:rFonts w:ascii="Wingdings" w:hAnsi="Wingdings" w:hint="default"/>
      </w:rPr>
    </w:lvl>
    <w:lvl w:ilvl="6" w:tplc="0409000F" w:tentative="1">
      <w:start w:val="1"/>
      <w:numFmt w:val="bullet"/>
      <w:lvlText w:val=""/>
      <w:lvlJc w:val="left"/>
      <w:pPr>
        <w:ind w:left="6336" w:hanging="360"/>
      </w:pPr>
      <w:rPr>
        <w:rFonts w:ascii="Symbol" w:hAnsi="Symbol" w:hint="default"/>
      </w:rPr>
    </w:lvl>
    <w:lvl w:ilvl="7" w:tplc="04090019" w:tentative="1">
      <w:start w:val="1"/>
      <w:numFmt w:val="bullet"/>
      <w:lvlText w:val="o"/>
      <w:lvlJc w:val="left"/>
      <w:pPr>
        <w:ind w:left="7056" w:hanging="360"/>
      </w:pPr>
      <w:rPr>
        <w:rFonts w:ascii="Courier New" w:hAnsi="Courier New" w:cs="Courier New" w:hint="default"/>
      </w:rPr>
    </w:lvl>
    <w:lvl w:ilvl="8" w:tplc="0409001B" w:tentative="1">
      <w:start w:val="1"/>
      <w:numFmt w:val="bullet"/>
      <w:lvlText w:val=""/>
      <w:lvlJc w:val="left"/>
      <w:pPr>
        <w:ind w:left="7776" w:hanging="360"/>
      </w:pPr>
      <w:rPr>
        <w:rFonts w:ascii="Wingdings" w:hAnsi="Wingdings" w:hint="default"/>
      </w:rPr>
    </w:lvl>
  </w:abstractNum>
  <w:abstractNum w:abstractNumId="16" w15:restartNumberingAfterBreak="0">
    <w:nsid w:val="358C7CDA"/>
    <w:multiLevelType w:val="multilevel"/>
    <w:tmpl w:val="AA2CFA32"/>
    <w:name w:val="IndentBullets"/>
    <w:lvl w:ilvl="0">
      <w:start w:val="1"/>
      <w:numFmt w:val="bullet"/>
      <w:lvlText w:val=""/>
      <w:lvlJc w:val="left"/>
      <w:pPr>
        <w:tabs>
          <w:tab w:val="num" w:pos="2880"/>
        </w:tabs>
        <w:ind w:left="1080" w:hanging="720"/>
      </w:pPr>
      <w:rPr>
        <w:rFonts w:ascii="Symbol" w:hAnsi="Symbol" w:hint="default"/>
        <w:b w:val="0"/>
        <w:i w:val="0"/>
        <w:sz w:val="24"/>
      </w:rPr>
    </w:lvl>
    <w:lvl w:ilvl="1">
      <w:start w:val="1"/>
      <w:numFmt w:val="bullet"/>
      <w:lvlText w:val=""/>
      <w:lvlJc w:val="left"/>
      <w:pPr>
        <w:ind w:left="1800" w:hanging="720"/>
      </w:pPr>
      <w:rPr>
        <w:rFonts w:ascii="Symbol" w:hAnsi="Symbol" w:hint="default"/>
        <w:b w:val="0"/>
        <w:i w:val="0"/>
        <w:sz w:val="24"/>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3A627BA6"/>
    <w:multiLevelType w:val="hybridMultilevel"/>
    <w:tmpl w:val="D222FADE"/>
    <w:lvl w:ilvl="0" w:tplc="CB12182E">
      <w:start w:val="1"/>
      <w:numFmt w:val="lowerLetter"/>
      <w:pStyle w:val="Numbered11-4"/>
      <w:lvlText w:val="%1)"/>
      <w:lvlJc w:val="left"/>
      <w:pPr>
        <w:tabs>
          <w:tab w:val="num" w:pos="1728"/>
        </w:tabs>
        <w:ind w:left="1728" w:hanging="432"/>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8" w15:restartNumberingAfterBreak="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FE4B2A"/>
    <w:multiLevelType w:val="hybridMultilevel"/>
    <w:tmpl w:val="0D68D196"/>
    <w:lvl w:ilvl="0" w:tplc="E3F24EE2">
      <w:start w:val="1"/>
      <w:numFmt w:val="bullet"/>
      <w:pStyle w:val="Guide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81289"/>
    <w:multiLevelType w:val="hybridMultilevel"/>
    <w:tmpl w:val="4C747622"/>
    <w:lvl w:ilvl="0" w:tplc="7D78CA18">
      <w:start w:val="1"/>
      <w:numFmt w:val="decimal"/>
      <w:pStyle w:val="Reference"/>
      <w:lvlText w:val="%1."/>
      <w:lvlJc w:val="left"/>
      <w:pPr>
        <w:tabs>
          <w:tab w:val="num" w:pos="432"/>
        </w:tabs>
        <w:ind w:left="432" w:hanging="432"/>
      </w:pPr>
      <w:rPr>
        <w:rFonts w:ascii="Times New Roman" w:hAnsi="Times New Roman" w:hint="default"/>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E1600BB"/>
    <w:multiLevelType w:val="hybridMultilevel"/>
    <w:tmpl w:val="892C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86418E"/>
    <w:multiLevelType w:val="multilevel"/>
    <w:tmpl w:val="7FCE91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48106289"/>
    <w:multiLevelType w:val="hybridMultilevel"/>
    <w:tmpl w:val="AA305F66"/>
    <w:lvl w:ilvl="0" w:tplc="7F2C4ACE">
      <w:start w:val="1"/>
      <w:numFmt w:val="bullet"/>
      <w:pStyle w:val="Bullet12-4"/>
      <w:lvlText w:val=""/>
      <w:lvlJc w:val="left"/>
      <w:pPr>
        <w:tabs>
          <w:tab w:val="num" w:pos="1728"/>
        </w:tabs>
        <w:ind w:left="1728" w:hanging="432"/>
      </w:pPr>
      <w:rPr>
        <w:rFonts w:ascii="Symbol" w:hAnsi="Symbol" w:hint="default"/>
      </w:rPr>
    </w:lvl>
    <w:lvl w:ilvl="1" w:tplc="04090019" w:tentative="1">
      <w:start w:val="1"/>
      <w:numFmt w:val="bullet"/>
      <w:lvlText w:val="o"/>
      <w:lvlJc w:val="left"/>
      <w:pPr>
        <w:ind w:left="2736" w:hanging="360"/>
      </w:pPr>
      <w:rPr>
        <w:rFonts w:ascii="Courier New" w:hAnsi="Courier New" w:cs="Courier New" w:hint="default"/>
      </w:rPr>
    </w:lvl>
    <w:lvl w:ilvl="2" w:tplc="0409001B" w:tentative="1">
      <w:start w:val="1"/>
      <w:numFmt w:val="bullet"/>
      <w:lvlText w:val=""/>
      <w:lvlJc w:val="left"/>
      <w:pPr>
        <w:ind w:left="3456" w:hanging="360"/>
      </w:pPr>
      <w:rPr>
        <w:rFonts w:ascii="Wingdings" w:hAnsi="Wingdings" w:hint="default"/>
      </w:rPr>
    </w:lvl>
    <w:lvl w:ilvl="3" w:tplc="0409000F" w:tentative="1">
      <w:start w:val="1"/>
      <w:numFmt w:val="bullet"/>
      <w:lvlText w:val=""/>
      <w:lvlJc w:val="left"/>
      <w:pPr>
        <w:ind w:left="4176" w:hanging="360"/>
      </w:pPr>
      <w:rPr>
        <w:rFonts w:ascii="Symbol" w:hAnsi="Symbol" w:hint="default"/>
      </w:rPr>
    </w:lvl>
    <w:lvl w:ilvl="4" w:tplc="04090019" w:tentative="1">
      <w:start w:val="1"/>
      <w:numFmt w:val="bullet"/>
      <w:lvlText w:val="o"/>
      <w:lvlJc w:val="left"/>
      <w:pPr>
        <w:ind w:left="4896" w:hanging="360"/>
      </w:pPr>
      <w:rPr>
        <w:rFonts w:ascii="Courier New" w:hAnsi="Courier New" w:cs="Courier New" w:hint="default"/>
      </w:rPr>
    </w:lvl>
    <w:lvl w:ilvl="5" w:tplc="0409001B" w:tentative="1">
      <w:start w:val="1"/>
      <w:numFmt w:val="bullet"/>
      <w:lvlText w:val=""/>
      <w:lvlJc w:val="left"/>
      <w:pPr>
        <w:ind w:left="5616" w:hanging="360"/>
      </w:pPr>
      <w:rPr>
        <w:rFonts w:ascii="Wingdings" w:hAnsi="Wingdings" w:hint="default"/>
      </w:rPr>
    </w:lvl>
    <w:lvl w:ilvl="6" w:tplc="0409000F" w:tentative="1">
      <w:start w:val="1"/>
      <w:numFmt w:val="bullet"/>
      <w:lvlText w:val=""/>
      <w:lvlJc w:val="left"/>
      <w:pPr>
        <w:ind w:left="6336" w:hanging="360"/>
      </w:pPr>
      <w:rPr>
        <w:rFonts w:ascii="Symbol" w:hAnsi="Symbol" w:hint="default"/>
      </w:rPr>
    </w:lvl>
    <w:lvl w:ilvl="7" w:tplc="04090019" w:tentative="1">
      <w:start w:val="1"/>
      <w:numFmt w:val="bullet"/>
      <w:lvlText w:val="o"/>
      <w:lvlJc w:val="left"/>
      <w:pPr>
        <w:ind w:left="7056" w:hanging="360"/>
      </w:pPr>
      <w:rPr>
        <w:rFonts w:ascii="Courier New" w:hAnsi="Courier New" w:cs="Courier New" w:hint="default"/>
      </w:rPr>
    </w:lvl>
    <w:lvl w:ilvl="8" w:tplc="0409001B" w:tentative="1">
      <w:start w:val="1"/>
      <w:numFmt w:val="bullet"/>
      <w:lvlText w:val=""/>
      <w:lvlJc w:val="left"/>
      <w:pPr>
        <w:ind w:left="7776" w:hanging="360"/>
      </w:pPr>
      <w:rPr>
        <w:rFonts w:ascii="Wingdings" w:hAnsi="Wingdings" w:hint="default"/>
      </w:rPr>
    </w:lvl>
  </w:abstractNum>
  <w:abstractNum w:abstractNumId="24" w15:restartNumberingAfterBreak="0">
    <w:nsid w:val="48E41574"/>
    <w:multiLevelType w:val="hybridMultilevel"/>
    <w:tmpl w:val="4E2C7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6D1010"/>
    <w:multiLevelType w:val="hybridMultilevel"/>
    <w:tmpl w:val="AE4C1E52"/>
    <w:lvl w:ilvl="0" w:tplc="53AA3266">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4714268"/>
    <w:multiLevelType w:val="hybridMultilevel"/>
    <w:tmpl w:val="F1C471A8"/>
    <w:lvl w:ilvl="0" w:tplc="3FEEF272">
      <w:start w:val="1"/>
      <w:numFmt w:val="decimal"/>
      <w:pStyle w:val="Numbered12-1"/>
      <w:lvlText w:val="%1."/>
      <w:lvlJc w:val="left"/>
      <w:pPr>
        <w:tabs>
          <w:tab w:val="num" w:pos="432"/>
        </w:tabs>
        <w:ind w:left="432" w:hanging="432"/>
      </w:pPr>
      <w:rPr>
        <w:rFonts w:ascii="Times New Roman" w:hAnsi="Times New Roman" w:hint="default"/>
        <w:sz w:val="24"/>
      </w:rPr>
    </w:lvl>
    <w:lvl w:ilvl="1" w:tplc="87B84278" w:tentative="1">
      <w:start w:val="1"/>
      <w:numFmt w:val="lowerLetter"/>
      <w:lvlText w:val="%2."/>
      <w:lvlJc w:val="left"/>
      <w:pPr>
        <w:ind w:left="1440" w:hanging="360"/>
      </w:pPr>
    </w:lvl>
    <w:lvl w:ilvl="2" w:tplc="61B6F222" w:tentative="1">
      <w:start w:val="1"/>
      <w:numFmt w:val="lowerRoman"/>
      <w:lvlText w:val="%3."/>
      <w:lvlJc w:val="right"/>
      <w:pPr>
        <w:ind w:left="2160" w:hanging="180"/>
      </w:pPr>
    </w:lvl>
    <w:lvl w:ilvl="3" w:tplc="A5D68794" w:tentative="1">
      <w:start w:val="1"/>
      <w:numFmt w:val="decimal"/>
      <w:lvlText w:val="%4."/>
      <w:lvlJc w:val="left"/>
      <w:pPr>
        <w:ind w:left="2880" w:hanging="360"/>
      </w:pPr>
    </w:lvl>
    <w:lvl w:ilvl="4" w:tplc="9988A51E" w:tentative="1">
      <w:start w:val="1"/>
      <w:numFmt w:val="lowerLetter"/>
      <w:lvlText w:val="%5."/>
      <w:lvlJc w:val="left"/>
      <w:pPr>
        <w:ind w:left="3600" w:hanging="360"/>
      </w:pPr>
    </w:lvl>
    <w:lvl w:ilvl="5" w:tplc="0EA8A69C" w:tentative="1">
      <w:start w:val="1"/>
      <w:numFmt w:val="lowerRoman"/>
      <w:lvlText w:val="%6."/>
      <w:lvlJc w:val="right"/>
      <w:pPr>
        <w:ind w:left="4320" w:hanging="180"/>
      </w:pPr>
    </w:lvl>
    <w:lvl w:ilvl="6" w:tplc="33E8BFD2" w:tentative="1">
      <w:start w:val="1"/>
      <w:numFmt w:val="decimal"/>
      <w:lvlText w:val="%7."/>
      <w:lvlJc w:val="left"/>
      <w:pPr>
        <w:ind w:left="5040" w:hanging="360"/>
      </w:pPr>
    </w:lvl>
    <w:lvl w:ilvl="7" w:tplc="6F7EBE98" w:tentative="1">
      <w:start w:val="1"/>
      <w:numFmt w:val="lowerLetter"/>
      <w:lvlText w:val="%8."/>
      <w:lvlJc w:val="left"/>
      <w:pPr>
        <w:ind w:left="5760" w:hanging="360"/>
      </w:pPr>
    </w:lvl>
    <w:lvl w:ilvl="8" w:tplc="75B29F26" w:tentative="1">
      <w:start w:val="1"/>
      <w:numFmt w:val="lowerRoman"/>
      <w:lvlText w:val="%9."/>
      <w:lvlJc w:val="right"/>
      <w:pPr>
        <w:ind w:left="6480" w:hanging="180"/>
      </w:pPr>
    </w:lvl>
  </w:abstractNum>
  <w:abstractNum w:abstractNumId="27" w15:restartNumberingAfterBreak="0">
    <w:nsid w:val="556B1E92"/>
    <w:multiLevelType w:val="hybridMultilevel"/>
    <w:tmpl w:val="DA769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29" w15:restartNumberingAfterBreak="0">
    <w:nsid w:val="5C46286D"/>
    <w:multiLevelType w:val="hybridMultilevel"/>
    <w:tmpl w:val="467A231A"/>
    <w:lvl w:ilvl="0" w:tplc="ED5CA3A0">
      <w:start w:val="1"/>
      <w:numFmt w:val="lowerLetter"/>
      <w:pStyle w:val="NumberedList4"/>
      <w:lvlText w:val="%1)"/>
      <w:lvlJc w:val="left"/>
      <w:pPr>
        <w:tabs>
          <w:tab w:val="num" w:pos="1728"/>
        </w:tabs>
        <w:ind w:left="172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022CB1"/>
    <w:multiLevelType w:val="singleLevel"/>
    <w:tmpl w:val="577EEDDE"/>
    <w:lvl w:ilvl="0">
      <w:start w:val="1"/>
      <w:numFmt w:val="bullet"/>
      <w:pStyle w:val="Bullet12-3"/>
      <w:lvlText w:val="o"/>
      <w:lvlJc w:val="left"/>
      <w:pPr>
        <w:tabs>
          <w:tab w:val="num" w:pos="1296"/>
        </w:tabs>
        <w:ind w:left="1296" w:hanging="432"/>
      </w:pPr>
      <w:rPr>
        <w:rFonts w:ascii="Courier New" w:hAnsi="Courier New" w:hint="default"/>
      </w:rPr>
    </w:lvl>
  </w:abstractNum>
  <w:abstractNum w:abstractNumId="31"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32" w15:restartNumberingAfterBreak="0">
    <w:nsid w:val="60BE2FF2"/>
    <w:multiLevelType w:val="hybridMultilevel"/>
    <w:tmpl w:val="E3ACF658"/>
    <w:lvl w:ilvl="0" w:tplc="897C0318">
      <w:start w:val="1"/>
      <w:numFmt w:val="bullet"/>
      <w:pStyle w:val="Bullet11-3"/>
      <w:lvlText w:val="o"/>
      <w:lvlJc w:val="left"/>
      <w:pPr>
        <w:tabs>
          <w:tab w:val="num" w:pos="1296"/>
        </w:tabs>
        <w:ind w:left="1296" w:hanging="432"/>
      </w:pPr>
      <w:rPr>
        <w:rFonts w:ascii="Courier New" w:hAnsi="Courier New" w:hint="default"/>
      </w:rPr>
    </w:lvl>
    <w:lvl w:ilvl="1" w:tplc="FBBE5EAA" w:tentative="1">
      <w:start w:val="1"/>
      <w:numFmt w:val="bullet"/>
      <w:lvlText w:val="o"/>
      <w:lvlJc w:val="left"/>
      <w:pPr>
        <w:ind w:left="2304" w:hanging="360"/>
      </w:pPr>
      <w:rPr>
        <w:rFonts w:ascii="Courier New" w:hAnsi="Courier New" w:cs="Courier New" w:hint="default"/>
      </w:rPr>
    </w:lvl>
    <w:lvl w:ilvl="2" w:tplc="156AD0CC" w:tentative="1">
      <w:start w:val="1"/>
      <w:numFmt w:val="bullet"/>
      <w:lvlText w:val=""/>
      <w:lvlJc w:val="left"/>
      <w:pPr>
        <w:ind w:left="3024" w:hanging="360"/>
      </w:pPr>
      <w:rPr>
        <w:rFonts w:ascii="Wingdings" w:hAnsi="Wingdings" w:hint="default"/>
      </w:rPr>
    </w:lvl>
    <w:lvl w:ilvl="3" w:tplc="9AE6D7EC" w:tentative="1">
      <w:start w:val="1"/>
      <w:numFmt w:val="bullet"/>
      <w:lvlText w:val=""/>
      <w:lvlJc w:val="left"/>
      <w:pPr>
        <w:ind w:left="3744" w:hanging="360"/>
      </w:pPr>
      <w:rPr>
        <w:rFonts w:ascii="Symbol" w:hAnsi="Symbol" w:hint="default"/>
      </w:rPr>
    </w:lvl>
    <w:lvl w:ilvl="4" w:tplc="352A1694" w:tentative="1">
      <w:start w:val="1"/>
      <w:numFmt w:val="bullet"/>
      <w:lvlText w:val="o"/>
      <w:lvlJc w:val="left"/>
      <w:pPr>
        <w:ind w:left="4464" w:hanging="360"/>
      </w:pPr>
      <w:rPr>
        <w:rFonts w:ascii="Courier New" w:hAnsi="Courier New" w:cs="Courier New" w:hint="default"/>
      </w:rPr>
    </w:lvl>
    <w:lvl w:ilvl="5" w:tplc="719A92D4" w:tentative="1">
      <w:start w:val="1"/>
      <w:numFmt w:val="bullet"/>
      <w:lvlText w:val=""/>
      <w:lvlJc w:val="left"/>
      <w:pPr>
        <w:ind w:left="5184" w:hanging="360"/>
      </w:pPr>
      <w:rPr>
        <w:rFonts w:ascii="Wingdings" w:hAnsi="Wingdings" w:hint="default"/>
      </w:rPr>
    </w:lvl>
    <w:lvl w:ilvl="6" w:tplc="774C32EC" w:tentative="1">
      <w:start w:val="1"/>
      <w:numFmt w:val="bullet"/>
      <w:lvlText w:val=""/>
      <w:lvlJc w:val="left"/>
      <w:pPr>
        <w:ind w:left="5904" w:hanging="360"/>
      </w:pPr>
      <w:rPr>
        <w:rFonts w:ascii="Symbol" w:hAnsi="Symbol" w:hint="default"/>
      </w:rPr>
    </w:lvl>
    <w:lvl w:ilvl="7" w:tplc="19A8C65C" w:tentative="1">
      <w:start w:val="1"/>
      <w:numFmt w:val="bullet"/>
      <w:lvlText w:val="o"/>
      <w:lvlJc w:val="left"/>
      <w:pPr>
        <w:ind w:left="6624" w:hanging="360"/>
      </w:pPr>
      <w:rPr>
        <w:rFonts w:ascii="Courier New" w:hAnsi="Courier New" w:cs="Courier New" w:hint="default"/>
      </w:rPr>
    </w:lvl>
    <w:lvl w:ilvl="8" w:tplc="424EF890" w:tentative="1">
      <w:start w:val="1"/>
      <w:numFmt w:val="bullet"/>
      <w:lvlText w:val=""/>
      <w:lvlJc w:val="left"/>
      <w:pPr>
        <w:ind w:left="7344" w:hanging="360"/>
      </w:pPr>
      <w:rPr>
        <w:rFonts w:ascii="Wingdings" w:hAnsi="Wingdings" w:hint="default"/>
      </w:rPr>
    </w:lvl>
  </w:abstractNum>
  <w:abstractNum w:abstractNumId="33" w15:restartNumberingAfterBreak="0">
    <w:nsid w:val="60D638A6"/>
    <w:multiLevelType w:val="hybridMultilevel"/>
    <w:tmpl w:val="0994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1227B5"/>
    <w:multiLevelType w:val="hybridMultilevel"/>
    <w:tmpl w:val="DD861FAE"/>
    <w:lvl w:ilvl="0" w:tplc="4F501F7C">
      <w:start w:val="1"/>
      <w:numFmt w:val="decimal"/>
      <w:pStyle w:val="Numbered11-1"/>
      <w:lvlText w:val="%1."/>
      <w:lvlJc w:val="left"/>
      <w:pPr>
        <w:tabs>
          <w:tab w:val="num" w:pos="432"/>
        </w:tabs>
        <w:ind w:left="432" w:hanging="432"/>
      </w:pPr>
      <w:rPr>
        <w:rFonts w:ascii="Times New Roman" w:hAnsi="Times New Roman" w:hint="default"/>
        <w:sz w:val="22"/>
      </w:rPr>
    </w:lvl>
    <w:lvl w:ilvl="1" w:tplc="A732B43C" w:tentative="1">
      <w:start w:val="1"/>
      <w:numFmt w:val="lowerLetter"/>
      <w:lvlText w:val="%2."/>
      <w:lvlJc w:val="left"/>
      <w:pPr>
        <w:ind w:left="1440" w:hanging="360"/>
      </w:pPr>
    </w:lvl>
    <w:lvl w:ilvl="2" w:tplc="1012CAA0" w:tentative="1">
      <w:start w:val="1"/>
      <w:numFmt w:val="lowerRoman"/>
      <w:lvlText w:val="%3."/>
      <w:lvlJc w:val="right"/>
      <w:pPr>
        <w:ind w:left="2160" w:hanging="180"/>
      </w:pPr>
    </w:lvl>
    <w:lvl w:ilvl="3" w:tplc="D1621BA6" w:tentative="1">
      <w:start w:val="1"/>
      <w:numFmt w:val="decimal"/>
      <w:lvlText w:val="%4."/>
      <w:lvlJc w:val="left"/>
      <w:pPr>
        <w:ind w:left="2880" w:hanging="360"/>
      </w:pPr>
    </w:lvl>
    <w:lvl w:ilvl="4" w:tplc="1754574C" w:tentative="1">
      <w:start w:val="1"/>
      <w:numFmt w:val="lowerLetter"/>
      <w:lvlText w:val="%5."/>
      <w:lvlJc w:val="left"/>
      <w:pPr>
        <w:ind w:left="3600" w:hanging="360"/>
      </w:pPr>
    </w:lvl>
    <w:lvl w:ilvl="5" w:tplc="727A3324" w:tentative="1">
      <w:start w:val="1"/>
      <w:numFmt w:val="lowerRoman"/>
      <w:lvlText w:val="%6."/>
      <w:lvlJc w:val="right"/>
      <w:pPr>
        <w:ind w:left="4320" w:hanging="180"/>
      </w:pPr>
    </w:lvl>
    <w:lvl w:ilvl="6" w:tplc="3C1C7644" w:tentative="1">
      <w:start w:val="1"/>
      <w:numFmt w:val="decimal"/>
      <w:lvlText w:val="%7."/>
      <w:lvlJc w:val="left"/>
      <w:pPr>
        <w:ind w:left="5040" w:hanging="360"/>
      </w:pPr>
    </w:lvl>
    <w:lvl w:ilvl="7" w:tplc="B21A45CA" w:tentative="1">
      <w:start w:val="1"/>
      <w:numFmt w:val="lowerLetter"/>
      <w:lvlText w:val="%8."/>
      <w:lvlJc w:val="left"/>
      <w:pPr>
        <w:ind w:left="5760" w:hanging="360"/>
      </w:pPr>
    </w:lvl>
    <w:lvl w:ilvl="8" w:tplc="C088A29A" w:tentative="1">
      <w:start w:val="1"/>
      <w:numFmt w:val="lowerRoman"/>
      <w:lvlText w:val="%9."/>
      <w:lvlJc w:val="right"/>
      <w:pPr>
        <w:ind w:left="6480" w:hanging="180"/>
      </w:pPr>
    </w:lvl>
  </w:abstractNum>
  <w:abstractNum w:abstractNumId="35" w15:restartNumberingAfterBreak="0">
    <w:nsid w:val="618030C8"/>
    <w:multiLevelType w:val="hybridMultilevel"/>
    <w:tmpl w:val="207EE9C2"/>
    <w:lvl w:ilvl="0" w:tplc="1B74770E">
      <w:start w:val="1"/>
      <w:numFmt w:val="lowerLetter"/>
      <w:pStyle w:val="Numbered12-4"/>
      <w:lvlText w:val="%1)"/>
      <w:lvlJc w:val="left"/>
      <w:pPr>
        <w:tabs>
          <w:tab w:val="num" w:pos="1728"/>
        </w:tabs>
        <w:ind w:left="1728" w:hanging="432"/>
      </w:pPr>
      <w:rPr>
        <w:rFonts w:hint="default"/>
      </w:r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6" w15:restartNumberingAfterBreak="0">
    <w:nsid w:val="61A07FDA"/>
    <w:multiLevelType w:val="hybridMultilevel"/>
    <w:tmpl w:val="1150A41C"/>
    <w:lvl w:ilvl="0" w:tplc="1DFCB68A">
      <w:start w:val="1"/>
      <w:numFmt w:val="bullet"/>
      <w:pStyle w:val="PABullet1"/>
      <w:lvlText w:val=""/>
      <w:lvlJc w:val="left"/>
      <w:pPr>
        <w:tabs>
          <w:tab w:val="num" w:pos="720"/>
        </w:tabs>
        <w:ind w:left="360" w:firstLine="0"/>
      </w:pPr>
      <w:rPr>
        <w:rFonts w:ascii="Symbol" w:hAnsi="Symbol"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3713A5C"/>
    <w:multiLevelType w:val="hybridMultilevel"/>
    <w:tmpl w:val="30D49C44"/>
    <w:lvl w:ilvl="0" w:tplc="79288F10">
      <w:start w:val="1"/>
      <w:numFmt w:val="decimal"/>
      <w:pStyle w:val="Numbered11-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38" w15:restartNumberingAfterBreak="0">
    <w:nsid w:val="65F357C3"/>
    <w:multiLevelType w:val="hybridMultilevel"/>
    <w:tmpl w:val="F9307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24365C"/>
    <w:multiLevelType w:val="singleLevel"/>
    <w:tmpl w:val="907A1B6C"/>
    <w:lvl w:ilvl="0">
      <w:start w:val="1"/>
      <w:numFmt w:val="bullet"/>
      <w:pStyle w:val="ReferenceBullet"/>
      <w:lvlText w:val=""/>
      <w:lvlJc w:val="left"/>
      <w:pPr>
        <w:tabs>
          <w:tab w:val="num" w:pos="1224"/>
        </w:tabs>
        <w:ind w:left="1224" w:hanging="389"/>
      </w:pPr>
      <w:rPr>
        <w:rFonts w:ascii="Symbol" w:hAnsi="Symbol" w:hint="default"/>
        <w:color w:val="auto"/>
      </w:rPr>
    </w:lvl>
  </w:abstractNum>
  <w:abstractNum w:abstractNumId="40" w15:restartNumberingAfterBreak="0">
    <w:nsid w:val="71035216"/>
    <w:multiLevelType w:val="hybridMultilevel"/>
    <w:tmpl w:val="BAE47760"/>
    <w:lvl w:ilvl="0" w:tplc="9336FE86">
      <w:start w:val="1"/>
      <w:numFmt w:val="lowerLetter"/>
      <w:pStyle w:val="NumberList-SS-2singled-spaced"/>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894C68"/>
    <w:multiLevelType w:val="singleLevel"/>
    <w:tmpl w:val="A28A1628"/>
    <w:lvl w:ilvl="0">
      <w:start w:val="1"/>
      <w:numFmt w:val="bullet"/>
      <w:pStyle w:val="Bullet12-2"/>
      <w:lvlText w:val=""/>
      <w:lvlJc w:val="left"/>
      <w:pPr>
        <w:tabs>
          <w:tab w:val="num" w:pos="864"/>
        </w:tabs>
        <w:ind w:left="864" w:hanging="432"/>
      </w:pPr>
      <w:rPr>
        <w:rFonts w:ascii="Symbol" w:hAnsi="Symbol" w:hint="default"/>
      </w:rPr>
    </w:lvl>
  </w:abstractNum>
  <w:abstractNum w:abstractNumId="42" w15:restartNumberingAfterBreak="0">
    <w:nsid w:val="7CA33F15"/>
    <w:multiLevelType w:val="hybridMultilevel"/>
    <w:tmpl w:val="82545EFC"/>
    <w:lvl w:ilvl="0" w:tplc="6BDAE4F4">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42"/>
  </w:num>
  <w:num w:numId="4">
    <w:abstractNumId w:val="2"/>
  </w:num>
  <w:num w:numId="5">
    <w:abstractNumId w:val="18"/>
  </w:num>
  <w:num w:numId="6">
    <w:abstractNumId w:val="1"/>
  </w:num>
  <w:num w:numId="7">
    <w:abstractNumId w:val="22"/>
  </w:num>
  <w:num w:numId="8">
    <w:abstractNumId w:val="31"/>
  </w:num>
  <w:num w:numId="9">
    <w:abstractNumId w:val="11"/>
  </w:num>
  <w:num w:numId="10">
    <w:abstractNumId w:val="19"/>
  </w:num>
  <w:num w:numId="11">
    <w:abstractNumId w:val="10"/>
  </w:num>
  <w:num w:numId="12">
    <w:abstractNumId w:val="5"/>
  </w:num>
  <w:num w:numId="13">
    <w:abstractNumId w:val="9"/>
  </w:num>
  <w:num w:numId="14">
    <w:abstractNumId w:val="32"/>
  </w:num>
  <w:num w:numId="15">
    <w:abstractNumId w:val="15"/>
  </w:num>
  <w:num w:numId="16">
    <w:abstractNumId w:val="41"/>
  </w:num>
  <w:num w:numId="17">
    <w:abstractNumId w:val="30"/>
  </w:num>
  <w:num w:numId="18">
    <w:abstractNumId w:val="23"/>
  </w:num>
  <w:num w:numId="19">
    <w:abstractNumId w:val="34"/>
  </w:num>
  <w:num w:numId="20">
    <w:abstractNumId w:val="3"/>
  </w:num>
  <w:num w:numId="21">
    <w:abstractNumId w:val="37"/>
  </w:num>
  <w:num w:numId="22">
    <w:abstractNumId w:val="17"/>
  </w:num>
  <w:num w:numId="23">
    <w:abstractNumId w:val="26"/>
  </w:num>
  <w:num w:numId="24">
    <w:abstractNumId w:val="7"/>
  </w:num>
  <w:num w:numId="25">
    <w:abstractNumId w:val="12"/>
  </w:num>
  <w:num w:numId="26">
    <w:abstractNumId w:val="35"/>
  </w:num>
  <w:num w:numId="27">
    <w:abstractNumId w:val="20"/>
  </w:num>
  <w:num w:numId="28">
    <w:abstractNumId w:val="36"/>
  </w:num>
  <w:num w:numId="29">
    <w:abstractNumId w:val="4"/>
  </w:num>
  <w:num w:numId="30">
    <w:abstractNumId w:val="40"/>
  </w:num>
  <w:num w:numId="31">
    <w:abstractNumId w:val="29"/>
  </w:num>
  <w:num w:numId="32">
    <w:abstractNumId w:val="39"/>
  </w:num>
  <w:num w:numId="33">
    <w:abstractNumId w:val="28"/>
  </w:num>
  <w:num w:numId="34">
    <w:abstractNumId w:val="8"/>
  </w:num>
  <w:num w:numId="35">
    <w:abstractNumId w:val="0"/>
  </w:num>
  <w:num w:numId="36">
    <w:abstractNumId w:val="25"/>
  </w:num>
  <w:num w:numId="37">
    <w:abstractNumId w:val="33"/>
  </w:num>
  <w:num w:numId="38">
    <w:abstractNumId w:val="21"/>
  </w:num>
  <w:num w:numId="39">
    <w:abstractNumId w:val="27"/>
  </w:num>
  <w:num w:numId="40">
    <w:abstractNumId w:val="24"/>
  </w:num>
  <w:num w:numId="41">
    <w:abstractNumId w:val="38"/>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F6"/>
    <w:rsid w:val="0000645B"/>
    <w:rsid w:val="000065E0"/>
    <w:rsid w:val="00006AEF"/>
    <w:rsid w:val="000104C7"/>
    <w:rsid w:val="0001191B"/>
    <w:rsid w:val="000140E4"/>
    <w:rsid w:val="000150BB"/>
    <w:rsid w:val="00015C81"/>
    <w:rsid w:val="00020B1D"/>
    <w:rsid w:val="00027C7E"/>
    <w:rsid w:val="00030D74"/>
    <w:rsid w:val="00032EDC"/>
    <w:rsid w:val="00035790"/>
    <w:rsid w:val="00040B24"/>
    <w:rsid w:val="0004128D"/>
    <w:rsid w:val="000470E5"/>
    <w:rsid w:val="00052FF6"/>
    <w:rsid w:val="00055815"/>
    <w:rsid w:val="0006077C"/>
    <w:rsid w:val="00066D4A"/>
    <w:rsid w:val="00066D58"/>
    <w:rsid w:val="000709CF"/>
    <w:rsid w:val="000734A1"/>
    <w:rsid w:val="0007366C"/>
    <w:rsid w:val="00075A9F"/>
    <w:rsid w:val="00076922"/>
    <w:rsid w:val="0008066D"/>
    <w:rsid w:val="000851C9"/>
    <w:rsid w:val="000854EF"/>
    <w:rsid w:val="00087E38"/>
    <w:rsid w:val="00092E02"/>
    <w:rsid w:val="00096C70"/>
    <w:rsid w:val="000A432A"/>
    <w:rsid w:val="000A6DCF"/>
    <w:rsid w:val="000A6E14"/>
    <w:rsid w:val="000B0ACB"/>
    <w:rsid w:val="000B2798"/>
    <w:rsid w:val="000B56C0"/>
    <w:rsid w:val="000C182E"/>
    <w:rsid w:val="000C60F2"/>
    <w:rsid w:val="000D6D43"/>
    <w:rsid w:val="000D6E4D"/>
    <w:rsid w:val="000E0F2F"/>
    <w:rsid w:val="000E17B6"/>
    <w:rsid w:val="000E2667"/>
    <w:rsid w:val="000E5015"/>
    <w:rsid w:val="000E5570"/>
    <w:rsid w:val="000E55B4"/>
    <w:rsid w:val="000E60EC"/>
    <w:rsid w:val="000E70DC"/>
    <w:rsid w:val="000F1FEB"/>
    <w:rsid w:val="000F32B5"/>
    <w:rsid w:val="000F59F2"/>
    <w:rsid w:val="000F69CC"/>
    <w:rsid w:val="00104E3A"/>
    <w:rsid w:val="00106702"/>
    <w:rsid w:val="001072D5"/>
    <w:rsid w:val="0011668D"/>
    <w:rsid w:val="00122EBC"/>
    <w:rsid w:val="00123030"/>
    <w:rsid w:val="00123A6E"/>
    <w:rsid w:val="00123DA9"/>
    <w:rsid w:val="00124259"/>
    <w:rsid w:val="0012446B"/>
    <w:rsid w:val="0012563B"/>
    <w:rsid w:val="00125AA9"/>
    <w:rsid w:val="00125F5F"/>
    <w:rsid w:val="001277C1"/>
    <w:rsid w:val="00130C87"/>
    <w:rsid w:val="00133DB4"/>
    <w:rsid w:val="00134477"/>
    <w:rsid w:val="001363FB"/>
    <w:rsid w:val="0013769A"/>
    <w:rsid w:val="0014064E"/>
    <w:rsid w:val="00142566"/>
    <w:rsid w:val="0014467D"/>
    <w:rsid w:val="00147E0C"/>
    <w:rsid w:val="00147FB2"/>
    <w:rsid w:val="0015452A"/>
    <w:rsid w:val="00155EA6"/>
    <w:rsid w:val="0015764A"/>
    <w:rsid w:val="001602BC"/>
    <w:rsid w:val="001804C7"/>
    <w:rsid w:val="001868BF"/>
    <w:rsid w:val="0019245B"/>
    <w:rsid w:val="001955AD"/>
    <w:rsid w:val="00195969"/>
    <w:rsid w:val="001A466C"/>
    <w:rsid w:val="001A47AA"/>
    <w:rsid w:val="001A5907"/>
    <w:rsid w:val="001A5D03"/>
    <w:rsid w:val="001A74EA"/>
    <w:rsid w:val="001A7B9B"/>
    <w:rsid w:val="001B0855"/>
    <w:rsid w:val="001B367D"/>
    <w:rsid w:val="001B3AE9"/>
    <w:rsid w:val="001B3E37"/>
    <w:rsid w:val="001C4E04"/>
    <w:rsid w:val="001C739F"/>
    <w:rsid w:val="001C7DE4"/>
    <w:rsid w:val="001D3CAF"/>
    <w:rsid w:val="001D4785"/>
    <w:rsid w:val="001D52D2"/>
    <w:rsid w:val="001E2E20"/>
    <w:rsid w:val="001E3795"/>
    <w:rsid w:val="001E4E88"/>
    <w:rsid w:val="001F355F"/>
    <w:rsid w:val="001F5D91"/>
    <w:rsid w:val="001F6E98"/>
    <w:rsid w:val="00207527"/>
    <w:rsid w:val="00212035"/>
    <w:rsid w:val="00213583"/>
    <w:rsid w:val="0022267A"/>
    <w:rsid w:val="002248F8"/>
    <w:rsid w:val="0024086F"/>
    <w:rsid w:val="00241C0B"/>
    <w:rsid w:val="00253FD4"/>
    <w:rsid w:val="0025438E"/>
    <w:rsid w:val="00255274"/>
    <w:rsid w:val="0026016E"/>
    <w:rsid w:val="00266CFC"/>
    <w:rsid w:val="00273978"/>
    <w:rsid w:val="002742D1"/>
    <w:rsid w:val="00274778"/>
    <w:rsid w:val="0028012C"/>
    <w:rsid w:val="00280ADD"/>
    <w:rsid w:val="00285608"/>
    <w:rsid w:val="002877B2"/>
    <w:rsid w:val="00290943"/>
    <w:rsid w:val="00290E8D"/>
    <w:rsid w:val="00292F2F"/>
    <w:rsid w:val="00295AF2"/>
    <w:rsid w:val="002A0667"/>
    <w:rsid w:val="002A0915"/>
    <w:rsid w:val="002A286B"/>
    <w:rsid w:val="002A5D08"/>
    <w:rsid w:val="002A7CBD"/>
    <w:rsid w:val="002B01F0"/>
    <w:rsid w:val="002B0F17"/>
    <w:rsid w:val="002B13EB"/>
    <w:rsid w:val="002B2CDA"/>
    <w:rsid w:val="002B4266"/>
    <w:rsid w:val="002C49AD"/>
    <w:rsid w:val="002E5CD0"/>
    <w:rsid w:val="002F1913"/>
    <w:rsid w:val="002F1962"/>
    <w:rsid w:val="002F7F5E"/>
    <w:rsid w:val="00306CBD"/>
    <w:rsid w:val="00315815"/>
    <w:rsid w:val="0032048C"/>
    <w:rsid w:val="00320CD9"/>
    <w:rsid w:val="00321716"/>
    <w:rsid w:val="0032218F"/>
    <w:rsid w:val="00326814"/>
    <w:rsid w:val="0033411E"/>
    <w:rsid w:val="003373EF"/>
    <w:rsid w:val="0034135E"/>
    <w:rsid w:val="00350D95"/>
    <w:rsid w:val="00351496"/>
    <w:rsid w:val="003628F3"/>
    <w:rsid w:val="00365603"/>
    <w:rsid w:val="00365A67"/>
    <w:rsid w:val="00367AC6"/>
    <w:rsid w:val="00367ED8"/>
    <w:rsid w:val="0037512A"/>
    <w:rsid w:val="003824DA"/>
    <w:rsid w:val="00385A68"/>
    <w:rsid w:val="00385D7D"/>
    <w:rsid w:val="00386CB7"/>
    <w:rsid w:val="0038700C"/>
    <w:rsid w:val="003876B6"/>
    <w:rsid w:val="00387EBC"/>
    <w:rsid w:val="00396AF8"/>
    <w:rsid w:val="003A1730"/>
    <w:rsid w:val="003A19E1"/>
    <w:rsid w:val="003A26D5"/>
    <w:rsid w:val="003A4E7E"/>
    <w:rsid w:val="003A6D89"/>
    <w:rsid w:val="003B10E0"/>
    <w:rsid w:val="003B3268"/>
    <w:rsid w:val="003B6BD3"/>
    <w:rsid w:val="003C5937"/>
    <w:rsid w:val="003C5DFB"/>
    <w:rsid w:val="003D3F4A"/>
    <w:rsid w:val="003D6E5E"/>
    <w:rsid w:val="003E23D8"/>
    <w:rsid w:val="003E33DB"/>
    <w:rsid w:val="003E4670"/>
    <w:rsid w:val="003E7447"/>
    <w:rsid w:val="003F68A8"/>
    <w:rsid w:val="003F77DD"/>
    <w:rsid w:val="00402234"/>
    <w:rsid w:val="00403AC3"/>
    <w:rsid w:val="00406E77"/>
    <w:rsid w:val="0041319B"/>
    <w:rsid w:val="00413343"/>
    <w:rsid w:val="00414EE6"/>
    <w:rsid w:val="00417D9E"/>
    <w:rsid w:val="004212C0"/>
    <w:rsid w:val="004252B5"/>
    <w:rsid w:val="0042584F"/>
    <w:rsid w:val="00446223"/>
    <w:rsid w:val="00450CA2"/>
    <w:rsid w:val="00451C8B"/>
    <w:rsid w:val="00453947"/>
    <w:rsid w:val="00453F57"/>
    <w:rsid w:val="00455655"/>
    <w:rsid w:val="0045577D"/>
    <w:rsid w:val="00455D90"/>
    <w:rsid w:val="00456553"/>
    <w:rsid w:val="00460ED1"/>
    <w:rsid w:val="00474B62"/>
    <w:rsid w:val="004869E5"/>
    <w:rsid w:val="00486CFC"/>
    <w:rsid w:val="0049277D"/>
    <w:rsid w:val="004A1BC6"/>
    <w:rsid w:val="004A1C5F"/>
    <w:rsid w:val="004A6D8D"/>
    <w:rsid w:val="004A6FE3"/>
    <w:rsid w:val="004B66B1"/>
    <w:rsid w:val="004B74D3"/>
    <w:rsid w:val="004B7B3D"/>
    <w:rsid w:val="004C265F"/>
    <w:rsid w:val="004C4989"/>
    <w:rsid w:val="004C6478"/>
    <w:rsid w:val="004D2969"/>
    <w:rsid w:val="004D3B87"/>
    <w:rsid w:val="004E5AC8"/>
    <w:rsid w:val="004F0DD9"/>
    <w:rsid w:val="005046B7"/>
    <w:rsid w:val="00504872"/>
    <w:rsid w:val="00504F4D"/>
    <w:rsid w:val="00505FF2"/>
    <w:rsid w:val="00512521"/>
    <w:rsid w:val="00512F58"/>
    <w:rsid w:val="00517BBA"/>
    <w:rsid w:val="005223B9"/>
    <w:rsid w:val="00524A24"/>
    <w:rsid w:val="005342B9"/>
    <w:rsid w:val="00534A3D"/>
    <w:rsid w:val="005372FF"/>
    <w:rsid w:val="00541F3E"/>
    <w:rsid w:val="00545494"/>
    <w:rsid w:val="005459B2"/>
    <w:rsid w:val="00550CC8"/>
    <w:rsid w:val="0055135D"/>
    <w:rsid w:val="00554468"/>
    <w:rsid w:val="005569C6"/>
    <w:rsid w:val="005604B7"/>
    <w:rsid w:val="005639CD"/>
    <w:rsid w:val="00564C32"/>
    <w:rsid w:val="00565212"/>
    <w:rsid w:val="005759E8"/>
    <w:rsid w:val="0057739A"/>
    <w:rsid w:val="00585714"/>
    <w:rsid w:val="00594ED0"/>
    <w:rsid w:val="005965E8"/>
    <w:rsid w:val="005A442F"/>
    <w:rsid w:val="005A4DE0"/>
    <w:rsid w:val="005A5D40"/>
    <w:rsid w:val="005A6179"/>
    <w:rsid w:val="005B028B"/>
    <w:rsid w:val="005B1D4E"/>
    <w:rsid w:val="005B6CC3"/>
    <w:rsid w:val="005B7095"/>
    <w:rsid w:val="005C0A0F"/>
    <w:rsid w:val="005C1B87"/>
    <w:rsid w:val="005C4522"/>
    <w:rsid w:val="005D4015"/>
    <w:rsid w:val="005D558F"/>
    <w:rsid w:val="005D7541"/>
    <w:rsid w:val="005D79B9"/>
    <w:rsid w:val="005E00C5"/>
    <w:rsid w:val="005E0646"/>
    <w:rsid w:val="005E3E98"/>
    <w:rsid w:val="005E73A0"/>
    <w:rsid w:val="005F60B3"/>
    <w:rsid w:val="0061051C"/>
    <w:rsid w:val="00613903"/>
    <w:rsid w:val="006176DA"/>
    <w:rsid w:val="00622BA9"/>
    <w:rsid w:val="00622ECE"/>
    <w:rsid w:val="006243A4"/>
    <w:rsid w:val="00631A75"/>
    <w:rsid w:val="00634A1F"/>
    <w:rsid w:val="00635164"/>
    <w:rsid w:val="006372EE"/>
    <w:rsid w:val="00640389"/>
    <w:rsid w:val="00641585"/>
    <w:rsid w:val="00651035"/>
    <w:rsid w:val="00651088"/>
    <w:rsid w:val="00663360"/>
    <w:rsid w:val="0066370D"/>
    <w:rsid w:val="00666718"/>
    <w:rsid w:val="006720C0"/>
    <w:rsid w:val="00674EE1"/>
    <w:rsid w:val="00676448"/>
    <w:rsid w:val="006822FB"/>
    <w:rsid w:val="00690B31"/>
    <w:rsid w:val="006A13D5"/>
    <w:rsid w:val="006A3379"/>
    <w:rsid w:val="006A5398"/>
    <w:rsid w:val="006B2326"/>
    <w:rsid w:val="006B458C"/>
    <w:rsid w:val="006B4D1F"/>
    <w:rsid w:val="006C085E"/>
    <w:rsid w:val="006C168A"/>
    <w:rsid w:val="006C33F1"/>
    <w:rsid w:val="006D21C6"/>
    <w:rsid w:val="006D2D1D"/>
    <w:rsid w:val="006D46B8"/>
    <w:rsid w:val="006D51F9"/>
    <w:rsid w:val="006D6096"/>
    <w:rsid w:val="006E1B4B"/>
    <w:rsid w:val="006E30A1"/>
    <w:rsid w:val="006E3714"/>
    <w:rsid w:val="006F1270"/>
    <w:rsid w:val="006F4F58"/>
    <w:rsid w:val="006F6829"/>
    <w:rsid w:val="00700CCE"/>
    <w:rsid w:val="00700E64"/>
    <w:rsid w:val="00701017"/>
    <w:rsid w:val="00701779"/>
    <w:rsid w:val="00707977"/>
    <w:rsid w:val="00711462"/>
    <w:rsid w:val="007249C5"/>
    <w:rsid w:val="007256DE"/>
    <w:rsid w:val="007276A8"/>
    <w:rsid w:val="00727A06"/>
    <w:rsid w:val="00732BA4"/>
    <w:rsid w:val="00733965"/>
    <w:rsid w:val="00736F37"/>
    <w:rsid w:val="00743C23"/>
    <w:rsid w:val="007477E3"/>
    <w:rsid w:val="00751527"/>
    <w:rsid w:val="00754485"/>
    <w:rsid w:val="007564FA"/>
    <w:rsid w:val="00771175"/>
    <w:rsid w:val="0077186E"/>
    <w:rsid w:val="00776023"/>
    <w:rsid w:val="00776116"/>
    <w:rsid w:val="00777291"/>
    <w:rsid w:val="00777ECF"/>
    <w:rsid w:val="00780EA5"/>
    <w:rsid w:val="007832BA"/>
    <w:rsid w:val="007832FB"/>
    <w:rsid w:val="0078397E"/>
    <w:rsid w:val="007843A3"/>
    <w:rsid w:val="0078549D"/>
    <w:rsid w:val="00786568"/>
    <w:rsid w:val="00787A3A"/>
    <w:rsid w:val="00792E75"/>
    <w:rsid w:val="00796519"/>
    <w:rsid w:val="00796CE9"/>
    <w:rsid w:val="007A74AA"/>
    <w:rsid w:val="007B31EB"/>
    <w:rsid w:val="007B44D1"/>
    <w:rsid w:val="007B7CAB"/>
    <w:rsid w:val="007C06EA"/>
    <w:rsid w:val="007C4D70"/>
    <w:rsid w:val="007C50B1"/>
    <w:rsid w:val="007D1B4A"/>
    <w:rsid w:val="007D24C0"/>
    <w:rsid w:val="007D3987"/>
    <w:rsid w:val="007D67E3"/>
    <w:rsid w:val="007E2180"/>
    <w:rsid w:val="007E47D1"/>
    <w:rsid w:val="007E7529"/>
    <w:rsid w:val="007F1D8F"/>
    <w:rsid w:val="007F4284"/>
    <w:rsid w:val="008049A7"/>
    <w:rsid w:val="008061AD"/>
    <w:rsid w:val="00806D87"/>
    <w:rsid w:val="00822158"/>
    <w:rsid w:val="00832C20"/>
    <w:rsid w:val="00832C41"/>
    <w:rsid w:val="00843DC7"/>
    <w:rsid w:val="00844514"/>
    <w:rsid w:val="00845045"/>
    <w:rsid w:val="008459BA"/>
    <w:rsid w:val="0084748D"/>
    <w:rsid w:val="0085338E"/>
    <w:rsid w:val="008533B8"/>
    <w:rsid w:val="00855938"/>
    <w:rsid w:val="00862909"/>
    <w:rsid w:val="00865E37"/>
    <w:rsid w:val="00876574"/>
    <w:rsid w:val="008773EB"/>
    <w:rsid w:val="00877F4A"/>
    <w:rsid w:val="008806FA"/>
    <w:rsid w:val="008838E9"/>
    <w:rsid w:val="008845D5"/>
    <w:rsid w:val="00884B11"/>
    <w:rsid w:val="0089101D"/>
    <w:rsid w:val="008A13A7"/>
    <w:rsid w:val="008B4A45"/>
    <w:rsid w:val="008B5F6E"/>
    <w:rsid w:val="008C0CE4"/>
    <w:rsid w:val="008C44F5"/>
    <w:rsid w:val="008C555B"/>
    <w:rsid w:val="008C78F4"/>
    <w:rsid w:val="008D1BAC"/>
    <w:rsid w:val="008D70AA"/>
    <w:rsid w:val="008E1762"/>
    <w:rsid w:val="008E1A66"/>
    <w:rsid w:val="008E2DAA"/>
    <w:rsid w:val="008E7B02"/>
    <w:rsid w:val="008F3629"/>
    <w:rsid w:val="008F405C"/>
    <w:rsid w:val="009004F1"/>
    <w:rsid w:val="009015F7"/>
    <w:rsid w:val="0090511B"/>
    <w:rsid w:val="00911895"/>
    <w:rsid w:val="009160DF"/>
    <w:rsid w:val="00916E88"/>
    <w:rsid w:val="00917DA5"/>
    <w:rsid w:val="00920E06"/>
    <w:rsid w:val="00926786"/>
    <w:rsid w:val="009269CD"/>
    <w:rsid w:val="00927E9B"/>
    <w:rsid w:val="00930E33"/>
    <w:rsid w:val="00930F5B"/>
    <w:rsid w:val="00934626"/>
    <w:rsid w:val="00936A6B"/>
    <w:rsid w:val="009425DE"/>
    <w:rsid w:val="009435F7"/>
    <w:rsid w:val="00947580"/>
    <w:rsid w:val="009528AA"/>
    <w:rsid w:val="00956637"/>
    <w:rsid w:val="00957F0B"/>
    <w:rsid w:val="009650C2"/>
    <w:rsid w:val="00967A14"/>
    <w:rsid w:val="009725A8"/>
    <w:rsid w:val="00980805"/>
    <w:rsid w:val="00982996"/>
    <w:rsid w:val="00983AEE"/>
    <w:rsid w:val="00984C1D"/>
    <w:rsid w:val="0098788B"/>
    <w:rsid w:val="0099397F"/>
    <w:rsid w:val="00995B57"/>
    <w:rsid w:val="009A2C9E"/>
    <w:rsid w:val="009A4C8D"/>
    <w:rsid w:val="009B1CED"/>
    <w:rsid w:val="009B317A"/>
    <w:rsid w:val="009B531D"/>
    <w:rsid w:val="009B57D4"/>
    <w:rsid w:val="009B7390"/>
    <w:rsid w:val="009C0B6D"/>
    <w:rsid w:val="009C6D9C"/>
    <w:rsid w:val="009D0F27"/>
    <w:rsid w:val="009D28AF"/>
    <w:rsid w:val="009E018E"/>
    <w:rsid w:val="009E4278"/>
    <w:rsid w:val="009E5917"/>
    <w:rsid w:val="009E6516"/>
    <w:rsid w:val="009F2270"/>
    <w:rsid w:val="009F477A"/>
    <w:rsid w:val="00A02173"/>
    <w:rsid w:val="00A10CCB"/>
    <w:rsid w:val="00A12DF3"/>
    <w:rsid w:val="00A13BE1"/>
    <w:rsid w:val="00A14006"/>
    <w:rsid w:val="00A176F7"/>
    <w:rsid w:val="00A17A53"/>
    <w:rsid w:val="00A2214F"/>
    <w:rsid w:val="00A26F4D"/>
    <w:rsid w:val="00A30C73"/>
    <w:rsid w:val="00A37F60"/>
    <w:rsid w:val="00A478F9"/>
    <w:rsid w:val="00A47C4D"/>
    <w:rsid w:val="00A51B22"/>
    <w:rsid w:val="00A51BAB"/>
    <w:rsid w:val="00A549FA"/>
    <w:rsid w:val="00A55188"/>
    <w:rsid w:val="00A56CFB"/>
    <w:rsid w:val="00A62829"/>
    <w:rsid w:val="00A63E96"/>
    <w:rsid w:val="00A65193"/>
    <w:rsid w:val="00A66179"/>
    <w:rsid w:val="00A66B5F"/>
    <w:rsid w:val="00A67CBD"/>
    <w:rsid w:val="00A768C8"/>
    <w:rsid w:val="00A7741E"/>
    <w:rsid w:val="00A859A4"/>
    <w:rsid w:val="00A8799E"/>
    <w:rsid w:val="00A9381C"/>
    <w:rsid w:val="00AA00F8"/>
    <w:rsid w:val="00AA3895"/>
    <w:rsid w:val="00AA4E43"/>
    <w:rsid w:val="00AA708F"/>
    <w:rsid w:val="00AA7453"/>
    <w:rsid w:val="00AB22F2"/>
    <w:rsid w:val="00AB4443"/>
    <w:rsid w:val="00AC5C85"/>
    <w:rsid w:val="00AC6014"/>
    <w:rsid w:val="00AC6F77"/>
    <w:rsid w:val="00AD6991"/>
    <w:rsid w:val="00AE33D9"/>
    <w:rsid w:val="00AE34DF"/>
    <w:rsid w:val="00AE4BDE"/>
    <w:rsid w:val="00AE4D70"/>
    <w:rsid w:val="00AF0418"/>
    <w:rsid w:val="00AF3860"/>
    <w:rsid w:val="00B02864"/>
    <w:rsid w:val="00B05AD2"/>
    <w:rsid w:val="00B0687D"/>
    <w:rsid w:val="00B11992"/>
    <w:rsid w:val="00B11A5A"/>
    <w:rsid w:val="00B16BAA"/>
    <w:rsid w:val="00B17C04"/>
    <w:rsid w:val="00B21941"/>
    <w:rsid w:val="00B224F2"/>
    <w:rsid w:val="00B36F2E"/>
    <w:rsid w:val="00B377B6"/>
    <w:rsid w:val="00B50D94"/>
    <w:rsid w:val="00B5297B"/>
    <w:rsid w:val="00B5449E"/>
    <w:rsid w:val="00B55E49"/>
    <w:rsid w:val="00B61BEC"/>
    <w:rsid w:val="00B63B63"/>
    <w:rsid w:val="00B7366C"/>
    <w:rsid w:val="00B7422F"/>
    <w:rsid w:val="00B84D91"/>
    <w:rsid w:val="00B87DA7"/>
    <w:rsid w:val="00B91D15"/>
    <w:rsid w:val="00B96076"/>
    <w:rsid w:val="00BA1291"/>
    <w:rsid w:val="00BA4198"/>
    <w:rsid w:val="00BA4536"/>
    <w:rsid w:val="00BA50A7"/>
    <w:rsid w:val="00BA5E49"/>
    <w:rsid w:val="00BA60FF"/>
    <w:rsid w:val="00BA6266"/>
    <w:rsid w:val="00BB04B9"/>
    <w:rsid w:val="00BB22F6"/>
    <w:rsid w:val="00BB53EE"/>
    <w:rsid w:val="00BC4A43"/>
    <w:rsid w:val="00BC5024"/>
    <w:rsid w:val="00BC6288"/>
    <w:rsid w:val="00BC759A"/>
    <w:rsid w:val="00BC7E4E"/>
    <w:rsid w:val="00BD43D8"/>
    <w:rsid w:val="00BD64A0"/>
    <w:rsid w:val="00BD6CF3"/>
    <w:rsid w:val="00BE0703"/>
    <w:rsid w:val="00BE17CB"/>
    <w:rsid w:val="00BE40A0"/>
    <w:rsid w:val="00BE43DF"/>
    <w:rsid w:val="00BF4319"/>
    <w:rsid w:val="00C02089"/>
    <w:rsid w:val="00C022FF"/>
    <w:rsid w:val="00C0446F"/>
    <w:rsid w:val="00C0454E"/>
    <w:rsid w:val="00C04F44"/>
    <w:rsid w:val="00C15F64"/>
    <w:rsid w:val="00C168D8"/>
    <w:rsid w:val="00C202AF"/>
    <w:rsid w:val="00C24108"/>
    <w:rsid w:val="00C24CBC"/>
    <w:rsid w:val="00C26EBA"/>
    <w:rsid w:val="00C27254"/>
    <w:rsid w:val="00C30DA4"/>
    <w:rsid w:val="00C323AC"/>
    <w:rsid w:val="00C3521D"/>
    <w:rsid w:val="00C371A0"/>
    <w:rsid w:val="00C40B92"/>
    <w:rsid w:val="00C43356"/>
    <w:rsid w:val="00C47E75"/>
    <w:rsid w:val="00C5122F"/>
    <w:rsid w:val="00C51574"/>
    <w:rsid w:val="00C63E40"/>
    <w:rsid w:val="00C67678"/>
    <w:rsid w:val="00C70056"/>
    <w:rsid w:val="00C76783"/>
    <w:rsid w:val="00C81E82"/>
    <w:rsid w:val="00C82CD9"/>
    <w:rsid w:val="00C85CED"/>
    <w:rsid w:val="00C87491"/>
    <w:rsid w:val="00C920F3"/>
    <w:rsid w:val="00C9230B"/>
    <w:rsid w:val="00C932C3"/>
    <w:rsid w:val="00C94962"/>
    <w:rsid w:val="00CA57A7"/>
    <w:rsid w:val="00CA7D59"/>
    <w:rsid w:val="00CB229B"/>
    <w:rsid w:val="00CB2473"/>
    <w:rsid w:val="00CB2E01"/>
    <w:rsid w:val="00CB3C60"/>
    <w:rsid w:val="00CB663A"/>
    <w:rsid w:val="00CC69F0"/>
    <w:rsid w:val="00CD1550"/>
    <w:rsid w:val="00CD2A74"/>
    <w:rsid w:val="00CD6DFF"/>
    <w:rsid w:val="00CD7BEB"/>
    <w:rsid w:val="00CE6A10"/>
    <w:rsid w:val="00CF761A"/>
    <w:rsid w:val="00D0128F"/>
    <w:rsid w:val="00D07DBE"/>
    <w:rsid w:val="00D10B65"/>
    <w:rsid w:val="00D20A5A"/>
    <w:rsid w:val="00D2172C"/>
    <w:rsid w:val="00D26598"/>
    <w:rsid w:val="00D30732"/>
    <w:rsid w:val="00D33636"/>
    <w:rsid w:val="00D36A15"/>
    <w:rsid w:val="00D378C6"/>
    <w:rsid w:val="00D41697"/>
    <w:rsid w:val="00D468B7"/>
    <w:rsid w:val="00D54155"/>
    <w:rsid w:val="00D569E3"/>
    <w:rsid w:val="00D6544A"/>
    <w:rsid w:val="00D72B85"/>
    <w:rsid w:val="00D76326"/>
    <w:rsid w:val="00D83158"/>
    <w:rsid w:val="00D84A59"/>
    <w:rsid w:val="00D87C1C"/>
    <w:rsid w:val="00D91725"/>
    <w:rsid w:val="00D92789"/>
    <w:rsid w:val="00D92B0C"/>
    <w:rsid w:val="00D94276"/>
    <w:rsid w:val="00DA26CE"/>
    <w:rsid w:val="00DA3DBA"/>
    <w:rsid w:val="00DA76D3"/>
    <w:rsid w:val="00DC23BE"/>
    <w:rsid w:val="00DC33B6"/>
    <w:rsid w:val="00DC736D"/>
    <w:rsid w:val="00DD297F"/>
    <w:rsid w:val="00DD337F"/>
    <w:rsid w:val="00DD74D6"/>
    <w:rsid w:val="00DE2D66"/>
    <w:rsid w:val="00DE3CF8"/>
    <w:rsid w:val="00DF1E9B"/>
    <w:rsid w:val="00DF24F0"/>
    <w:rsid w:val="00DF2817"/>
    <w:rsid w:val="00DF4B6D"/>
    <w:rsid w:val="00E017B2"/>
    <w:rsid w:val="00E026E2"/>
    <w:rsid w:val="00E06F54"/>
    <w:rsid w:val="00E07B46"/>
    <w:rsid w:val="00E07BE6"/>
    <w:rsid w:val="00E133A5"/>
    <w:rsid w:val="00E156EA"/>
    <w:rsid w:val="00E2097C"/>
    <w:rsid w:val="00E272A3"/>
    <w:rsid w:val="00E30C50"/>
    <w:rsid w:val="00E33854"/>
    <w:rsid w:val="00E440D3"/>
    <w:rsid w:val="00E556EB"/>
    <w:rsid w:val="00E55891"/>
    <w:rsid w:val="00E65459"/>
    <w:rsid w:val="00E669AE"/>
    <w:rsid w:val="00E736C6"/>
    <w:rsid w:val="00E821B3"/>
    <w:rsid w:val="00E82480"/>
    <w:rsid w:val="00E87E86"/>
    <w:rsid w:val="00E90A3F"/>
    <w:rsid w:val="00E9104E"/>
    <w:rsid w:val="00E91E01"/>
    <w:rsid w:val="00E92580"/>
    <w:rsid w:val="00EA3F97"/>
    <w:rsid w:val="00EA5193"/>
    <w:rsid w:val="00EB13BE"/>
    <w:rsid w:val="00EB1B6C"/>
    <w:rsid w:val="00EB7A84"/>
    <w:rsid w:val="00EC6D56"/>
    <w:rsid w:val="00ED3BAB"/>
    <w:rsid w:val="00ED60C8"/>
    <w:rsid w:val="00ED6F92"/>
    <w:rsid w:val="00EF606C"/>
    <w:rsid w:val="00F066AC"/>
    <w:rsid w:val="00F07D38"/>
    <w:rsid w:val="00F1256C"/>
    <w:rsid w:val="00F14EB3"/>
    <w:rsid w:val="00F226D5"/>
    <w:rsid w:val="00F27DB7"/>
    <w:rsid w:val="00F34919"/>
    <w:rsid w:val="00F35727"/>
    <w:rsid w:val="00F364EC"/>
    <w:rsid w:val="00F405F2"/>
    <w:rsid w:val="00F4524A"/>
    <w:rsid w:val="00F478FE"/>
    <w:rsid w:val="00F52C4F"/>
    <w:rsid w:val="00F531BA"/>
    <w:rsid w:val="00F617AE"/>
    <w:rsid w:val="00F6613A"/>
    <w:rsid w:val="00F6750C"/>
    <w:rsid w:val="00F74B1B"/>
    <w:rsid w:val="00F7532E"/>
    <w:rsid w:val="00F769A4"/>
    <w:rsid w:val="00F8058D"/>
    <w:rsid w:val="00F8209F"/>
    <w:rsid w:val="00F83FFC"/>
    <w:rsid w:val="00F865E8"/>
    <w:rsid w:val="00F86AD4"/>
    <w:rsid w:val="00F87710"/>
    <w:rsid w:val="00F90268"/>
    <w:rsid w:val="00F921DC"/>
    <w:rsid w:val="00F9467F"/>
    <w:rsid w:val="00F947BB"/>
    <w:rsid w:val="00F976FA"/>
    <w:rsid w:val="00FA32B9"/>
    <w:rsid w:val="00FA334D"/>
    <w:rsid w:val="00FA4AE6"/>
    <w:rsid w:val="00FA6FBA"/>
    <w:rsid w:val="00FB33B0"/>
    <w:rsid w:val="00FB787D"/>
    <w:rsid w:val="00FC5470"/>
    <w:rsid w:val="00FD4685"/>
    <w:rsid w:val="00FE36FE"/>
    <w:rsid w:val="00FE3E08"/>
    <w:rsid w:val="00FF3FCD"/>
    <w:rsid w:val="00FF4FE2"/>
    <w:rsid w:val="00FF5AF9"/>
    <w:rsid w:val="00FF6CF7"/>
    <w:rsid w:val="00FF73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AF935B5"/>
  <w15:chartTrackingRefBased/>
  <w15:docId w15:val="{D5E4068A-A58F-49DC-932E-3A30799E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815"/>
    <w:pPr>
      <w:spacing w:after="120" w:line="240" w:lineRule="auto"/>
      <w:jc w:val="both"/>
    </w:pPr>
    <w:rPr>
      <w:rFonts w:ascii="Arial" w:hAnsi="Arial"/>
    </w:rPr>
  </w:style>
  <w:style w:type="paragraph" w:styleId="Heading1">
    <w:name w:val="heading 1"/>
    <w:basedOn w:val="Normal"/>
    <w:next w:val="Normal"/>
    <w:link w:val="Heading1Char"/>
    <w:qFormat/>
    <w:rsid w:val="00CB3C60"/>
    <w:pPr>
      <w:keepNext/>
      <w:keepLines/>
      <w:numPr>
        <w:numId w:val="7"/>
      </w:numPr>
      <w:spacing w:before="240"/>
      <w:jc w:val="left"/>
      <w:outlineLvl w:val="0"/>
    </w:pPr>
    <w:rPr>
      <w:rFonts w:eastAsiaTheme="majorEastAsia" w:cstheme="majorBidi"/>
      <w:b/>
      <w:caps/>
      <w:sz w:val="28"/>
      <w:szCs w:val="32"/>
    </w:rPr>
  </w:style>
  <w:style w:type="paragraph" w:styleId="Heading2">
    <w:name w:val="heading 2"/>
    <w:basedOn w:val="Heading1"/>
    <w:next w:val="Normal"/>
    <w:link w:val="Heading2Char"/>
    <w:unhideWhenUsed/>
    <w:qFormat/>
    <w:rsid w:val="008F405C"/>
    <w:pPr>
      <w:numPr>
        <w:ilvl w:val="1"/>
      </w:numPr>
      <w:spacing w:before="120"/>
      <w:outlineLvl w:val="1"/>
    </w:pPr>
    <w:rPr>
      <w:rFonts w:ascii="Arial Bold" w:hAnsi="Arial Bold"/>
      <w:szCs w:val="26"/>
    </w:rPr>
  </w:style>
  <w:style w:type="paragraph" w:styleId="Heading3">
    <w:name w:val="heading 3"/>
    <w:basedOn w:val="Normal"/>
    <w:next w:val="Normal"/>
    <w:link w:val="Heading3Char"/>
    <w:unhideWhenUsed/>
    <w:qFormat/>
    <w:rsid w:val="008F405C"/>
    <w:pPr>
      <w:keepNext/>
      <w:keepLines/>
      <w:spacing w:before="120"/>
      <w:jc w:val="left"/>
      <w:outlineLvl w:val="2"/>
    </w:pPr>
    <w:rPr>
      <w:rFonts w:eastAsiaTheme="majorEastAsia" w:cstheme="majorBidi"/>
      <w:b/>
      <w:sz w:val="24"/>
      <w:szCs w:val="24"/>
    </w:rPr>
  </w:style>
  <w:style w:type="paragraph" w:styleId="Heading4">
    <w:name w:val="heading 4"/>
    <w:basedOn w:val="Normal"/>
    <w:next w:val="Normal"/>
    <w:link w:val="Heading4Char"/>
    <w:autoRedefine/>
    <w:unhideWhenUsed/>
    <w:qFormat/>
    <w:rsid w:val="00055815"/>
    <w:pPr>
      <w:keepNext/>
      <w:keepLines/>
      <w:spacing w:before="120"/>
      <w:jc w:val="left"/>
      <w:outlineLvl w:val="3"/>
    </w:pPr>
    <w:rPr>
      <w:rFonts w:eastAsiaTheme="majorEastAsia" w:cstheme="majorBidi"/>
      <w:b/>
      <w:iCs/>
      <w:u w:val="single"/>
    </w:rPr>
  </w:style>
  <w:style w:type="paragraph" w:styleId="Heading5">
    <w:name w:val="heading 5"/>
    <w:basedOn w:val="Normal"/>
    <w:next w:val="Normal"/>
    <w:link w:val="Heading5Char"/>
    <w:unhideWhenUsed/>
    <w:qFormat/>
    <w:rsid w:val="005A6179"/>
    <w:pPr>
      <w:keepNext/>
      <w:keepLines/>
      <w:spacing w:before="120"/>
      <w:outlineLvl w:val="4"/>
    </w:pPr>
    <w:rPr>
      <w:rFonts w:eastAsiaTheme="majorEastAsia" w:cstheme="majorBidi"/>
      <w:i/>
    </w:rPr>
  </w:style>
  <w:style w:type="paragraph" w:styleId="Heading6">
    <w:name w:val="heading 6"/>
    <w:basedOn w:val="Normal"/>
    <w:next w:val="Normal"/>
    <w:link w:val="Heading6Char"/>
    <w:unhideWhenUsed/>
    <w:qFormat/>
    <w:rsid w:val="005A617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FA4AE6"/>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FA4AE6"/>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A4AE6"/>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C085E"/>
    <w:pPr>
      <w:spacing w:before="240"/>
      <w:contextualSpacing/>
      <w:jc w:val="center"/>
    </w:pPr>
    <w:rPr>
      <w:rFonts w:ascii="Arial Black" w:eastAsiaTheme="majorEastAsia" w:hAnsi="Arial Black" w:cstheme="majorBidi"/>
      <w:caps/>
      <w:spacing w:val="-10"/>
      <w:kern w:val="28"/>
      <w:sz w:val="44"/>
      <w:szCs w:val="56"/>
    </w:rPr>
  </w:style>
  <w:style w:type="character" w:customStyle="1" w:styleId="TitleChar">
    <w:name w:val="Title Char"/>
    <w:basedOn w:val="DefaultParagraphFont"/>
    <w:link w:val="Title"/>
    <w:rsid w:val="006C085E"/>
    <w:rPr>
      <w:rFonts w:ascii="Arial Black" w:eastAsiaTheme="majorEastAsia" w:hAnsi="Arial Black" w:cstheme="majorBidi"/>
      <w:caps/>
      <w:spacing w:val="-10"/>
      <w:kern w:val="28"/>
      <w:sz w:val="44"/>
      <w:szCs w:val="56"/>
    </w:rPr>
  </w:style>
  <w:style w:type="paragraph" w:styleId="Subtitle">
    <w:name w:val="Subtitle"/>
    <w:basedOn w:val="Normal"/>
    <w:next w:val="Normal"/>
    <w:link w:val="SubtitleChar"/>
    <w:qFormat/>
    <w:rsid w:val="006C085E"/>
    <w:pPr>
      <w:numPr>
        <w:ilvl w:val="1"/>
      </w:numPr>
      <w:spacing w:before="120"/>
      <w:jc w:val="center"/>
    </w:pPr>
    <w:rPr>
      <w:rFonts w:eastAsiaTheme="minorEastAsia"/>
      <w:b/>
      <w:spacing w:val="15"/>
      <w:sz w:val="28"/>
    </w:rPr>
  </w:style>
  <w:style w:type="character" w:customStyle="1" w:styleId="SubtitleChar">
    <w:name w:val="Subtitle Char"/>
    <w:basedOn w:val="DefaultParagraphFont"/>
    <w:link w:val="Subtitle"/>
    <w:rsid w:val="006C085E"/>
    <w:rPr>
      <w:rFonts w:ascii="Arial" w:eastAsiaTheme="minorEastAsia" w:hAnsi="Arial"/>
      <w:b/>
      <w:spacing w:val="15"/>
      <w:sz w:val="28"/>
    </w:rPr>
  </w:style>
  <w:style w:type="paragraph" w:customStyle="1" w:styleId="subtitle2">
    <w:name w:val="subtitle2"/>
    <w:basedOn w:val="Normal"/>
    <w:qFormat/>
    <w:rsid w:val="006C085E"/>
    <w:pPr>
      <w:spacing w:before="120"/>
      <w:jc w:val="center"/>
    </w:pPr>
    <w:rPr>
      <w:b/>
      <w:caps/>
      <w:sz w:val="28"/>
    </w:rPr>
  </w:style>
  <w:style w:type="character" w:customStyle="1" w:styleId="Heading1Char">
    <w:name w:val="Heading 1 Char"/>
    <w:basedOn w:val="DefaultParagraphFont"/>
    <w:link w:val="Heading1"/>
    <w:rsid w:val="00CB3C60"/>
    <w:rPr>
      <w:rFonts w:ascii="Arial" w:eastAsiaTheme="majorEastAsia" w:hAnsi="Arial" w:cstheme="majorBidi"/>
      <w:b/>
      <w:caps/>
      <w:sz w:val="28"/>
      <w:szCs w:val="32"/>
    </w:rPr>
  </w:style>
  <w:style w:type="paragraph" w:styleId="ListParagraph">
    <w:name w:val="List Paragraph"/>
    <w:basedOn w:val="Normal"/>
    <w:uiPriority w:val="34"/>
    <w:qFormat/>
    <w:rsid w:val="006C085E"/>
    <w:pPr>
      <w:ind w:left="720"/>
      <w:contextualSpacing/>
    </w:pPr>
  </w:style>
  <w:style w:type="character" w:customStyle="1" w:styleId="Heading2Char">
    <w:name w:val="Heading 2 Char"/>
    <w:basedOn w:val="DefaultParagraphFont"/>
    <w:link w:val="Heading2"/>
    <w:rsid w:val="008F405C"/>
    <w:rPr>
      <w:rFonts w:ascii="Arial Bold" w:eastAsiaTheme="majorEastAsia" w:hAnsi="Arial Bold" w:cstheme="majorBidi"/>
      <w:b/>
      <w:caps/>
      <w:sz w:val="28"/>
      <w:szCs w:val="26"/>
    </w:rPr>
  </w:style>
  <w:style w:type="character" w:customStyle="1" w:styleId="Heading3Char">
    <w:name w:val="Heading 3 Char"/>
    <w:basedOn w:val="DefaultParagraphFont"/>
    <w:link w:val="Heading3"/>
    <w:rsid w:val="008F405C"/>
    <w:rPr>
      <w:rFonts w:ascii="Arial" w:eastAsiaTheme="majorEastAsia" w:hAnsi="Arial" w:cstheme="majorBidi"/>
      <w:b/>
      <w:sz w:val="24"/>
      <w:szCs w:val="24"/>
    </w:rPr>
  </w:style>
  <w:style w:type="character" w:customStyle="1" w:styleId="Heading4Char">
    <w:name w:val="Heading 4 Char"/>
    <w:basedOn w:val="DefaultParagraphFont"/>
    <w:link w:val="Heading4"/>
    <w:rsid w:val="00055815"/>
    <w:rPr>
      <w:rFonts w:ascii="Arial" w:eastAsiaTheme="majorEastAsia" w:hAnsi="Arial" w:cstheme="majorBidi"/>
      <w:b/>
      <w:iCs/>
      <w:u w:val="single"/>
    </w:rPr>
  </w:style>
  <w:style w:type="character" w:customStyle="1" w:styleId="Heading5Char">
    <w:name w:val="Heading 5 Char"/>
    <w:basedOn w:val="DefaultParagraphFont"/>
    <w:link w:val="Heading5"/>
    <w:uiPriority w:val="9"/>
    <w:rsid w:val="00754485"/>
    <w:rPr>
      <w:rFonts w:ascii="Arial" w:eastAsiaTheme="majorEastAsia" w:hAnsi="Arial" w:cstheme="majorBidi"/>
      <w:i/>
    </w:rPr>
  </w:style>
  <w:style w:type="paragraph" w:customStyle="1" w:styleId="Bulletlist">
    <w:name w:val="Bullet list"/>
    <w:basedOn w:val="Normal"/>
    <w:qFormat/>
    <w:rsid w:val="00754485"/>
    <w:pPr>
      <w:numPr>
        <w:numId w:val="1"/>
      </w:numPr>
      <w:tabs>
        <w:tab w:val="left" w:pos="357"/>
      </w:tabs>
      <w:ind w:left="357" w:hanging="357"/>
    </w:pPr>
  </w:style>
  <w:style w:type="paragraph" w:customStyle="1" w:styleId="letterlist">
    <w:name w:val="letter list"/>
    <w:basedOn w:val="Normal"/>
    <w:qFormat/>
    <w:rsid w:val="00A66B5F"/>
    <w:pPr>
      <w:numPr>
        <w:numId w:val="2"/>
      </w:numPr>
      <w:ind w:left="357" w:hanging="357"/>
    </w:pPr>
  </w:style>
  <w:style w:type="paragraph" w:customStyle="1" w:styleId="numberlist">
    <w:name w:val="number list"/>
    <w:basedOn w:val="Bulletlist"/>
    <w:rsid w:val="00A66B5F"/>
    <w:pPr>
      <w:numPr>
        <w:numId w:val="3"/>
      </w:numPr>
      <w:ind w:left="357" w:hanging="357"/>
    </w:pPr>
  </w:style>
  <w:style w:type="paragraph" w:styleId="ListBullet">
    <w:name w:val="List Bullet"/>
    <w:basedOn w:val="Normal"/>
    <w:autoRedefine/>
    <w:rsid w:val="00D92B0C"/>
    <w:pPr>
      <w:numPr>
        <w:numId w:val="4"/>
      </w:numPr>
      <w:spacing w:after="60"/>
    </w:pPr>
    <w:rPr>
      <w:rFonts w:eastAsia="Times New Roman" w:cs="Times New Roman"/>
      <w:szCs w:val="20"/>
      <w:lang w:val="en-AU"/>
    </w:rPr>
  </w:style>
  <w:style w:type="paragraph" w:styleId="List">
    <w:name w:val="List"/>
    <w:basedOn w:val="Normal"/>
    <w:rsid w:val="00D92B0C"/>
    <w:pPr>
      <w:keepNext/>
      <w:numPr>
        <w:numId w:val="5"/>
      </w:numPr>
      <w:spacing w:after="60"/>
      <w:jc w:val="left"/>
    </w:pPr>
    <w:rPr>
      <w:rFonts w:eastAsia="Times New Roman" w:cs="Times New Roman"/>
      <w:szCs w:val="20"/>
      <w:lang w:val="en-AU"/>
    </w:rPr>
  </w:style>
  <w:style w:type="paragraph" w:styleId="ListNumber">
    <w:name w:val="List Number"/>
    <w:basedOn w:val="Normal"/>
    <w:rsid w:val="00D92B0C"/>
    <w:pPr>
      <w:keepNext/>
      <w:keepLines/>
      <w:numPr>
        <w:numId w:val="6"/>
      </w:numPr>
    </w:pPr>
    <w:rPr>
      <w:rFonts w:eastAsia="Times New Roman" w:cs="Times New Roman"/>
      <w:szCs w:val="20"/>
      <w:lang w:val="en-AU"/>
    </w:rPr>
  </w:style>
  <w:style w:type="paragraph" w:styleId="BodyText">
    <w:name w:val="Body Text"/>
    <w:aliases w:val="Textkörper1,Body Text Char1 Char,Body Text Char Char2 Char,Body Text Char1 Char Char Char,Body Text Char Char Char Char Char,Body Text Char Char1 Char Char,Body Text Char1 Char1, Char,Body Text Hang,Char"/>
    <w:basedOn w:val="Normal"/>
    <w:link w:val="BodyTextChar"/>
    <w:qFormat/>
    <w:rsid w:val="00D92B0C"/>
    <w:pPr>
      <w:spacing w:after="60"/>
      <w:jc w:val="left"/>
    </w:pPr>
    <w:rPr>
      <w:rFonts w:eastAsia="Times New Roman" w:cs="Times New Roman"/>
      <w:szCs w:val="20"/>
      <w:lang w:val="en-AU"/>
    </w:rPr>
  </w:style>
  <w:style w:type="character" w:customStyle="1" w:styleId="BodyTextChar">
    <w:name w:val="Body Text Char"/>
    <w:aliases w:val="Textkörper1 Char,Body Text Char1 Char Char,Body Text Char Char2 Char Char,Body Text Char1 Char Char Char Char,Body Text Char Char Char Char Char Char,Body Text Char Char1 Char Char Char,Body Text Char1 Char1 Char, Char Char,Char Char"/>
    <w:basedOn w:val="DefaultParagraphFont"/>
    <w:link w:val="BodyText"/>
    <w:rsid w:val="00D92B0C"/>
    <w:rPr>
      <w:rFonts w:ascii="Arial" w:eastAsia="Times New Roman" w:hAnsi="Arial" w:cs="Times New Roman"/>
      <w:szCs w:val="20"/>
      <w:lang w:val="en-AU"/>
    </w:rPr>
  </w:style>
  <w:style w:type="paragraph" w:customStyle="1" w:styleId="blacktriangle">
    <w:name w:val="black triangle"/>
    <w:basedOn w:val="Heading1"/>
    <w:qFormat/>
    <w:rsid w:val="001A7B9B"/>
    <w:pPr>
      <w:numPr>
        <w:numId w:val="0"/>
      </w:numPr>
    </w:pPr>
    <w:rPr>
      <w:rFonts w:ascii="Arial Bold" w:hAnsi="Arial Bold"/>
    </w:rPr>
  </w:style>
  <w:style w:type="paragraph" w:customStyle="1" w:styleId="Default">
    <w:name w:val="Default"/>
    <w:rsid w:val="008A13A7"/>
    <w:pPr>
      <w:autoSpaceDE w:val="0"/>
      <w:autoSpaceDN w:val="0"/>
      <w:adjustRightInd w:val="0"/>
      <w:spacing w:after="0" w:line="240" w:lineRule="auto"/>
    </w:pPr>
    <w:rPr>
      <w:rFonts w:ascii="Cambria" w:hAnsi="Cambria" w:cs="Cambria"/>
      <w:color w:val="000000"/>
      <w:sz w:val="24"/>
      <w:szCs w:val="24"/>
    </w:rPr>
  </w:style>
  <w:style w:type="paragraph" w:customStyle="1" w:styleId="PIEXPLAIN">
    <w:name w:val="PI EXPLAIN"/>
    <w:basedOn w:val="Normal"/>
    <w:rsid w:val="00BA1291"/>
    <w:pPr>
      <w:tabs>
        <w:tab w:val="left" w:pos="-720"/>
      </w:tabs>
      <w:suppressAutoHyphens/>
      <w:spacing w:before="20" w:after="80"/>
      <w:jc w:val="left"/>
    </w:pPr>
    <w:rPr>
      <w:rFonts w:eastAsia="Times New Roman" w:cs="Times New Roman"/>
      <w:spacing w:val="-2"/>
      <w:szCs w:val="20"/>
      <w:lang w:val="en-AU"/>
    </w:rPr>
  </w:style>
  <w:style w:type="paragraph" w:styleId="Header">
    <w:name w:val="header"/>
    <w:basedOn w:val="Normal"/>
    <w:link w:val="HeaderChar"/>
    <w:unhideWhenUsed/>
    <w:rsid w:val="00BA1291"/>
    <w:pPr>
      <w:tabs>
        <w:tab w:val="center" w:pos="4680"/>
        <w:tab w:val="right" w:pos="9360"/>
      </w:tabs>
      <w:spacing w:after="0"/>
    </w:pPr>
  </w:style>
  <w:style w:type="character" w:customStyle="1" w:styleId="HeaderChar">
    <w:name w:val="Header Char"/>
    <w:basedOn w:val="DefaultParagraphFont"/>
    <w:link w:val="Header"/>
    <w:rsid w:val="00BA1291"/>
    <w:rPr>
      <w:rFonts w:ascii="Arial" w:hAnsi="Arial"/>
    </w:rPr>
  </w:style>
  <w:style w:type="paragraph" w:styleId="Footer">
    <w:name w:val="footer"/>
    <w:basedOn w:val="Normal"/>
    <w:link w:val="FooterChar"/>
    <w:unhideWhenUsed/>
    <w:rsid w:val="005A6179"/>
    <w:pPr>
      <w:tabs>
        <w:tab w:val="center" w:pos="4680"/>
        <w:tab w:val="right" w:pos="9360"/>
      </w:tabs>
      <w:spacing w:after="0"/>
    </w:pPr>
    <w:rPr>
      <w:sz w:val="18"/>
    </w:rPr>
  </w:style>
  <w:style w:type="character" w:customStyle="1" w:styleId="FooterChar">
    <w:name w:val="Footer Char"/>
    <w:basedOn w:val="DefaultParagraphFont"/>
    <w:link w:val="Footer"/>
    <w:rsid w:val="005A6179"/>
    <w:rPr>
      <w:rFonts w:ascii="Arial" w:hAnsi="Arial"/>
      <w:sz w:val="18"/>
    </w:rPr>
  </w:style>
  <w:style w:type="character" w:styleId="PageNumber">
    <w:name w:val="page number"/>
    <w:basedOn w:val="DefaultParagraphFont"/>
    <w:rsid w:val="0066370D"/>
  </w:style>
  <w:style w:type="character" w:customStyle="1" w:styleId="Heading6Char">
    <w:name w:val="Heading 6 Char"/>
    <w:basedOn w:val="DefaultParagraphFont"/>
    <w:link w:val="Heading6"/>
    <w:uiPriority w:val="9"/>
    <w:semiHidden/>
    <w:rsid w:val="00FA4A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FA4A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FA4A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A4AE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E8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59BA"/>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pubtitle">
    <w:name w:val="pubtitle"/>
    <w:basedOn w:val="DefaultParagraphFont"/>
    <w:rsid w:val="008459BA"/>
  </w:style>
  <w:style w:type="paragraph" w:customStyle="1" w:styleId="Normaltext">
    <w:name w:val="Normal text"/>
    <w:basedOn w:val="Normal"/>
    <w:link w:val="NormaltextChar"/>
    <w:qFormat/>
    <w:rsid w:val="00C40B92"/>
    <w:pPr>
      <w:spacing w:after="0"/>
    </w:pPr>
    <w:rPr>
      <w:rFonts w:eastAsia="Times New Roman" w:cs="Arial"/>
      <w:szCs w:val="24"/>
      <w:lang w:val="en-AU" w:eastAsia="en-AU"/>
    </w:rPr>
  </w:style>
  <w:style w:type="character" w:customStyle="1" w:styleId="NormaltextChar">
    <w:name w:val="Normal text Char"/>
    <w:basedOn w:val="DefaultParagraphFont"/>
    <w:link w:val="Normaltext"/>
    <w:rsid w:val="00C40B92"/>
    <w:rPr>
      <w:rFonts w:ascii="Arial" w:eastAsia="Times New Roman" w:hAnsi="Arial" w:cs="Arial"/>
      <w:szCs w:val="24"/>
      <w:lang w:val="en-AU" w:eastAsia="en-AU"/>
    </w:rPr>
  </w:style>
  <w:style w:type="paragraph" w:customStyle="1" w:styleId="BodyText1">
    <w:name w:val="Body Text1"/>
    <w:basedOn w:val="Normal"/>
    <w:qFormat/>
    <w:rsid w:val="00320CD9"/>
    <w:pPr>
      <w:spacing w:before="60"/>
    </w:pPr>
    <w:rPr>
      <w:rFonts w:cs="Times New Roman"/>
      <w:szCs w:val="20"/>
      <w:lang w:val="en-AU"/>
    </w:rPr>
  </w:style>
  <w:style w:type="character" w:styleId="CommentReference">
    <w:name w:val="annotation reference"/>
    <w:basedOn w:val="DefaultParagraphFont"/>
    <w:unhideWhenUsed/>
    <w:rsid w:val="00320CD9"/>
    <w:rPr>
      <w:sz w:val="16"/>
      <w:szCs w:val="16"/>
    </w:rPr>
  </w:style>
  <w:style w:type="paragraph" w:styleId="CommentText">
    <w:name w:val="annotation text"/>
    <w:aliases w:val=" Car17, Car17 Car, Char Char Char, Char Char1,Annotationtext,Char Char Char,Char Char1,Comment Text Char Char,Comment Text Char Char Char,Comment Text Char Char1 Char,Comment Text Char1,Comment Text Char1 Char,Comment Text Char2 Char"/>
    <w:basedOn w:val="Normal"/>
    <w:link w:val="CommentTextChar"/>
    <w:uiPriority w:val="99"/>
    <w:unhideWhenUsed/>
    <w:qFormat/>
    <w:rsid w:val="00320CD9"/>
    <w:pPr>
      <w:spacing w:after="0"/>
      <w:jc w:val="left"/>
    </w:pPr>
    <w:rPr>
      <w:rFonts w:cs="Arial"/>
      <w:sz w:val="20"/>
      <w:szCs w:val="20"/>
      <w:lang w:val="en-AU"/>
    </w:rPr>
  </w:style>
  <w:style w:type="character" w:customStyle="1" w:styleId="CommentTextChar">
    <w:name w:val="Comment Text Char"/>
    <w:aliases w:val=" Car17 Char, Car17 Car Char, Char Char Char Char, Char Char1 Char,Annotationtext Char,Char Char Char Char,Char Char1 Char,Comment Text Char Char Char1,Comment Text Char Char Char Char,Comment Text Char Char1 Char Char"/>
    <w:basedOn w:val="DefaultParagraphFont"/>
    <w:link w:val="CommentText"/>
    <w:uiPriority w:val="99"/>
    <w:qFormat/>
    <w:rsid w:val="00320CD9"/>
    <w:rPr>
      <w:rFonts w:ascii="Arial" w:hAnsi="Arial" w:cs="Arial"/>
      <w:sz w:val="20"/>
      <w:szCs w:val="20"/>
      <w:lang w:val="en-AU"/>
    </w:rPr>
  </w:style>
  <w:style w:type="paragraph" w:styleId="BalloonText">
    <w:name w:val="Balloon Text"/>
    <w:basedOn w:val="Normal"/>
    <w:link w:val="BalloonTextChar"/>
    <w:uiPriority w:val="99"/>
    <w:semiHidden/>
    <w:unhideWhenUsed/>
    <w:rsid w:val="00320C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D9"/>
    <w:rPr>
      <w:rFonts w:ascii="Segoe UI" w:hAnsi="Segoe UI" w:cs="Segoe UI"/>
      <w:sz w:val="18"/>
      <w:szCs w:val="18"/>
    </w:rPr>
  </w:style>
  <w:style w:type="paragraph" w:customStyle="1" w:styleId="TableNote">
    <w:name w:val="TableNote"/>
    <w:qFormat/>
    <w:rsid w:val="007256DE"/>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rPr>
  </w:style>
  <w:style w:type="paragraph" w:customStyle="1" w:styleId="TableText">
    <w:name w:val="Table Text"/>
    <w:link w:val="TableTextChar"/>
    <w:qFormat/>
    <w:rsid w:val="007256DE"/>
    <w:pPr>
      <w:tabs>
        <w:tab w:val="left" w:pos="288"/>
        <w:tab w:val="left" w:pos="576"/>
        <w:tab w:val="left" w:pos="864"/>
      </w:tabs>
      <w:spacing w:after="0" w:line="240" w:lineRule="auto"/>
    </w:pPr>
    <w:rPr>
      <w:rFonts w:ascii="Times New Roman" w:eastAsia="Times New Roman" w:hAnsi="Times New Roman" w:cs="Times New Roman"/>
      <w:sz w:val="20"/>
      <w:szCs w:val="20"/>
    </w:rPr>
  </w:style>
  <w:style w:type="character" w:customStyle="1" w:styleId="TableTextChar">
    <w:name w:val="Table Text Char"/>
    <w:link w:val="TableText"/>
    <w:locked/>
    <w:rsid w:val="007256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FE3"/>
    <w:pPr>
      <w:spacing w:after="120"/>
      <w:jc w:val="both"/>
    </w:pPr>
    <w:rPr>
      <w:rFonts w:cstheme="minorBidi"/>
      <w:b/>
      <w:bCs/>
      <w:lang w:val="en-US"/>
    </w:rPr>
  </w:style>
  <w:style w:type="character" w:customStyle="1" w:styleId="CommentSubjectChar">
    <w:name w:val="Comment Subject Char"/>
    <w:basedOn w:val="CommentTextChar"/>
    <w:link w:val="CommentSubject"/>
    <w:uiPriority w:val="99"/>
    <w:semiHidden/>
    <w:rsid w:val="004A6FE3"/>
    <w:rPr>
      <w:rFonts w:ascii="Arial" w:hAnsi="Arial" w:cs="Arial"/>
      <w:b/>
      <w:bCs/>
      <w:sz w:val="20"/>
      <w:szCs w:val="20"/>
      <w:lang w:val="en-AU"/>
    </w:rPr>
  </w:style>
  <w:style w:type="character" w:styleId="Hyperlink">
    <w:name w:val="Hyperlink"/>
    <w:basedOn w:val="DefaultParagraphFont"/>
    <w:uiPriority w:val="99"/>
    <w:unhideWhenUsed/>
    <w:rsid w:val="00396AF8"/>
    <w:rPr>
      <w:color w:val="0000FF"/>
      <w:u w:val="single"/>
    </w:rPr>
  </w:style>
  <w:style w:type="paragraph" w:customStyle="1" w:styleId="TableParagraph">
    <w:name w:val="Table Paragraph"/>
    <w:basedOn w:val="Normal"/>
    <w:uiPriority w:val="1"/>
    <w:qFormat/>
    <w:rsid w:val="00F35727"/>
    <w:pPr>
      <w:autoSpaceDE w:val="0"/>
      <w:autoSpaceDN w:val="0"/>
      <w:adjustRightInd w:val="0"/>
      <w:spacing w:after="0"/>
      <w:jc w:val="left"/>
    </w:pPr>
    <w:rPr>
      <w:rFonts w:ascii="Times New Roman" w:hAnsi="Times New Roman" w:cs="Times New Roman"/>
      <w:sz w:val="24"/>
      <w:szCs w:val="24"/>
      <w:lang w:val="en-AU"/>
    </w:rPr>
  </w:style>
  <w:style w:type="paragraph" w:styleId="Revision">
    <w:name w:val="Revision"/>
    <w:hidden/>
    <w:uiPriority w:val="99"/>
    <w:semiHidden/>
    <w:rsid w:val="002B2CDA"/>
    <w:pPr>
      <w:spacing w:after="0" w:line="240" w:lineRule="auto"/>
    </w:pPr>
    <w:rPr>
      <w:rFonts w:ascii="Arial" w:hAnsi="Arial"/>
    </w:rPr>
  </w:style>
  <w:style w:type="character" w:styleId="UnresolvedMention">
    <w:name w:val="Unresolved Mention"/>
    <w:basedOn w:val="DefaultParagraphFont"/>
    <w:uiPriority w:val="99"/>
    <w:semiHidden/>
    <w:unhideWhenUsed/>
    <w:rsid w:val="00122EBC"/>
    <w:rPr>
      <w:color w:val="808080"/>
      <w:shd w:val="clear" w:color="auto" w:fill="E6E6E6"/>
    </w:rPr>
  </w:style>
  <w:style w:type="paragraph" w:customStyle="1" w:styleId="BodyText12">
    <w:name w:val="Body Text 12"/>
    <w:link w:val="BodyText12Char"/>
    <w:qFormat/>
    <w:rsid w:val="00066D58"/>
    <w:pPr>
      <w:spacing w:after="200" w:line="264" w:lineRule="auto"/>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unhideWhenUsed/>
    <w:rsid w:val="00066D58"/>
    <w:pPr>
      <w:tabs>
        <w:tab w:val="left" w:pos="360"/>
      </w:tabs>
      <w:spacing w:after="0"/>
      <w:ind w:left="360" w:hanging="360"/>
    </w:pPr>
    <w:rPr>
      <w:rFonts w:ascii="Times New Roman" w:eastAsia="Times New Roman" w:hAnsi="Times New Roman" w:cs="Times New Roman"/>
      <w:sz w:val="16"/>
      <w:szCs w:val="20"/>
    </w:rPr>
  </w:style>
  <w:style w:type="character" w:customStyle="1" w:styleId="EndnoteTextChar">
    <w:name w:val="Endnote Text Char"/>
    <w:basedOn w:val="DefaultParagraphFont"/>
    <w:link w:val="EndnoteText"/>
    <w:uiPriority w:val="99"/>
    <w:rsid w:val="00066D58"/>
    <w:rPr>
      <w:rFonts w:ascii="Times New Roman" w:eastAsia="Times New Roman" w:hAnsi="Times New Roman" w:cs="Times New Roman"/>
      <w:sz w:val="16"/>
      <w:szCs w:val="20"/>
    </w:rPr>
  </w:style>
  <w:style w:type="character" w:styleId="EndnoteReference">
    <w:name w:val="endnote reference"/>
    <w:uiPriority w:val="99"/>
    <w:unhideWhenUsed/>
    <w:rsid w:val="00066D58"/>
    <w:rPr>
      <w:vertAlign w:val="superscript"/>
    </w:rPr>
  </w:style>
  <w:style w:type="character" w:customStyle="1" w:styleId="BodyText12Char">
    <w:name w:val="Body Text 12 Char"/>
    <w:link w:val="BodyText12"/>
    <w:rsid w:val="00066D58"/>
    <w:rPr>
      <w:rFonts w:ascii="Times New Roman" w:eastAsia="Times New Roman" w:hAnsi="Times New Roman" w:cs="Times New Roman"/>
      <w:sz w:val="24"/>
      <w:szCs w:val="20"/>
    </w:rPr>
  </w:style>
  <w:style w:type="paragraph" w:customStyle="1" w:styleId="BodyTextBold">
    <w:name w:val="Body Text (Bold)"/>
    <w:basedOn w:val="BodyText"/>
    <w:qFormat/>
    <w:rsid w:val="008B5F6E"/>
    <w:pPr>
      <w:keepNext/>
      <w:spacing w:after="200"/>
      <w:jc w:val="both"/>
    </w:pPr>
    <w:rPr>
      <w:rFonts w:ascii="Times New Roman Bold" w:hAnsi="Times New Roman Bold"/>
      <w:b/>
      <w:sz w:val="24"/>
      <w:lang w:val="en-US"/>
    </w:rPr>
  </w:style>
  <w:style w:type="paragraph" w:customStyle="1" w:styleId="Bullet12-1">
    <w:name w:val="Bullet 12-1"/>
    <w:link w:val="Bullet12-1Char"/>
    <w:qFormat/>
    <w:rsid w:val="00FA6FBA"/>
    <w:pPr>
      <w:numPr>
        <w:numId w:val="8"/>
      </w:numPr>
      <w:spacing w:after="120" w:line="240" w:lineRule="auto"/>
      <w:jc w:val="both"/>
    </w:pPr>
    <w:rPr>
      <w:rFonts w:ascii="Times New Roman" w:eastAsia="Times New Roman" w:hAnsi="Times New Roman" w:cs="Times New Roman"/>
      <w:sz w:val="24"/>
      <w:szCs w:val="20"/>
    </w:rPr>
  </w:style>
  <w:style w:type="character" w:customStyle="1" w:styleId="Bullet12-1Char">
    <w:name w:val="Bullet 12-1 Char"/>
    <w:link w:val="Bullet12-1"/>
    <w:rsid w:val="00FA6FBA"/>
    <w:rPr>
      <w:rFonts w:ascii="Times New Roman" w:eastAsia="Times New Roman" w:hAnsi="Times New Roman" w:cs="Times New Roman"/>
      <w:sz w:val="24"/>
      <w:szCs w:val="20"/>
    </w:rPr>
  </w:style>
  <w:style w:type="paragraph" w:customStyle="1" w:styleId="BulletList-SS-3single-spaced">
    <w:name w:val="Bullet List-SS-3 (single-spaced)"/>
    <w:basedOn w:val="Normal"/>
    <w:rsid w:val="00CB229B"/>
    <w:pPr>
      <w:numPr>
        <w:numId w:val="9"/>
      </w:numPr>
      <w:spacing w:after="0"/>
    </w:pPr>
    <w:rPr>
      <w:rFonts w:ascii="Times New Roman" w:eastAsia="Times New Roman" w:hAnsi="Times New Roman" w:cs="Times New Roman"/>
      <w:sz w:val="24"/>
      <w:szCs w:val="20"/>
    </w:rPr>
  </w:style>
  <w:style w:type="paragraph" w:styleId="TOC1">
    <w:name w:val="toc 1"/>
    <w:uiPriority w:val="39"/>
    <w:rsid w:val="00CB229B"/>
    <w:pPr>
      <w:tabs>
        <w:tab w:val="left" w:pos="504"/>
        <w:tab w:val="right" w:leader="dot" w:pos="9360"/>
      </w:tabs>
      <w:spacing w:before="200" w:after="0" w:line="240" w:lineRule="auto"/>
      <w:ind w:left="504" w:right="720" w:hanging="504"/>
    </w:pPr>
    <w:rPr>
      <w:rFonts w:ascii="Arial" w:eastAsia="Times New Roman" w:hAnsi="Arial" w:cs="Times New Roman"/>
      <w:b/>
      <w:caps/>
      <w:sz w:val="20"/>
      <w:szCs w:val="20"/>
    </w:rPr>
  </w:style>
  <w:style w:type="paragraph" w:styleId="TOC2">
    <w:name w:val="toc 2"/>
    <w:uiPriority w:val="39"/>
    <w:rsid w:val="00CB229B"/>
    <w:pPr>
      <w:tabs>
        <w:tab w:val="left" w:pos="720"/>
        <w:tab w:val="right" w:leader="dot" w:pos="9360"/>
      </w:tabs>
      <w:spacing w:after="0" w:line="240" w:lineRule="auto"/>
      <w:ind w:left="720" w:right="720" w:hanging="720"/>
    </w:pPr>
    <w:rPr>
      <w:rFonts w:ascii="Arial" w:eastAsia="Times New Roman" w:hAnsi="Arial" w:cs="Times New Roman"/>
      <w:sz w:val="20"/>
      <w:szCs w:val="20"/>
    </w:rPr>
  </w:style>
  <w:style w:type="paragraph" w:styleId="TOC3">
    <w:name w:val="toc 3"/>
    <w:uiPriority w:val="39"/>
    <w:rsid w:val="00CB229B"/>
    <w:pPr>
      <w:tabs>
        <w:tab w:val="left" w:pos="907"/>
        <w:tab w:val="right" w:leader="dot" w:pos="9360"/>
      </w:tabs>
      <w:spacing w:after="0" w:line="240" w:lineRule="auto"/>
      <w:ind w:left="907" w:right="720" w:hanging="907"/>
    </w:pPr>
    <w:rPr>
      <w:rFonts w:ascii="Arial" w:eastAsia="Times New Roman" w:hAnsi="Arial" w:cs="Times New Roman"/>
      <w:sz w:val="20"/>
      <w:szCs w:val="20"/>
    </w:rPr>
  </w:style>
  <w:style w:type="paragraph" w:styleId="TOC4">
    <w:name w:val="toc 4"/>
    <w:uiPriority w:val="39"/>
    <w:rsid w:val="00CB229B"/>
    <w:pPr>
      <w:tabs>
        <w:tab w:val="left" w:pos="1080"/>
        <w:tab w:val="right" w:leader="dot" w:pos="9360"/>
      </w:tabs>
      <w:spacing w:after="0" w:line="240" w:lineRule="auto"/>
      <w:ind w:left="1080" w:right="720" w:hanging="1080"/>
    </w:pPr>
    <w:rPr>
      <w:rFonts w:ascii="Arial" w:eastAsia="Times New Roman" w:hAnsi="Arial" w:cs="Times New Roman"/>
      <w:sz w:val="20"/>
      <w:szCs w:val="20"/>
    </w:rPr>
  </w:style>
  <w:style w:type="paragraph" w:styleId="TOC5">
    <w:name w:val="toc 5"/>
    <w:uiPriority w:val="39"/>
    <w:rsid w:val="00CB229B"/>
    <w:pPr>
      <w:tabs>
        <w:tab w:val="left" w:pos="1267"/>
        <w:tab w:val="right" w:leader="dot" w:pos="9360"/>
      </w:tabs>
      <w:spacing w:after="0" w:line="240" w:lineRule="auto"/>
      <w:ind w:left="1267" w:right="720" w:hanging="1267"/>
    </w:pPr>
    <w:rPr>
      <w:rFonts w:ascii="Arial" w:eastAsia="Times New Roman" w:hAnsi="Arial" w:cs="Times New Roman"/>
      <w:sz w:val="20"/>
      <w:szCs w:val="24"/>
    </w:rPr>
  </w:style>
  <w:style w:type="paragraph" w:styleId="TOC6">
    <w:name w:val="toc 6"/>
    <w:uiPriority w:val="39"/>
    <w:semiHidden/>
    <w:rsid w:val="00CB229B"/>
    <w:pPr>
      <w:tabs>
        <w:tab w:val="left" w:pos="1440"/>
        <w:tab w:val="right" w:leader="dot" w:pos="9360"/>
      </w:tabs>
      <w:spacing w:after="0" w:line="240" w:lineRule="auto"/>
      <w:ind w:left="1440" w:right="720" w:hanging="1440"/>
    </w:pPr>
    <w:rPr>
      <w:rFonts w:ascii="Arial" w:eastAsia="Times New Roman" w:hAnsi="Arial" w:cs="Times New Roman"/>
      <w:sz w:val="20"/>
      <w:szCs w:val="20"/>
    </w:rPr>
  </w:style>
  <w:style w:type="paragraph" w:styleId="TOC7">
    <w:name w:val="toc 7"/>
    <w:uiPriority w:val="39"/>
    <w:semiHidden/>
    <w:rsid w:val="00CB229B"/>
    <w:pPr>
      <w:tabs>
        <w:tab w:val="left" w:pos="1613"/>
        <w:tab w:val="right" w:leader="dot" w:pos="9360"/>
      </w:tabs>
      <w:spacing w:after="0" w:line="240" w:lineRule="auto"/>
      <w:ind w:left="1613" w:right="720" w:hanging="1613"/>
    </w:pPr>
    <w:rPr>
      <w:rFonts w:ascii="Arial" w:eastAsia="Times New Roman" w:hAnsi="Arial" w:cs="Times New Roman"/>
      <w:sz w:val="20"/>
      <w:szCs w:val="20"/>
    </w:rPr>
  </w:style>
  <w:style w:type="paragraph" w:styleId="TOC8">
    <w:name w:val="toc 8"/>
    <w:next w:val="Basic12"/>
    <w:uiPriority w:val="39"/>
    <w:semiHidden/>
    <w:rsid w:val="00CB229B"/>
    <w:pPr>
      <w:tabs>
        <w:tab w:val="left" w:pos="1800"/>
        <w:tab w:val="right" w:leader="dot" w:pos="9360"/>
      </w:tabs>
      <w:spacing w:after="0" w:line="240" w:lineRule="auto"/>
      <w:ind w:left="1800" w:right="720" w:hanging="1800"/>
    </w:pPr>
    <w:rPr>
      <w:rFonts w:ascii="Arial" w:eastAsia="Times New Roman" w:hAnsi="Arial" w:cs="Times New Roman"/>
      <w:sz w:val="20"/>
      <w:szCs w:val="20"/>
    </w:rPr>
  </w:style>
  <w:style w:type="paragraph" w:customStyle="1" w:styleId="Basic12">
    <w:name w:val="Basic 12"/>
    <w:qFormat/>
    <w:rsid w:val="00CB229B"/>
    <w:pPr>
      <w:spacing w:after="200" w:line="240" w:lineRule="auto"/>
      <w:jc w:val="both"/>
    </w:pPr>
    <w:rPr>
      <w:rFonts w:ascii="Times New Roman" w:eastAsia="Times New Roman" w:hAnsi="Times New Roman" w:cs="Times New Roman"/>
      <w:sz w:val="24"/>
      <w:szCs w:val="20"/>
    </w:rPr>
  </w:style>
  <w:style w:type="paragraph" w:styleId="TOC9">
    <w:name w:val="toc 9"/>
    <w:basedOn w:val="Normal"/>
    <w:next w:val="Normal"/>
    <w:autoRedefine/>
    <w:semiHidden/>
    <w:rsid w:val="00CB229B"/>
    <w:pPr>
      <w:tabs>
        <w:tab w:val="left" w:pos="2347"/>
        <w:tab w:val="right" w:leader="dot" w:pos="9360"/>
      </w:tabs>
      <w:spacing w:after="0"/>
      <w:ind w:left="1627" w:right="720" w:hanging="1627"/>
    </w:pPr>
    <w:rPr>
      <w:rFonts w:eastAsia="Times New Roman" w:cs="Times New Roman"/>
      <w:sz w:val="20"/>
      <w:szCs w:val="20"/>
    </w:rPr>
  </w:style>
  <w:style w:type="paragraph" w:styleId="FootnoteText">
    <w:name w:val="footnote text"/>
    <w:link w:val="FootnoteTextChar"/>
    <w:uiPriority w:val="1"/>
    <w:semiHidden/>
    <w:rsid w:val="00CB229B"/>
    <w:pPr>
      <w:tabs>
        <w:tab w:val="left" w:pos="360"/>
      </w:tabs>
      <w:spacing w:after="0" w:line="240" w:lineRule="auto"/>
      <w:ind w:left="360" w:hanging="360"/>
      <w:jc w:val="both"/>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uiPriority w:val="1"/>
    <w:semiHidden/>
    <w:rsid w:val="00CB229B"/>
    <w:rPr>
      <w:rFonts w:ascii="Times New Roman" w:eastAsia="Times New Roman" w:hAnsi="Times New Roman" w:cs="Times New Roman"/>
      <w:sz w:val="16"/>
      <w:szCs w:val="20"/>
    </w:rPr>
  </w:style>
  <w:style w:type="paragraph" w:customStyle="1" w:styleId="Basic11">
    <w:name w:val="Basic 11"/>
    <w:rsid w:val="00CB229B"/>
    <w:pPr>
      <w:spacing w:after="0" w:line="240" w:lineRule="auto"/>
    </w:pPr>
    <w:rPr>
      <w:rFonts w:ascii="Times New Roman" w:eastAsia="Times New Roman" w:hAnsi="Times New Roman" w:cs="Times New Roman"/>
      <w:szCs w:val="20"/>
    </w:rPr>
  </w:style>
  <w:style w:type="paragraph" w:customStyle="1" w:styleId="BodyText11">
    <w:name w:val="Body Text 11"/>
    <w:rsid w:val="00CB229B"/>
    <w:pPr>
      <w:spacing w:after="180" w:line="240" w:lineRule="auto"/>
      <w:jc w:val="both"/>
    </w:pPr>
    <w:rPr>
      <w:rFonts w:ascii="Times New Roman" w:eastAsia="Times New Roman" w:hAnsi="Times New Roman" w:cs="Times New Roman"/>
      <w:szCs w:val="20"/>
    </w:rPr>
  </w:style>
  <w:style w:type="character" w:styleId="FootnoteReference">
    <w:name w:val="footnote reference"/>
    <w:semiHidden/>
    <w:rsid w:val="00CB229B"/>
    <w:rPr>
      <w:dstrike w:val="0"/>
      <w:noProof w:val="0"/>
      <w:color w:val="auto"/>
      <w:vertAlign w:val="superscript"/>
      <w:lang w:val="en-US"/>
    </w:rPr>
  </w:style>
  <w:style w:type="paragraph" w:styleId="DocumentMap">
    <w:name w:val="Document Map"/>
    <w:basedOn w:val="Normal"/>
    <w:link w:val="DocumentMapChar"/>
    <w:semiHidden/>
    <w:rsid w:val="00CB229B"/>
    <w:pPr>
      <w:shd w:val="clear" w:color="auto" w:fill="000080"/>
      <w:spacing w:after="0"/>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CB229B"/>
    <w:rPr>
      <w:rFonts w:ascii="Tahoma" w:eastAsia="Times New Roman" w:hAnsi="Tahoma" w:cs="Tahoma"/>
      <w:sz w:val="24"/>
      <w:szCs w:val="20"/>
      <w:shd w:val="clear" w:color="auto" w:fill="000080"/>
    </w:rPr>
  </w:style>
  <w:style w:type="character" w:styleId="FollowedHyperlink">
    <w:name w:val="FollowedHyperlink"/>
    <w:semiHidden/>
    <w:rsid w:val="00CB229B"/>
    <w:rPr>
      <w:color w:val="800080"/>
      <w:u w:val="none"/>
    </w:rPr>
  </w:style>
  <w:style w:type="paragraph" w:customStyle="1" w:styleId="MarkforTOC">
    <w:name w:val="Mark for TOC"/>
    <w:next w:val="Basic11"/>
    <w:rsid w:val="00CB229B"/>
    <w:pPr>
      <w:keepNext/>
      <w:spacing w:before="60" w:after="60" w:line="240" w:lineRule="auto"/>
      <w:ind w:left="1440" w:hanging="1440"/>
    </w:pPr>
    <w:rPr>
      <w:rFonts w:ascii="Arial" w:eastAsia="Times New Roman" w:hAnsi="Arial" w:cs="Times New Roman"/>
      <w:b/>
      <w:sz w:val="20"/>
      <w:szCs w:val="20"/>
    </w:rPr>
  </w:style>
  <w:style w:type="paragraph" w:customStyle="1" w:styleId="GuideBullet">
    <w:name w:val="GuideBullet"/>
    <w:semiHidden/>
    <w:rsid w:val="00CB229B"/>
    <w:pPr>
      <w:numPr>
        <w:numId w:val="10"/>
      </w:numPr>
      <w:tabs>
        <w:tab w:val="left" w:pos="288"/>
      </w:tabs>
      <w:spacing w:after="40" w:line="240" w:lineRule="auto"/>
    </w:pPr>
    <w:rPr>
      <w:rFonts w:ascii="Times New Roman" w:eastAsia="Times New Roman" w:hAnsi="Times New Roman" w:cs="Times New Roman"/>
      <w:szCs w:val="20"/>
    </w:rPr>
  </w:style>
  <w:style w:type="paragraph" w:customStyle="1" w:styleId="GuideDash">
    <w:name w:val="GuideDash"/>
    <w:semiHidden/>
    <w:rsid w:val="00CB229B"/>
    <w:pPr>
      <w:numPr>
        <w:numId w:val="11"/>
      </w:numPr>
      <w:tabs>
        <w:tab w:val="clear" w:pos="1786"/>
        <w:tab w:val="left" w:pos="576"/>
      </w:tabs>
      <w:spacing w:after="40" w:line="240" w:lineRule="auto"/>
      <w:ind w:left="576"/>
    </w:pPr>
    <w:rPr>
      <w:rFonts w:ascii="Times New Roman" w:eastAsia="Times New Roman" w:hAnsi="Times New Roman" w:cs="Times New Roman"/>
      <w:szCs w:val="20"/>
    </w:rPr>
  </w:style>
  <w:style w:type="paragraph" w:customStyle="1" w:styleId="GuideText">
    <w:name w:val="GuideText"/>
    <w:semiHidden/>
    <w:rsid w:val="00CB229B"/>
    <w:pPr>
      <w:keepLines/>
      <w:spacing w:after="100" w:line="240" w:lineRule="auto"/>
    </w:pPr>
    <w:rPr>
      <w:rFonts w:ascii="Times New Roman" w:eastAsia="Times New Roman" w:hAnsi="Times New Roman" w:cs="Times New Roman"/>
      <w:szCs w:val="20"/>
    </w:rPr>
  </w:style>
  <w:style w:type="paragraph" w:customStyle="1" w:styleId="BodyText11Indent">
    <w:name w:val="Body Text 11 Indent"/>
    <w:rsid w:val="00CB229B"/>
    <w:pPr>
      <w:spacing w:after="180" w:line="240" w:lineRule="auto"/>
      <w:ind w:left="432"/>
      <w:jc w:val="both"/>
    </w:pPr>
    <w:rPr>
      <w:rFonts w:ascii="Times New Roman" w:eastAsia="Times New Roman" w:hAnsi="Times New Roman" w:cs="Times New Roman"/>
      <w:szCs w:val="20"/>
    </w:rPr>
  </w:style>
  <w:style w:type="paragraph" w:customStyle="1" w:styleId="BodyText12Indent">
    <w:name w:val="Body Text 12 Indent"/>
    <w:rsid w:val="00CB229B"/>
    <w:pPr>
      <w:spacing w:after="240" w:line="240" w:lineRule="auto"/>
      <w:ind w:left="432"/>
      <w:jc w:val="both"/>
    </w:pPr>
    <w:rPr>
      <w:rFonts w:ascii="Times New Roman" w:eastAsia="Times New Roman" w:hAnsi="Times New Roman" w:cs="Times New Roman"/>
      <w:sz w:val="24"/>
      <w:szCs w:val="20"/>
    </w:rPr>
  </w:style>
  <w:style w:type="paragraph" w:customStyle="1" w:styleId="Bullet11-1">
    <w:name w:val="Bullet 11-1"/>
    <w:link w:val="Bullet11-1Char"/>
    <w:rsid w:val="00CB229B"/>
    <w:pPr>
      <w:numPr>
        <w:numId w:val="12"/>
      </w:numPr>
      <w:spacing w:after="120" w:line="240" w:lineRule="auto"/>
      <w:jc w:val="both"/>
    </w:pPr>
    <w:rPr>
      <w:rFonts w:ascii="Times New Roman" w:eastAsia="Times New Roman" w:hAnsi="Times New Roman" w:cs="Times New Roman"/>
      <w:szCs w:val="20"/>
    </w:rPr>
  </w:style>
  <w:style w:type="paragraph" w:customStyle="1" w:styleId="Bullet11-2">
    <w:name w:val="Bullet 11-2"/>
    <w:rsid w:val="00CB229B"/>
    <w:pPr>
      <w:numPr>
        <w:numId w:val="13"/>
      </w:numPr>
      <w:spacing w:after="120" w:line="240" w:lineRule="auto"/>
      <w:jc w:val="both"/>
    </w:pPr>
    <w:rPr>
      <w:rFonts w:ascii="Times New Roman" w:eastAsia="Times New Roman" w:hAnsi="Times New Roman" w:cs="Times New Roman"/>
      <w:szCs w:val="20"/>
    </w:rPr>
  </w:style>
  <w:style w:type="paragraph" w:customStyle="1" w:styleId="Bullet11-3">
    <w:name w:val="Bullet 11-3"/>
    <w:qFormat/>
    <w:rsid w:val="00CB229B"/>
    <w:pPr>
      <w:numPr>
        <w:numId w:val="14"/>
      </w:numPr>
      <w:spacing w:after="120" w:line="240" w:lineRule="auto"/>
      <w:jc w:val="both"/>
    </w:pPr>
    <w:rPr>
      <w:rFonts w:ascii="Times New Roman" w:eastAsia="Times New Roman" w:hAnsi="Times New Roman" w:cs="Times New Roman"/>
      <w:szCs w:val="20"/>
    </w:rPr>
  </w:style>
  <w:style w:type="paragraph" w:customStyle="1" w:styleId="Bullet11-4">
    <w:name w:val="Bullet 11-4"/>
    <w:rsid w:val="00CB229B"/>
    <w:pPr>
      <w:numPr>
        <w:numId w:val="15"/>
      </w:numPr>
      <w:spacing w:after="120" w:line="240" w:lineRule="auto"/>
      <w:jc w:val="both"/>
    </w:pPr>
    <w:rPr>
      <w:rFonts w:ascii="Times New Roman" w:eastAsia="Times New Roman" w:hAnsi="Times New Roman" w:cs="Times New Roman"/>
      <w:szCs w:val="20"/>
    </w:rPr>
  </w:style>
  <w:style w:type="paragraph" w:customStyle="1" w:styleId="Bullet12-2">
    <w:name w:val="Bullet 12-2"/>
    <w:rsid w:val="00CB229B"/>
    <w:pPr>
      <w:numPr>
        <w:numId w:val="16"/>
      </w:numPr>
      <w:spacing w:after="120" w:line="240" w:lineRule="auto"/>
      <w:jc w:val="both"/>
    </w:pPr>
    <w:rPr>
      <w:rFonts w:ascii="Times New Roman" w:eastAsia="Times New Roman" w:hAnsi="Times New Roman" w:cs="Times New Roman"/>
      <w:sz w:val="24"/>
      <w:szCs w:val="20"/>
    </w:rPr>
  </w:style>
  <w:style w:type="paragraph" w:customStyle="1" w:styleId="Bullet12-3">
    <w:name w:val="Bullet 12-3"/>
    <w:rsid w:val="00CB229B"/>
    <w:pPr>
      <w:numPr>
        <w:numId w:val="17"/>
      </w:numPr>
      <w:spacing w:after="120" w:line="240" w:lineRule="auto"/>
      <w:jc w:val="both"/>
    </w:pPr>
    <w:rPr>
      <w:rFonts w:ascii="Times New Roman" w:eastAsia="Times New Roman" w:hAnsi="Times New Roman" w:cs="Times New Roman"/>
      <w:sz w:val="24"/>
      <w:szCs w:val="20"/>
    </w:rPr>
  </w:style>
  <w:style w:type="paragraph" w:customStyle="1" w:styleId="Bullet12-4">
    <w:name w:val="Bullet 12-4"/>
    <w:rsid w:val="00CB229B"/>
    <w:pPr>
      <w:numPr>
        <w:numId w:val="18"/>
      </w:numPr>
      <w:spacing w:after="120" w:line="240" w:lineRule="auto"/>
      <w:jc w:val="both"/>
    </w:pPr>
    <w:rPr>
      <w:rFonts w:ascii="Times New Roman" w:eastAsia="Times New Roman" w:hAnsi="Times New Roman" w:cs="Times New Roman"/>
      <w:sz w:val="24"/>
      <w:szCs w:val="20"/>
    </w:rPr>
  </w:style>
  <w:style w:type="paragraph" w:styleId="Caption">
    <w:name w:val="caption"/>
    <w:next w:val="TableText"/>
    <w:uiPriority w:val="99"/>
    <w:qFormat/>
    <w:rsid w:val="00CB229B"/>
    <w:pPr>
      <w:keepNext/>
      <w:tabs>
        <w:tab w:val="left" w:pos="1152"/>
        <w:tab w:val="left" w:pos="1440"/>
      </w:tabs>
      <w:spacing w:before="60" w:after="60" w:line="240" w:lineRule="auto"/>
      <w:ind w:left="1152" w:hanging="1152"/>
    </w:pPr>
    <w:rPr>
      <w:rFonts w:ascii="Times New Roman" w:eastAsia="Times New Roman" w:hAnsi="Times New Roman" w:cs="Times New Roman"/>
      <w:b/>
      <w:bCs/>
      <w:sz w:val="20"/>
      <w:szCs w:val="18"/>
    </w:rPr>
  </w:style>
  <w:style w:type="paragraph" w:customStyle="1" w:styleId="Numbered11-1">
    <w:name w:val="Numbered 11-1"/>
    <w:qFormat/>
    <w:rsid w:val="00CB229B"/>
    <w:pPr>
      <w:numPr>
        <w:numId w:val="19"/>
      </w:numPr>
      <w:spacing w:after="120" w:line="240" w:lineRule="auto"/>
      <w:jc w:val="both"/>
    </w:pPr>
    <w:rPr>
      <w:rFonts w:ascii="Times New Roman" w:eastAsia="Times New Roman" w:hAnsi="Times New Roman" w:cs="Times New Roman"/>
      <w:szCs w:val="20"/>
    </w:rPr>
  </w:style>
  <w:style w:type="paragraph" w:customStyle="1" w:styleId="Numbered11-2">
    <w:name w:val="Numbered 11-2"/>
    <w:qFormat/>
    <w:rsid w:val="00CB229B"/>
    <w:pPr>
      <w:numPr>
        <w:numId w:val="20"/>
      </w:numPr>
      <w:spacing w:after="120" w:line="240" w:lineRule="auto"/>
      <w:jc w:val="both"/>
    </w:pPr>
    <w:rPr>
      <w:rFonts w:ascii="Times New Roman" w:eastAsia="Times New Roman" w:hAnsi="Times New Roman" w:cs="Times New Roman"/>
      <w:szCs w:val="20"/>
    </w:rPr>
  </w:style>
  <w:style w:type="paragraph" w:customStyle="1" w:styleId="Numbered11-3">
    <w:name w:val="Numbered 11-3"/>
    <w:qFormat/>
    <w:rsid w:val="00CB229B"/>
    <w:pPr>
      <w:numPr>
        <w:numId w:val="21"/>
      </w:numPr>
      <w:spacing w:after="120" w:line="240" w:lineRule="auto"/>
      <w:jc w:val="both"/>
    </w:pPr>
    <w:rPr>
      <w:rFonts w:ascii="Times New Roman" w:eastAsia="Times New Roman" w:hAnsi="Times New Roman" w:cs="Times New Roman"/>
      <w:szCs w:val="20"/>
    </w:rPr>
  </w:style>
  <w:style w:type="paragraph" w:customStyle="1" w:styleId="Numbered11-4">
    <w:name w:val="Numbered 11-4"/>
    <w:qFormat/>
    <w:rsid w:val="00CB229B"/>
    <w:pPr>
      <w:numPr>
        <w:numId w:val="22"/>
      </w:numPr>
      <w:spacing w:after="120" w:line="240" w:lineRule="auto"/>
      <w:jc w:val="both"/>
    </w:pPr>
    <w:rPr>
      <w:rFonts w:ascii="Times New Roman" w:eastAsia="Times New Roman" w:hAnsi="Times New Roman" w:cs="Times New Roman"/>
      <w:szCs w:val="20"/>
    </w:rPr>
  </w:style>
  <w:style w:type="paragraph" w:customStyle="1" w:styleId="Numbered12-1">
    <w:name w:val="Numbered 12-1"/>
    <w:qFormat/>
    <w:rsid w:val="00CB229B"/>
    <w:pPr>
      <w:numPr>
        <w:numId w:val="23"/>
      </w:numPr>
      <w:spacing w:after="120" w:line="240" w:lineRule="auto"/>
      <w:jc w:val="both"/>
    </w:pPr>
    <w:rPr>
      <w:rFonts w:ascii="Times New Roman" w:eastAsia="Times New Roman" w:hAnsi="Times New Roman" w:cs="Times New Roman"/>
      <w:sz w:val="24"/>
      <w:szCs w:val="20"/>
    </w:rPr>
  </w:style>
  <w:style w:type="paragraph" w:customStyle="1" w:styleId="Numbered12-2">
    <w:name w:val="Numbered 12-2"/>
    <w:qFormat/>
    <w:rsid w:val="00CB229B"/>
    <w:pPr>
      <w:numPr>
        <w:numId w:val="24"/>
      </w:numPr>
      <w:spacing w:after="120" w:line="240" w:lineRule="auto"/>
      <w:jc w:val="both"/>
    </w:pPr>
    <w:rPr>
      <w:rFonts w:ascii="Times New Roman" w:eastAsia="Times New Roman" w:hAnsi="Times New Roman" w:cs="Times New Roman"/>
      <w:sz w:val="24"/>
      <w:szCs w:val="20"/>
    </w:rPr>
  </w:style>
  <w:style w:type="paragraph" w:customStyle="1" w:styleId="Numbered12-3">
    <w:name w:val="Numbered 12-3"/>
    <w:qFormat/>
    <w:rsid w:val="00CB229B"/>
    <w:pPr>
      <w:numPr>
        <w:numId w:val="25"/>
      </w:numPr>
      <w:spacing w:after="120" w:line="240" w:lineRule="auto"/>
      <w:jc w:val="both"/>
    </w:pPr>
    <w:rPr>
      <w:rFonts w:ascii="Times New Roman" w:eastAsia="Times New Roman" w:hAnsi="Times New Roman" w:cs="Times New Roman"/>
      <w:sz w:val="24"/>
      <w:szCs w:val="20"/>
    </w:rPr>
  </w:style>
  <w:style w:type="paragraph" w:customStyle="1" w:styleId="Numbered12-4">
    <w:name w:val="Numbered 12-4"/>
    <w:qFormat/>
    <w:rsid w:val="00CB229B"/>
    <w:pPr>
      <w:numPr>
        <w:numId w:val="26"/>
      </w:numPr>
      <w:spacing w:after="120" w:line="240" w:lineRule="auto"/>
      <w:jc w:val="both"/>
    </w:pPr>
    <w:rPr>
      <w:rFonts w:ascii="Times New Roman" w:eastAsia="Times New Roman" w:hAnsi="Times New Roman" w:cs="Times New Roman"/>
      <w:sz w:val="24"/>
      <w:szCs w:val="20"/>
    </w:rPr>
  </w:style>
  <w:style w:type="paragraph" w:customStyle="1" w:styleId="Reference">
    <w:name w:val="Reference"/>
    <w:qFormat/>
    <w:rsid w:val="00CB229B"/>
    <w:pPr>
      <w:keepLines/>
      <w:numPr>
        <w:numId w:val="27"/>
      </w:numPr>
      <w:spacing w:after="120" w:line="240" w:lineRule="auto"/>
    </w:pPr>
    <w:rPr>
      <w:rFonts w:ascii="Times New Roman" w:eastAsia="Times New Roman" w:hAnsi="Times New Roman" w:cs="Times New Roman"/>
      <w:sz w:val="20"/>
      <w:szCs w:val="20"/>
    </w:rPr>
  </w:style>
  <w:style w:type="paragraph" w:customStyle="1" w:styleId="SubheadingBold11">
    <w:name w:val="Subheading Bold 11"/>
    <w:next w:val="BodyText11"/>
    <w:qFormat/>
    <w:rsid w:val="00CB229B"/>
    <w:pPr>
      <w:keepNext/>
      <w:keepLines/>
      <w:spacing w:before="240" w:after="120" w:line="240" w:lineRule="auto"/>
    </w:pPr>
    <w:rPr>
      <w:rFonts w:ascii="Times New Roman" w:eastAsia="Times New Roman" w:hAnsi="Times New Roman" w:cs="Times New Roman"/>
      <w:b/>
      <w:szCs w:val="20"/>
    </w:rPr>
  </w:style>
  <w:style w:type="paragraph" w:customStyle="1" w:styleId="SubheadingBold12">
    <w:name w:val="Subheading Bold 12"/>
    <w:next w:val="BodyTextBold"/>
    <w:qFormat/>
    <w:rsid w:val="00CB229B"/>
    <w:pPr>
      <w:keepNext/>
      <w:keepLines/>
      <w:spacing w:before="240" w:after="120" w:line="240" w:lineRule="auto"/>
    </w:pPr>
    <w:rPr>
      <w:rFonts w:ascii="Times New Roman" w:eastAsia="Times New Roman" w:hAnsi="Times New Roman" w:cs="Times New Roman"/>
      <w:b/>
      <w:sz w:val="24"/>
      <w:szCs w:val="20"/>
    </w:rPr>
  </w:style>
  <w:style w:type="paragraph" w:customStyle="1" w:styleId="SubheadingBoldItalics11">
    <w:name w:val="Subheading Bold Italics 11"/>
    <w:next w:val="BodyText11"/>
    <w:qFormat/>
    <w:rsid w:val="00CB229B"/>
    <w:pPr>
      <w:keepNext/>
      <w:keepLines/>
      <w:spacing w:before="240" w:after="120" w:line="240" w:lineRule="auto"/>
    </w:pPr>
    <w:rPr>
      <w:rFonts w:ascii="Times New Roman" w:eastAsia="Times New Roman" w:hAnsi="Times New Roman" w:cs="Times New Roman"/>
      <w:b/>
      <w:i/>
      <w:szCs w:val="20"/>
    </w:rPr>
  </w:style>
  <w:style w:type="paragraph" w:customStyle="1" w:styleId="SubheadingBoldItalics12">
    <w:name w:val="Subheading Bold Italics 12"/>
    <w:next w:val="BodyTextBold"/>
    <w:qFormat/>
    <w:rsid w:val="00CB229B"/>
    <w:pPr>
      <w:keepNext/>
      <w:keepLines/>
      <w:spacing w:before="240" w:after="120" w:line="240" w:lineRule="auto"/>
    </w:pPr>
    <w:rPr>
      <w:rFonts w:ascii="Times New Roman" w:eastAsia="Times New Roman" w:hAnsi="Times New Roman" w:cs="Times New Roman"/>
      <w:b/>
      <w:i/>
      <w:sz w:val="24"/>
      <w:szCs w:val="20"/>
    </w:rPr>
  </w:style>
  <w:style w:type="paragraph" w:customStyle="1" w:styleId="TableFootnote">
    <w:name w:val="Table Footnote"/>
    <w:qFormat/>
    <w:rsid w:val="00CB229B"/>
    <w:pPr>
      <w:tabs>
        <w:tab w:val="left" w:pos="360"/>
      </w:tabs>
      <w:spacing w:after="0" w:line="240" w:lineRule="auto"/>
      <w:ind w:left="360" w:hanging="360"/>
    </w:pPr>
    <w:rPr>
      <w:rFonts w:ascii="Times New Roman" w:eastAsia="Times New Roman" w:hAnsi="Times New Roman" w:cs="Times New Roman"/>
      <w:sz w:val="16"/>
      <w:szCs w:val="20"/>
    </w:rPr>
  </w:style>
  <w:style w:type="paragraph" w:styleId="TableofFigures">
    <w:name w:val="table of figures"/>
    <w:next w:val="Basic11"/>
    <w:uiPriority w:val="99"/>
    <w:unhideWhenUsed/>
    <w:rsid w:val="00CB229B"/>
    <w:pPr>
      <w:tabs>
        <w:tab w:val="left" w:pos="1008"/>
        <w:tab w:val="right" w:leader="dot" w:pos="9360"/>
      </w:tabs>
      <w:spacing w:after="0" w:line="240" w:lineRule="auto"/>
      <w:ind w:left="1008" w:right="720" w:hanging="1008"/>
    </w:pPr>
    <w:rPr>
      <w:rFonts w:ascii="Arial" w:eastAsia="Times New Roman" w:hAnsi="Arial" w:cs="Times New Roman"/>
      <w:sz w:val="20"/>
      <w:szCs w:val="20"/>
    </w:rPr>
  </w:style>
  <w:style w:type="paragraph" w:customStyle="1" w:styleId="PABullet1">
    <w:name w:val="PA Bullet 1"/>
    <w:rsid w:val="00CB229B"/>
    <w:pPr>
      <w:numPr>
        <w:numId w:val="28"/>
      </w:numPr>
      <w:spacing w:after="0" w:line="240" w:lineRule="auto"/>
      <w:ind w:left="1080" w:hanging="720"/>
    </w:pPr>
    <w:rPr>
      <w:rFonts w:ascii="Times New Roman" w:eastAsia="Times New Roman" w:hAnsi="Times New Roman" w:cs="Times New Roman"/>
      <w:sz w:val="24"/>
      <w:szCs w:val="20"/>
    </w:rPr>
  </w:style>
  <w:style w:type="character" w:styleId="PlaceholderText">
    <w:name w:val="Placeholder Text"/>
    <w:uiPriority w:val="99"/>
    <w:semiHidden/>
    <w:rsid w:val="00CB229B"/>
    <w:rPr>
      <w:color w:val="808080"/>
    </w:rPr>
  </w:style>
  <w:style w:type="paragraph" w:customStyle="1" w:styleId="NumberList-DS-1double-spaced">
    <w:name w:val="Number List-DS-1 (double-spaced)"/>
    <w:basedOn w:val="Normal"/>
    <w:rsid w:val="00CB229B"/>
    <w:pPr>
      <w:numPr>
        <w:numId w:val="29"/>
      </w:numPr>
      <w:spacing w:after="240"/>
    </w:pPr>
    <w:rPr>
      <w:rFonts w:ascii="Times New Roman" w:eastAsia="Times New Roman" w:hAnsi="Times New Roman" w:cs="Times New Roman"/>
      <w:sz w:val="24"/>
      <w:szCs w:val="20"/>
    </w:rPr>
  </w:style>
  <w:style w:type="paragraph" w:customStyle="1" w:styleId="NumberList-SS-2singled-spaced">
    <w:name w:val="Number List-SS-2 (singled-spaced)"/>
    <w:basedOn w:val="Normal"/>
    <w:rsid w:val="00CB229B"/>
    <w:pPr>
      <w:numPr>
        <w:numId w:val="30"/>
      </w:numPr>
      <w:spacing w:after="0"/>
    </w:pPr>
    <w:rPr>
      <w:rFonts w:ascii="Times New Roman" w:eastAsia="Times New Roman" w:hAnsi="Times New Roman" w:cs="Times New Roman"/>
      <w:sz w:val="24"/>
      <w:szCs w:val="20"/>
    </w:rPr>
  </w:style>
  <w:style w:type="paragraph" w:customStyle="1" w:styleId="NumberedList4">
    <w:name w:val="NumberedList4"/>
    <w:qFormat/>
    <w:rsid w:val="00CB229B"/>
    <w:pPr>
      <w:numPr>
        <w:numId w:val="31"/>
      </w:numPr>
      <w:spacing w:after="0" w:line="240" w:lineRule="auto"/>
      <w:jc w:val="both"/>
    </w:pPr>
    <w:rPr>
      <w:rFonts w:ascii="Times New Roman" w:eastAsia="Times New Roman" w:hAnsi="Times New Roman" w:cs="Times New Roman"/>
      <w:sz w:val="24"/>
      <w:szCs w:val="20"/>
    </w:rPr>
  </w:style>
  <w:style w:type="paragraph" w:customStyle="1" w:styleId="Question1">
    <w:name w:val="Question1"/>
    <w:basedOn w:val="Normal"/>
    <w:next w:val="Normal"/>
    <w:uiPriority w:val="99"/>
    <w:rsid w:val="00CB229B"/>
    <w:pPr>
      <w:spacing w:before="120" w:after="0"/>
      <w:jc w:val="left"/>
      <w:outlineLvl w:val="2"/>
    </w:pPr>
    <w:rPr>
      <w:rFonts w:ascii="Times New Roman Bold" w:eastAsia="Times New Roman" w:hAnsi="Times New Roman Bold" w:cs="Times New Roman"/>
      <w:b/>
      <w:kern w:val="28"/>
      <w:sz w:val="24"/>
      <w:szCs w:val="24"/>
    </w:rPr>
  </w:style>
  <w:style w:type="paragraph" w:customStyle="1" w:styleId="ReferenceHeading2">
    <w:name w:val="Reference Heading 2"/>
    <w:basedOn w:val="Reference"/>
    <w:next w:val="Normal"/>
    <w:rsid w:val="00CB229B"/>
    <w:pPr>
      <w:numPr>
        <w:numId w:val="33"/>
      </w:numPr>
      <w:spacing w:after="200"/>
      <w:jc w:val="both"/>
      <w:outlineLvl w:val="0"/>
    </w:pPr>
    <w:rPr>
      <w:rFonts w:ascii="Arial" w:hAnsi="Arial"/>
      <w:b/>
      <w:caps/>
      <w:sz w:val="24"/>
    </w:rPr>
  </w:style>
  <w:style w:type="paragraph" w:customStyle="1" w:styleId="ReferenceHeading3">
    <w:name w:val="Reference Heading 3"/>
    <w:basedOn w:val="ReferenceHeading2"/>
    <w:next w:val="Normal"/>
    <w:rsid w:val="00CB229B"/>
    <w:pPr>
      <w:numPr>
        <w:ilvl w:val="1"/>
      </w:numPr>
      <w:outlineLvl w:val="1"/>
    </w:pPr>
    <w:rPr>
      <w:caps w:val="0"/>
    </w:rPr>
  </w:style>
  <w:style w:type="paragraph" w:customStyle="1" w:styleId="ReferenceBullet">
    <w:name w:val="Reference Bullet"/>
    <w:basedOn w:val="Normal"/>
    <w:rsid w:val="00CB229B"/>
    <w:pPr>
      <w:numPr>
        <w:numId w:val="32"/>
      </w:numPr>
      <w:suppressAutoHyphens/>
      <w:spacing w:after="200"/>
    </w:pPr>
    <w:rPr>
      <w:rFonts w:ascii="Times New Roman" w:eastAsia="Times New Roman" w:hAnsi="Times New Roman" w:cs="Times New Roman"/>
      <w:sz w:val="20"/>
      <w:szCs w:val="20"/>
    </w:rPr>
  </w:style>
  <w:style w:type="paragraph" w:customStyle="1" w:styleId="BulletIndent5-">
    <w:name w:val="Bullet Indent 5 (-)"/>
    <w:rsid w:val="00CB229B"/>
    <w:pPr>
      <w:tabs>
        <w:tab w:val="left" w:pos="1426"/>
      </w:tabs>
      <w:spacing w:after="120" w:line="240" w:lineRule="auto"/>
      <w:ind w:left="1426" w:hanging="288"/>
      <w:jc w:val="both"/>
    </w:pPr>
    <w:rPr>
      <w:rFonts w:ascii="Times New Roman" w:eastAsia="Times New Roman" w:hAnsi="Times New Roman" w:cs="Times New Roman"/>
      <w:sz w:val="24"/>
      <w:szCs w:val="20"/>
    </w:rPr>
  </w:style>
  <w:style w:type="paragraph" w:customStyle="1" w:styleId="Narrative1">
    <w:name w:val="Narrative 1"/>
    <w:rsid w:val="00CB229B"/>
    <w:pPr>
      <w:numPr>
        <w:numId w:val="34"/>
      </w:numPr>
      <w:spacing w:after="200" w:line="300" w:lineRule="auto"/>
      <w:jc w:val="both"/>
    </w:pPr>
    <w:rPr>
      <w:rFonts w:ascii="Times New Roman" w:eastAsia="Times New Roman" w:hAnsi="Times New Roman" w:cs="Times New Roman"/>
      <w:sz w:val="24"/>
      <w:szCs w:val="20"/>
    </w:rPr>
  </w:style>
  <w:style w:type="paragraph" w:customStyle="1" w:styleId="Narrative2">
    <w:name w:val="Narrative 2"/>
    <w:rsid w:val="00CB229B"/>
    <w:pPr>
      <w:numPr>
        <w:ilvl w:val="1"/>
        <w:numId w:val="34"/>
      </w:numPr>
      <w:spacing w:after="200" w:line="300" w:lineRule="auto"/>
      <w:jc w:val="both"/>
    </w:pPr>
    <w:rPr>
      <w:rFonts w:ascii="Times New Roman" w:eastAsia="Times New Roman" w:hAnsi="Times New Roman" w:cs="Times New Roman"/>
      <w:sz w:val="24"/>
      <w:szCs w:val="20"/>
    </w:rPr>
  </w:style>
  <w:style w:type="paragraph" w:customStyle="1" w:styleId="Narrative3">
    <w:name w:val="Narrative 3"/>
    <w:rsid w:val="00CB229B"/>
    <w:pPr>
      <w:numPr>
        <w:ilvl w:val="2"/>
        <w:numId w:val="34"/>
      </w:numPr>
      <w:spacing w:after="200" w:line="300" w:lineRule="auto"/>
      <w:jc w:val="both"/>
    </w:pPr>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CB229B"/>
  </w:style>
  <w:style w:type="paragraph" w:customStyle="1" w:styleId="BodyText120">
    <w:name w:val="BodyText12"/>
    <w:basedOn w:val="Normal"/>
    <w:rsid w:val="00CB229B"/>
    <w:pPr>
      <w:spacing w:after="200" w:line="300" w:lineRule="auto"/>
      <w:ind w:left="850"/>
    </w:pPr>
    <w:rPr>
      <w:rFonts w:ascii="Times New Roman" w:eastAsia="Calibri" w:hAnsi="Times New Roman" w:cs="Times New Roman"/>
      <w:sz w:val="24"/>
      <w:szCs w:val="24"/>
    </w:rPr>
  </w:style>
  <w:style w:type="paragraph" w:customStyle="1" w:styleId="TableTitle">
    <w:name w:val="Table Title"/>
    <w:basedOn w:val="BodyText"/>
    <w:qFormat/>
    <w:rsid w:val="00CB229B"/>
    <w:pPr>
      <w:tabs>
        <w:tab w:val="left" w:pos="1440"/>
      </w:tabs>
      <w:spacing w:after="200"/>
      <w:ind w:left="1440" w:hanging="1440"/>
      <w:jc w:val="both"/>
    </w:pPr>
    <w:rPr>
      <w:rFonts w:ascii="Times New Roman" w:hAnsi="Times New Roman"/>
      <w:b/>
      <w:sz w:val="24"/>
      <w:lang w:val="en-US"/>
    </w:rPr>
  </w:style>
  <w:style w:type="character" w:customStyle="1" w:styleId="li-content">
    <w:name w:val="li-content"/>
    <w:rsid w:val="00CB229B"/>
    <w:rPr>
      <w:color w:val="000000"/>
    </w:rPr>
  </w:style>
  <w:style w:type="character" w:customStyle="1" w:styleId="hitorg1">
    <w:name w:val="hit_org1"/>
    <w:rsid w:val="00CB229B"/>
    <w:rPr>
      <w:b/>
      <w:bCs/>
      <w:shd w:val="clear" w:color="auto" w:fill="FFEEDD"/>
    </w:rPr>
  </w:style>
  <w:style w:type="paragraph" w:customStyle="1" w:styleId="Bullet">
    <w:name w:val="Bullet"/>
    <w:rsid w:val="00CB229B"/>
    <w:pPr>
      <w:suppressAutoHyphens/>
      <w:spacing w:after="200" w:line="240" w:lineRule="auto"/>
      <w:ind w:left="360" w:hanging="360"/>
      <w:jc w:val="both"/>
    </w:pPr>
    <w:rPr>
      <w:rFonts w:ascii="Times New Roman" w:eastAsia="Times New Roman" w:hAnsi="Times New Roman" w:cs="Times New Roman"/>
      <w:sz w:val="20"/>
      <w:szCs w:val="20"/>
    </w:rPr>
  </w:style>
  <w:style w:type="character" w:customStyle="1" w:styleId="italics">
    <w:name w:val="italics"/>
    <w:rsid w:val="00CB229B"/>
  </w:style>
  <w:style w:type="paragraph" w:customStyle="1" w:styleId="BulletIndentFirst">
    <w:name w:val="Bullet Indent First (•)"/>
    <w:rsid w:val="00CB229B"/>
    <w:pPr>
      <w:tabs>
        <w:tab w:val="left" w:pos="720"/>
        <w:tab w:val="num" w:pos="2880"/>
      </w:tabs>
      <w:spacing w:after="200" w:line="240" w:lineRule="auto"/>
      <w:ind w:left="1080" w:hanging="720"/>
      <w:jc w:val="both"/>
    </w:pPr>
    <w:rPr>
      <w:rFonts w:ascii="Times New Roman" w:eastAsia="Times New Roman" w:hAnsi="Times New Roman" w:cs="Times New Roman"/>
      <w:sz w:val="24"/>
      <w:szCs w:val="20"/>
    </w:rPr>
  </w:style>
  <w:style w:type="paragraph" w:customStyle="1" w:styleId="BulletIndentsecond-">
    <w:name w:val="Bullet Indent second (-)"/>
    <w:rsid w:val="00CB229B"/>
    <w:pPr>
      <w:tabs>
        <w:tab w:val="left" w:pos="720"/>
      </w:tabs>
      <w:spacing w:after="200" w:line="240" w:lineRule="auto"/>
      <w:ind w:left="1800" w:hanging="720"/>
      <w:jc w:val="both"/>
    </w:pPr>
    <w:rPr>
      <w:rFonts w:ascii="Times New Roman" w:eastAsia="Times New Roman" w:hAnsi="Times New Roman" w:cs="Times New Roman"/>
      <w:sz w:val="24"/>
      <w:szCs w:val="20"/>
    </w:rPr>
  </w:style>
  <w:style w:type="character" w:customStyle="1" w:styleId="Bullet11-1Char">
    <w:name w:val="Bullet 11-1 Char"/>
    <w:link w:val="Bullet11-1"/>
    <w:rsid w:val="00CB229B"/>
    <w:rPr>
      <w:rFonts w:ascii="Times New Roman" w:eastAsia="Times New Roman" w:hAnsi="Times New Roman" w:cs="Times New Roman"/>
      <w:szCs w:val="20"/>
    </w:rPr>
  </w:style>
  <w:style w:type="paragraph" w:customStyle="1" w:styleId="StyleHeading2Before12ptLinespacingsingle1">
    <w:name w:val="Style Heading 2 + Before:  12 pt Line spacing:  single1"/>
    <w:basedOn w:val="Heading2"/>
    <w:rsid w:val="00CB229B"/>
    <w:pPr>
      <w:keepLines w:val="0"/>
      <w:numPr>
        <w:ilvl w:val="0"/>
        <w:numId w:val="0"/>
      </w:numPr>
      <w:tabs>
        <w:tab w:val="num" w:pos="1080"/>
        <w:tab w:val="left" w:pos="3780"/>
      </w:tabs>
      <w:spacing w:before="240"/>
      <w:ind w:left="720" w:hanging="720"/>
    </w:pPr>
    <w:rPr>
      <w:rFonts w:ascii="Tahoma" w:eastAsia="Times New Roman" w:hAnsi="Tahoma" w:cs="Times New Roman"/>
      <w:bCs/>
      <w:caps w:val="0"/>
      <w:szCs w:val="20"/>
    </w:rPr>
  </w:style>
  <w:style w:type="paragraph" w:styleId="ListNumber5">
    <w:name w:val="List Number 5"/>
    <w:basedOn w:val="Normal"/>
    <w:semiHidden/>
    <w:rsid w:val="00CB229B"/>
    <w:pPr>
      <w:numPr>
        <w:numId w:val="35"/>
      </w:numPr>
      <w:tabs>
        <w:tab w:val="left" w:pos="567"/>
      </w:tabs>
      <w:spacing w:after="0"/>
      <w:jc w:val="left"/>
    </w:pPr>
    <w:rPr>
      <w:rFonts w:ascii="Times New Roman" w:eastAsia="Times New Roman" w:hAnsi="Times New Roman" w:cs="Times New Roman"/>
      <w:noProof/>
      <w:szCs w:val="20"/>
      <w:lang w:val="en-GB"/>
    </w:rPr>
  </w:style>
  <w:style w:type="paragraph" w:styleId="Date">
    <w:name w:val="Date"/>
    <w:basedOn w:val="Normal"/>
    <w:next w:val="Normal"/>
    <w:link w:val="DateChar"/>
    <w:uiPriority w:val="99"/>
    <w:semiHidden/>
    <w:unhideWhenUsed/>
    <w:rsid w:val="00F921DC"/>
  </w:style>
  <w:style w:type="character" w:customStyle="1" w:styleId="DateChar">
    <w:name w:val="Date Char"/>
    <w:basedOn w:val="DefaultParagraphFont"/>
    <w:link w:val="Date"/>
    <w:uiPriority w:val="99"/>
    <w:semiHidden/>
    <w:rsid w:val="00F921DC"/>
    <w:rPr>
      <w:rFonts w:ascii="Arial" w:hAnsi="Arial"/>
    </w:rPr>
  </w:style>
  <w:style w:type="paragraph" w:customStyle="1" w:styleId="TextTi12">
    <w:name w:val="Text:Ti12"/>
    <w:basedOn w:val="Normal"/>
    <w:link w:val="TextTi12Char4"/>
    <w:qFormat/>
    <w:rsid w:val="00AF3860"/>
    <w:pPr>
      <w:spacing w:after="170" w:line="260" w:lineRule="atLeast"/>
      <w:jc w:val="left"/>
    </w:pPr>
    <w:rPr>
      <w:rFonts w:ascii="Times New Roman" w:eastAsia="Times New Roman" w:hAnsi="Times New Roman" w:cs="Times New Roman"/>
      <w:sz w:val="24"/>
      <w:szCs w:val="20"/>
    </w:rPr>
  </w:style>
  <w:style w:type="character" w:customStyle="1" w:styleId="TextTi12Char4">
    <w:name w:val="Text:Ti12 Char4"/>
    <w:link w:val="TextTi12"/>
    <w:rsid w:val="00AF3860"/>
    <w:rPr>
      <w:rFonts w:ascii="Times New Roman" w:eastAsia="Times New Roman" w:hAnsi="Times New Roman" w:cs="Times New Roman"/>
      <w:sz w:val="24"/>
      <w:szCs w:val="20"/>
    </w:rPr>
  </w:style>
  <w:style w:type="character" w:customStyle="1" w:styleId="caption-h1">
    <w:name w:val="caption-h1"/>
    <w:rsid w:val="00CD6DFF"/>
    <w:rPr>
      <w:rFonts w:ascii="Times New Roman" w:hAnsi="Times New Roman" w:cs="Times New Roman" w:hint="default"/>
      <w:b/>
      <w:bCs/>
      <w:sz w:val="20"/>
      <w:szCs w:val="20"/>
    </w:rPr>
  </w:style>
  <w:style w:type="paragraph" w:customStyle="1" w:styleId="Style1">
    <w:name w:val="Style1"/>
    <w:basedOn w:val="Heading4"/>
    <w:autoRedefine/>
    <w:qFormat/>
    <w:rsid w:val="00055815"/>
    <w:rPr>
      <w:b w:val="0"/>
    </w:rPr>
  </w:style>
  <w:style w:type="character" w:customStyle="1" w:styleId="normaltextrun">
    <w:name w:val="normaltextrun"/>
    <w:basedOn w:val="DefaultParagraphFont"/>
    <w:rsid w:val="00092E02"/>
  </w:style>
  <w:style w:type="character" w:customStyle="1" w:styleId="eop">
    <w:name w:val="eop"/>
    <w:basedOn w:val="DefaultParagraphFont"/>
    <w:rsid w:val="0009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100">
      <w:bodyDiv w:val="1"/>
      <w:marLeft w:val="0"/>
      <w:marRight w:val="0"/>
      <w:marTop w:val="0"/>
      <w:marBottom w:val="0"/>
      <w:divBdr>
        <w:top w:val="none" w:sz="0" w:space="0" w:color="auto"/>
        <w:left w:val="none" w:sz="0" w:space="0" w:color="auto"/>
        <w:bottom w:val="none" w:sz="0" w:space="0" w:color="auto"/>
        <w:right w:val="none" w:sz="0" w:space="0" w:color="auto"/>
      </w:divBdr>
    </w:div>
    <w:div w:id="505830461">
      <w:bodyDiv w:val="1"/>
      <w:marLeft w:val="0"/>
      <w:marRight w:val="0"/>
      <w:marTop w:val="0"/>
      <w:marBottom w:val="0"/>
      <w:divBdr>
        <w:top w:val="none" w:sz="0" w:space="0" w:color="auto"/>
        <w:left w:val="none" w:sz="0" w:space="0" w:color="auto"/>
        <w:bottom w:val="none" w:sz="0" w:space="0" w:color="auto"/>
        <w:right w:val="none" w:sz="0" w:space="0" w:color="auto"/>
      </w:divBdr>
    </w:div>
    <w:div w:id="1228032171">
      <w:bodyDiv w:val="1"/>
      <w:marLeft w:val="0"/>
      <w:marRight w:val="0"/>
      <w:marTop w:val="0"/>
      <w:marBottom w:val="0"/>
      <w:divBdr>
        <w:top w:val="none" w:sz="0" w:space="0" w:color="auto"/>
        <w:left w:val="none" w:sz="0" w:space="0" w:color="auto"/>
        <w:bottom w:val="none" w:sz="0" w:space="0" w:color="auto"/>
        <w:right w:val="none" w:sz="0" w:space="0" w:color="auto"/>
      </w:divBdr>
    </w:div>
    <w:div w:id="19693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9208FED86CA459EFE4B690ED162F9" ma:contentTypeVersion="13" ma:contentTypeDescription="Create a new document." ma:contentTypeScope="" ma:versionID="23af57a8c1794414b3d1200ab8713451">
  <xsd:schema xmlns:xsd="http://www.w3.org/2001/XMLSchema" xmlns:xs="http://www.w3.org/2001/XMLSchema" xmlns:p="http://schemas.microsoft.com/office/2006/metadata/properties" xmlns:ns3="f264bde8-47d3-4e3b-84f0-fc9697ae19f6" xmlns:ns4="0f66e442-3716-44d1-8710-5339e4b80980" targetNamespace="http://schemas.microsoft.com/office/2006/metadata/properties" ma:root="true" ma:fieldsID="47259513525bc4b2b8c21e40a6c4d641" ns3:_="" ns4:_="">
    <xsd:import namespace="f264bde8-47d3-4e3b-84f0-fc9697ae19f6"/>
    <xsd:import namespace="0f66e442-3716-44d1-8710-5339e4b8098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3:SharedWithDetails" minOccurs="0"/>
                <xsd:element ref="ns3:SharingHintHash"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4bde8-47d3-4e3b-84f0-fc9697ae19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6e442-3716-44d1-8710-5339e4b8098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52A6A-15C8-40E2-A495-1DC167A9F7F3}">
  <ds:schemaRefs>
    <ds:schemaRef ds:uri="http://purl.org/dc/elements/1.1/"/>
    <ds:schemaRef ds:uri="http://schemas.microsoft.com/office/2006/metadata/properties"/>
    <ds:schemaRef ds:uri="f264bde8-47d3-4e3b-84f0-fc9697ae19f6"/>
    <ds:schemaRef ds:uri="http://purl.org/dc/terms/"/>
    <ds:schemaRef ds:uri="http://schemas.microsoft.com/office/2006/documentManagement/types"/>
    <ds:schemaRef ds:uri="0f66e442-3716-44d1-8710-5339e4b8098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B54DF67-8384-48C4-8A0E-942BA88C8679}">
  <ds:schemaRefs>
    <ds:schemaRef ds:uri="http://schemas.openxmlformats.org/officeDocument/2006/bibliography"/>
  </ds:schemaRefs>
</ds:datastoreItem>
</file>

<file path=customXml/itemProps3.xml><?xml version="1.0" encoding="utf-8"?>
<ds:datastoreItem xmlns:ds="http://schemas.openxmlformats.org/officeDocument/2006/customXml" ds:itemID="{55A4018B-9D88-4C43-BF41-A6D714B6D601}">
  <ds:schemaRefs>
    <ds:schemaRef ds:uri="http://schemas.microsoft.com/sharepoint/v3/contenttype/forms"/>
  </ds:schemaRefs>
</ds:datastoreItem>
</file>

<file path=customXml/itemProps4.xml><?xml version="1.0" encoding="utf-8"?>
<ds:datastoreItem xmlns:ds="http://schemas.openxmlformats.org/officeDocument/2006/customXml" ds:itemID="{65177B99-D87F-4EC2-AE46-F07AFCDD4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4bde8-47d3-4e3b-84f0-fc9697ae19f6"/>
    <ds:schemaRef ds:uri="0f66e442-3716-44d1-8710-5339e4b8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9389</Words>
  <Characters>60093</Characters>
  <Application>Microsoft Office Word</Application>
  <DocSecurity>0</DocSecurity>
  <Lines>969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Ponvory</dc:title>
  <dc:subject>prescription medicines</dc:subject>
  <dc:creator>Janssen-Cilag Pty Ltd</dc:creator>
  <cp:keywords/>
  <dc:description/>
  <cp:lastModifiedBy>LACK, Janet</cp:lastModifiedBy>
  <cp:revision>2</cp:revision>
  <cp:lastPrinted>2018-11-05T01:59:00Z</cp:lastPrinted>
  <dcterms:created xsi:type="dcterms:W3CDTF">2022-11-14T04:50:00Z</dcterms:created>
  <dcterms:modified xsi:type="dcterms:W3CDTF">2022-11-14T04:50:00Z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0x0101009609208FED86CA459EFE4B690ED162F9</vt:lpwstr>
  </property>
</Properties>
</file>