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FD35ED" w14:paraId="0A2BBAF8" w14:textId="77777777" w:rsidTr="00BF1190">
        <w:trPr>
          <w:trHeight w:val="1863"/>
        </w:trPr>
        <w:tc>
          <w:tcPr>
            <w:tcW w:w="3652" w:type="dxa"/>
            <w:tcBorders>
              <w:top w:val="nil"/>
              <w:left w:val="nil"/>
              <w:bottom w:val="nil"/>
              <w:right w:val="nil"/>
            </w:tcBorders>
          </w:tcPr>
          <w:p w14:paraId="5726E4FE" w14:textId="26C35E4D" w:rsidR="008E7846" w:rsidRPr="00FD35ED" w:rsidRDefault="00581F29" w:rsidP="00F931CE">
            <w:pPr>
              <w:pStyle w:val="Date"/>
              <w:framePr w:hSpace="0" w:wrap="auto" w:vAnchor="margin" w:hAnchor="text" w:yAlign="inline"/>
              <w:suppressOverlap w:val="0"/>
            </w:pPr>
            <w:r>
              <w:t>October</w:t>
            </w:r>
            <w:r w:rsidRPr="00FD35ED">
              <w:t xml:space="preserve"> </w:t>
            </w:r>
            <w:r w:rsidR="005545C8" w:rsidRPr="00FD35ED">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FD35ED" w14:paraId="6E9DDB3C" w14:textId="77777777" w:rsidTr="0032583B">
        <w:trPr>
          <w:trHeight w:val="868"/>
        </w:trPr>
        <w:tc>
          <w:tcPr>
            <w:tcW w:w="9079" w:type="dxa"/>
          </w:tcPr>
          <w:p w14:paraId="4AB075A3" w14:textId="6BA6CE40" w:rsidR="0032583B" w:rsidRPr="00FD35ED" w:rsidRDefault="0032583B" w:rsidP="00F931CE">
            <w:pPr>
              <w:pStyle w:val="Title"/>
              <w:framePr w:hSpace="0" w:wrap="auto" w:vAnchor="margin" w:yAlign="inline"/>
            </w:pPr>
            <w:r w:rsidRPr="00FD35ED">
              <w:t>Australian Public Assessment Report for</w:t>
            </w:r>
            <w:r w:rsidR="00AF2313" w:rsidRPr="00FD35ED">
              <w:t xml:space="preserve"> </w:t>
            </w:r>
            <w:proofErr w:type="spellStart"/>
            <w:r w:rsidR="00EA6D30" w:rsidRPr="00FD35ED">
              <w:t>Kimmtrak</w:t>
            </w:r>
            <w:proofErr w:type="spellEnd"/>
          </w:p>
        </w:tc>
      </w:tr>
      <w:tr w:rsidR="0032583B" w:rsidRPr="00FD35ED" w14:paraId="7B44DA06" w14:textId="77777777" w:rsidTr="0032583B">
        <w:tc>
          <w:tcPr>
            <w:tcW w:w="9079" w:type="dxa"/>
          </w:tcPr>
          <w:p w14:paraId="38F071A7" w14:textId="27C289DF" w:rsidR="0032583B" w:rsidRPr="00FD35ED" w:rsidRDefault="00BB75D6" w:rsidP="00F931CE">
            <w:pPr>
              <w:pStyle w:val="Subtitle"/>
              <w:framePr w:hSpace="0" w:wrap="auto" w:vAnchor="margin" w:yAlign="inline"/>
            </w:pPr>
            <w:r w:rsidRPr="00FD35ED">
              <w:t>Active ingredient</w:t>
            </w:r>
            <w:r w:rsidR="0032583B" w:rsidRPr="00FD35ED">
              <w:t xml:space="preserve">: </w:t>
            </w:r>
            <w:proofErr w:type="spellStart"/>
            <w:r w:rsidR="00EA6D30" w:rsidRPr="00FD35ED">
              <w:t>Tebentafusp</w:t>
            </w:r>
            <w:proofErr w:type="spellEnd"/>
          </w:p>
        </w:tc>
      </w:tr>
      <w:tr w:rsidR="0032583B" w:rsidRPr="00FD35ED" w14:paraId="40C67686" w14:textId="77777777" w:rsidTr="0032583B">
        <w:trPr>
          <w:trHeight w:val="486"/>
        </w:trPr>
        <w:tc>
          <w:tcPr>
            <w:tcW w:w="9079" w:type="dxa"/>
          </w:tcPr>
          <w:p w14:paraId="1B6D0787" w14:textId="70FBA821" w:rsidR="0032583B" w:rsidRPr="00FD35ED" w:rsidRDefault="00460036" w:rsidP="009556D7">
            <w:pPr>
              <w:pStyle w:val="Subtitle"/>
              <w:framePr w:hSpace="0" w:wrap="auto" w:vAnchor="margin" w:yAlign="inline"/>
            </w:pPr>
            <w:r w:rsidRPr="00FD35ED">
              <w:t xml:space="preserve">Sponsor: </w:t>
            </w:r>
            <w:r w:rsidR="00EA6D30" w:rsidRPr="00FD35ED">
              <w:t>Adjutor Healthcare Pty Ltd</w:t>
            </w:r>
          </w:p>
        </w:tc>
      </w:tr>
    </w:tbl>
    <w:p w14:paraId="18BDBA2A" w14:textId="77777777" w:rsidR="008E7846" w:rsidRPr="00FD35ED" w:rsidRDefault="008E7846" w:rsidP="0085156D">
      <w:r w:rsidRPr="00FD35ED">
        <w:br w:type="page"/>
      </w:r>
    </w:p>
    <w:p w14:paraId="419B9BAC" w14:textId="77777777" w:rsidR="008E7846" w:rsidRPr="00FD35ED" w:rsidRDefault="008E7846" w:rsidP="008E7846">
      <w:pPr>
        <w:pStyle w:val="NonTOCHeading2"/>
      </w:pPr>
      <w:r w:rsidRPr="00FD35ED">
        <w:lastRenderedPageBreak/>
        <w:t>About the Therapeutic Goods Administration (TGA)</w:t>
      </w:r>
    </w:p>
    <w:p w14:paraId="09AFFB17" w14:textId="77777777" w:rsidR="00AF2313" w:rsidRPr="00FD35ED" w:rsidRDefault="00AF2313" w:rsidP="00AF2313">
      <w:pPr>
        <w:pStyle w:val="ListBullet"/>
      </w:pPr>
      <w:r w:rsidRPr="00FD35ED">
        <w:t>The Therapeutic Goods Administration (TGA) is part of the Australian Government Department of Health and is responsible for regulating therapeutic goods, including medicines, medical devices, and biologicals.</w:t>
      </w:r>
    </w:p>
    <w:p w14:paraId="3F406085" w14:textId="77777777" w:rsidR="00AF2313" w:rsidRPr="00FD35ED" w:rsidRDefault="00AF2313" w:rsidP="00AF2313">
      <w:pPr>
        <w:pStyle w:val="ListBullet"/>
      </w:pPr>
      <w:r w:rsidRPr="00FD35ED">
        <w:t xml:space="preserve">The TGA administers the </w:t>
      </w:r>
      <w:r w:rsidRPr="00FD35ED">
        <w:rPr>
          <w:i/>
          <w:iCs/>
        </w:rPr>
        <w:t>Therapeutic Goods Act 1989</w:t>
      </w:r>
      <w:r w:rsidRPr="00FD35ED">
        <w:t xml:space="preserve"> (the Act), applying a risk management approach designed to ensure therapeutic goods supplied in Australia meet acceptable standards of quality, </w:t>
      </w:r>
      <w:r w:rsidR="00CC5044" w:rsidRPr="00FD35ED">
        <w:t>safety,</w:t>
      </w:r>
      <w:r w:rsidRPr="00FD35ED">
        <w:t xml:space="preserve"> and efficacy.</w:t>
      </w:r>
    </w:p>
    <w:p w14:paraId="23C3ACE1" w14:textId="77777777" w:rsidR="00AF2313" w:rsidRPr="00FD35ED" w:rsidRDefault="00AF2313" w:rsidP="00AF2313">
      <w:pPr>
        <w:pStyle w:val="ListBullet"/>
      </w:pPr>
      <w:r w:rsidRPr="00FD35ED">
        <w:t>The work of the TGA is based on applying scientific and clinical expertise to decision-making, to ensure that the benefits to the Australian public outweigh any risks associated with the use of therapeutic goods.</w:t>
      </w:r>
    </w:p>
    <w:p w14:paraId="24CBF00F" w14:textId="77777777" w:rsidR="00AF2313" w:rsidRPr="00FD35ED" w:rsidRDefault="00AF2313" w:rsidP="00AF2313">
      <w:pPr>
        <w:pStyle w:val="ListBullet"/>
      </w:pPr>
      <w:r w:rsidRPr="00FD35ED">
        <w:t>The TGA relies on the public, healthcare professionals and industry to report problems with therapeutic goods. The TGA investigates reports received to determine any necessary regulatory action.</w:t>
      </w:r>
    </w:p>
    <w:p w14:paraId="3EC52B64" w14:textId="62B5EF3C" w:rsidR="00AF2313" w:rsidRPr="00FD35ED" w:rsidRDefault="00AF2313" w:rsidP="00AF2313">
      <w:pPr>
        <w:pStyle w:val="ListBullet"/>
      </w:pPr>
      <w:r w:rsidRPr="00FD35ED">
        <w:t xml:space="preserve">To report a problem with a therapeutic good, please see the information on the </w:t>
      </w:r>
      <w:hyperlink r:id="rId8" w:history="1">
        <w:r w:rsidRPr="00FD35ED">
          <w:rPr>
            <w:rStyle w:val="Hyperlink"/>
          </w:rPr>
          <w:t>TGA website</w:t>
        </w:r>
      </w:hyperlink>
      <w:r w:rsidRPr="00FD35ED">
        <w:t>.</w:t>
      </w:r>
    </w:p>
    <w:p w14:paraId="2D1E8128" w14:textId="77777777" w:rsidR="008E7846" w:rsidRPr="00FD35ED" w:rsidRDefault="008E7846" w:rsidP="00875A6B">
      <w:pPr>
        <w:pStyle w:val="NonTOCHeading2"/>
      </w:pPr>
      <w:r w:rsidRPr="00FD35ED">
        <w:t xml:space="preserve">About </w:t>
      </w:r>
      <w:proofErr w:type="spellStart"/>
      <w:r w:rsidRPr="00FD35ED">
        <w:t>AusPARs</w:t>
      </w:r>
      <w:proofErr w:type="spellEnd"/>
    </w:p>
    <w:p w14:paraId="064DAF9B" w14:textId="78A7C3E2" w:rsidR="00AF2313" w:rsidRPr="00FD35ED" w:rsidRDefault="00AF2313" w:rsidP="00AF2313">
      <w:pPr>
        <w:pStyle w:val="ListBullet"/>
      </w:pPr>
      <w:r w:rsidRPr="00FD35ED">
        <w:t>The Australian Public Assessment Report (</w:t>
      </w:r>
      <w:proofErr w:type="spellStart"/>
      <w:r w:rsidRPr="00FD35ED">
        <w:t>AusPAR</w:t>
      </w:r>
      <w:proofErr w:type="spellEnd"/>
      <w:r w:rsidRPr="00FD35ED">
        <w:t xml:space="preserve">) provides information about the evaluation of a prescription medicine and the considerations that led the TGA to approve or not approve a prescription medicine submission. Further information can be found in </w:t>
      </w:r>
      <w:hyperlink r:id="rId9" w:history="1">
        <w:r w:rsidRPr="00FD35ED">
          <w:rPr>
            <w:rStyle w:val="Hyperlink"/>
          </w:rPr>
          <w:t>Australian Public Assessment Report (</w:t>
        </w:r>
        <w:proofErr w:type="spellStart"/>
        <w:r w:rsidRPr="00FD35ED">
          <w:rPr>
            <w:rStyle w:val="Hyperlink"/>
          </w:rPr>
          <w:t>AusPAR</w:t>
        </w:r>
        <w:proofErr w:type="spellEnd"/>
        <w:r w:rsidRPr="00FD35ED">
          <w:rPr>
            <w:rStyle w:val="Hyperlink"/>
          </w:rPr>
          <w:t>) guidance</w:t>
        </w:r>
      </w:hyperlink>
      <w:r w:rsidRPr="00FD35ED">
        <w:t>.</w:t>
      </w:r>
    </w:p>
    <w:p w14:paraId="6D567924" w14:textId="77777777" w:rsidR="00AF2313" w:rsidRPr="00FD35ED" w:rsidRDefault="00AF2313" w:rsidP="00AF2313">
      <w:pPr>
        <w:pStyle w:val="ListBullet"/>
      </w:pPr>
      <w:proofErr w:type="spellStart"/>
      <w:r w:rsidRPr="00FD35ED">
        <w:t>AusPARs</w:t>
      </w:r>
      <w:proofErr w:type="spellEnd"/>
      <w:r w:rsidRPr="00FD35ED">
        <w:t xml:space="preserve"> are prepared and published by the TGA.</w:t>
      </w:r>
    </w:p>
    <w:p w14:paraId="29723DE2" w14:textId="77777777" w:rsidR="00AF2313" w:rsidRPr="00FD35ED" w:rsidRDefault="00AF2313" w:rsidP="00AF2313">
      <w:pPr>
        <w:pStyle w:val="ListBullet"/>
      </w:pPr>
      <w:proofErr w:type="spellStart"/>
      <w:r w:rsidRPr="00FD35ED">
        <w:t>AusPARs</w:t>
      </w:r>
      <w:proofErr w:type="spellEnd"/>
      <w:r w:rsidRPr="00FD35ED">
        <w:t xml:space="preserve"> are static documents that provide information that relates to a submission at a particular point in time.</w:t>
      </w:r>
      <w:r w:rsidR="008110BC" w:rsidRPr="00FD35ED">
        <w:t xml:space="preserve"> The publication of an </w:t>
      </w:r>
      <w:proofErr w:type="spellStart"/>
      <w:r w:rsidR="008110BC" w:rsidRPr="00FD35ED">
        <w:t>AusPAR</w:t>
      </w:r>
      <w:proofErr w:type="spellEnd"/>
      <w:r w:rsidR="008110BC" w:rsidRPr="00FD35ED">
        <w:t xml:space="preserve"> is an important part of the transparency of the TGA’s decision-making process.</w:t>
      </w:r>
    </w:p>
    <w:p w14:paraId="1EBCDED8" w14:textId="77777777" w:rsidR="00AF2313" w:rsidRPr="00FD35ED" w:rsidRDefault="00AF2313" w:rsidP="00AF2313">
      <w:pPr>
        <w:pStyle w:val="ListBullet"/>
      </w:pPr>
      <w:r w:rsidRPr="00FD35ED">
        <w:t xml:space="preserve">A new </w:t>
      </w:r>
      <w:proofErr w:type="spellStart"/>
      <w:r w:rsidRPr="00FD35ED">
        <w:t>AusPAR</w:t>
      </w:r>
      <w:proofErr w:type="spellEnd"/>
      <w:r w:rsidRPr="00FD35ED">
        <w:t xml:space="preserve"> may be provided to reflect changes to indications or major variations to a prescription medicine subject to evaluation by the TGA.</w:t>
      </w:r>
    </w:p>
    <w:p w14:paraId="4EBDD2D8" w14:textId="77777777" w:rsidR="00924482" w:rsidRPr="00FD35ED" w:rsidRDefault="00924482" w:rsidP="00F54B65">
      <w:pPr>
        <w:pStyle w:val="LegalSubheading"/>
        <w:spacing w:before="3120"/>
      </w:pPr>
      <w:r w:rsidRPr="00FD35ED">
        <w:t>Copyright</w:t>
      </w:r>
    </w:p>
    <w:p w14:paraId="634E8228" w14:textId="5712B54E" w:rsidR="00924482" w:rsidRPr="00FD35ED" w:rsidRDefault="00924482" w:rsidP="00924482">
      <w:pPr>
        <w:pStyle w:val="LegalCopy"/>
      </w:pPr>
      <w:r w:rsidRPr="00FD35ED">
        <w:rPr>
          <w:rFonts w:cs="Arial"/>
          <w:lang w:val="en-GB"/>
        </w:rPr>
        <w:t>© Commonwealth of Australia 20</w:t>
      </w:r>
      <w:r w:rsidR="00460036" w:rsidRPr="00FD35ED">
        <w:rPr>
          <w:rFonts w:cs="Arial"/>
          <w:lang w:val="en-GB"/>
        </w:rPr>
        <w:t>2</w:t>
      </w:r>
      <w:r w:rsidR="00AF2313" w:rsidRPr="00FD35ED">
        <w:rPr>
          <w:rFonts w:cs="Arial"/>
          <w:lang w:val="en-GB"/>
        </w:rPr>
        <w:t>2</w:t>
      </w:r>
      <w:r w:rsidRPr="00FD35ED">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FD35ED">
        <w:rPr>
          <w:rFonts w:cs="Arial"/>
          <w:i/>
          <w:lang w:val="en-GB"/>
        </w:rPr>
        <w:t>Copyright Act 1968</w:t>
      </w:r>
      <w:r w:rsidRPr="00FD35ED">
        <w:rPr>
          <w:rFonts w:cs="Arial"/>
          <w:lang w:val="en-GB"/>
        </w:rPr>
        <w:t xml:space="preserve"> or allowed by this copyright notice, all other rights are </w:t>
      </w:r>
      <w:r w:rsidR="00EB36D6" w:rsidRPr="00FD35ED">
        <w:rPr>
          <w:rFonts w:cs="Arial"/>
          <w:lang w:val="en-GB"/>
        </w:rPr>
        <w:t>reserved,</w:t>
      </w:r>
      <w:r w:rsidRPr="00FD35ED">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FD35ED">
        <w:rPr>
          <w:rFonts w:cs="Arial"/>
          <w:lang w:val="en-GB"/>
        </w:rPr>
        <w:t>Woden</w:t>
      </w:r>
      <w:proofErr w:type="spellEnd"/>
      <w:r w:rsidRPr="00FD35ED">
        <w:rPr>
          <w:rFonts w:cs="Arial"/>
          <w:lang w:val="en-GB"/>
        </w:rPr>
        <w:t xml:space="preserve"> ACT 2606 or emailed to &lt;</w:t>
      </w:r>
      <w:hyperlink r:id="rId10" w:history="1">
        <w:r w:rsidRPr="00FD35ED">
          <w:rPr>
            <w:rStyle w:val="Hyperlink"/>
            <w:rFonts w:cs="Arial"/>
            <w:lang w:val="en-GB"/>
          </w:rPr>
          <w:t>tga.copyright@tga.gov.au</w:t>
        </w:r>
      </w:hyperlink>
      <w:r w:rsidRPr="00FD35ED">
        <w:rPr>
          <w:rFonts w:cs="Arial"/>
        </w:rPr>
        <w:t>&gt;.</w:t>
      </w:r>
    </w:p>
    <w:p w14:paraId="55E422A1" w14:textId="77777777" w:rsidR="00924482" w:rsidRPr="00FD35ED" w:rsidRDefault="00924482" w:rsidP="00924482">
      <w:pPr>
        <w:pStyle w:val="LegalCopy"/>
        <w:sectPr w:rsidR="00924482" w:rsidRPr="00FD35ED"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2C115C1F" w14:textId="77777777" w:rsidR="0089635C" w:rsidRPr="00FD35ED" w:rsidRDefault="0089635C" w:rsidP="0010788A">
          <w:pPr>
            <w:pStyle w:val="Contents"/>
          </w:pPr>
          <w:r w:rsidRPr="00FD35ED">
            <w:t>Contents</w:t>
          </w:r>
        </w:p>
        <w:p w14:paraId="7E663808" w14:textId="65B12ED0" w:rsidR="00FD1AC7" w:rsidRDefault="00C525A2">
          <w:pPr>
            <w:pStyle w:val="TOC1"/>
            <w:rPr>
              <w:rFonts w:asciiTheme="minorHAnsi" w:eastAsiaTheme="minorEastAsia" w:hAnsiTheme="minorHAnsi" w:cstheme="minorBidi"/>
              <w:b w:val="0"/>
              <w:noProof/>
              <w:sz w:val="22"/>
              <w:lang w:eastAsia="en-AU"/>
            </w:rPr>
          </w:pPr>
          <w:r w:rsidRPr="00FD35ED">
            <w:fldChar w:fldCharType="begin"/>
          </w:r>
          <w:r w:rsidRPr="00FD35ED">
            <w:instrText xml:space="preserve"> TOC \h \z \t "Heading 2,1,Heading 3,2" </w:instrText>
          </w:r>
          <w:r w:rsidRPr="00FD35ED">
            <w:fldChar w:fldCharType="separate"/>
          </w:r>
          <w:hyperlink w:anchor="_Toc119316332" w:history="1">
            <w:r w:rsidR="00FD1AC7" w:rsidRPr="00382F9C">
              <w:rPr>
                <w:rStyle w:val="Hyperlink"/>
                <w:noProof/>
              </w:rPr>
              <w:t>List of abbreviations</w:t>
            </w:r>
            <w:r w:rsidR="00FD1AC7">
              <w:rPr>
                <w:noProof/>
                <w:webHidden/>
              </w:rPr>
              <w:tab/>
            </w:r>
            <w:r w:rsidR="00FD1AC7">
              <w:rPr>
                <w:noProof/>
                <w:webHidden/>
              </w:rPr>
              <w:fldChar w:fldCharType="begin"/>
            </w:r>
            <w:r w:rsidR="00FD1AC7">
              <w:rPr>
                <w:noProof/>
                <w:webHidden/>
              </w:rPr>
              <w:instrText xml:space="preserve"> PAGEREF _Toc119316332 \h </w:instrText>
            </w:r>
            <w:r w:rsidR="00FD1AC7">
              <w:rPr>
                <w:noProof/>
                <w:webHidden/>
              </w:rPr>
            </w:r>
            <w:r w:rsidR="00FD1AC7">
              <w:rPr>
                <w:noProof/>
                <w:webHidden/>
              </w:rPr>
              <w:fldChar w:fldCharType="separate"/>
            </w:r>
            <w:r w:rsidR="00FD1AC7">
              <w:rPr>
                <w:noProof/>
                <w:webHidden/>
              </w:rPr>
              <w:t>4</w:t>
            </w:r>
            <w:r w:rsidR="00FD1AC7">
              <w:rPr>
                <w:noProof/>
                <w:webHidden/>
              </w:rPr>
              <w:fldChar w:fldCharType="end"/>
            </w:r>
          </w:hyperlink>
        </w:p>
        <w:p w14:paraId="3280947A" w14:textId="16D797BF" w:rsidR="00FD1AC7" w:rsidRDefault="00FD1AC7">
          <w:pPr>
            <w:pStyle w:val="TOC1"/>
            <w:rPr>
              <w:rFonts w:asciiTheme="minorHAnsi" w:eastAsiaTheme="minorEastAsia" w:hAnsiTheme="minorHAnsi" w:cstheme="minorBidi"/>
              <w:b w:val="0"/>
              <w:noProof/>
              <w:sz w:val="22"/>
              <w:lang w:eastAsia="en-AU"/>
            </w:rPr>
          </w:pPr>
          <w:hyperlink w:anchor="_Toc119316333" w:history="1">
            <w:r w:rsidRPr="00382F9C">
              <w:rPr>
                <w:rStyle w:val="Hyperlink"/>
                <w:noProof/>
              </w:rPr>
              <w:t>Product submission</w:t>
            </w:r>
            <w:r>
              <w:rPr>
                <w:noProof/>
                <w:webHidden/>
              </w:rPr>
              <w:tab/>
            </w:r>
            <w:r>
              <w:rPr>
                <w:noProof/>
                <w:webHidden/>
              </w:rPr>
              <w:fldChar w:fldCharType="begin"/>
            </w:r>
            <w:r>
              <w:rPr>
                <w:noProof/>
                <w:webHidden/>
              </w:rPr>
              <w:instrText xml:space="preserve"> PAGEREF _Toc119316333 \h </w:instrText>
            </w:r>
            <w:r>
              <w:rPr>
                <w:noProof/>
                <w:webHidden/>
              </w:rPr>
            </w:r>
            <w:r>
              <w:rPr>
                <w:noProof/>
                <w:webHidden/>
              </w:rPr>
              <w:fldChar w:fldCharType="separate"/>
            </w:r>
            <w:r>
              <w:rPr>
                <w:noProof/>
                <w:webHidden/>
              </w:rPr>
              <w:t>6</w:t>
            </w:r>
            <w:r>
              <w:rPr>
                <w:noProof/>
                <w:webHidden/>
              </w:rPr>
              <w:fldChar w:fldCharType="end"/>
            </w:r>
          </w:hyperlink>
        </w:p>
        <w:p w14:paraId="09CCD2AE" w14:textId="644DA2E6" w:rsidR="00FD1AC7" w:rsidRDefault="00FD1AC7">
          <w:pPr>
            <w:pStyle w:val="TOC2"/>
            <w:rPr>
              <w:rFonts w:asciiTheme="minorHAnsi" w:eastAsiaTheme="minorEastAsia" w:hAnsiTheme="minorHAnsi" w:cstheme="minorBidi"/>
              <w:b w:val="0"/>
              <w:noProof/>
              <w:sz w:val="22"/>
              <w:lang w:eastAsia="en-AU"/>
            </w:rPr>
          </w:pPr>
          <w:hyperlink w:anchor="_Toc119316334" w:history="1">
            <w:r w:rsidRPr="00382F9C">
              <w:rPr>
                <w:rStyle w:val="Hyperlink"/>
                <w:noProof/>
                <w:lang w:eastAsia="en-AU"/>
              </w:rPr>
              <w:t>Submission details</w:t>
            </w:r>
            <w:r>
              <w:rPr>
                <w:noProof/>
                <w:webHidden/>
              </w:rPr>
              <w:tab/>
            </w:r>
            <w:r>
              <w:rPr>
                <w:noProof/>
                <w:webHidden/>
              </w:rPr>
              <w:fldChar w:fldCharType="begin"/>
            </w:r>
            <w:r>
              <w:rPr>
                <w:noProof/>
                <w:webHidden/>
              </w:rPr>
              <w:instrText xml:space="preserve"> PAGEREF _Toc119316334 \h </w:instrText>
            </w:r>
            <w:r>
              <w:rPr>
                <w:noProof/>
                <w:webHidden/>
              </w:rPr>
            </w:r>
            <w:r>
              <w:rPr>
                <w:noProof/>
                <w:webHidden/>
              </w:rPr>
              <w:fldChar w:fldCharType="separate"/>
            </w:r>
            <w:r>
              <w:rPr>
                <w:noProof/>
                <w:webHidden/>
              </w:rPr>
              <w:t>6</w:t>
            </w:r>
            <w:r>
              <w:rPr>
                <w:noProof/>
                <w:webHidden/>
              </w:rPr>
              <w:fldChar w:fldCharType="end"/>
            </w:r>
          </w:hyperlink>
        </w:p>
        <w:p w14:paraId="11BB2632" w14:textId="0F0BD993" w:rsidR="00FD1AC7" w:rsidRDefault="00FD1AC7">
          <w:pPr>
            <w:pStyle w:val="TOC2"/>
            <w:rPr>
              <w:rFonts w:asciiTheme="minorHAnsi" w:eastAsiaTheme="minorEastAsia" w:hAnsiTheme="minorHAnsi" w:cstheme="minorBidi"/>
              <w:b w:val="0"/>
              <w:noProof/>
              <w:sz w:val="22"/>
              <w:lang w:eastAsia="en-AU"/>
            </w:rPr>
          </w:pPr>
          <w:hyperlink w:anchor="_Toc119316335" w:history="1">
            <w:r w:rsidRPr="00382F9C">
              <w:rPr>
                <w:rStyle w:val="Hyperlink"/>
                <w:noProof/>
              </w:rPr>
              <w:t>Product background</w:t>
            </w:r>
            <w:r>
              <w:rPr>
                <w:noProof/>
                <w:webHidden/>
              </w:rPr>
              <w:tab/>
            </w:r>
            <w:r>
              <w:rPr>
                <w:noProof/>
                <w:webHidden/>
              </w:rPr>
              <w:fldChar w:fldCharType="begin"/>
            </w:r>
            <w:r>
              <w:rPr>
                <w:noProof/>
                <w:webHidden/>
              </w:rPr>
              <w:instrText xml:space="preserve"> PAGEREF _Toc119316335 \h </w:instrText>
            </w:r>
            <w:r>
              <w:rPr>
                <w:noProof/>
                <w:webHidden/>
              </w:rPr>
            </w:r>
            <w:r>
              <w:rPr>
                <w:noProof/>
                <w:webHidden/>
              </w:rPr>
              <w:fldChar w:fldCharType="separate"/>
            </w:r>
            <w:r>
              <w:rPr>
                <w:noProof/>
                <w:webHidden/>
              </w:rPr>
              <w:t>8</w:t>
            </w:r>
            <w:r>
              <w:rPr>
                <w:noProof/>
                <w:webHidden/>
              </w:rPr>
              <w:fldChar w:fldCharType="end"/>
            </w:r>
          </w:hyperlink>
        </w:p>
        <w:p w14:paraId="53B4FC7E" w14:textId="64C9140C" w:rsidR="00FD1AC7" w:rsidRDefault="00FD1AC7">
          <w:pPr>
            <w:pStyle w:val="TOC2"/>
            <w:rPr>
              <w:rFonts w:asciiTheme="minorHAnsi" w:eastAsiaTheme="minorEastAsia" w:hAnsiTheme="minorHAnsi" w:cstheme="minorBidi"/>
              <w:b w:val="0"/>
              <w:noProof/>
              <w:sz w:val="22"/>
              <w:lang w:eastAsia="en-AU"/>
            </w:rPr>
          </w:pPr>
          <w:hyperlink w:anchor="_Toc119316336" w:history="1">
            <w:r w:rsidRPr="00382F9C">
              <w:rPr>
                <w:rStyle w:val="Hyperlink"/>
                <w:noProof/>
              </w:rPr>
              <w:t>Regulatory status</w:t>
            </w:r>
            <w:r>
              <w:rPr>
                <w:noProof/>
                <w:webHidden/>
              </w:rPr>
              <w:tab/>
            </w:r>
            <w:r>
              <w:rPr>
                <w:noProof/>
                <w:webHidden/>
              </w:rPr>
              <w:fldChar w:fldCharType="begin"/>
            </w:r>
            <w:r>
              <w:rPr>
                <w:noProof/>
                <w:webHidden/>
              </w:rPr>
              <w:instrText xml:space="preserve"> PAGEREF _Toc119316336 \h </w:instrText>
            </w:r>
            <w:r>
              <w:rPr>
                <w:noProof/>
                <w:webHidden/>
              </w:rPr>
            </w:r>
            <w:r>
              <w:rPr>
                <w:noProof/>
                <w:webHidden/>
              </w:rPr>
              <w:fldChar w:fldCharType="separate"/>
            </w:r>
            <w:r>
              <w:rPr>
                <w:noProof/>
                <w:webHidden/>
              </w:rPr>
              <w:t>12</w:t>
            </w:r>
            <w:r>
              <w:rPr>
                <w:noProof/>
                <w:webHidden/>
              </w:rPr>
              <w:fldChar w:fldCharType="end"/>
            </w:r>
          </w:hyperlink>
        </w:p>
        <w:p w14:paraId="61474DAE" w14:textId="357F0019" w:rsidR="00FD1AC7" w:rsidRDefault="00FD1AC7">
          <w:pPr>
            <w:pStyle w:val="TOC2"/>
            <w:rPr>
              <w:rFonts w:asciiTheme="minorHAnsi" w:eastAsiaTheme="minorEastAsia" w:hAnsiTheme="minorHAnsi" w:cstheme="minorBidi"/>
              <w:b w:val="0"/>
              <w:noProof/>
              <w:sz w:val="22"/>
              <w:lang w:eastAsia="en-AU"/>
            </w:rPr>
          </w:pPr>
          <w:hyperlink w:anchor="_Toc119316337" w:history="1">
            <w:r w:rsidRPr="00382F9C">
              <w:rPr>
                <w:rStyle w:val="Hyperlink"/>
                <w:noProof/>
              </w:rPr>
              <w:t>Product Information</w:t>
            </w:r>
            <w:r>
              <w:rPr>
                <w:noProof/>
                <w:webHidden/>
              </w:rPr>
              <w:tab/>
            </w:r>
            <w:r>
              <w:rPr>
                <w:noProof/>
                <w:webHidden/>
              </w:rPr>
              <w:fldChar w:fldCharType="begin"/>
            </w:r>
            <w:r>
              <w:rPr>
                <w:noProof/>
                <w:webHidden/>
              </w:rPr>
              <w:instrText xml:space="preserve"> PAGEREF _Toc119316337 \h </w:instrText>
            </w:r>
            <w:r>
              <w:rPr>
                <w:noProof/>
                <w:webHidden/>
              </w:rPr>
            </w:r>
            <w:r>
              <w:rPr>
                <w:noProof/>
                <w:webHidden/>
              </w:rPr>
              <w:fldChar w:fldCharType="separate"/>
            </w:r>
            <w:r>
              <w:rPr>
                <w:noProof/>
                <w:webHidden/>
              </w:rPr>
              <w:t>12</w:t>
            </w:r>
            <w:r>
              <w:rPr>
                <w:noProof/>
                <w:webHidden/>
              </w:rPr>
              <w:fldChar w:fldCharType="end"/>
            </w:r>
          </w:hyperlink>
        </w:p>
        <w:p w14:paraId="077BF93C" w14:textId="1CC04780" w:rsidR="00FD1AC7" w:rsidRDefault="00FD1AC7">
          <w:pPr>
            <w:pStyle w:val="TOC1"/>
            <w:rPr>
              <w:rFonts w:asciiTheme="minorHAnsi" w:eastAsiaTheme="minorEastAsia" w:hAnsiTheme="minorHAnsi" w:cstheme="minorBidi"/>
              <w:b w:val="0"/>
              <w:noProof/>
              <w:sz w:val="22"/>
              <w:lang w:eastAsia="en-AU"/>
            </w:rPr>
          </w:pPr>
          <w:hyperlink w:anchor="_Toc119316338" w:history="1">
            <w:r w:rsidRPr="00382F9C">
              <w:rPr>
                <w:rStyle w:val="Hyperlink"/>
                <w:noProof/>
              </w:rPr>
              <w:t>Registration timeline</w:t>
            </w:r>
            <w:r>
              <w:rPr>
                <w:noProof/>
                <w:webHidden/>
              </w:rPr>
              <w:tab/>
            </w:r>
            <w:r>
              <w:rPr>
                <w:noProof/>
                <w:webHidden/>
              </w:rPr>
              <w:fldChar w:fldCharType="begin"/>
            </w:r>
            <w:r>
              <w:rPr>
                <w:noProof/>
                <w:webHidden/>
              </w:rPr>
              <w:instrText xml:space="preserve"> PAGEREF _Toc119316338 \h </w:instrText>
            </w:r>
            <w:r>
              <w:rPr>
                <w:noProof/>
                <w:webHidden/>
              </w:rPr>
            </w:r>
            <w:r>
              <w:rPr>
                <w:noProof/>
                <w:webHidden/>
              </w:rPr>
              <w:fldChar w:fldCharType="separate"/>
            </w:r>
            <w:r>
              <w:rPr>
                <w:noProof/>
                <w:webHidden/>
              </w:rPr>
              <w:t>12</w:t>
            </w:r>
            <w:r>
              <w:rPr>
                <w:noProof/>
                <w:webHidden/>
              </w:rPr>
              <w:fldChar w:fldCharType="end"/>
            </w:r>
          </w:hyperlink>
        </w:p>
        <w:p w14:paraId="3A15314A" w14:textId="19E58294" w:rsidR="00FD1AC7" w:rsidRDefault="00FD1AC7">
          <w:pPr>
            <w:pStyle w:val="TOC1"/>
            <w:rPr>
              <w:rFonts w:asciiTheme="minorHAnsi" w:eastAsiaTheme="minorEastAsia" w:hAnsiTheme="minorHAnsi" w:cstheme="minorBidi"/>
              <w:b w:val="0"/>
              <w:noProof/>
              <w:sz w:val="22"/>
              <w:lang w:eastAsia="en-AU"/>
            </w:rPr>
          </w:pPr>
          <w:hyperlink w:anchor="_Toc119316339" w:history="1">
            <w:r w:rsidRPr="00382F9C">
              <w:rPr>
                <w:rStyle w:val="Hyperlink"/>
                <w:noProof/>
              </w:rPr>
              <w:t>Submission overview and risk/benefit assessment</w:t>
            </w:r>
            <w:r>
              <w:rPr>
                <w:noProof/>
                <w:webHidden/>
              </w:rPr>
              <w:tab/>
            </w:r>
            <w:r>
              <w:rPr>
                <w:noProof/>
                <w:webHidden/>
              </w:rPr>
              <w:fldChar w:fldCharType="begin"/>
            </w:r>
            <w:r>
              <w:rPr>
                <w:noProof/>
                <w:webHidden/>
              </w:rPr>
              <w:instrText xml:space="preserve"> PAGEREF _Toc119316339 \h </w:instrText>
            </w:r>
            <w:r>
              <w:rPr>
                <w:noProof/>
                <w:webHidden/>
              </w:rPr>
            </w:r>
            <w:r>
              <w:rPr>
                <w:noProof/>
                <w:webHidden/>
              </w:rPr>
              <w:fldChar w:fldCharType="separate"/>
            </w:r>
            <w:r>
              <w:rPr>
                <w:noProof/>
                <w:webHidden/>
              </w:rPr>
              <w:t>13</w:t>
            </w:r>
            <w:r>
              <w:rPr>
                <w:noProof/>
                <w:webHidden/>
              </w:rPr>
              <w:fldChar w:fldCharType="end"/>
            </w:r>
          </w:hyperlink>
        </w:p>
        <w:p w14:paraId="5A10AA17" w14:textId="04A8A785" w:rsidR="00FD1AC7" w:rsidRDefault="00FD1AC7">
          <w:pPr>
            <w:pStyle w:val="TOC2"/>
            <w:rPr>
              <w:rFonts w:asciiTheme="minorHAnsi" w:eastAsiaTheme="minorEastAsia" w:hAnsiTheme="minorHAnsi" w:cstheme="minorBidi"/>
              <w:b w:val="0"/>
              <w:noProof/>
              <w:sz w:val="22"/>
              <w:lang w:eastAsia="en-AU"/>
            </w:rPr>
          </w:pPr>
          <w:hyperlink w:anchor="_Toc119316340" w:history="1">
            <w:r w:rsidRPr="00382F9C">
              <w:rPr>
                <w:rStyle w:val="Hyperlink"/>
                <w:noProof/>
              </w:rPr>
              <w:t>Quality</w:t>
            </w:r>
            <w:r>
              <w:rPr>
                <w:noProof/>
                <w:webHidden/>
              </w:rPr>
              <w:tab/>
            </w:r>
            <w:r>
              <w:rPr>
                <w:noProof/>
                <w:webHidden/>
              </w:rPr>
              <w:fldChar w:fldCharType="begin"/>
            </w:r>
            <w:r>
              <w:rPr>
                <w:noProof/>
                <w:webHidden/>
              </w:rPr>
              <w:instrText xml:space="preserve"> PAGEREF _Toc119316340 \h </w:instrText>
            </w:r>
            <w:r>
              <w:rPr>
                <w:noProof/>
                <w:webHidden/>
              </w:rPr>
            </w:r>
            <w:r>
              <w:rPr>
                <w:noProof/>
                <w:webHidden/>
              </w:rPr>
              <w:fldChar w:fldCharType="separate"/>
            </w:r>
            <w:r>
              <w:rPr>
                <w:noProof/>
                <w:webHidden/>
              </w:rPr>
              <w:t>13</w:t>
            </w:r>
            <w:r>
              <w:rPr>
                <w:noProof/>
                <w:webHidden/>
              </w:rPr>
              <w:fldChar w:fldCharType="end"/>
            </w:r>
          </w:hyperlink>
        </w:p>
        <w:p w14:paraId="4C5A15C3" w14:textId="024E8C49" w:rsidR="00FD1AC7" w:rsidRDefault="00FD1AC7">
          <w:pPr>
            <w:pStyle w:val="TOC2"/>
            <w:rPr>
              <w:rFonts w:asciiTheme="minorHAnsi" w:eastAsiaTheme="minorEastAsia" w:hAnsiTheme="minorHAnsi" w:cstheme="minorBidi"/>
              <w:b w:val="0"/>
              <w:noProof/>
              <w:sz w:val="22"/>
              <w:lang w:eastAsia="en-AU"/>
            </w:rPr>
          </w:pPr>
          <w:hyperlink w:anchor="_Toc119316341" w:history="1">
            <w:r w:rsidRPr="00382F9C">
              <w:rPr>
                <w:rStyle w:val="Hyperlink"/>
                <w:noProof/>
              </w:rPr>
              <w:t>Nonclinical</w:t>
            </w:r>
            <w:r>
              <w:rPr>
                <w:noProof/>
                <w:webHidden/>
              </w:rPr>
              <w:tab/>
            </w:r>
            <w:r>
              <w:rPr>
                <w:noProof/>
                <w:webHidden/>
              </w:rPr>
              <w:fldChar w:fldCharType="begin"/>
            </w:r>
            <w:r>
              <w:rPr>
                <w:noProof/>
                <w:webHidden/>
              </w:rPr>
              <w:instrText xml:space="preserve"> PAGEREF _Toc119316341 \h </w:instrText>
            </w:r>
            <w:r>
              <w:rPr>
                <w:noProof/>
                <w:webHidden/>
              </w:rPr>
            </w:r>
            <w:r>
              <w:rPr>
                <w:noProof/>
                <w:webHidden/>
              </w:rPr>
              <w:fldChar w:fldCharType="separate"/>
            </w:r>
            <w:r>
              <w:rPr>
                <w:noProof/>
                <w:webHidden/>
              </w:rPr>
              <w:t>14</w:t>
            </w:r>
            <w:r>
              <w:rPr>
                <w:noProof/>
                <w:webHidden/>
              </w:rPr>
              <w:fldChar w:fldCharType="end"/>
            </w:r>
          </w:hyperlink>
        </w:p>
        <w:p w14:paraId="3701B8C6" w14:textId="5D4626BD" w:rsidR="00FD1AC7" w:rsidRDefault="00FD1AC7">
          <w:pPr>
            <w:pStyle w:val="TOC2"/>
            <w:rPr>
              <w:rFonts w:asciiTheme="minorHAnsi" w:eastAsiaTheme="minorEastAsia" w:hAnsiTheme="minorHAnsi" w:cstheme="minorBidi"/>
              <w:b w:val="0"/>
              <w:noProof/>
              <w:sz w:val="22"/>
              <w:lang w:eastAsia="en-AU"/>
            </w:rPr>
          </w:pPr>
          <w:hyperlink w:anchor="_Toc119316342" w:history="1">
            <w:r w:rsidRPr="00382F9C">
              <w:rPr>
                <w:rStyle w:val="Hyperlink"/>
                <w:noProof/>
              </w:rPr>
              <w:t>Clinical</w:t>
            </w:r>
            <w:r>
              <w:rPr>
                <w:noProof/>
                <w:webHidden/>
              </w:rPr>
              <w:tab/>
            </w:r>
            <w:r>
              <w:rPr>
                <w:noProof/>
                <w:webHidden/>
              </w:rPr>
              <w:fldChar w:fldCharType="begin"/>
            </w:r>
            <w:r>
              <w:rPr>
                <w:noProof/>
                <w:webHidden/>
              </w:rPr>
              <w:instrText xml:space="preserve"> PAGEREF _Toc119316342 \h </w:instrText>
            </w:r>
            <w:r>
              <w:rPr>
                <w:noProof/>
                <w:webHidden/>
              </w:rPr>
            </w:r>
            <w:r>
              <w:rPr>
                <w:noProof/>
                <w:webHidden/>
              </w:rPr>
              <w:fldChar w:fldCharType="separate"/>
            </w:r>
            <w:r>
              <w:rPr>
                <w:noProof/>
                <w:webHidden/>
              </w:rPr>
              <w:t>16</w:t>
            </w:r>
            <w:r>
              <w:rPr>
                <w:noProof/>
                <w:webHidden/>
              </w:rPr>
              <w:fldChar w:fldCharType="end"/>
            </w:r>
          </w:hyperlink>
        </w:p>
        <w:p w14:paraId="581A6316" w14:textId="5B952917" w:rsidR="00FD1AC7" w:rsidRDefault="00FD1AC7">
          <w:pPr>
            <w:pStyle w:val="TOC2"/>
            <w:rPr>
              <w:rFonts w:asciiTheme="minorHAnsi" w:eastAsiaTheme="minorEastAsia" w:hAnsiTheme="minorHAnsi" w:cstheme="minorBidi"/>
              <w:b w:val="0"/>
              <w:noProof/>
              <w:sz w:val="22"/>
              <w:lang w:eastAsia="en-AU"/>
            </w:rPr>
          </w:pPr>
          <w:hyperlink w:anchor="_Toc119316343" w:history="1">
            <w:r w:rsidRPr="00382F9C">
              <w:rPr>
                <w:rStyle w:val="Hyperlink"/>
                <w:noProof/>
                <w:lang w:eastAsia="en-AU"/>
              </w:rPr>
              <w:t>Risk management plan</w:t>
            </w:r>
            <w:r>
              <w:rPr>
                <w:noProof/>
                <w:webHidden/>
              </w:rPr>
              <w:tab/>
            </w:r>
            <w:r>
              <w:rPr>
                <w:noProof/>
                <w:webHidden/>
              </w:rPr>
              <w:fldChar w:fldCharType="begin"/>
            </w:r>
            <w:r>
              <w:rPr>
                <w:noProof/>
                <w:webHidden/>
              </w:rPr>
              <w:instrText xml:space="preserve"> PAGEREF _Toc119316343 \h </w:instrText>
            </w:r>
            <w:r>
              <w:rPr>
                <w:noProof/>
                <w:webHidden/>
              </w:rPr>
            </w:r>
            <w:r>
              <w:rPr>
                <w:noProof/>
                <w:webHidden/>
              </w:rPr>
              <w:fldChar w:fldCharType="separate"/>
            </w:r>
            <w:r>
              <w:rPr>
                <w:noProof/>
                <w:webHidden/>
              </w:rPr>
              <w:t>41</w:t>
            </w:r>
            <w:r>
              <w:rPr>
                <w:noProof/>
                <w:webHidden/>
              </w:rPr>
              <w:fldChar w:fldCharType="end"/>
            </w:r>
          </w:hyperlink>
        </w:p>
        <w:p w14:paraId="0758370F" w14:textId="62B49F44" w:rsidR="00FD1AC7" w:rsidRDefault="00FD1AC7">
          <w:pPr>
            <w:pStyle w:val="TOC2"/>
            <w:rPr>
              <w:rFonts w:asciiTheme="minorHAnsi" w:eastAsiaTheme="minorEastAsia" w:hAnsiTheme="minorHAnsi" w:cstheme="minorBidi"/>
              <w:b w:val="0"/>
              <w:noProof/>
              <w:sz w:val="22"/>
              <w:lang w:eastAsia="en-AU"/>
            </w:rPr>
          </w:pPr>
          <w:hyperlink w:anchor="_Toc119316344" w:history="1">
            <w:r w:rsidRPr="00382F9C">
              <w:rPr>
                <w:rStyle w:val="Hyperlink"/>
                <w:noProof/>
              </w:rPr>
              <w:t>Risk-benefit analysis</w:t>
            </w:r>
            <w:r>
              <w:rPr>
                <w:noProof/>
                <w:webHidden/>
              </w:rPr>
              <w:tab/>
            </w:r>
            <w:r>
              <w:rPr>
                <w:noProof/>
                <w:webHidden/>
              </w:rPr>
              <w:fldChar w:fldCharType="begin"/>
            </w:r>
            <w:r>
              <w:rPr>
                <w:noProof/>
                <w:webHidden/>
              </w:rPr>
              <w:instrText xml:space="preserve"> PAGEREF _Toc119316344 \h </w:instrText>
            </w:r>
            <w:r>
              <w:rPr>
                <w:noProof/>
                <w:webHidden/>
              </w:rPr>
            </w:r>
            <w:r>
              <w:rPr>
                <w:noProof/>
                <w:webHidden/>
              </w:rPr>
              <w:fldChar w:fldCharType="separate"/>
            </w:r>
            <w:r>
              <w:rPr>
                <w:noProof/>
                <w:webHidden/>
              </w:rPr>
              <w:t>42</w:t>
            </w:r>
            <w:r>
              <w:rPr>
                <w:noProof/>
                <w:webHidden/>
              </w:rPr>
              <w:fldChar w:fldCharType="end"/>
            </w:r>
          </w:hyperlink>
        </w:p>
        <w:p w14:paraId="5E44FBC9" w14:textId="55A1FE75" w:rsidR="00FD1AC7" w:rsidRDefault="00FD1AC7">
          <w:pPr>
            <w:pStyle w:val="TOC1"/>
            <w:rPr>
              <w:rFonts w:asciiTheme="minorHAnsi" w:eastAsiaTheme="minorEastAsia" w:hAnsiTheme="minorHAnsi" w:cstheme="minorBidi"/>
              <w:b w:val="0"/>
              <w:noProof/>
              <w:sz w:val="22"/>
              <w:lang w:eastAsia="en-AU"/>
            </w:rPr>
          </w:pPr>
          <w:hyperlink w:anchor="_Toc119316345" w:history="1">
            <w:r w:rsidRPr="00382F9C">
              <w:rPr>
                <w:rStyle w:val="Hyperlink"/>
                <w:noProof/>
              </w:rPr>
              <w:t>Outcome</w:t>
            </w:r>
            <w:r>
              <w:rPr>
                <w:noProof/>
                <w:webHidden/>
              </w:rPr>
              <w:tab/>
            </w:r>
            <w:r>
              <w:rPr>
                <w:noProof/>
                <w:webHidden/>
              </w:rPr>
              <w:fldChar w:fldCharType="begin"/>
            </w:r>
            <w:r>
              <w:rPr>
                <w:noProof/>
                <w:webHidden/>
              </w:rPr>
              <w:instrText xml:space="preserve"> PAGEREF _Toc119316345 \h </w:instrText>
            </w:r>
            <w:r>
              <w:rPr>
                <w:noProof/>
                <w:webHidden/>
              </w:rPr>
            </w:r>
            <w:r>
              <w:rPr>
                <w:noProof/>
                <w:webHidden/>
              </w:rPr>
              <w:fldChar w:fldCharType="separate"/>
            </w:r>
            <w:r>
              <w:rPr>
                <w:noProof/>
                <w:webHidden/>
              </w:rPr>
              <w:t>43</w:t>
            </w:r>
            <w:r>
              <w:rPr>
                <w:noProof/>
                <w:webHidden/>
              </w:rPr>
              <w:fldChar w:fldCharType="end"/>
            </w:r>
          </w:hyperlink>
        </w:p>
        <w:p w14:paraId="177C36D9" w14:textId="0BE4129A" w:rsidR="00FD1AC7" w:rsidRDefault="00FD1AC7">
          <w:pPr>
            <w:pStyle w:val="TOC2"/>
            <w:rPr>
              <w:rFonts w:asciiTheme="minorHAnsi" w:eastAsiaTheme="minorEastAsia" w:hAnsiTheme="minorHAnsi" w:cstheme="minorBidi"/>
              <w:b w:val="0"/>
              <w:noProof/>
              <w:sz w:val="22"/>
              <w:lang w:eastAsia="en-AU"/>
            </w:rPr>
          </w:pPr>
          <w:hyperlink w:anchor="_Toc119316346" w:history="1">
            <w:r w:rsidRPr="00382F9C">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_Toc119316346 \h </w:instrText>
            </w:r>
            <w:r>
              <w:rPr>
                <w:noProof/>
                <w:webHidden/>
              </w:rPr>
            </w:r>
            <w:r>
              <w:rPr>
                <w:noProof/>
                <w:webHidden/>
              </w:rPr>
              <w:fldChar w:fldCharType="separate"/>
            </w:r>
            <w:r>
              <w:rPr>
                <w:noProof/>
                <w:webHidden/>
              </w:rPr>
              <w:t>43</w:t>
            </w:r>
            <w:r>
              <w:rPr>
                <w:noProof/>
                <w:webHidden/>
              </w:rPr>
              <w:fldChar w:fldCharType="end"/>
            </w:r>
          </w:hyperlink>
        </w:p>
        <w:p w14:paraId="1350DABB" w14:textId="0C3CA8D0" w:rsidR="00FD1AC7" w:rsidRDefault="00FD1AC7">
          <w:pPr>
            <w:pStyle w:val="TOC1"/>
            <w:rPr>
              <w:rFonts w:asciiTheme="minorHAnsi" w:eastAsiaTheme="minorEastAsia" w:hAnsiTheme="minorHAnsi" w:cstheme="minorBidi"/>
              <w:b w:val="0"/>
              <w:noProof/>
              <w:sz w:val="22"/>
              <w:lang w:eastAsia="en-AU"/>
            </w:rPr>
          </w:pPr>
          <w:hyperlink w:anchor="_Toc119316347" w:history="1">
            <w:r w:rsidRPr="00382F9C">
              <w:rPr>
                <w:rStyle w:val="Hyperlink"/>
                <w:noProof/>
              </w:rPr>
              <w:t>Attachment 1. Product Information</w:t>
            </w:r>
            <w:r>
              <w:rPr>
                <w:noProof/>
                <w:webHidden/>
              </w:rPr>
              <w:tab/>
            </w:r>
            <w:r>
              <w:rPr>
                <w:noProof/>
                <w:webHidden/>
              </w:rPr>
              <w:fldChar w:fldCharType="begin"/>
            </w:r>
            <w:r>
              <w:rPr>
                <w:noProof/>
                <w:webHidden/>
              </w:rPr>
              <w:instrText xml:space="preserve"> PAGEREF _Toc119316347 \h </w:instrText>
            </w:r>
            <w:r>
              <w:rPr>
                <w:noProof/>
                <w:webHidden/>
              </w:rPr>
            </w:r>
            <w:r>
              <w:rPr>
                <w:noProof/>
                <w:webHidden/>
              </w:rPr>
              <w:fldChar w:fldCharType="separate"/>
            </w:r>
            <w:r>
              <w:rPr>
                <w:noProof/>
                <w:webHidden/>
              </w:rPr>
              <w:t>44</w:t>
            </w:r>
            <w:r>
              <w:rPr>
                <w:noProof/>
                <w:webHidden/>
              </w:rPr>
              <w:fldChar w:fldCharType="end"/>
            </w:r>
          </w:hyperlink>
        </w:p>
        <w:p w14:paraId="13E78633" w14:textId="1FE3FEBE" w:rsidR="003A7F6C" w:rsidRPr="00FD35ED" w:rsidRDefault="00C525A2" w:rsidP="00EB36D6">
          <w:r w:rsidRPr="00FD35ED">
            <w:fldChar w:fldCharType="end"/>
          </w:r>
        </w:p>
      </w:sdtContent>
    </w:sdt>
    <w:bookmarkStart w:id="2" w:name="_Toc314842482" w:displacedByCustomXml="prev"/>
    <w:p w14:paraId="34141849" w14:textId="77777777" w:rsidR="00FD119B" w:rsidRPr="00FD35ED" w:rsidRDefault="00FD119B">
      <w:pPr>
        <w:spacing w:before="0" w:after="200" w:line="0" w:lineRule="auto"/>
      </w:pPr>
      <w:r w:rsidRPr="00FD35ED">
        <w:br w:type="page"/>
      </w:r>
    </w:p>
    <w:p w14:paraId="01F4867C" w14:textId="77777777" w:rsidR="00AF2313" w:rsidRPr="00FD35ED" w:rsidRDefault="00AF2313" w:rsidP="00AF2313">
      <w:pPr>
        <w:pStyle w:val="Heading2"/>
      </w:pPr>
      <w:bookmarkStart w:id="3" w:name="_Toc98931917"/>
      <w:bookmarkStart w:id="4" w:name="_Toc119316332"/>
      <w:r w:rsidRPr="00FD35ED">
        <w:lastRenderedPageBreak/>
        <w:t>List of abbreviations</w:t>
      </w:r>
      <w:bookmarkEnd w:id="3"/>
      <w:bookmarkEnd w:id="4"/>
    </w:p>
    <w:tbl>
      <w:tblPr>
        <w:tblStyle w:val="TableTGAblue"/>
        <w:tblW w:w="5000" w:type="pct"/>
        <w:tblLook w:val="04A0" w:firstRow="1" w:lastRow="0" w:firstColumn="1" w:lastColumn="0" w:noHBand="0" w:noVBand="1"/>
      </w:tblPr>
      <w:tblGrid>
        <w:gridCol w:w="1989"/>
        <w:gridCol w:w="1062"/>
        <w:gridCol w:w="5433"/>
      </w:tblGrid>
      <w:tr w:rsidR="00AF2313" w:rsidRPr="00FD35ED" w14:paraId="674142FF" w14:textId="77777777" w:rsidTr="001C3BAB">
        <w:trPr>
          <w:cnfStyle w:val="100000000000" w:firstRow="1" w:lastRow="0" w:firstColumn="0" w:lastColumn="0" w:oddVBand="0" w:evenVBand="0" w:oddHBand="0" w:evenHBand="0" w:firstRowFirstColumn="0" w:firstRowLastColumn="0" w:lastRowFirstColumn="0" w:lastRowLastColumn="0"/>
          <w:cantSplit/>
        </w:trPr>
        <w:tc>
          <w:tcPr>
            <w:tcW w:w="1798" w:type="pct"/>
            <w:gridSpan w:val="2"/>
            <w:hideMark/>
          </w:tcPr>
          <w:p w14:paraId="7479B014" w14:textId="77777777" w:rsidR="00AF2313" w:rsidRPr="00FD35ED" w:rsidRDefault="00AF2313">
            <w:pPr>
              <w:rPr>
                <w:color w:val="FFFFFF"/>
              </w:rPr>
            </w:pPr>
            <w:bookmarkStart w:id="5" w:name="_Hlk113372767"/>
            <w:r w:rsidRPr="00FD35ED">
              <w:t>Abbreviation</w:t>
            </w:r>
          </w:p>
        </w:tc>
        <w:tc>
          <w:tcPr>
            <w:tcW w:w="3202" w:type="pct"/>
            <w:hideMark/>
          </w:tcPr>
          <w:p w14:paraId="7B64DB62" w14:textId="77777777" w:rsidR="00AF2313" w:rsidRPr="00FD35ED" w:rsidRDefault="00AF2313">
            <w:r w:rsidRPr="00FD35ED">
              <w:t>Meaning</w:t>
            </w:r>
          </w:p>
        </w:tc>
      </w:tr>
      <w:tr w:rsidR="003A72F4" w:rsidRPr="00FD35ED" w14:paraId="66465ADE"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4DB42F57" w14:textId="1537DCAB" w:rsidR="003A72F4" w:rsidRPr="00FD35ED" w:rsidRDefault="003A72F4" w:rsidP="003A72F4">
            <w:r w:rsidRPr="00FD35ED">
              <w:t>ACM</w:t>
            </w:r>
          </w:p>
        </w:tc>
        <w:tc>
          <w:tcPr>
            <w:tcW w:w="3828" w:type="pct"/>
            <w:gridSpan w:val="2"/>
            <w:tcBorders>
              <w:top w:val="single" w:sz="8" w:space="0" w:color="002C47"/>
              <w:left w:val="single" w:sz="8" w:space="0" w:color="002C47"/>
              <w:bottom w:val="single" w:sz="8" w:space="0" w:color="002C47"/>
              <w:right w:val="single" w:sz="8" w:space="0" w:color="002C47"/>
            </w:tcBorders>
          </w:tcPr>
          <w:p w14:paraId="1488FC5E" w14:textId="1B19509C" w:rsidR="003A72F4" w:rsidRPr="00FD35ED" w:rsidRDefault="003A72F4" w:rsidP="003A72F4">
            <w:r w:rsidRPr="00FD35ED">
              <w:t>Advisory Committee on Medicines</w:t>
            </w:r>
          </w:p>
        </w:tc>
      </w:tr>
      <w:tr w:rsidR="00581F29" w:rsidRPr="00FD35ED" w14:paraId="422FD5EB"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3418E3BF" w14:textId="3CC7FA3E" w:rsidR="00581F29" w:rsidRPr="00FD35ED" w:rsidRDefault="00581F29" w:rsidP="003A72F4">
            <w:r w:rsidRPr="00FD35ED">
              <w:t>ADA</w:t>
            </w:r>
          </w:p>
        </w:tc>
        <w:tc>
          <w:tcPr>
            <w:tcW w:w="3828" w:type="pct"/>
            <w:gridSpan w:val="2"/>
            <w:tcBorders>
              <w:top w:val="single" w:sz="8" w:space="0" w:color="002C47"/>
              <w:left w:val="single" w:sz="8" w:space="0" w:color="002C47"/>
              <w:bottom w:val="single" w:sz="8" w:space="0" w:color="002C47"/>
              <w:right w:val="single" w:sz="8" w:space="0" w:color="002C47"/>
            </w:tcBorders>
          </w:tcPr>
          <w:p w14:paraId="39E5DBD9" w14:textId="5ED7EBCC" w:rsidR="00581F29" w:rsidRPr="00FD35ED" w:rsidRDefault="00581F29" w:rsidP="003A72F4">
            <w:r w:rsidRPr="00FD35ED">
              <w:t>Anti-drug antibody</w:t>
            </w:r>
          </w:p>
        </w:tc>
      </w:tr>
      <w:tr w:rsidR="00581F29" w:rsidRPr="00FD35ED" w14:paraId="720FEFAE"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402E7A27" w14:textId="1C7DD1B2" w:rsidR="00581F29" w:rsidRPr="00FD35ED" w:rsidRDefault="00581F29" w:rsidP="003A72F4">
            <w:r w:rsidRPr="00FD35ED">
              <w:t>AE</w:t>
            </w:r>
          </w:p>
        </w:tc>
        <w:tc>
          <w:tcPr>
            <w:tcW w:w="3828" w:type="pct"/>
            <w:gridSpan w:val="2"/>
            <w:tcBorders>
              <w:top w:val="single" w:sz="8" w:space="0" w:color="002C47"/>
              <w:left w:val="single" w:sz="8" w:space="0" w:color="002C47"/>
              <w:bottom w:val="single" w:sz="8" w:space="0" w:color="002C47"/>
              <w:right w:val="single" w:sz="8" w:space="0" w:color="002C47"/>
            </w:tcBorders>
          </w:tcPr>
          <w:p w14:paraId="52110594" w14:textId="21E25250" w:rsidR="00581F29" w:rsidRPr="00FD35ED" w:rsidRDefault="00581F29" w:rsidP="003A72F4">
            <w:r w:rsidRPr="00FD35ED">
              <w:t>Adverse event</w:t>
            </w:r>
          </w:p>
        </w:tc>
      </w:tr>
      <w:tr w:rsidR="00581F29" w:rsidRPr="00FD35ED" w14:paraId="354CCCD2"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686ADC25" w14:textId="027C86D5" w:rsidR="00581F29" w:rsidRPr="00FD35ED" w:rsidRDefault="00581F29" w:rsidP="003A72F4">
            <w:r w:rsidRPr="00FD35ED">
              <w:t>AESI</w:t>
            </w:r>
          </w:p>
        </w:tc>
        <w:tc>
          <w:tcPr>
            <w:tcW w:w="3828" w:type="pct"/>
            <w:gridSpan w:val="2"/>
            <w:tcBorders>
              <w:top w:val="single" w:sz="8" w:space="0" w:color="002C47"/>
              <w:left w:val="single" w:sz="8" w:space="0" w:color="002C47"/>
              <w:bottom w:val="single" w:sz="8" w:space="0" w:color="002C47"/>
              <w:right w:val="single" w:sz="8" w:space="0" w:color="002C47"/>
            </w:tcBorders>
          </w:tcPr>
          <w:p w14:paraId="668C740C" w14:textId="7E4D3C97" w:rsidR="00581F29" w:rsidRPr="00FD35ED" w:rsidRDefault="00581F29" w:rsidP="003A72F4">
            <w:r w:rsidRPr="00FD35ED">
              <w:t>Adverse event of special interest</w:t>
            </w:r>
          </w:p>
        </w:tc>
      </w:tr>
      <w:tr w:rsidR="00362C15" w:rsidRPr="00FD35ED" w14:paraId="30B91CF5"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437DDC93" w14:textId="37B2E92E" w:rsidR="00362C15" w:rsidRPr="00FD35ED" w:rsidRDefault="00362C15" w:rsidP="003A72F4">
            <w:r w:rsidRPr="00362C15">
              <w:t>AJCC</w:t>
            </w:r>
          </w:p>
        </w:tc>
        <w:tc>
          <w:tcPr>
            <w:tcW w:w="3828" w:type="pct"/>
            <w:gridSpan w:val="2"/>
            <w:tcBorders>
              <w:top w:val="single" w:sz="8" w:space="0" w:color="002C47"/>
              <w:left w:val="single" w:sz="8" w:space="0" w:color="002C47"/>
              <w:bottom w:val="single" w:sz="8" w:space="0" w:color="002C47"/>
              <w:right w:val="single" w:sz="8" w:space="0" w:color="002C47"/>
            </w:tcBorders>
          </w:tcPr>
          <w:p w14:paraId="4E83C8BF" w14:textId="1563C17B" w:rsidR="00362C15" w:rsidRPr="00FD35ED" w:rsidRDefault="00362C15" w:rsidP="003A72F4">
            <w:r w:rsidRPr="00362C15">
              <w:t>American Joint Committee on Cancer (</w:t>
            </w:r>
            <w:r w:rsidRPr="00FD35ED">
              <w:rPr>
                <w:color w:val="000000"/>
              </w:rPr>
              <w:t>United States of America</w:t>
            </w:r>
            <w:r w:rsidRPr="00362C15">
              <w:t>)</w:t>
            </w:r>
          </w:p>
        </w:tc>
      </w:tr>
      <w:tr w:rsidR="00581F29" w:rsidRPr="00FD35ED" w14:paraId="5E1CFDB1"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5E5A73AC" w14:textId="741A7B4B" w:rsidR="00581F29" w:rsidRPr="00FD35ED" w:rsidRDefault="00581F29" w:rsidP="003A72F4">
            <w:r w:rsidRPr="00FD35ED">
              <w:t>ALT</w:t>
            </w:r>
          </w:p>
        </w:tc>
        <w:tc>
          <w:tcPr>
            <w:tcW w:w="3828" w:type="pct"/>
            <w:gridSpan w:val="2"/>
            <w:tcBorders>
              <w:top w:val="single" w:sz="8" w:space="0" w:color="002C47"/>
              <w:left w:val="single" w:sz="8" w:space="0" w:color="002C47"/>
              <w:bottom w:val="single" w:sz="8" w:space="0" w:color="002C47"/>
              <w:right w:val="single" w:sz="8" w:space="0" w:color="002C47"/>
            </w:tcBorders>
          </w:tcPr>
          <w:p w14:paraId="4F147017" w14:textId="36F8E88E" w:rsidR="00581F29" w:rsidRPr="00FD35ED" w:rsidRDefault="00581F29" w:rsidP="003A72F4">
            <w:r w:rsidRPr="00FD35ED">
              <w:t>Alanine aminotransferase</w:t>
            </w:r>
          </w:p>
        </w:tc>
      </w:tr>
      <w:tr w:rsidR="00581F29" w:rsidRPr="00FD35ED" w14:paraId="48F17CA2"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193D5941" w14:textId="05FE5041" w:rsidR="00581F29" w:rsidRPr="00FD35ED" w:rsidRDefault="00581F29" w:rsidP="003A72F4">
            <w:r w:rsidRPr="00FD35ED">
              <w:t>ARTG</w:t>
            </w:r>
          </w:p>
        </w:tc>
        <w:tc>
          <w:tcPr>
            <w:tcW w:w="3828" w:type="pct"/>
            <w:gridSpan w:val="2"/>
            <w:tcBorders>
              <w:top w:val="single" w:sz="8" w:space="0" w:color="002C47"/>
              <w:left w:val="single" w:sz="8" w:space="0" w:color="002C47"/>
              <w:bottom w:val="single" w:sz="8" w:space="0" w:color="002C47"/>
              <w:right w:val="single" w:sz="8" w:space="0" w:color="002C47"/>
            </w:tcBorders>
          </w:tcPr>
          <w:p w14:paraId="6195BFF1" w14:textId="085977BA" w:rsidR="00581F29" w:rsidRPr="00FD35ED" w:rsidRDefault="00581F29" w:rsidP="003A72F4">
            <w:r w:rsidRPr="00FD35ED">
              <w:t>Australian Register of Therapeutic Goods</w:t>
            </w:r>
          </w:p>
        </w:tc>
      </w:tr>
      <w:tr w:rsidR="00581F29" w:rsidRPr="00FD35ED" w14:paraId="65294C5E"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734724E5" w14:textId="6B52D131" w:rsidR="00581F29" w:rsidRPr="00FD35ED" w:rsidRDefault="00581F29" w:rsidP="003A72F4">
            <w:r w:rsidRPr="00FD35ED">
              <w:t>ASA</w:t>
            </w:r>
          </w:p>
        </w:tc>
        <w:tc>
          <w:tcPr>
            <w:tcW w:w="3828" w:type="pct"/>
            <w:gridSpan w:val="2"/>
            <w:tcBorders>
              <w:top w:val="single" w:sz="8" w:space="0" w:color="002C47"/>
              <w:left w:val="single" w:sz="8" w:space="0" w:color="002C47"/>
              <w:bottom w:val="single" w:sz="8" w:space="0" w:color="002C47"/>
              <w:right w:val="single" w:sz="8" w:space="0" w:color="002C47"/>
            </w:tcBorders>
          </w:tcPr>
          <w:p w14:paraId="0B5F616D" w14:textId="63302E99" w:rsidR="00581F29" w:rsidRPr="00FD35ED" w:rsidRDefault="00581F29" w:rsidP="003A72F4">
            <w:bookmarkStart w:id="6" w:name="_Hlk113378508"/>
            <w:r w:rsidRPr="00FD35ED">
              <w:t>Australia specific annex</w:t>
            </w:r>
            <w:bookmarkEnd w:id="6"/>
          </w:p>
        </w:tc>
      </w:tr>
      <w:tr w:rsidR="00581F29" w:rsidRPr="00FD35ED" w14:paraId="496DC314"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7C638DB5" w14:textId="4A788FB4" w:rsidR="00581F29" w:rsidRPr="00FD35ED" w:rsidRDefault="00581F29" w:rsidP="003A72F4">
            <w:pPr>
              <w:rPr>
                <w:color w:val="000000"/>
              </w:rPr>
            </w:pPr>
            <w:r w:rsidRPr="00FD35ED">
              <w:t>AST</w:t>
            </w:r>
          </w:p>
        </w:tc>
        <w:tc>
          <w:tcPr>
            <w:tcW w:w="3828" w:type="pct"/>
            <w:gridSpan w:val="2"/>
            <w:tcBorders>
              <w:top w:val="single" w:sz="8" w:space="0" w:color="002C47"/>
              <w:left w:val="single" w:sz="8" w:space="0" w:color="002C47"/>
              <w:bottom w:val="single" w:sz="8" w:space="0" w:color="002C47"/>
              <w:right w:val="single" w:sz="8" w:space="0" w:color="002C47"/>
            </w:tcBorders>
          </w:tcPr>
          <w:p w14:paraId="1240579C" w14:textId="0E2DCA5B" w:rsidR="00581F29" w:rsidRPr="00FD35ED" w:rsidRDefault="00581F29">
            <w:pPr>
              <w:rPr>
                <w:color w:val="000000"/>
              </w:rPr>
            </w:pPr>
            <w:r w:rsidRPr="00FD35ED">
              <w:t xml:space="preserve">Aspartate </w:t>
            </w:r>
            <w:r>
              <w:t>aminotransferase</w:t>
            </w:r>
          </w:p>
        </w:tc>
      </w:tr>
      <w:tr w:rsidR="00581F29" w:rsidRPr="00FD35ED" w14:paraId="07C4AD48"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12E1B414" w14:textId="0DB8AFFF" w:rsidR="00581F29" w:rsidRPr="00FD35ED" w:rsidRDefault="00581F29" w:rsidP="003A72F4">
            <w:r w:rsidRPr="00FD35ED">
              <w:t>ASTCT</w:t>
            </w:r>
          </w:p>
        </w:tc>
        <w:tc>
          <w:tcPr>
            <w:tcW w:w="3828" w:type="pct"/>
            <w:gridSpan w:val="2"/>
            <w:tcBorders>
              <w:top w:val="single" w:sz="8" w:space="0" w:color="002C47"/>
              <w:left w:val="single" w:sz="8" w:space="0" w:color="002C47"/>
              <w:bottom w:val="single" w:sz="8" w:space="0" w:color="002C47"/>
              <w:right w:val="single" w:sz="8" w:space="0" w:color="002C47"/>
            </w:tcBorders>
          </w:tcPr>
          <w:p w14:paraId="77C626A0" w14:textId="01448030" w:rsidR="00581F29" w:rsidRPr="00FD35ED" w:rsidRDefault="00581F29" w:rsidP="003A72F4">
            <w:r w:rsidRPr="00FD35ED">
              <w:t>American Society for Transpl</w:t>
            </w:r>
            <w:r>
              <w:t>antation and Cellular Therapy</w:t>
            </w:r>
          </w:p>
        </w:tc>
      </w:tr>
      <w:tr w:rsidR="00581F29" w:rsidRPr="00FD35ED" w14:paraId="7CB27FD2"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1F385F07" w14:textId="3BF66DE8" w:rsidR="00581F29" w:rsidRPr="00FD35ED" w:rsidRDefault="00581F29" w:rsidP="003A72F4">
            <w:pPr>
              <w:rPr>
                <w:color w:val="000000"/>
              </w:rPr>
            </w:pPr>
            <w:r w:rsidRPr="00FD35ED">
              <w:t>BAP1</w:t>
            </w:r>
          </w:p>
        </w:tc>
        <w:tc>
          <w:tcPr>
            <w:tcW w:w="3828" w:type="pct"/>
            <w:gridSpan w:val="2"/>
            <w:tcBorders>
              <w:top w:val="single" w:sz="8" w:space="0" w:color="002C47"/>
              <w:left w:val="single" w:sz="8" w:space="0" w:color="002C47"/>
              <w:bottom w:val="single" w:sz="8" w:space="0" w:color="002C47"/>
              <w:right w:val="single" w:sz="8" w:space="0" w:color="002C47"/>
            </w:tcBorders>
          </w:tcPr>
          <w:p w14:paraId="50A2480A" w14:textId="18B75938" w:rsidR="00581F29" w:rsidRPr="00FD35ED" w:rsidRDefault="001E10CF" w:rsidP="003A72F4">
            <w:r>
              <w:t>BRCA</w:t>
            </w:r>
            <w:r w:rsidR="00581F29" w:rsidRPr="00FD35ED">
              <w:t>1-associated protein 1</w:t>
            </w:r>
          </w:p>
        </w:tc>
      </w:tr>
      <w:tr w:rsidR="00581F29" w:rsidRPr="00FD35ED" w14:paraId="59CE3521"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08EEB390" w14:textId="4CE66D7E" w:rsidR="00581F29" w:rsidRPr="00FD35ED" w:rsidRDefault="00581F29" w:rsidP="003A72F4">
            <w:r w:rsidRPr="00FD35ED">
              <w:t>CD</w:t>
            </w:r>
          </w:p>
        </w:tc>
        <w:tc>
          <w:tcPr>
            <w:tcW w:w="3828" w:type="pct"/>
            <w:gridSpan w:val="2"/>
            <w:tcBorders>
              <w:top w:val="single" w:sz="8" w:space="0" w:color="002C47"/>
              <w:left w:val="single" w:sz="8" w:space="0" w:color="002C47"/>
              <w:bottom w:val="single" w:sz="8" w:space="0" w:color="002C47"/>
              <w:right w:val="single" w:sz="8" w:space="0" w:color="002C47"/>
            </w:tcBorders>
          </w:tcPr>
          <w:p w14:paraId="486B5CA6" w14:textId="3F0364CC" w:rsidR="00581F29" w:rsidRPr="00FD35ED" w:rsidRDefault="00581F29" w:rsidP="003A72F4">
            <w:r w:rsidRPr="00FD35ED">
              <w:t>Cluster of differentiation</w:t>
            </w:r>
          </w:p>
        </w:tc>
      </w:tr>
      <w:tr w:rsidR="00581F29" w:rsidRPr="00FD35ED" w14:paraId="795DD20F"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4742B68C" w14:textId="003EC0C7" w:rsidR="00581F29" w:rsidRPr="00FD35ED" w:rsidRDefault="00581F29" w:rsidP="003A72F4">
            <w:r w:rsidRPr="00FD35ED">
              <w:t>CI</w:t>
            </w:r>
          </w:p>
        </w:tc>
        <w:tc>
          <w:tcPr>
            <w:tcW w:w="3828" w:type="pct"/>
            <w:gridSpan w:val="2"/>
            <w:tcBorders>
              <w:top w:val="single" w:sz="8" w:space="0" w:color="002C47"/>
              <w:left w:val="single" w:sz="8" w:space="0" w:color="002C47"/>
              <w:bottom w:val="single" w:sz="8" w:space="0" w:color="002C47"/>
              <w:right w:val="single" w:sz="8" w:space="0" w:color="002C47"/>
            </w:tcBorders>
          </w:tcPr>
          <w:p w14:paraId="6561F0C0" w14:textId="0D233678" w:rsidR="00581F29" w:rsidRPr="00FD35ED" w:rsidRDefault="00581F29" w:rsidP="003A72F4">
            <w:r w:rsidRPr="00FD35ED">
              <w:t>Confidence interval</w:t>
            </w:r>
          </w:p>
        </w:tc>
      </w:tr>
      <w:tr w:rsidR="00581F29" w:rsidRPr="00FD35ED" w14:paraId="3835FB91"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65CAB7A7" w14:textId="1AED53F4" w:rsidR="00581F29" w:rsidRPr="00FD35ED" w:rsidRDefault="00581F29" w:rsidP="003A72F4">
            <w:r w:rsidRPr="00FD35ED">
              <w:t>CMI</w:t>
            </w:r>
          </w:p>
        </w:tc>
        <w:tc>
          <w:tcPr>
            <w:tcW w:w="3828" w:type="pct"/>
            <w:gridSpan w:val="2"/>
            <w:tcBorders>
              <w:top w:val="single" w:sz="8" w:space="0" w:color="002C47"/>
              <w:left w:val="single" w:sz="8" w:space="0" w:color="002C47"/>
              <w:bottom w:val="single" w:sz="8" w:space="0" w:color="002C47"/>
              <w:right w:val="single" w:sz="8" w:space="0" w:color="002C47"/>
            </w:tcBorders>
          </w:tcPr>
          <w:p w14:paraId="2CF46E3E" w14:textId="1DBA7E56" w:rsidR="00581F29" w:rsidRPr="00FD35ED" w:rsidRDefault="00581F29" w:rsidP="003A72F4">
            <w:r w:rsidRPr="00FD35ED">
              <w:t>Consumer Medicines Information</w:t>
            </w:r>
          </w:p>
        </w:tc>
      </w:tr>
      <w:tr w:rsidR="00581F29" w:rsidRPr="00FD35ED" w14:paraId="39D86ACA"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6ED73E8D" w14:textId="168D7E67" w:rsidR="00581F29" w:rsidRPr="00FD35ED" w:rsidRDefault="00581F29" w:rsidP="003A72F4">
            <w:r w:rsidRPr="00FD35ED">
              <w:t>CRS</w:t>
            </w:r>
          </w:p>
        </w:tc>
        <w:tc>
          <w:tcPr>
            <w:tcW w:w="3828" w:type="pct"/>
            <w:gridSpan w:val="2"/>
            <w:tcBorders>
              <w:top w:val="single" w:sz="8" w:space="0" w:color="002C47"/>
              <w:left w:val="single" w:sz="8" w:space="0" w:color="002C47"/>
              <w:bottom w:val="single" w:sz="8" w:space="0" w:color="002C47"/>
              <w:right w:val="single" w:sz="8" w:space="0" w:color="002C47"/>
            </w:tcBorders>
          </w:tcPr>
          <w:p w14:paraId="5287ABD8" w14:textId="4D36E662" w:rsidR="00581F29" w:rsidRPr="00FD35ED" w:rsidRDefault="00581F29" w:rsidP="003A72F4">
            <w:bookmarkStart w:id="7" w:name="_Hlk113451058"/>
            <w:r w:rsidRPr="00FD35ED">
              <w:t>Cytokine release syndrome</w:t>
            </w:r>
            <w:bookmarkEnd w:id="7"/>
          </w:p>
        </w:tc>
      </w:tr>
      <w:tr w:rsidR="00581F29" w:rsidRPr="00FD35ED" w14:paraId="28AD8FB4"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3E6F71BC" w14:textId="22139ABE" w:rsidR="00581F29" w:rsidRPr="00FD35ED" w:rsidRDefault="00581F29" w:rsidP="003A72F4">
            <w:r w:rsidRPr="00FD35ED">
              <w:t>CTLA4</w:t>
            </w:r>
          </w:p>
        </w:tc>
        <w:tc>
          <w:tcPr>
            <w:tcW w:w="3828" w:type="pct"/>
            <w:gridSpan w:val="2"/>
            <w:tcBorders>
              <w:top w:val="single" w:sz="8" w:space="0" w:color="002C47"/>
              <w:left w:val="single" w:sz="8" w:space="0" w:color="002C47"/>
              <w:bottom w:val="single" w:sz="8" w:space="0" w:color="002C47"/>
              <w:right w:val="single" w:sz="8" w:space="0" w:color="002C47"/>
            </w:tcBorders>
          </w:tcPr>
          <w:p w14:paraId="546B050C" w14:textId="652423BE" w:rsidR="00581F29" w:rsidRPr="00FD35ED" w:rsidRDefault="00581F29" w:rsidP="003A72F4">
            <w:r w:rsidRPr="00FD35ED">
              <w:t>Cytotoxic T-lymphocyte-associated antigen 4</w:t>
            </w:r>
          </w:p>
        </w:tc>
      </w:tr>
      <w:tr w:rsidR="00581F29" w:rsidRPr="00FD35ED" w14:paraId="5FA17A9D"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5BC639A0" w14:textId="367C1D1F" w:rsidR="00581F29" w:rsidRPr="00FD35ED" w:rsidRDefault="00581F29">
            <w:r w:rsidRPr="00FD35ED">
              <w:t>CYP</w:t>
            </w:r>
          </w:p>
        </w:tc>
        <w:tc>
          <w:tcPr>
            <w:tcW w:w="3828" w:type="pct"/>
            <w:gridSpan w:val="2"/>
            <w:tcBorders>
              <w:top w:val="single" w:sz="8" w:space="0" w:color="002C47"/>
              <w:left w:val="single" w:sz="8" w:space="0" w:color="002C47"/>
              <w:bottom w:val="single" w:sz="8" w:space="0" w:color="002C47"/>
              <w:right w:val="single" w:sz="8" w:space="0" w:color="002C47"/>
            </w:tcBorders>
          </w:tcPr>
          <w:p w14:paraId="5E9D9D1E" w14:textId="5275F3B8" w:rsidR="00581F29" w:rsidRPr="00FD35ED" w:rsidRDefault="00581F29" w:rsidP="003A72F4">
            <w:r w:rsidRPr="00FD35ED">
              <w:t>Cytochrome P450</w:t>
            </w:r>
          </w:p>
        </w:tc>
      </w:tr>
      <w:tr w:rsidR="00581F29" w:rsidRPr="00FD35ED" w14:paraId="69713145"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399F01FE" w14:textId="1213C24C" w:rsidR="00581F29" w:rsidRPr="00FD35ED" w:rsidRDefault="00581F29" w:rsidP="003A72F4">
            <w:r w:rsidRPr="00FD35ED">
              <w:t>DLP</w:t>
            </w:r>
          </w:p>
        </w:tc>
        <w:tc>
          <w:tcPr>
            <w:tcW w:w="3828" w:type="pct"/>
            <w:gridSpan w:val="2"/>
            <w:tcBorders>
              <w:top w:val="single" w:sz="8" w:space="0" w:color="002C47"/>
              <w:left w:val="single" w:sz="8" w:space="0" w:color="002C47"/>
              <w:bottom w:val="single" w:sz="8" w:space="0" w:color="002C47"/>
              <w:right w:val="single" w:sz="8" w:space="0" w:color="002C47"/>
            </w:tcBorders>
          </w:tcPr>
          <w:p w14:paraId="241C36DB" w14:textId="1B119908" w:rsidR="00581F29" w:rsidRPr="00FD35ED" w:rsidRDefault="00581F29" w:rsidP="003A72F4">
            <w:bookmarkStart w:id="8" w:name="_Hlk113378495"/>
            <w:r w:rsidRPr="00FD35ED">
              <w:t>Data lock point</w:t>
            </w:r>
            <w:bookmarkEnd w:id="8"/>
          </w:p>
        </w:tc>
      </w:tr>
      <w:tr w:rsidR="00581F29" w:rsidRPr="00FD35ED" w14:paraId="152A2B89"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65D7A88F" w14:textId="0D287CF5" w:rsidR="00581F29" w:rsidRPr="00FD35ED" w:rsidRDefault="00581F29" w:rsidP="003A72F4">
            <w:r w:rsidRPr="00FD35ED">
              <w:t>EU</w:t>
            </w:r>
          </w:p>
        </w:tc>
        <w:tc>
          <w:tcPr>
            <w:tcW w:w="3828" w:type="pct"/>
            <w:gridSpan w:val="2"/>
            <w:tcBorders>
              <w:top w:val="single" w:sz="8" w:space="0" w:color="002C47"/>
              <w:left w:val="single" w:sz="8" w:space="0" w:color="002C47"/>
              <w:bottom w:val="single" w:sz="8" w:space="0" w:color="002C47"/>
              <w:right w:val="single" w:sz="8" w:space="0" w:color="002C47"/>
            </w:tcBorders>
          </w:tcPr>
          <w:p w14:paraId="1D6A6179" w14:textId="654E8D8E" w:rsidR="00581F29" w:rsidRPr="00FD35ED" w:rsidRDefault="00581F29" w:rsidP="003A72F4">
            <w:r w:rsidRPr="00FD35ED">
              <w:t>European Union</w:t>
            </w:r>
          </w:p>
        </w:tc>
      </w:tr>
      <w:tr w:rsidR="00581F29" w:rsidRPr="00FD35ED" w14:paraId="4A1A1A9F"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4F1C176C" w14:textId="11997687" w:rsidR="00581F29" w:rsidRPr="00FD35ED" w:rsidRDefault="00581F29" w:rsidP="003A72F4">
            <w:r w:rsidRPr="00FD35ED">
              <w:t>FDA</w:t>
            </w:r>
          </w:p>
        </w:tc>
        <w:tc>
          <w:tcPr>
            <w:tcW w:w="3828" w:type="pct"/>
            <w:gridSpan w:val="2"/>
            <w:tcBorders>
              <w:top w:val="single" w:sz="8" w:space="0" w:color="002C47"/>
              <w:left w:val="single" w:sz="8" w:space="0" w:color="002C47"/>
              <w:bottom w:val="single" w:sz="8" w:space="0" w:color="002C47"/>
              <w:right w:val="single" w:sz="8" w:space="0" w:color="002C47"/>
            </w:tcBorders>
          </w:tcPr>
          <w:p w14:paraId="03BB78E8" w14:textId="4764C8C6" w:rsidR="00581F29" w:rsidRPr="00FD35ED" w:rsidRDefault="00581F29" w:rsidP="003A72F4">
            <w:r w:rsidRPr="00FD35ED">
              <w:t>Food and Drug Administration (</w:t>
            </w:r>
            <w:r w:rsidRPr="00FD35ED">
              <w:rPr>
                <w:color w:val="000000"/>
              </w:rPr>
              <w:t>United States of America)</w:t>
            </w:r>
          </w:p>
        </w:tc>
      </w:tr>
      <w:tr w:rsidR="00581F29" w:rsidRPr="00FD35ED" w14:paraId="6FD1482B"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14D6E90B" w14:textId="00772275" w:rsidR="00581F29" w:rsidRPr="00FD35ED" w:rsidRDefault="00581F29" w:rsidP="003A72F4">
            <w:r w:rsidRPr="00FD35ED">
              <w:t>gp100</w:t>
            </w:r>
          </w:p>
        </w:tc>
        <w:tc>
          <w:tcPr>
            <w:tcW w:w="3828" w:type="pct"/>
            <w:gridSpan w:val="2"/>
            <w:tcBorders>
              <w:top w:val="single" w:sz="8" w:space="0" w:color="002C47"/>
              <w:left w:val="single" w:sz="8" w:space="0" w:color="002C47"/>
              <w:bottom w:val="single" w:sz="8" w:space="0" w:color="002C47"/>
              <w:right w:val="single" w:sz="8" w:space="0" w:color="002C47"/>
            </w:tcBorders>
          </w:tcPr>
          <w:p w14:paraId="13B70897" w14:textId="779EC55E" w:rsidR="00581F29" w:rsidRPr="00FD35ED" w:rsidRDefault="00581F29" w:rsidP="003A72F4">
            <w:r w:rsidRPr="00FD35ED">
              <w:t>Glycoprotein 100</w:t>
            </w:r>
          </w:p>
        </w:tc>
      </w:tr>
      <w:tr w:rsidR="00581F29" w:rsidRPr="00FD35ED" w14:paraId="32E5153B"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504286EA" w14:textId="210692E6" w:rsidR="00581F29" w:rsidRPr="00FD35ED" w:rsidRDefault="00581F29" w:rsidP="003A72F4">
            <w:r w:rsidRPr="00FD35ED">
              <w:t>GVP</w:t>
            </w:r>
          </w:p>
        </w:tc>
        <w:tc>
          <w:tcPr>
            <w:tcW w:w="3828" w:type="pct"/>
            <w:gridSpan w:val="2"/>
            <w:tcBorders>
              <w:top w:val="single" w:sz="8" w:space="0" w:color="002C47"/>
              <w:left w:val="single" w:sz="8" w:space="0" w:color="002C47"/>
              <w:bottom w:val="single" w:sz="8" w:space="0" w:color="002C47"/>
              <w:right w:val="single" w:sz="8" w:space="0" w:color="002C47"/>
            </w:tcBorders>
          </w:tcPr>
          <w:p w14:paraId="233E94F4" w14:textId="143E3CD3" w:rsidR="00581F29" w:rsidRPr="00FD35ED" w:rsidRDefault="00581F29" w:rsidP="003A72F4">
            <w:r w:rsidRPr="00FD35ED">
              <w:t>Good Pharmacovigilance Practices</w:t>
            </w:r>
          </w:p>
        </w:tc>
      </w:tr>
      <w:tr w:rsidR="00581F29" w:rsidRPr="00FD35ED" w14:paraId="60F24F68"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4DA63D68" w14:textId="32B03821" w:rsidR="00581F29" w:rsidRPr="00FD35ED" w:rsidRDefault="00581F29" w:rsidP="003A72F4">
            <w:r w:rsidRPr="00FD35ED">
              <w:t>HLA</w:t>
            </w:r>
          </w:p>
        </w:tc>
        <w:tc>
          <w:tcPr>
            <w:tcW w:w="3828" w:type="pct"/>
            <w:gridSpan w:val="2"/>
            <w:tcBorders>
              <w:top w:val="single" w:sz="8" w:space="0" w:color="002C47"/>
              <w:left w:val="single" w:sz="8" w:space="0" w:color="002C47"/>
              <w:bottom w:val="single" w:sz="8" w:space="0" w:color="002C47"/>
              <w:right w:val="single" w:sz="8" w:space="0" w:color="002C47"/>
            </w:tcBorders>
          </w:tcPr>
          <w:p w14:paraId="7D8E8E34" w14:textId="2D661CC9" w:rsidR="00581F29" w:rsidRPr="00FD35ED" w:rsidRDefault="00581F29" w:rsidP="003A72F4">
            <w:r w:rsidRPr="00FD35ED">
              <w:t>Human leukocyte antigen</w:t>
            </w:r>
          </w:p>
        </w:tc>
      </w:tr>
      <w:tr w:rsidR="00581F29" w:rsidRPr="00FD35ED" w14:paraId="21879EFE"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5B54C4BE" w14:textId="416B19D8" w:rsidR="00581F29" w:rsidRPr="00FD35ED" w:rsidRDefault="00581F29" w:rsidP="003A72F4">
            <w:r w:rsidRPr="00FD35ED">
              <w:t>ICH</w:t>
            </w:r>
          </w:p>
        </w:tc>
        <w:tc>
          <w:tcPr>
            <w:tcW w:w="3828" w:type="pct"/>
            <w:gridSpan w:val="2"/>
            <w:tcBorders>
              <w:top w:val="single" w:sz="8" w:space="0" w:color="002C47"/>
              <w:left w:val="single" w:sz="8" w:space="0" w:color="002C47"/>
              <w:bottom w:val="single" w:sz="8" w:space="0" w:color="002C47"/>
              <w:right w:val="single" w:sz="8" w:space="0" w:color="002C47"/>
            </w:tcBorders>
          </w:tcPr>
          <w:p w14:paraId="5E0C8643" w14:textId="44CB509B" w:rsidR="00581F29" w:rsidRPr="00FD35ED" w:rsidRDefault="00581F29" w:rsidP="003A72F4">
            <w:r w:rsidRPr="00FD35ED">
              <w:t>International Council for Harmonisation</w:t>
            </w:r>
          </w:p>
        </w:tc>
      </w:tr>
      <w:tr w:rsidR="00581F29" w:rsidRPr="00FD35ED" w14:paraId="0588A443"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39AEFDC6" w14:textId="46E01BAE" w:rsidR="00581F29" w:rsidRPr="00FD35ED" w:rsidRDefault="00581F29" w:rsidP="003A72F4">
            <w:r w:rsidRPr="00FD35ED">
              <w:lastRenderedPageBreak/>
              <w:t>ITT</w:t>
            </w:r>
          </w:p>
        </w:tc>
        <w:tc>
          <w:tcPr>
            <w:tcW w:w="3828" w:type="pct"/>
            <w:gridSpan w:val="2"/>
            <w:tcBorders>
              <w:top w:val="single" w:sz="8" w:space="0" w:color="002C47"/>
              <w:left w:val="single" w:sz="8" w:space="0" w:color="002C47"/>
              <w:bottom w:val="single" w:sz="8" w:space="0" w:color="002C47"/>
              <w:right w:val="single" w:sz="8" w:space="0" w:color="002C47"/>
            </w:tcBorders>
          </w:tcPr>
          <w:p w14:paraId="094A616F" w14:textId="1E92C618" w:rsidR="00581F29" w:rsidRPr="00FD35ED" w:rsidRDefault="00581F29" w:rsidP="003A72F4">
            <w:r w:rsidRPr="00FD35ED">
              <w:t>Intent(ion)-to-treat</w:t>
            </w:r>
          </w:p>
        </w:tc>
      </w:tr>
      <w:tr w:rsidR="00581F29" w:rsidRPr="00FD35ED" w14:paraId="08A3DF09"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5CCAC297" w14:textId="7FC63F10" w:rsidR="00581F29" w:rsidRPr="00FD35ED" w:rsidRDefault="00581F29" w:rsidP="003A72F4">
            <w:r w:rsidRPr="00FD35ED">
              <w:t>LDH</w:t>
            </w:r>
          </w:p>
        </w:tc>
        <w:tc>
          <w:tcPr>
            <w:tcW w:w="3828" w:type="pct"/>
            <w:gridSpan w:val="2"/>
            <w:tcBorders>
              <w:top w:val="single" w:sz="8" w:space="0" w:color="002C47"/>
              <w:left w:val="single" w:sz="8" w:space="0" w:color="002C47"/>
              <w:bottom w:val="single" w:sz="8" w:space="0" w:color="002C47"/>
              <w:right w:val="single" w:sz="8" w:space="0" w:color="002C47"/>
            </w:tcBorders>
          </w:tcPr>
          <w:p w14:paraId="69980926" w14:textId="736E396D" w:rsidR="00581F29" w:rsidRPr="00FD35ED" w:rsidRDefault="00581F29" w:rsidP="003A72F4">
            <w:r w:rsidRPr="00FD35ED">
              <w:t>Lactate dehydrogenase</w:t>
            </w:r>
          </w:p>
        </w:tc>
      </w:tr>
      <w:tr w:rsidR="00581F29" w:rsidRPr="00FD35ED" w14:paraId="280AA6EC"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2C1577CC" w14:textId="669E0B19" w:rsidR="00581F29" w:rsidRPr="00FD35ED" w:rsidRDefault="00581F29" w:rsidP="003A72F4">
            <w:r w:rsidRPr="00FD35ED">
              <w:t>MedDRA</w:t>
            </w:r>
          </w:p>
        </w:tc>
        <w:tc>
          <w:tcPr>
            <w:tcW w:w="3828" w:type="pct"/>
            <w:gridSpan w:val="2"/>
            <w:tcBorders>
              <w:top w:val="single" w:sz="8" w:space="0" w:color="002C47"/>
              <w:left w:val="single" w:sz="8" w:space="0" w:color="002C47"/>
              <w:bottom w:val="single" w:sz="8" w:space="0" w:color="002C47"/>
              <w:right w:val="single" w:sz="8" w:space="0" w:color="002C47"/>
            </w:tcBorders>
          </w:tcPr>
          <w:p w14:paraId="4EA1962A" w14:textId="581CABB3" w:rsidR="00581F29" w:rsidRPr="00FD35ED" w:rsidRDefault="00581F29" w:rsidP="003A72F4">
            <w:r w:rsidRPr="00FD35ED">
              <w:t>Medical Dictionary for Regulatory Activities</w:t>
            </w:r>
          </w:p>
        </w:tc>
      </w:tr>
      <w:tr w:rsidR="00581F29" w:rsidRPr="00FD35ED" w14:paraId="6CC3B888"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5F58A360" w14:textId="5EF3E843" w:rsidR="00581F29" w:rsidRPr="00FD35ED" w:rsidRDefault="00581F29" w:rsidP="003A72F4">
            <w:r w:rsidRPr="00FD35ED">
              <w:t>MHRA</w:t>
            </w:r>
          </w:p>
        </w:tc>
        <w:tc>
          <w:tcPr>
            <w:tcW w:w="3828" w:type="pct"/>
            <w:gridSpan w:val="2"/>
            <w:tcBorders>
              <w:top w:val="single" w:sz="8" w:space="0" w:color="002C47"/>
              <w:left w:val="single" w:sz="8" w:space="0" w:color="002C47"/>
              <w:bottom w:val="single" w:sz="8" w:space="0" w:color="002C47"/>
              <w:right w:val="single" w:sz="8" w:space="0" w:color="002C47"/>
            </w:tcBorders>
          </w:tcPr>
          <w:p w14:paraId="66808D90" w14:textId="4E22444E" w:rsidR="00581F29" w:rsidRPr="00FD35ED" w:rsidRDefault="00581F29" w:rsidP="003A72F4">
            <w:r w:rsidRPr="00FD35ED">
              <w:t>Medicines and Healthcare pro</w:t>
            </w:r>
            <w:r>
              <w:t>ducts Regulatory Agency (United </w:t>
            </w:r>
            <w:r w:rsidRPr="00FD35ED">
              <w:t>Kingdom)</w:t>
            </w:r>
          </w:p>
        </w:tc>
      </w:tr>
      <w:tr w:rsidR="00581F29" w:rsidRPr="00FD35ED" w14:paraId="10132895"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64059ACF" w14:textId="13A348BE" w:rsidR="00581F29" w:rsidRPr="00FD35ED" w:rsidRDefault="00581F29" w:rsidP="003A72F4">
            <w:r w:rsidRPr="00FD35ED">
              <w:t>Nab</w:t>
            </w:r>
          </w:p>
        </w:tc>
        <w:tc>
          <w:tcPr>
            <w:tcW w:w="3828" w:type="pct"/>
            <w:gridSpan w:val="2"/>
            <w:tcBorders>
              <w:top w:val="single" w:sz="8" w:space="0" w:color="002C47"/>
              <w:left w:val="single" w:sz="8" w:space="0" w:color="002C47"/>
              <w:bottom w:val="single" w:sz="8" w:space="0" w:color="002C47"/>
              <w:right w:val="single" w:sz="8" w:space="0" w:color="002C47"/>
            </w:tcBorders>
          </w:tcPr>
          <w:p w14:paraId="4610DDA0" w14:textId="7A2A63C8" w:rsidR="00581F29" w:rsidRPr="00FD35ED" w:rsidRDefault="00581F29" w:rsidP="003A72F4">
            <w:r w:rsidRPr="00FD35ED">
              <w:t>Neutralising antibody</w:t>
            </w:r>
          </w:p>
        </w:tc>
      </w:tr>
      <w:tr w:rsidR="00581F29" w:rsidRPr="00FD35ED" w14:paraId="0E6F79C0"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051FAC2D" w14:textId="4742E9CA" w:rsidR="00581F29" w:rsidRPr="00FD35ED" w:rsidRDefault="00581F29" w:rsidP="003A72F4">
            <w:r w:rsidRPr="00FD35ED">
              <w:t>NCCN</w:t>
            </w:r>
          </w:p>
        </w:tc>
        <w:tc>
          <w:tcPr>
            <w:tcW w:w="3828" w:type="pct"/>
            <w:gridSpan w:val="2"/>
            <w:tcBorders>
              <w:top w:val="single" w:sz="8" w:space="0" w:color="002C47"/>
              <w:left w:val="single" w:sz="8" w:space="0" w:color="002C47"/>
              <w:bottom w:val="single" w:sz="8" w:space="0" w:color="002C47"/>
              <w:right w:val="single" w:sz="8" w:space="0" w:color="002C47"/>
            </w:tcBorders>
          </w:tcPr>
          <w:p w14:paraId="2B1CE44F" w14:textId="6D0FC737" w:rsidR="00581F29" w:rsidRPr="00FD35ED" w:rsidRDefault="00581F29" w:rsidP="003A72F4">
            <w:r w:rsidRPr="00FD35ED">
              <w:t>National Comprehensive Cancer Network (</w:t>
            </w:r>
            <w:r w:rsidRPr="00FD35ED">
              <w:rPr>
                <w:color w:val="000000"/>
              </w:rPr>
              <w:t>United States of America</w:t>
            </w:r>
            <w:r w:rsidRPr="00FD35ED">
              <w:t>)</w:t>
            </w:r>
          </w:p>
        </w:tc>
      </w:tr>
      <w:tr w:rsidR="00581F29" w:rsidRPr="00FD35ED" w14:paraId="192B5DCD"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06355E3D" w14:textId="115A8B36" w:rsidR="00581F29" w:rsidRPr="00FD35ED" w:rsidRDefault="00581F29" w:rsidP="003A72F4">
            <w:r w:rsidRPr="00FD35ED">
              <w:t>OCE</w:t>
            </w:r>
          </w:p>
        </w:tc>
        <w:tc>
          <w:tcPr>
            <w:tcW w:w="3828" w:type="pct"/>
            <w:gridSpan w:val="2"/>
            <w:tcBorders>
              <w:top w:val="single" w:sz="8" w:space="0" w:color="002C47"/>
              <w:left w:val="single" w:sz="8" w:space="0" w:color="002C47"/>
              <w:bottom w:val="single" w:sz="8" w:space="0" w:color="002C47"/>
              <w:right w:val="single" w:sz="8" w:space="0" w:color="002C47"/>
            </w:tcBorders>
          </w:tcPr>
          <w:p w14:paraId="486D037B" w14:textId="6374EAC6" w:rsidR="00581F29" w:rsidRPr="00FD35ED" w:rsidRDefault="00581F29" w:rsidP="003A72F4">
            <w:r w:rsidRPr="00FD35ED">
              <w:t xml:space="preserve">Oncology </w:t>
            </w:r>
            <w:proofErr w:type="spellStart"/>
            <w:r w:rsidRPr="00FD35ED">
              <w:t>Center</w:t>
            </w:r>
            <w:proofErr w:type="spellEnd"/>
            <w:r w:rsidRPr="00FD35ED">
              <w:t xml:space="preserve"> of Excellence (Food and Drug Administration, </w:t>
            </w:r>
            <w:r w:rsidRPr="00FD35ED">
              <w:rPr>
                <w:color w:val="000000"/>
              </w:rPr>
              <w:t>United States of America</w:t>
            </w:r>
            <w:r w:rsidRPr="00FD35ED">
              <w:t>)</w:t>
            </w:r>
          </w:p>
        </w:tc>
      </w:tr>
      <w:tr w:rsidR="00581F29" w:rsidRPr="00FD35ED" w14:paraId="4A6E7AF1"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7F9EB99D" w14:textId="175F8E71" w:rsidR="00581F29" w:rsidRPr="00FD35ED" w:rsidRDefault="00581F29" w:rsidP="003A72F4">
            <w:r w:rsidRPr="00FD35ED">
              <w:t>PD(L)1</w:t>
            </w:r>
          </w:p>
        </w:tc>
        <w:tc>
          <w:tcPr>
            <w:tcW w:w="3828" w:type="pct"/>
            <w:gridSpan w:val="2"/>
            <w:tcBorders>
              <w:top w:val="single" w:sz="8" w:space="0" w:color="002C47"/>
              <w:left w:val="single" w:sz="8" w:space="0" w:color="002C47"/>
              <w:bottom w:val="single" w:sz="8" w:space="0" w:color="002C47"/>
              <w:right w:val="single" w:sz="8" w:space="0" w:color="002C47"/>
            </w:tcBorders>
          </w:tcPr>
          <w:p w14:paraId="0743ADC8" w14:textId="47E836BA" w:rsidR="00581F29" w:rsidRPr="00FD35ED" w:rsidRDefault="00581F29" w:rsidP="003A72F4">
            <w:r w:rsidRPr="00FD35ED">
              <w:t>Programmed death (ligand)-1</w:t>
            </w:r>
          </w:p>
        </w:tc>
      </w:tr>
      <w:tr w:rsidR="00581F29" w:rsidRPr="00FD35ED" w14:paraId="67FB7A90"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49B8D73A" w14:textId="400A7C2B" w:rsidR="00581F29" w:rsidRPr="00FD35ED" w:rsidRDefault="00581F29" w:rsidP="003A72F4">
            <w:r w:rsidRPr="00FD35ED">
              <w:t>PI</w:t>
            </w:r>
          </w:p>
        </w:tc>
        <w:tc>
          <w:tcPr>
            <w:tcW w:w="3828" w:type="pct"/>
            <w:gridSpan w:val="2"/>
            <w:tcBorders>
              <w:top w:val="single" w:sz="8" w:space="0" w:color="002C47"/>
              <w:left w:val="single" w:sz="8" w:space="0" w:color="002C47"/>
              <w:bottom w:val="single" w:sz="8" w:space="0" w:color="002C47"/>
              <w:right w:val="single" w:sz="8" w:space="0" w:color="002C47"/>
            </w:tcBorders>
          </w:tcPr>
          <w:p w14:paraId="5325B0C6" w14:textId="6D4A56A2" w:rsidR="00581F29" w:rsidRPr="00FD35ED" w:rsidRDefault="00581F29" w:rsidP="003A72F4">
            <w:r w:rsidRPr="00FD35ED">
              <w:t>Product Information</w:t>
            </w:r>
          </w:p>
        </w:tc>
      </w:tr>
      <w:tr w:rsidR="00581F29" w:rsidRPr="00FD35ED" w14:paraId="1C9D267C"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761B6278" w14:textId="57EA7CF6" w:rsidR="00581F29" w:rsidRPr="00FD35ED" w:rsidRDefault="00581F29" w:rsidP="003A72F4">
            <w:r w:rsidRPr="00FD35ED">
              <w:t>PK</w:t>
            </w:r>
          </w:p>
        </w:tc>
        <w:tc>
          <w:tcPr>
            <w:tcW w:w="3828" w:type="pct"/>
            <w:gridSpan w:val="2"/>
            <w:tcBorders>
              <w:top w:val="single" w:sz="8" w:space="0" w:color="002C47"/>
              <w:left w:val="single" w:sz="8" w:space="0" w:color="002C47"/>
              <w:bottom w:val="single" w:sz="8" w:space="0" w:color="002C47"/>
              <w:right w:val="single" w:sz="8" w:space="0" w:color="002C47"/>
            </w:tcBorders>
          </w:tcPr>
          <w:p w14:paraId="139D8251" w14:textId="59C8C9CC" w:rsidR="00581F29" w:rsidRPr="00FD35ED" w:rsidRDefault="00581F29" w:rsidP="003A72F4">
            <w:r w:rsidRPr="00FD35ED">
              <w:t>Pharmacokinetic(s)</w:t>
            </w:r>
          </w:p>
        </w:tc>
      </w:tr>
      <w:tr w:rsidR="00581F29" w:rsidRPr="00FD35ED" w14:paraId="0F2C6336"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4A3B83EA" w14:textId="06F28E8D" w:rsidR="00581F29" w:rsidRPr="00FD35ED" w:rsidRDefault="00581F29" w:rsidP="003A72F4">
            <w:r w:rsidRPr="00FD35ED">
              <w:t>PSUR</w:t>
            </w:r>
          </w:p>
        </w:tc>
        <w:tc>
          <w:tcPr>
            <w:tcW w:w="3828" w:type="pct"/>
            <w:gridSpan w:val="2"/>
            <w:tcBorders>
              <w:top w:val="single" w:sz="8" w:space="0" w:color="002C47"/>
              <w:left w:val="single" w:sz="8" w:space="0" w:color="002C47"/>
              <w:bottom w:val="single" w:sz="8" w:space="0" w:color="002C47"/>
              <w:right w:val="single" w:sz="8" w:space="0" w:color="002C47"/>
            </w:tcBorders>
          </w:tcPr>
          <w:p w14:paraId="68408B49" w14:textId="225358DE" w:rsidR="00581F29" w:rsidRPr="00FD35ED" w:rsidRDefault="00581F29" w:rsidP="003A72F4">
            <w:r w:rsidRPr="00FD35ED">
              <w:t>Periodic safety update report</w:t>
            </w:r>
          </w:p>
        </w:tc>
      </w:tr>
      <w:tr w:rsidR="00581F29" w:rsidRPr="00FD35ED" w14:paraId="5555A06C"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399399E6" w14:textId="7285057A" w:rsidR="00581F29" w:rsidRPr="00FD35ED" w:rsidRDefault="00581F29" w:rsidP="003A72F4">
            <w:proofErr w:type="spellStart"/>
            <w:r w:rsidRPr="00FD35ED">
              <w:t>QTcF</w:t>
            </w:r>
            <w:proofErr w:type="spellEnd"/>
          </w:p>
        </w:tc>
        <w:tc>
          <w:tcPr>
            <w:tcW w:w="3828" w:type="pct"/>
            <w:gridSpan w:val="2"/>
            <w:tcBorders>
              <w:top w:val="single" w:sz="8" w:space="0" w:color="002C47"/>
              <w:left w:val="single" w:sz="8" w:space="0" w:color="002C47"/>
              <w:bottom w:val="single" w:sz="8" w:space="0" w:color="002C47"/>
              <w:right w:val="single" w:sz="8" w:space="0" w:color="002C47"/>
            </w:tcBorders>
          </w:tcPr>
          <w:p w14:paraId="6E83E784" w14:textId="74300870" w:rsidR="00581F29" w:rsidRPr="00FD35ED" w:rsidRDefault="00581F29" w:rsidP="003A72F4">
            <w:r w:rsidRPr="00FD35ED">
              <w:t>QT interval corrected for heart rate according to Fridericia’s formula</w:t>
            </w:r>
          </w:p>
        </w:tc>
      </w:tr>
      <w:tr w:rsidR="00581F29" w:rsidRPr="00FD35ED" w14:paraId="76071910"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0D37B1CC" w14:textId="04B715F7" w:rsidR="00581F29" w:rsidRPr="00FD35ED" w:rsidRDefault="00581F29" w:rsidP="003A72F4">
            <w:r w:rsidRPr="00FD35ED">
              <w:t>RECIST</w:t>
            </w:r>
          </w:p>
        </w:tc>
        <w:tc>
          <w:tcPr>
            <w:tcW w:w="3828" w:type="pct"/>
            <w:gridSpan w:val="2"/>
            <w:tcBorders>
              <w:top w:val="single" w:sz="8" w:space="0" w:color="002C47"/>
              <w:left w:val="single" w:sz="8" w:space="0" w:color="002C47"/>
              <w:bottom w:val="single" w:sz="8" w:space="0" w:color="002C47"/>
              <w:right w:val="single" w:sz="8" w:space="0" w:color="002C47"/>
            </w:tcBorders>
          </w:tcPr>
          <w:p w14:paraId="2CACA372" w14:textId="7ED246D2" w:rsidR="00581F29" w:rsidRPr="00FD35ED" w:rsidRDefault="00581F29" w:rsidP="003A72F4">
            <w:r w:rsidRPr="00FD35ED">
              <w:t xml:space="preserve">Response Evaluation Criteria </w:t>
            </w:r>
            <w:proofErr w:type="gramStart"/>
            <w:r w:rsidRPr="00FD35ED">
              <w:t>In</w:t>
            </w:r>
            <w:proofErr w:type="gramEnd"/>
            <w:r w:rsidRPr="00FD35ED">
              <w:t xml:space="preserve"> Solid Tumours</w:t>
            </w:r>
          </w:p>
        </w:tc>
      </w:tr>
      <w:tr w:rsidR="00581F29" w:rsidRPr="00FD35ED" w14:paraId="3CDA0316"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238ABC0E" w14:textId="63F3D8ED" w:rsidR="00581F29" w:rsidRPr="00FD35ED" w:rsidRDefault="00581F29" w:rsidP="003A72F4">
            <w:r w:rsidRPr="00FD35ED">
              <w:t>RMP</w:t>
            </w:r>
          </w:p>
        </w:tc>
        <w:tc>
          <w:tcPr>
            <w:tcW w:w="3828" w:type="pct"/>
            <w:gridSpan w:val="2"/>
            <w:tcBorders>
              <w:top w:val="single" w:sz="8" w:space="0" w:color="002C47"/>
              <w:left w:val="single" w:sz="8" w:space="0" w:color="002C47"/>
              <w:bottom w:val="single" w:sz="8" w:space="0" w:color="002C47"/>
              <w:right w:val="single" w:sz="8" w:space="0" w:color="002C47"/>
            </w:tcBorders>
          </w:tcPr>
          <w:p w14:paraId="1C5D2826" w14:textId="1CD5F901" w:rsidR="00581F29" w:rsidRPr="00FD35ED" w:rsidRDefault="00581F29" w:rsidP="003A72F4">
            <w:r w:rsidRPr="00FD35ED">
              <w:t>Risk management plan</w:t>
            </w:r>
          </w:p>
        </w:tc>
      </w:tr>
      <w:tr w:rsidR="00581F29" w:rsidRPr="00FD35ED" w14:paraId="736840B7"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188B8E96" w14:textId="57BE6D55" w:rsidR="00581F29" w:rsidRPr="00FD35ED" w:rsidRDefault="00581F29" w:rsidP="003A72F4">
            <w:r w:rsidRPr="00FD35ED">
              <w:t>SAE</w:t>
            </w:r>
          </w:p>
        </w:tc>
        <w:tc>
          <w:tcPr>
            <w:tcW w:w="3828" w:type="pct"/>
            <w:gridSpan w:val="2"/>
            <w:tcBorders>
              <w:top w:val="single" w:sz="8" w:space="0" w:color="002C47"/>
              <w:left w:val="single" w:sz="8" w:space="0" w:color="002C47"/>
              <w:bottom w:val="single" w:sz="8" w:space="0" w:color="002C47"/>
              <w:right w:val="single" w:sz="8" w:space="0" w:color="002C47"/>
            </w:tcBorders>
          </w:tcPr>
          <w:p w14:paraId="3CE9E0F7" w14:textId="3F754B24" w:rsidR="00581F29" w:rsidRPr="00FD35ED" w:rsidRDefault="00581F29" w:rsidP="003A72F4">
            <w:r w:rsidRPr="00FD35ED">
              <w:t>Serious adverse event</w:t>
            </w:r>
          </w:p>
        </w:tc>
      </w:tr>
      <w:tr w:rsidR="00581F29" w:rsidRPr="00FD35ED" w14:paraId="70AB962C"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0FCEF375" w14:textId="11D0882F" w:rsidR="00581F29" w:rsidRPr="00FD35ED" w:rsidRDefault="00581F29" w:rsidP="003A72F4">
            <w:r w:rsidRPr="00FD35ED">
              <w:t>SOC</w:t>
            </w:r>
          </w:p>
        </w:tc>
        <w:tc>
          <w:tcPr>
            <w:tcW w:w="3828" w:type="pct"/>
            <w:gridSpan w:val="2"/>
            <w:tcBorders>
              <w:top w:val="single" w:sz="8" w:space="0" w:color="002C47"/>
              <w:left w:val="single" w:sz="8" w:space="0" w:color="002C47"/>
              <w:bottom w:val="single" w:sz="8" w:space="0" w:color="002C47"/>
              <w:right w:val="single" w:sz="8" w:space="0" w:color="002C47"/>
            </w:tcBorders>
          </w:tcPr>
          <w:p w14:paraId="115E7B44" w14:textId="08054054" w:rsidR="00581F29" w:rsidRPr="00FD35ED" w:rsidRDefault="00581F29" w:rsidP="003A72F4">
            <w:r w:rsidRPr="00FD35ED">
              <w:t>System Organ Class</w:t>
            </w:r>
          </w:p>
        </w:tc>
      </w:tr>
      <w:tr w:rsidR="00581F29" w:rsidRPr="00FD35ED" w14:paraId="3F322B2A"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3D928B8D" w14:textId="4C819468" w:rsidR="00581F29" w:rsidRPr="00FD35ED" w:rsidRDefault="00581F29" w:rsidP="003A72F4">
            <w:r w:rsidRPr="00FD35ED">
              <w:t>TEAE</w:t>
            </w:r>
          </w:p>
        </w:tc>
        <w:tc>
          <w:tcPr>
            <w:tcW w:w="3828" w:type="pct"/>
            <w:gridSpan w:val="2"/>
            <w:tcBorders>
              <w:top w:val="single" w:sz="8" w:space="0" w:color="002C47"/>
              <w:left w:val="single" w:sz="8" w:space="0" w:color="002C47"/>
              <w:bottom w:val="single" w:sz="8" w:space="0" w:color="002C47"/>
              <w:right w:val="single" w:sz="8" w:space="0" w:color="002C47"/>
            </w:tcBorders>
          </w:tcPr>
          <w:p w14:paraId="3A007917" w14:textId="222734F9" w:rsidR="00581F29" w:rsidRPr="00FD35ED" w:rsidRDefault="00581F29" w:rsidP="003A72F4">
            <w:r w:rsidRPr="00FD35ED">
              <w:t>Treatment-emergent adverse event</w:t>
            </w:r>
          </w:p>
        </w:tc>
      </w:tr>
      <w:tr w:rsidR="00581F29" w:rsidRPr="00FD35ED" w14:paraId="240F5EA4"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26C04E20" w14:textId="5527EA1B" w:rsidR="00581F29" w:rsidRPr="00FD35ED" w:rsidRDefault="00581F29" w:rsidP="003A72F4">
            <w:r w:rsidRPr="00FD35ED">
              <w:t>TGA</w:t>
            </w:r>
          </w:p>
        </w:tc>
        <w:tc>
          <w:tcPr>
            <w:tcW w:w="3828" w:type="pct"/>
            <w:gridSpan w:val="2"/>
            <w:tcBorders>
              <w:top w:val="single" w:sz="8" w:space="0" w:color="002C47"/>
              <w:left w:val="single" w:sz="8" w:space="0" w:color="002C47"/>
              <w:bottom w:val="single" w:sz="8" w:space="0" w:color="002C47"/>
              <w:right w:val="single" w:sz="8" w:space="0" w:color="002C47"/>
            </w:tcBorders>
          </w:tcPr>
          <w:p w14:paraId="3A81E3DD" w14:textId="774CE9BE" w:rsidR="00581F29" w:rsidRPr="00FD35ED" w:rsidRDefault="00581F29" w:rsidP="003A72F4">
            <w:r w:rsidRPr="00FD35ED">
              <w:t>Therapeutic Goods Administration</w:t>
            </w:r>
          </w:p>
        </w:tc>
      </w:tr>
      <w:tr w:rsidR="00581F29" w:rsidRPr="00FD35ED" w14:paraId="47A76778"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7366401A" w14:textId="5CB0195B" w:rsidR="00581F29" w:rsidRPr="00FD35ED" w:rsidRDefault="00581F29" w:rsidP="003A72F4">
            <w:r w:rsidRPr="00FD35ED">
              <w:t>TMB</w:t>
            </w:r>
          </w:p>
        </w:tc>
        <w:tc>
          <w:tcPr>
            <w:tcW w:w="3828" w:type="pct"/>
            <w:gridSpan w:val="2"/>
            <w:tcBorders>
              <w:top w:val="single" w:sz="8" w:space="0" w:color="002C47"/>
              <w:left w:val="single" w:sz="8" w:space="0" w:color="002C47"/>
              <w:bottom w:val="single" w:sz="8" w:space="0" w:color="002C47"/>
              <w:right w:val="single" w:sz="8" w:space="0" w:color="002C47"/>
            </w:tcBorders>
          </w:tcPr>
          <w:p w14:paraId="34B61098" w14:textId="6AC9914C" w:rsidR="00581F29" w:rsidRPr="00FD35ED" w:rsidRDefault="00581F29" w:rsidP="003A72F4">
            <w:r w:rsidRPr="00FD35ED">
              <w:t>Tumour mutational burden</w:t>
            </w:r>
          </w:p>
        </w:tc>
      </w:tr>
      <w:tr w:rsidR="00581F29" w:rsidRPr="00FD35ED" w14:paraId="53DA75D9"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0CBD99C3" w14:textId="51D7F743" w:rsidR="00581F29" w:rsidRPr="00FD35ED" w:rsidRDefault="00581F29" w:rsidP="003A72F4">
            <w:r w:rsidRPr="00FD35ED">
              <w:t>ULN</w:t>
            </w:r>
          </w:p>
        </w:tc>
        <w:tc>
          <w:tcPr>
            <w:tcW w:w="3828" w:type="pct"/>
            <w:gridSpan w:val="2"/>
            <w:tcBorders>
              <w:top w:val="single" w:sz="8" w:space="0" w:color="002C47"/>
              <w:left w:val="single" w:sz="8" w:space="0" w:color="002C47"/>
              <w:bottom w:val="single" w:sz="8" w:space="0" w:color="002C47"/>
              <w:right w:val="single" w:sz="8" w:space="0" w:color="002C47"/>
            </w:tcBorders>
          </w:tcPr>
          <w:p w14:paraId="60C07F24" w14:textId="6535997B" w:rsidR="00581F29" w:rsidRPr="00FD35ED" w:rsidRDefault="00581F29" w:rsidP="003A72F4">
            <w:r w:rsidRPr="00FD35ED">
              <w:t>Upper limit of normal</w:t>
            </w:r>
          </w:p>
        </w:tc>
      </w:tr>
      <w:tr w:rsidR="00581F29" w:rsidRPr="00FD35ED" w14:paraId="3C7C3F99" w14:textId="77777777" w:rsidTr="001C3BAB">
        <w:trPr>
          <w:cantSplit/>
        </w:trPr>
        <w:tc>
          <w:tcPr>
            <w:tcW w:w="1172" w:type="pct"/>
            <w:tcBorders>
              <w:top w:val="single" w:sz="8" w:space="0" w:color="002C47"/>
              <w:left w:val="single" w:sz="8" w:space="0" w:color="002C47"/>
              <w:bottom w:val="single" w:sz="8" w:space="0" w:color="002C47"/>
              <w:right w:val="single" w:sz="8" w:space="0" w:color="002C47"/>
            </w:tcBorders>
          </w:tcPr>
          <w:p w14:paraId="3FB31E91" w14:textId="544E0336" w:rsidR="00581F29" w:rsidRPr="00FD35ED" w:rsidRDefault="00581F29" w:rsidP="003A72F4">
            <w:r w:rsidRPr="00FD35ED">
              <w:rPr>
                <w:color w:val="000000"/>
              </w:rPr>
              <w:t>US(A)</w:t>
            </w:r>
          </w:p>
        </w:tc>
        <w:tc>
          <w:tcPr>
            <w:tcW w:w="3828" w:type="pct"/>
            <w:gridSpan w:val="2"/>
            <w:tcBorders>
              <w:top w:val="single" w:sz="8" w:space="0" w:color="002C47"/>
              <w:left w:val="single" w:sz="8" w:space="0" w:color="002C47"/>
              <w:bottom w:val="single" w:sz="8" w:space="0" w:color="002C47"/>
              <w:right w:val="single" w:sz="8" w:space="0" w:color="002C47"/>
            </w:tcBorders>
          </w:tcPr>
          <w:p w14:paraId="55A8817B" w14:textId="4FDE0E4D" w:rsidR="00581F29" w:rsidRPr="00FD35ED" w:rsidRDefault="00581F29" w:rsidP="003A72F4">
            <w:r w:rsidRPr="00FD35ED">
              <w:rPr>
                <w:color w:val="000000"/>
              </w:rPr>
              <w:t>United States of (America)</w:t>
            </w:r>
          </w:p>
        </w:tc>
      </w:tr>
      <w:bookmarkEnd w:id="5"/>
    </w:tbl>
    <w:p w14:paraId="66DE9379" w14:textId="77777777" w:rsidR="00FD119B" w:rsidRPr="00FD35ED" w:rsidRDefault="00FD119B" w:rsidP="00FD119B">
      <w:pPr>
        <w:spacing w:before="0" w:after="200" w:line="0" w:lineRule="auto"/>
        <w:rPr>
          <w:b/>
          <w:i/>
          <w:sz w:val="24"/>
          <w:szCs w:val="24"/>
        </w:rPr>
      </w:pPr>
      <w:r w:rsidRPr="00FD35ED">
        <w:rPr>
          <w:b/>
          <w:i/>
          <w:sz w:val="24"/>
          <w:szCs w:val="24"/>
        </w:rPr>
        <w:br w:type="page"/>
      </w:r>
    </w:p>
    <w:p w14:paraId="71F52F5D" w14:textId="77777777" w:rsidR="008E7846" w:rsidRPr="00FD35ED" w:rsidRDefault="009F2673" w:rsidP="008E7846">
      <w:pPr>
        <w:pStyle w:val="Heading2"/>
      </w:pPr>
      <w:bookmarkStart w:id="9" w:name="_Toc119316333"/>
      <w:r w:rsidRPr="00FD35ED">
        <w:lastRenderedPageBreak/>
        <w:t>Pr</w:t>
      </w:r>
      <w:r w:rsidR="008E7846" w:rsidRPr="00FD35ED">
        <w:t>oduct submission</w:t>
      </w:r>
      <w:bookmarkEnd w:id="2"/>
      <w:bookmarkEnd w:id="0"/>
      <w:bookmarkEnd w:id="9"/>
    </w:p>
    <w:p w14:paraId="7E8879A9" w14:textId="77777777" w:rsidR="008E7846" w:rsidRPr="00FD35ED" w:rsidRDefault="008E7846" w:rsidP="009E5A87">
      <w:pPr>
        <w:pStyle w:val="Heading3"/>
        <w:rPr>
          <w:lang w:eastAsia="en-AU"/>
        </w:rPr>
      </w:pPr>
      <w:bookmarkStart w:id="10" w:name="_Toc247691502"/>
      <w:bookmarkStart w:id="11" w:name="_Toc314842483"/>
      <w:bookmarkStart w:id="12" w:name="_Toc119316334"/>
      <w:r w:rsidRPr="00FD35ED">
        <w:rPr>
          <w:lang w:eastAsia="en-AU"/>
        </w:rPr>
        <w:t>Submission details</w:t>
      </w:r>
      <w:bookmarkEnd w:id="10"/>
      <w:bookmarkEnd w:id="11"/>
      <w:bookmarkEnd w:id="12"/>
    </w:p>
    <w:tbl>
      <w:tblPr>
        <w:tblW w:w="5000" w:type="pct"/>
        <w:tblLook w:val="01E0" w:firstRow="1" w:lastRow="1" w:firstColumn="1" w:lastColumn="1" w:noHBand="0" w:noVBand="0"/>
      </w:tblPr>
      <w:tblGrid>
        <w:gridCol w:w="2682"/>
        <w:gridCol w:w="5822"/>
      </w:tblGrid>
      <w:tr w:rsidR="009F2673" w:rsidRPr="00FD35ED" w14:paraId="153C920B" w14:textId="77777777" w:rsidTr="005545C8">
        <w:tc>
          <w:tcPr>
            <w:tcW w:w="1577" w:type="pct"/>
          </w:tcPr>
          <w:p w14:paraId="54B04706" w14:textId="77777777" w:rsidR="009F2673" w:rsidRPr="00FD35ED" w:rsidRDefault="009F2673" w:rsidP="009E5A87">
            <w:pPr>
              <w:rPr>
                <w:i/>
              </w:rPr>
            </w:pPr>
            <w:r w:rsidRPr="00FD35ED">
              <w:rPr>
                <w:i/>
              </w:rPr>
              <w:t>Type of submission:</w:t>
            </w:r>
          </w:p>
        </w:tc>
        <w:tc>
          <w:tcPr>
            <w:tcW w:w="3423" w:type="pct"/>
          </w:tcPr>
          <w:p w14:paraId="09A18A20" w14:textId="073CABE5" w:rsidR="009F2673" w:rsidRPr="00FD35ED" w:rsidRDefault="005545C8" w:rsidP="009E5A87">
            <w:r w:rsidRPr="00FD35ED">
              <w:t>New biological entity</w:t>
            </w:r>
          </w:p>
        </w:tc>
      </w:tr>
      <w:tr w:rsidR="009F2673" w:rsidRPr="00FD35ED" w14:paraId="07BBB85B" w14:textId="77777777" w:rsidTr="005545C8">
        <w:tc>
          <w:tcPr>
            <w:tcW w:w="1577" w:type="pct"/>
          </w:tcPr>
          <w:p w14:paraId="4FBB6E1C" w14:textId="3967979B" w:rsidR="009F2673" w:rsidRPr="00FD35ED" w:rsidRDefault="009F2673" w:rsidP="009E5A87">
            <w:pPr>
              <w:rPr>
                <w:i/>
              </w:rPr>
            </w:pPr>
            <w:r w:rsidRPr="00FD35ED">
              <w:rPr>
                <w:i/>
              </w:rPr>
              <w:t>Product name:</w:t>
            </w:r>
          </w:p>
        </w:tc>
        <w:tc>
          <w:tcPr>
            <w:tcW w:w="3423" w:type="pct"/>
          </w:tcPr>
          <w:p w14:paraId="647C1843" w14:textId="151954E4" w:rsidR="009F2673" w:rsidRPr="00FD35ED" w:rsidRDefault="00EA6D30" w:rsidP="009E5A87">
            <w:proofErr w:type="spellStart"/>
            <w:r w:rsidRPr="00FD35ED">
              <w:t>Kimmtrak</w:t>
            </w:r>
            <w:proofErr w:type="spellEnd"/>
          </w:p>
        </w:tc>
      </w:tr>
      <w:tr w:rsidR="009F2673" w:rsidRPr="00FD35ED" w14:paraId="48DB04BD" w14:textId="77777777" w:rsidTr="005545C8">
        <w:tc>
          <w:tcPr>
            <w:tcW w:w="1577" w:type="pct"/>
          </w:tcPr>
          <w:p w14:paraId="479C31C2" w14:textId="4300CA99" w:rsidR="009F2673" w:rsidRPr="00FD35ED" w:rsidRDefault="009F2673" w:rsidP="009E5A87">
            <w:pPr>
              <w:rPr>
                <w:i/>
              </w:rPr>
            </w:pPr>
            <w:r w:rsidRPr="00FD35ED">
              <w:rPr>
                <w:i/>
              </w:rPr>
              <w:t>Active ingredient:</w:t>
            </w:r>
          </w:p>
        </w:tc>
        <w:tc>
          <w:tcPr>
            <w:tcW w:w="3423" w:type="pct"/>
          </w:tcPr>
          <w:p w14:paraId="4E2DA9E1" w14:textId="18C71CC6" w:rsidR="009F2673" w:rsidRPr="00FD35ED" w:rsidRDefault="00EA6D30" w:rsidP="009E5A87">
            <w:proofErr w:type="spellStart"/>
            <w:r w:rsidRPr="00FD35ED">
              <w:t>Tebentafusp</w:t>
            </w:r>
            <w:proofErr w:type="spellEnd"/>
          </w:p>
        </w:tc>
      </w:tr>
      <w:tr w:rsidR="009F2673" w:rsidRPr="00FD35ED" w14:paraId="6E6AE2D0" w14:textId="77777777" w:rsidTr="005545C8">
        <w:tc>
          <w:tcPr>
            <w:tcW w:w="1577" w:type="pct"/>
          </w:tcPr>
          <w:p w14:paraId="1551A4FF" w14:textId="77777777" w:rsidR="009F2673" w:rsidRPr="00FD35ED" w:rsidRDefault="009F2673" w:rsidP="009E5A87">
            <w:pPr>
              <w:rPr>
                <w:i/>
              </w:rPr>
            </w:pPr>
            <w:r w:rsidRPr="00FD35ED">
              <w:rPr>
                <w:i/>
              </w:rPr>
              <w:t>Decision:</w:t>
            </w:r>
          </w:p>
        </w:tc>
        <w:tc>
          <w:tcPr>
            <w:tcW w:w="3423" w:type="pct"/>
          </w:tcPr>
          <w:p w14:paraId="78339869" w14:textId="2C922F7A" w:rsidR="009F2673" w:rsidRPr="00FD35ED" w:rsidRDefault="009F2673" w:rsidP="009E5A87">
            <w:r w:rsidRPr="00FD35ED">
              <w:t>Approved</w:t>
            </w:r>
          </w:p>
        </w:tc>
      </w:tr>
      <w:tr w:rsidR="009F2673" w:rsidRPr="00FD35ED" w14:paraId="090C83A8" w14:textId="77777777" w:rsidTr="005545C8">
        <w:tc>
          <w:tcPr>
            <w:tcW w:w="1577" w:type="pct"/>
          </w:tcPr>
          <w:p w14:paraId="158C2A58" w14:textId="77777777" w:rsidR="009F2673" w:rsidRPr="00FD35ED" w:rsidRDefault="009F2673" w:rsidP="009E5A87">
            <w:pPr>
              <w:rPr>
                <w:i/>
              </w:rPr>
            </w:pPr>
            <w:r w:rsidRPr="00FD35ED">
              <w:rPr>
                <w:i/>
              </w:rPr>
              <w:t>Date of decision:</w:t>
            </w:r>
          </w:p>
        </w:tc>
        <w:tc>
          <w:tcPr>
            <w:tcW w:w="3423" w:type="pct"/>
          </w:tcPr>
          <w:p w14:paraId="3D413149" w14:textId="6F0106A7" w:rsidR="009F2673" w:rsidRPr="00FD35ED" w:rsidRDefault="005545C8" w:rsidP="009E5A87">
            <w:r w:rsidRPr="00FD35ED">
              <w:t>27 May 2022</w:t>
            </w:r>
          </w:p>
        </w:tc>
      </w:tr>
      <w:tr w:rsidR="009F2673" w:rsidRPr="00FD35ED" w14:paraId="0719AB13" w14:textId="77777777" w:rsidTr="005545C8">
        <w:tc>
          <w:tcPr>
            <w:tcW w:w="1577" w:type="pct"/>
          </w:tcPr>
          <w:p w14:paraId="4023781B" w14:textId="77777777" w:rsidR="009F2673" w:rsidRPr="00FD35ED" w:rsidRDefault="009F2673" w:rsidP="009E5A87">
            <w:pPr>
              <w:rPr>
                <w:i/>
              </w:rPr>
            </w:pPr>
            <w:r w:rsidRPr="00FD35ED">
              <w:rPr>
                <w:i/>
              </w:rPr>
              <w:t>Date of entry onto ARTG:</w:t>
            </w:r>
          </w:p>
        </w:tc>
        <w:tc>
          <w:tcPr>
            <w:tcW w:w="3423" w:type="pct"/>
          </w:tcPr>
          <w:p w14:paraId="2BC386DE" w14:textId="4C67091E" w:rsidR="009F2673" w:rsidRPr="00FD35ED" w:rsidRDefault="005545C8" w:rsidP="009E5A87">
            <w:r w:rsidRPr="00FD35ED">
              <w:t>3 June 2022</w:t>
            </w:r>
          </w:p>
        </w:tc>
      </w:tr>
      <w:tr w:rsidR="009F2673" w:rsidRPr="00FD35ED" w14:paraId="498327AF" w14:textId="77777777" w:rsidTr="005545C8">
        <w:tc>
          <w:tcPr>
            <w:tcW w:w="1577" w:type="pct"/>
          </w:tcPr>
          <w:p w14:paraId="7EC4A2C2" w14:textId="78D010E7" w:rsidR="009F2673" w:rsidRPr="00FD35ED" w:rsidRDefault="009F2673" w:rsidP="009E5A87">
            <w:pPr>
              <w:rPr>
                <w:i/>
              </w:rPr>
            </w:pPr>
            <w:r w:rsidRPr="00FD35ED">
              <w:rPr>
                <w:i/>
              </w:rPr>
              <w:t>ARTG number:</w:t>
            </w:r>
          </w:p>
        </w:tc>
        <w:tc>
          <w:tcPr>
            <w:tcW w:w="3423" w:type="pct"/>
          </w:tcPr>
          <w:p w14:paraId="58A4E8C8" w14:textId="041BFC9D" w:rsidR="009F2673" w:rsidRPr="00FD35ED" w:rsidRDefault="005545C8" w:rsidP="009E5A87">
            <w:r w:rsidRPr="00FD35ED">
              <w:t>375296</w:t>
            </w:r>
          </w:p>
        </w:tc>
      </w:tr>
      <w:tr w:rsidR="009F2673" w:rsidRPr="00FD35ED" w14:paraId="7566E9D4" w14:textId="77777777" w:rsidTr="005545C8">
        <w:tc>
          <w:tcPr>
            <w:tcW w:w="1577" w:type="pct"/>
          </w:tcPr>
          <w:p w14:paraId="4796350C" w14:textId="6E40173B" w:rsidR="009F2673" w:rsidRPr="00FD35ED" w:rsidRDefault="001B1DA4" w:rsidP="009E5A87">
            <w:pPr>
              <w:rPr>
                <w:i/>
              </w:rPr>
            </w:pPr>
            <w:r w:rsidRPr="00FD35ED">
              <w:rPr>
                <w:rFonts w:ascii="Wingdings 3" w:hAnsi="Wingdings 3"/>
                <w:sz w:val="34"/>
                <w:szCs w:val="34"/>
                <w:lang w:eastAsia="en-AU"/>
              </w:rPr>
              <w:t></w:t>
            </w:r>
            <w:hyperlink r:id="rId14" w:history="1">
              <w:r w:rsidR="009F2673" w:rsidRPr="00FD35ED">
                <w:rPr>
                  <w:rStyle w:val="Hyperlink"/>
                  <w:i/>
                </w:rPr>
                <w:t>Black Triangle Scheme</w:t>
              </w:r>
            </w:hyperlink>
            <w:r w:rsidR="009F2673" w:rsidRPr="00FD35ED">
              <w:rPr>
                <w:i/>
              </w:rPr>
              <w:t>:</w:t>
            </w:r>
          </w:p>
        </w:tc>
        <w:tc>
          <w:tcPr>
            <w:tcW w:w="3423" w:type="pct"/>
          </w:tcPr>
          <w:p w14:paraId="687DEA58" w14:textId="0299CCF4" w:rsidR="009F2673" w:rsidRPr="00FD35ED" w:rsidRDefault="005545C8" w:rsidP="009E5A87">
            <w:r w:rsidRPr="00FD35ED">
              <w:t>Y</w:t>
            </w:r>
            <w:r w:rsidR="009F2673" w:rsidRPr="00FD35ED">
              <w:t>es</w:t>
            </w:r>
            <w:r w:rsidRPr="00FD35ED">
              <w:t>.</w:t>
            </w:r>
          </w:p>
          <w:p w14:paraId="3AD0C01D" w14:textId="5BB372D9" w:rsidR="009F2673" w:rsidRPr="00FD35ED" w:rsidRDefault="009F2673" w:rsidP="009E5A87">
            <w:r w:rsidRPr="00FD35ED">
              <w:t>This product will remain in the scheme for 5 years, starting on the date the product is first supplied in Australia</w:t>
            </w:r>
            <w:r w:rsidR="005545C8" w:rsidRPr="00FD35ED">
              <w:t>.</w:t>
            </w:r>
          </w:p>
        </w:tc>
      </w:tr>
      <w:tr w:rsidR="009F2673" w:rsidRPr="00FD35ED" w14:paraId="5BAF405C" w14:textId="77777777" w:rsidTr="005545C8">
        <w:tc>
          <w:tcPr>
            <w:tcW w:w="1577" w:type="pct"/>
          </w:tcPr>
          <w:p w14:paraId="08256D4B" w14:textId="77777777" w:rsidR="009F2673" w:rsidRPr="00FD35ED" w:rsidRDefault="009F2673" w:rsidP="009E5A87">
            <w:pPr>
              <w:rPr>
                <w:i/>
              </w:rPr>
            </w:pPr>
            <w:r w:rsidRPr="00FD35ED">
              <w:rPr>
                <w:i/>
              </w:rPr>
              <w:t>Sponsor’s name and address:</w:t>
            </w:r>
          </w:p>
        </w:tc>
        <w:tc>
          <w:tcPr>
            <w:tcW w:w="3423" w:type="pct"/>
          </w:tcPr>
          <w:p w14:paraId="0AEB2335" w14:textId="77777777" w:rsidR="009F2673" w:rsidRPr="00FD35ED" w:rsidRDefault="00EA6D30" w:rsidP="009E5A87">
            <w:r w:rsidRPr="00FD35ED">
              <w:t>Adjutor Healthcare Pty Ltd</w:t>
            </w:r>
          </w:p>
          <w:p w14:paraId="79971A1A" w14:textId="77777777" w:rsidR="00EA6D30" w:rsidRPr="00FD35ED" w:rsidRDefault="00EA6D30" w:rsidP="00EA6D30">
            <w:r w:rsidRPr="00FD35ED">
              <w:t>3 Grandview Avenue</w:t>
            </w:r>
          </w:p>
          <w:p w14:paraId="1EDE92B7" w14:textId="5575C46F" w:rsidR="00EA6D30" w:rsidRPr="00FD35ED" w:rsidRDefault="00EA6D30" w:rsidP="00EA6D30">
            <w:r w:rsidRPr="00FD35ED">
              <w:t>Point Cook</w:t>
            </w:r>
            <w:r w:rsidR="00581F29">
              <w:t>,</w:t>
            </w:r>
            <w:r w:rsidRPr="00FD35ED">
              <w:t xml:space="preserve"> VIC 3030</w:t>
            </w:r>
          </w:p>
        </w:tc>
      </w:tr>
      <w:tr w:rsidR="009F2673" w:rsidRPr="00FD35ED" w14:paraId="64712203" w14:textId="77777777" w:rsidTr="005545C8">
        <w:tc>
          <w:tcPr>
            <w:tcW w:w="1577" w:type="pct"/>
          </w:tcPr>
          <w:p w14:paraId="6D44E701" w14:textId="294C7392" w:rsidR="009F2673" w:rsidRPr="00FD35ED" w:rsidRDefault="009F2673" w:rsidP="009E5A87">
            <w:pPr>
              <w:rPr>
                <w:i/>
              </w:rPr>
            </w:pPr>
            <w:r w:rsidRPr="00FD35ED">
              <w:rPr>
                <w:i/>
              </w:rPr>
              <w:t>Dose form:</w:t>
            </w:r>
          </w:p>
        </w:tc>
        <w:tc>
          <w:tcPr>
            <w:tcW w:w="3423" w:type="pct"/>
          </w:tcPr>
          <w:p w14:paraId="075F0C8D" w14:textId="0F291C0D" w:rsidR="009F2673" w:rsidRPr="00FD35ED" w:rsidRDefault="005545C8" w:rsidP="009E5A87">
            <w:r w:rsidRPr="00FD35ED">
              <w:t>Concentrated solution for infusion</w:t>
            </w:r>
          </w:p>
        </w:tc>
      </w:tr>
      <w:tr w:rsidR="009F2673" w:rsidRPr="00FD35ED" w14:paraId="3B8A9F5B" w14:textId="77777777" w:rsidTr="005545C8">
        <w:tc>
          <w:tcPr>
            <w:tcW w:w="1577" w:type="pct"/>
          </w:tcPr>
          <w:p w14:paraId="6332AE0C" w14:textId="0ADD0CAF" w:rsidR="009F2673" w:rsidRPr="00FD35ED" w:rsidRDefault="009F2673" w:rsidP="009E5A87">
            <w:pPr>
              <w:rPr>
                <w:i/>
              </w:rPr>
            </w:pPr>
            <w:r w:rsidRPr="00FD35ED">
              <w:rPr>
                <w:i/>
              </w:rPr>
              <w:t>Strength:</w:t>
            </w:r>
          </w:p>
        </w:tc>
        <w:tc>
          <w:tcPr>
            <w:tcW w:w="3423" w:type="pct"/>
          </w:tcPr>
          <w:p w14:paraId="2A4BDDD9" w14:textId="76E45D78" w:rsidR="009F2673" w:rsidRPr="00FD35ED" w:rsidRDefault="005545C8" w:rsidP="009E5A87">
            <w:r w:rsidRPr="00FD35ED">
              <w:t>0.1 mg/0.5 mL</w:t>
            </w:r>
          </w:p>
        </w:tc>
      </w:tr>
      <w:tr w:rsidR="009F2673" w:rsidRPr="00FD35ED" w14:paraId="278E1B74" w14:textId="77777777" w:rsidTr="005545C8">
        <w:tc>
          <w:tcPr>
            <w:tcW w:w="1577" w:type="pct"/>
          </w:tcPr>
          <w:p w14:paraId="50103183" w14:textId="796EE102" w:rsidR="009F2673" w:rsidRPr="00FD35ED" w:rsidRDefault="009F2673" w:rsidP="009E5A87">
            <w:pPr>
              <w:rPr>
                <w:i/>
              </w:rPr>
            </w:pPr>
            <w:r w:rsidRPr="00FD35ED">
              <w:rPr>
                <w:i/>
              </w:rPr>
              <w:t>Container:</w:t>
            </w:r>
          </w:p>
        </w:tc>
        <w:tc>
          <w:tcPr>
            <w:tcW w:w="3423" w:type="pct"/>
          </w:tcPr>
          <w:p w14:paraId="1848450F" w14:textId="137119BD" w:rsidR="009F2673" w:rsidRPr="00FD35ED" w:rsidRDefault="005545C8" w:rsidP="009E5A87">
            <w:r w:rsidRPr="00FD35ED">
              <w:t>Vial</w:t>
            </w:r>
          </w:p>
        </w:tc>
      </w:tr>
      <w:tr w:rsidR="009F2673" w:rsidRPr="00FD35ED" w14:paraId="72F5D6E5" w14:textId="77777777" w:rsidTr="005545C8">
        <w:tc>
          <w:tcPr>
            <w:tcW w:w="1577" w:type="pct"/>
          </w:tcPr>
          <w:p w14:paraId="11C0042A" w14:textId="1397E145" w:rsidR="009F2673" w:rsidRPr="00FD35ED" w:rsidRDefault="009F2673" w:rsidP="009E5A87">
            <w:pPr>
              <w:rPr>
                <w:i/>
              </w:rPr>
            </w:pPr>
            <w:r w:rsidRPr="00FD35ED">
              <w:rPr>
                <w:i/>
              </w:rPr>
              <w:t>Pack size:</w:t>
            </w:r>
          </w:p>
        </w:tc>
        <w:tc>
          <w:tcPr>
            <w:tcW w:w="3423" w:type="pct"/>
          </w:tcPr>
          <w:p w14:paraId="0E6C7CA1" w14:textId="1C903D6E" w:rsidR="009F2673" w:rsidRPr="00FD35ED" w:rsidRDefault="005545C8" w:rsidP="009E5A87">
            <w:r w:rsidRPr="00FD35ED">
              <w:t>One</w:t>
            </w:r>
          </w:p>
        </w:tc>
      </w:tr>
      <w:tr w:rsidR="009F2673" w:rsidRPr="00FD35ED" w14:paraId="49798AC3" w14:textId="77777777" w:rsidTr="005545C8">
        <w:tc>
          <w:tcPr>
            <w:tcW w:w="1577" w:type="pct"/>
          </w:tcPr>
          <w:p w14:paraId="5C42080D" w14:textId="77777777" w:rsidR="009F2673" w:rsidRPr="00FD35ED" w:rsidRDefault="009F2673" w:rsidP="009E5A87">
            <w:pPr>
              <w:rPr>
                <w:i/>
              </w:rPr>
            </w:pPr>
            <w:r w:rsidRPr="00FD35ED">
              <w:rPr>
                <w:i/>
              </w:rPr>
              <w:t>Approved therapeutic use:</w:t>
            </w:r>
          </w:p>
        </w:tc>
        <w:tc>
          <w:tcPr>
            <w:tcW w:w="3423" w:type="pct"/>
          </w:tcPr>
          <w:p w14:paraId="6C3BB41C" w14:textId="6CE8DEA8" w:rsidR="009F2673" w:rsidRPr="00FD35ED" w:rsidRDefault="005545C8" w:rsidP="005545C8">
            <w:pPr>
              <w:rPr>
                <w:i/>
                <w:iCs/>
              </w:rPr>
            </w:pPr>
            <w:proofErr w:type="spellStart"/>
            <w:r w:rsidRPr="00FD35ED">
              <w:rPr>
                <w:i/>
                <w:iCs/>
              </w:rPr>
              <w:t>Kimmtrak</w:t>
            </w:r>
            <w:proofErr w:type="spellEnd"/>
            <w:r w:rsidRPr="00FD35ED">
              <w:rPr>
                <w:i/>
                <w:iCs/>
              </w:rPr>
              <w:t xml:space="preserve"> is indicated for the treatment of HLA-A*02:01-positive adult patients with unresectable or metastatic uveal melanoma.</w:t>
            </w:r>
          </w:p>
        </w:tc>
      </w:tr>
      <w:tr w:rsidR="009F2673" w:rsidRPr="00FD35ED" w14:paraId="34F39C0C" w14:textId="77777777" w:rsidTr="005545C8">
        <w:tc>
          <w:tcPr>
            <w:tcW w:w="1577" w:type="pct"/>
          </w:tcPr>
          <w:p w14:paraId="56CD2697" w14:textId="7B9F41CA" w:rsidR="009F2673" w:rsidRPr="00FD35ED" w:rsidRDefault="009F2673" w:rsidP="009E5A87">
            <w:pPr>
              <w:rPr>
                <w:i/>
              </w:rPr>
            </w:pPr>
            <w:r w:rsidRPr="00FD35ED">
              <w:rPr>
                <w:i/>
              </w:rPr>
              <w:t>Route of administration:</w:t>
            </w:r>
          </w:p>
        </w:tc>
        <w:tc>
          <w:tcPr>
            <w:tcW w:w="3423" w:type="pct"/>
          </w:tcPr>
          <w:p w14:paraId="174E6133" w14:textId="5CE92DE7" w:rsidR="009F2673" w:rsidRPr="00FD35ED" w:rsidRDefault="005545C8" w:rsidP="009E5A87">
            <w:r w:rsidRPr="00FD35ED">
              <w:t>Intravenous infusion</w:t>
            </w:r>
          </w:p>
        </w:tc>
      </w:tr>
      <w:tr w:rsidR="009F2673" w:rsidRPr="00FD35ED" w14:paraId="03D37BBE" w14:textId="77777777" w:rsidTr="005545C8">
        <w:tc>
          <w:tcPr>
            <w:tcW w:w="1577" w:type="pct"/>
          </w:tcPr>
          <w:p w14:paraId="00B64CE2" w14:textId="77777777" w:rsidR="009F2673" w:rsidRPr="00FD35ED" w:rsidRDefault="009F2673" w:rsidP="009E5A87">
            <w:pPr>
              <w:rPr>
                <w:i/>
              </w:rPr>
            </w:pPr>
            <w:r w:rsidRPr="00FD35ED">
              <w:rPr>
                <w:i/>
              </w:rPr>
              <w:t>Dosage:</w:t>
            </w:r>
          </w:p>
        </w:tc>
        <w:tc>
          <w:tcPr>
            <w:tcW w:w="3423" w:type="pct"/>
          </w:tcPr>
          <w:p w14:paraId="28A292BA" w14:textId="4D44D178" w:rsidR="005545C8" w:rsidRDefault="005545C8" w:rsidP="005545C8">
            <w:proofErr w:type="spellStart"/>
            <w:r w:rsidRPr="00FD35ED">
              <w:t>Kimmtrak</w:t>
            </w:r>
            <w:proofErr w:type="spellEnd"/>
            <w:r w:rsidRPr="00FD35ED">
              <w:t xml:space="preserve"> should be administered under the supervision of a physician experienced in the use of anti-cancer agents.</w:t>
            </w:r>
          </w:p>
          <w:p w14:paraId="6424BADD" w14:textId="3F6CCE00" w:rsidR="00D73939" w:rsidRDefault="00D73939" w:rsidP="005545C8">
            <w:r w:rsidRPr="00D73939">
              <w:t xml:space="preserve">Patients treated with </w:t>
            </w:r>
            <w:proofErr w:type="spellStart"/>
            <w:r w:rsidRPr="00D73939">
              <w:t>Kimmtrak</w:t>
            </w:r>
            <w:proofErr w:type="spellEnd"/>
            <w:r w:rsidRPr="00D73939">
              <w:t xml:space="preserve"> must have </w:t>
            </w:r>
            <w:r w:rsidR="001C3BAB" w:rsidRPr="001C3BAB">
              <w:t xml:space="preserve">human leukocyte antigen </w:t>
            </w:r>
            <w:r w:rsidR="001C3BAB">
              <w:t>(</w:t>
            </w:r>
            <w:r w:rsidRPr="00D73939">
              <w:t>HLA</w:t>
            </w:r>
            <w:r w:rsidR="001C3BAB">
              <w:t>)</w:t>
            </w:r>
            <w:r w:rsidRPr="00D73939">
              <w:t>-A*02:01 genotype determined by any validated HLA genotyping assay.</w:t>
            </w:r>
          </w:p>
          <w:p w14:paraId="5CACA62A" w14:textId="1A08B19C" w:rsidR="00994B3D" w:rsidRDefault="00D73939" w:rsidP="00994B3D">
            <w:proofErr w:type="spellStart"/>
            <w:r>
              <w:t>Kimmtrak</w:t>
            </w:r>
            <w:proofErr w:type="spellEnd"/>
            <w:r>
              <w:t xml:space="preserve"> is administered via continuous intravenous infusion. </w:t>
            </w:r>
            <w:r w:rsidR="00994B3D">
              <w:t xml:space="preserve">A two-step dilution process is required for preparation of the final </w:t>
            </w:r>
            <w:proofErr w:type="spellStart"/>
            <w:r w:rsidR="00994B3D">
              <w:t>Kimmtrak</w:t>
            </w:r>
            <w:proofErr w:type="spellEnd"/>
            <w:r w:rsidR="00994B3D">
              <w:t xml:space="preserve"> dose for infusion.</w:t>
            </w:r>
          </w:p>
          <w:p w14:paraId="7FE3AB5B" w14:textId="1915424C" w:rsidR="005545C8" w:rsidRPr="00FD35ED" w:rsidRDefault="005545C8" w:rsidP="005545C8">
            <w:r w:rsidRPr="00FD35ED">
              <w:t xml:space="preserve">The recommended dose </w:t>
            </w:r>
            <w:r w:rsidR="00581F29">
              <w:t xml:space="preserve">and dose schedule </w:t>
            </w:r>
            <w:r w:rsidRPr="00FD35ED">
              <w:t xml:space="preserve">of </w:t>
            </w:r>
            <w:proofErr w:type="spellStart"/>
            <w:r w:rsidRPr="00FD35ED">
              <w:t>Kimmtrak</w:t>
            </w:r>
            <w:proofErr w:type="spellEnd"/>
            <w:r w:rsidRPr="00FD35ED">
              <w:t xml:space="preserve"> is:</w:t>
            </w:r>
          </w:p>
          <w:p w14:paraId="5C31AE54" w14:textId="2AC12715" w:rsidR="005545C8" w:rsidRPr="00FD35ED" w:rsidRDefault="005545C8" w:rsidP="005545C8">
            <w:pPr>
              <w:pStyle w:val="ListBullet"/>
            </w:pPr>
            <w:r w:rsidRPr="00FD35ED">
              <w:t xml:space="preserve">20 </w:t>
            </w:r>
            <w:r w:rsidR="00BB11D5" w:rsidRPr="00FD35ED">
              <w:t>µg</w:t>
            </w:r>
            <w:r w:rsidRPr="00FD35ED">
              <w:t xml:space="preserve"> on Day 1</w:t>
            </w:r>
          </w:p>
          <w:p w14:paraId="78F9B87C" w14:textId="33CC7DE3" w:rsidR="005545C8" w:rsidRPr="00FD35ED" w:rsidRDefault="005545C8" w:rsidP="005545C8">
            <w:pPr>
              <w:pStyle w:val="ListBullet"/>
            </w:pPr>
            <w:r w:rsidRPr="00FD35ED">
              <w:lastRenderedPageBreak/>
              <w:t xml:space="preserve">30 </w:t>
            </w:r>
            <w:r w:rsidR="00BB11D5" w:rsidRPr="00FD35ED">
              <w:t xml:space="preserve">µg </w:t>
            </w:r>
            <w:r w:rsidRPr="00FD35ED">
              <w:t>on Day 8</w:t>
            </w:r>
          </w:p>
          <w:p w14:paraId="1F276370" w14:textId="3EC3B2F0" w:rsidR="005545C8" w:rsidRPr="00FD35ED" w:rsidRDefault="005545C8" w:rsidP="005545C8">
            <w:pPr>
              <w:pStyle w:val="ListBullet"/>
            </w:pPr>
            <w:r w:rsidRPr="00FD35ED">
              <w:t xml:space="preserve">68 </w:t>
            </w:r>
            <w:r w:rsidR="00BB11D5" w:rsidRPr="00FD35ED">
              <w:t xml:space="preserve">µg </w:t>
            </w:r>
            <w:r w:rsidRPr="00FD35ED">
              <w:t>on Day 15</w:t>
            </w:r>
          </w:p>
          <w:p w14:paraId="451E72DD" w14:textId="6670A677" w:rsidR="005545C8" w:rsidRPr="00FD35ED" w:rsidRDefault="005545C8" w:rsidP="005545C8">
            <w:pPr>
              <w:pStyle w:val="ListBullet"/>
            </w:pPr>
            <w:r w:rsidRPr="00FD35ED">
              <w:t xml:space="preserve">68 </w:t>
            </w:r>
            <w:r w:rsidR="00BB11D5" w:rsidRPr="00FD35ED">
              <w:t xml:space="preserve">µg </w:t>
            </w:r>
            <w:r w:rsidRPr="00FD35ED">
              <w:t>once every week thereafter</w:t>
            </w:r>
          </w:p>
          <w:p w14:paraId="3C296473" w14:textId="5E3BE7E7" w:rsidR="005545C8" w:rsidRDefault="002B51CD" w:rsidP="005545C8">
            <w:r w:rsidRPr="002B51CD">
              <w:t>The recommended infusion period is 15 to 20 minutes.</w:t>
            </w:r>
            <w:r>
              <w:t xml:space="preserve"> </w:t>
            </w:r>
            <w:r w:rsidR="005545C8" w:rsidRPr="00FD35ED">
              <w:t xml:space="preserve">Continue treatment with </w:t>
            </w:r>
            <w:proofErr w:type="spellStart"/>
            <w:r w:rsidR="005545C8" w:rsidRPr="00FD35ED">
              <w:t>Kimmtrak</w:t>
            </w:r>
            <w:proofErr w:type="spellEnd"/>
            <w:r w:rsidR="005545C8" w:rsidRPr="00FD35ED">
              <w:t xml:space="preserve"> until disease progression or unacceptable toxicity occurs.</w:t>
            </w:r>
          </w:p>
          <w:p w14:paraId="7B56C6FF" w14:textId="77777777" w:rsidR="00D73939" w:rsidRPr="001C3BAB" w:rsidRDefault="00D73939" w:rsidP="00D73939">
            <w:pPr>
              <w:rPr>
                <w:i/>
              </w:rPr>
            </w:pPr>
            <w:r w:rsidRPr="001C3BAB">
              <w:rPr>
                <w:i/>
              </w:rPr>
              <w:t>First three treatment doses</w:t>
            </w:r>
          </w:p>
          <w:p w14:paraId="4B1D2391" w14:textId="28758ADB" w:rsidR="00D73939" w:rsidRDefault="00D73939" w:rsidP="00D73939">
            <w:r>
              <w:t xml:space="preserve">The first three doses of </w:t>
            </w:r>
            <w:proofErr w:type="spellStart"/>
            <w:r>
              <w:t>Kimmtrak</w:t>
            </w:r>
            <w:proofErr w:type="spellEnd"/>
            <w:r>
              <w:t xml:space="preserve"> should be administered in a healthcare setting </w:t>
            </w:r>
            <w:r w:rsidR="001C3BAB" w:rsidRPr="001C3BAB">
              <w:t xml:space="preserve">with adequate resources </w:t>
            </w:r>
            <w:r w:rsidR="001C3BAB">
              <w:t>to</w:t>
            </w:r>
            <w:r>
              <w:t xml:space="preserve"> manage cytokine release syndrome. Patients should be monitored for signs and symptoms of cytokine release syndrome during infusion </w:t>
            </w:r>
            <w:r w:rsidR="001C3BAB">
              <w:t xml:space="preserve">and </w:t>
            </w:r>
            <w:r>
              <w:t>for at least for 16 hours after infusion is complete.</w:t>
            </w:r>
          </w:p>
          <w:p w14:paraId="37EA4020" w14:textId="77777777" w:rsidR="00D73939" w:rsidRPr="001C3BAB" w:rsidRDefault="00D73939" w:rsidP="00D73939">
            <w:pPr>
              <w:rPr>
                <w:i/>
              </w:rPr>
            </w:pPr>
            <w:r w:rsidRPr="001C3BAB">
              <w:rPr>
                <w:i/>
              </w:rPr>
              <w:t>Subsequent treatment doses</w:t>
            </w:r>
          </w:p>
          <w:p w14:paraId="255C3A5D" w14:textId="3DCAF349" w:rsidR="00994B3D" w:rsidRDefault="00994B3D" w:rsidP="00371E8F">
            <w:r>
              <w:t>If the patient does not experience hypotension that is Grade</w:t>
            </w:r>
            <w:r w:rsidR="00371E8F">
              <w:t> </w:t>
            </w:r>
            <w:r>
              <w:t>2 or worse (requiring medical intervention) in association with the third infusion,</w:t>
            </w:r>
            <w:r w:rsidR="00371E8F">
              <w:t xml:space="preserve"> subsequent doses can be administered in an appropriate </w:t>
            </w:r>
            <w:proofErr w:type="gramStart"/>
            <w:r w:rsidR="00371E8F">
              <w:t>out-patient</w:t>
            </w:r>
            <w:proofErr w:type="gramEnd"/>
            <w:r w:rsidR="00371E8F">
              <w:t xml:space="preserve"> or ambulatory care setting. Observe patients for a minimum of 30 minutes following each infusion.</w:t>
            </w:r>
          </w:p>
          <w:p w14:paraId="7E7A3633" w14:textId="77777777" w:rsidR="002B51CD" w:rsidRPr="002B51CD" w:rsidRDefault="002B51CD" w:rsidP="002B51CD">
            <w:pPr>
              <w:rPr>
                <w:i/>
                <w:iCs/>
              </w:rPr>
            </w:pPr>
            <w:r w:rsidRPr="002B51CD">
              <w:rPr>
                <w:i/>
                <w:iCs/>
              </w:rPr>
              <w:t>Dose adjustments</w:t>
            </w:r>
          </w:p>
          <w:p w14:paraId="2DE4128F" w14:textId="02AFBA7B" w:rsidR="002B51CD" w:rsidRDefault="002B51CD" w:rsidP="002B51CD">
            <w:r>
              <w:t xml:space="preserve">Dose modifications for </w:t>
            </w:r>
            <w:proofErr w:type="spellStart"/>
            <w:r>
              <w:t>Kimmtrak</w:t>
            </w:r>
            <w:proofErr w:type="spellEnd"/>
            <w:r>
              <w:t xml:space="preserve"> for adverse reactions are summarised in Table 1 of the Product Information.</w:t>
            </w:r>
          </w:p>
          <w:p w14:paraId="3D305FAE" w14:textId="77777777" w:rsidR="009F2673" w:rsidRPr="00FD35ED" w:rsidRDefault="009F2673" w:rsidP="009E5A87">
            <w:r w:rsidRPr="00FD35ED">
              <w:t>For further information regarding dosage, refer to the Product Information.</w:t>
            </w:r>
          </w:p>
        </w:tc>
      </w:tr>
      <w:tr w:rsidR="009F2673" w:rsidRPr="00FD35ED" w14:paraId="42E9C17A" w14:textId="77777777" w:rsidTr="005545C8">
        <w:tc>
          <w:tcPr>
            <w:tcW w:w="1577" w:type="pct"/>
          </w:tcPr>
          <w:p w14:paraId="633EE038" w14:textId="77777777" w:rsidR="009F2673" w:rsidRPr="00FD35ED" w:rsidRDefault="009F2673" w:rsidP="009E5A87">
            <w:pPr>
              <w:rPr>
                <w:i/>
              </w:rPr>
            </w:pPr>
            <w:r w:rsidRPr="00FD35ED">
              <w:rPr>
                <w:i/>
              </w:rPr>
              <w:lastRenderedPageBreak/>
              <w:t>Pregnancy category:</w:t>
            </w:r>
          </w:p>
        </w:tc>
        <w:tc>
          <w:tcPr>
            <w:tcW w:w="3423" w:type="pct"/>
          </w:tcPr>
          <w:p w14:paraId="09DD66BC" w14:textId="77777777" w:rsidR="005545C8" w:rsidRPr="00FD35ED" w:rsidRDefault="005545C8" w:rsidP="005545C8">
            <w:r w:rsidRPr="00FD35ED">
              <w:t>C</w:t>
            </w:r>
          </w:p>
          <w:p w14:paraId="0DBAE22A" w14:textId="77777777" w:rsidR="005545C8" w:rsidRPr="00FD35ED" w:rsidRDefault="005545C8" w:rsidP="005545C8">
            <w:r w:rsidRPr="00FD35ED">
              <w:t xml:space="preserve">Drugs which, owing to their pharmacological effects, have </w:t>
            </w:r>
            <w:proofErr w:type="gramStart"/>
            <w:r w:rsidRPr="00FD35ED">
              <w:t>caused</w:t>
            </w:r>
            <w:proofErr w:type="gramEnd"/>
            <w:r w:rsidRPr="00FD35ED">
              <w:t xml:space="preserve"> or may be suspected of causing, harmful effects on the human </w:t>
            </w:r>
            <w:proofErr w:type="spellStart"/>
            <w:r w:rsidRPr="00FD35ED">
              <w:t>fetus</w:t>
            </w:r>
            <w:proofErr w:type="spellEnd"/>
            <w:r w:rsidRPr="00FD35ED">
              <w:t xml:space="preserve"> or neonate without causing malformations. These effects may be reversible. Accompanying texts should be consulted for further details.</w:t>
            </w:r>
          </w:p>
          <w:p w14:paraId="69E9A19C" w14:textId="33F8B127" w:rsidR="009F2673" w:rsidRPr="00FD35ED" w:rsidRDefault="009F2673" w:rsidP="009E5A87">
            <w:r w:rsidRPr="00FD35ED">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1CB03D10" w14:textId="77777777" w:rsidR="008E7846" w:rsidRPr="00FD35ED" w:rsidRDefault="008E7846" w:rsidP="007F517C">
      <w:pPr>
        <w:pStyle w:val="Heading3"/>
        <w:pageBreakBefore/>
      </w:pPr>
      <w:bookmarkStart w:id="13" w:name="_Toc247691503"/>
      <w:bookmarkStart w:id="14" w:name="_Toc314842484"/>
      <w:bookmarkStart w:id="15" w:name="_Toc119316335"/>
      <w:r w:rsidRPr="00FD35ED">
        <w:lastRenderedPageBreak/>
        <w:t>Product background</w:t>
      </w:r>
      <w:bookmarkEnd w:id="13"/>
      <w:bookmarkEnd w:id="14"/>
      <w:bookmarkEnd w:id="15"/>
    </w:p>
    <w:p w14:paraId="30235D30" w14:textId="01B87883" w:rsidR="009F2673" w:rsidRPr="00FD35ED" w:rsidRDefault="009F2673" w:rsidP="009F2673">
      <w:r w:rsidRPr="00FD35ED">
        <w:t xml:space="preserve">This </w:t>
      </w:r>
      <w:proofErr w:type="spellStart"/>
      <w:r w:rsidRPr="00FD35ED">
        <w:t>AusPAR</w:t>
      </w:r>
      <w:proofErr w:type="spellEnd"/>
      <w:r w:rsidRPr="00FD35ED">
        <w:t xml:space="preserve"> describes the </w:t>
      </w:r>
      <w:r w:rsidR="001E359E" w:rsidRPr="00FD35ED">
        <w:t>submission</w:t>
      </w:r>
      <w:r w:rsidRPr="00FD35ED">
        <w:t xml:space="preserve"> by </w:t>
      </w:r>
      <w:r w:rsidR="00EA6D30" w:rsidRPr="00FD35ED">
        <w:t>Adjutor Healthcare Pty Ltd</w:t>
      </w:r>
      <w:r w:rsidRPr="00FD35ED">
        <w:t xml:space="preserve"> (the sponsor) to register </w:t>
      </w:r>
      <w:proofErr w:type="spellStart"/>
      <w:r w:rsidR="00EA6D30" w:rsidRPr="00FD35ED">
        <w:t>Kimmtrak</w:t>
      </w:r>
      <w:proofErr w:type="spellEnd"/>
      <w:r w:rsidR="00EA6D30" w:rsidRPr="00FD35ED">
        <w:t xml:space="preserve"> </w:t>
      </w:r>
      <w:r w:rsidRPr="00FD35ED">
        <w:t>(</w:t>
      </w:r>
      <w:proofErr w:type="spellStart"/>
      <w:r w:rsidR="00EA6D30" w:rsidRPr="00FD35ED">
        <w:t>tebentafusp</w:t>
      </w:r>
      <w:proofErr w:type="spellEnd"/>
      <w:r w:rsidRPr="00FD35ED">
        <w:t xml:space="preserve">) </w:t>
      </w:r>
      <w:r w:rsidR="005545C8" w:rsidRPr="00FD35ED">
        <w:t>0.1 mg/0.5 mL</w:t>
      </w:r>
      <w:r w:rsidRPr="00FD35ED">
        <w:t xml:space="preserve">, </w:t>
      </w:r>
      <w:r w:rsidR="005545C8" w:rsidRPr="00FD35ED">
        <w:t>concentrated solution for infusion</w:t>
      </w:r>
      <w:r w:rsidRPr="00FD35ED">
        <w:t xml:space="preserve"> for the following proposed indication:</w:t>
      </w:r>
    </w:p>
    <w:p w14:paraId="1CF3F4A3" w14:textId="0CEBFE20" w:rsidR="00CA27EA" w:rsidRDefault="00CA27EA" w:rsidP="00CA27EA">
      <w:pPr>
        <w:ind w:left="720"/>
        <w:rPr>
          <w:i/>
          <w:iCs/>
        </w:rPr>
      </w:pPr>
      <w:proofErr w:type="spellStart"/>
      <w:r w:rsidRPr="00FD35ED">
        <w:rPr>
          <w:i/>
          <w:iCs/>
        </w:rPr>
        <w:t>Kimmtrak</w:t>
      </w:r>
      <w:proofErr w:type="spellEnd"/>
      <w:r w:rsidRPr="00FD35ED">
        <w:rPr>
          <w:i/>
          <w:iCs/>
        </w:rPr>
        <w:t xml:space="preserve"> is indicated as monotherapy for the treatment of HLA-A*02:01-positive adult patients with unresectable or metastatic uveal melanoma.</w:t>
      </w:r>
    </w:p>
    <w:p w14:paraId="11058799" w14:textId="55A173C2" w:rsidR="00CA27EA" w:rsidRPr="00FD35ED" w:rsidRDefault="00BB11D5" w:rsidP="00CA27EA">
      <w:bookmarkStart w:id="16" w:name="_Toc314842485"/>
      <w:bookmarkStart w:id="17" w:name="_Toc247691504"/>
      <w:r w:rsidRPr="00FD35ED">
        <w:t>U</w:t>
      </w:r>
      <w:r w:rsidR="00CA27EA" w:rsidRPr="00FD35ED">
        <w:t>veal melanoma is the most common malignancy of the eye in adults and the most common non-cutaneous melanoma.</w:t>
      </w:r>
      <w:bookmarkStart w:id="18" w:name="_Ref113274072"/>
      <w:r w:rsidR="00642D6B" w:rsidRPr="00FD35ED">
        <w:rPr>
          <w:rStyle w:val="FootnoteReference"/>
        </w:rPr>
        <w:footnoteReference w:id="1"/>
      </w:r>
      <w:bookmarkEnd w:id="18"/>
      <w:r w:rsidR="00642D6B" w:rsidRPr="00FD35ED">
        <w:rPr>
          <w:vertAlign w:val="superscript"/>
        </w:rPr>
        <w:t>,</w:t>
      </w:r>
      <w:r w:rsidR="00642D6B" w:rsidRPr="00FD35ED">
        <w:rPr>
          <w:rStyle w:val="FootnoteReference"/>
        </w:rPr>
        <w:footnoteReference w:id="2"/>
      </w:r>
      <w:r w:rsidRPr="00FD35ED">
        <w:t xml:space="preserve"> It represents around 5% of melanomas overall population</w:t>
      </w:r>
      <w:bookmarkStart w:id="19" w:name="_Ref95224182"/>
      <w:r w:rsidRPr="00FD35ED">
        <w:t>.</w:t>
      </w:r>
      <w:r w:rsidRPr="00FD35ED">
        <w:rPr>
          <w:rStyle w:val="FootnoteReference"/>
        </w:rPr>
        <w:footnoteReference w:id="3"/>
      </w:r>
      <w:bookmarkEnd w:id="19"/>
      <w:r w:rsidRPr="00FD35ED">
        <w:t xml:space="preserve"> </w:t>
      </w:r>
      <w:r w:rsidR="00CA27EA" w:rsidRPr="00FD35ED">
        <w:t xml:space="preserve">Clinical presentation most commonly involves a new or changed lesion in the iris, visual </w:t>
      </w:r>
      <w:proofErr w:type="gramStart"/>
      <w:r w:rsidR="00CA27EA" w:rsidRPr="00FD35ED">
        <w:t>acuity</w:t>
      </w:r>
      <w:proofErr w:type="gramEnd"/>
      <w:r w:rsidR="00CA27EA" w:rsidRPr="00FD35ED">
        <w:t xml:space="preserve"> or field changes, or photopsia; however, around a third of cases are asymptomatic and diagnosed incidentally at routine ophthalmological examination for other conditions (such as screening for diabetic retinopathy).</w:t>
      </w:r>
      <w:bookmarkStart w:id="20" w:name="_Ref113273148"/>
      <w:r w:rsidR="00642D6B" w:rsidRPr="00FD35ED">
        <w:rPr>
          <w:rStyle w:val="FootnoteReference"/>
        </w:rPr>
        <w:footnoteReference w:id="4"/>
      </w:r>
      <w:bookmarkEnd w:id="20"/>
    </w:p>
    <w:p w14:paraId="1C2FA4B8" w14:textId="3AE3C208" w:rsidR="00CA27EA" w:rsidRPr="00FD35ED" w:rsidRDefault="00CA27EA" w:rsidP="00CA27EA">
      <w:r w:rsidRPr="00FD35ED">
        <w:t>The mean age</w:t>
      </w:r>
      <w:r w:rsidR="001F34DA">
        <w:noBreakHyphen/>
      </w:r>
      <w:r w:rsidRPr="00FD35ED">
        <w:t xml:space="preserve">standardised incidence of </w:t>
      </w:r>
      <w:r w:rsidR="001212BF" w:rsidRPr="00FD35ED">
        <w:t>uveal melanoma</w:t>
      </w:r>
      <w:r w:rsidRPr="00FD35ED">
        <w:t xml:space="preserve"> in Australia between 1982 and 2014 was 7.6 cases per million</w:t>
      </w:r>
      <w:bookmarkStart w:id="21" w:name="_Ref95226969"/>
      <w:r w:rsidRPr="00FD35ED">
        <w:t>, with a slight peak in 1993.</w:t>
      </w:r>
      <w:bookmarkStart w:id="22" w:name="_Ref113273098"/>
      <w:bookmarkEnd w:id="21"/>
      <w:r w:rsidR="00642D6B" w:rsidRPr="00FD35ED">
        <w:rPr>
          <w:rStyle w:val="FootnoteReference"/>
        </w:rPr>
        <w:footnoteReference w:id="5"/>
      </w:r>
      <w:bookmarkEnd w:id="22"/>
      <w:r w:rsidRPr="00FD35ED">
        <w:t xml:space="preserve"> This is higher than the rate reported for a similar period in the </w:t>
      </w:r>
      <w:r w:rsidR="00CC695D" w:rsidRPr="00FD35ED">
        <w:t>United States of America (</w:t>
      </w:r>
      <w:r w:rsidRPr="00FD35ED">
        <w:t>USA</w:t>
      </w:r>
      <w:r w:rsidR="00CC695D" w:rsidRPr="00FD35ED">
        <w:t>)</w:t>
      </w:r>
      <w:r w:rsidRPr="00FD35ED">
        <w:t xml:space="preserve"> </w:t>
      </w:r>
      <w:r w:rsidR="001F34DA">
        <w:t xml:space="preserve">of </w:t>
      </w:r>
      <w:r w:rsidRPr="00FD35ED">
        <w:t>5.1 per million per year</w:t>
      </w:r>
      <w:r w:rsidR="001F34DA">
        <w:t xml:space="preserve">, from </w:t>
      </w:r>
      <w:r w:rsidRPr="00FD35ED">
        <w:t>1973 to 2008.</w:t>
      </w:r>
      <w:r w:rsidR="00642D6B" w:rsidRPr="00FD35ED">
        <w:rPr>
          <w:vertAlign w:val="superscript"/>
        </w:rPr>
        <w:fldChar w:fldCharType="begin"/>
      </w:r>
      <w:r w:rsidR="00642D6B" w:rsidRPr="00FD35ED">
        <w:rPr>
          <w:vertAlign w:val="superscript"/>
        </w:rPr>
        <w:instrText xml:space="preserve"> NOTEREF _Ref95224182 \h  \* MERGEFORMAT </w:instrText>
      </w:r>
      <w:r w:rsidR="00642D6B" w:rsidRPr="00FD35ED">
        <w:rPr>
          <w:vertAlign w:val="superscript"/>
        </w:rPr>
      </w:r>
      <w:r w:rsidR="00642D6B" w:rsidRPr="00FD35ED">
        <w:rPr>
          <w:vertAlign w:val="superscript"/>
        </w:rPr>
        <w:fldChar w:fldCharType="separate"/>
      </w:r>
      <w:r w:rsidR="00301C3E">
        <w:rPr>
          <w:vertAlign w:val="superscript"/>
        </w:rPr>
        <w:t>3</w:t>
      </w:r>
      <w:r w:rsidR="00642D6B" w:rsidRPr="00FD35ED">
        <w:rPr>
          <w:vertAlign w:val="superscript"/>
        </w:rPr>
        <w:fldChar w:fldCharType="end"/>
      </w:r>
      <w:r w:rsidRPr="00FD35ED">
        <w:t xml:space="preserve"> European data (1983 to 1994) demonstrates age</w:t>
      </w:r>
      <w:r w:rsidR="00BB11D5" w:rsidRPr="00FD35ED">
        <w:t xml:space="preserve"> </w:t>
      </w:r>
      <w:r w:rsidRPr="00FD35ED">
        <w:t>standardised incidence rates that follow a decreasing north-to-south gradient (from 2 per million per year in Spain and southern Italy to 8 per million per year in Norway and Denmark),</w:t>
      </w:r>
      <w:r w:rsidR="00642D6B" w:rsidRPr="00FD35ED">
        <w:rPr>
          <w:rStyle w:val="FootnoteReference"/>
        </w:rPr>
        <w:footnoteReference w:id="6"/>
      </w:r>
      <w:r w:rsidRPr="00FD35ED">
        <w:t xml:space="preserve"> attributed to the protective effect of ocular pigmentation in populations who evolved at latitudes with higher exposure to ultraviolet light.</w:t>
      </w:r>
    </w:p>
    <w:p w14:paraId="6ACED9CB" w14:textId="0D3723BA" w:rsidR="00CA27EA" w:rsidRDefault="00CA27EA" w:rsidP="00CA27EA">
      <w:pPr>
        <w:rPr>
          <w:vertAlign w:val="superscript"/>
        </w:rPr>
      </w:pPr>
      <w:r w:rsidRPr="00FD35ED">
        <w:t xml:space="preserve">In addition to lighter ocular and skin pigmentation, the risk of </w:t>
      </w:r>
      <w:r w:rsidR="001212BF" w:rsidRPr="00FD35ED">
        <w:t>uveal melanoma</w:t>
      </w:r>
      <w:r w:rsidRPr="00FD35ED">
        <w:t xml:space="preserve"> is higher with male sex (8.4 per million versus 6.9 per million for females in Australia),</w:t>
      </w:r>
      <w:r w:rsidR="00642D6B" w:rsidRPr="00FD35ED">
        <w:rPr>
          <w:vertAlign w:val="superscript"/>
        </w:rPr>
        <w:fldChar w:fldCharType="begin"/>
      </w:r>
      <w:r w:rsidR="00642D6B" w:rsidRPr="00FD35ED">
        <w:rPr>
          <w:vertAlign w:val="superscript"/>
        </w:rPr>
        <w:instrText xml:space="preserve"> NOTEREF _Ref113273098 \h  \* MERGEFORMAT </w:instrText>
      </w:r>
      <w:r w:rsidR="00642D6B" w:rsidRPr="00FD35ED">
        <w:rPr>
          <w:vertAlign w:val="superscript"/>
        </w:rPr>
      </w:r>
      <w:r w:rsidR="00642D6B" w:rsidRPr="00FD35ED">
        <w:rPr>
          <w:vertAlign w:val="superscript"/>
        </w:rPr>
        <w:fldChar w:fldCharType="separate"/>
      </w:r>
      <w:r w:rsidR="00301C3E">
        <w:rPr>
          <w:vertAlign w:val="superscript"/>
        </w:rPr>
        <w:t>5</w:t>
      </w:r>
      <w:r w:rsidR="00642D6B" w:rsidRPr="00FD35ED">
        <w:rPr>
          <w:vertAlign w:val="superscript"/>
        </w:rPr>
        <w:fldChar w:fldCharType="end"/>
      </w:r>
      <w:r w:rsidRPr="00FD35ED">
        <w:t xml:space="preserve"> and older age (50</w:t>
      </w:r>
      <w:r w:rsidR="00BB11D5" w:rsidRPr="00FD35ED">
        <w:t xml:space="preserve"> to </w:t>
      </w:r>
      <w:r w:rsidRPr="00FD35ED">
        <w:t>70 years);</w:t>
      </w:r>
      <w:r w:rsidR="00642D6B" w:rsidRPr="00FD35ED">
        <w:rPr>
          <w:vertAlign w:val="superscript"/>
        </w:rPr>
        <w:fldChar w:fldCharType="begin"/>
      </w:r>
      <w:r w:rsidR="00642D6B" w:rsidRPr="00FD35ED">
        <w:rPr>
          <w:vertAlign w:val="superscript"/>
        </w:rPr>
        <w:instrText xml:space="preserve"> NOTEREF _Ref113273148 \h  \* MERGEFORMAT </w:instrText>
      </w:r>
      <w:r w:rsidR="00642D6B" w:rsidRPr="00FD35ED">
        <w:rPr>
          <w:vertAlign w:val="superscript"/>
        </w:rPr>
      </w:r>
      <w:r w:rsidR="00642D6B" w:rsidRPr="00FD35ED">
        <w:rPr>
          <w:vertAlign w:val="superscript"/>
        </w:rPr>
        <w:fldChar w:fldCharType="separate"/>
      </w:r>
      <w:r w:rsidR="00301C3E">
        <w:rPr>
          <w:vertAlign w:val="superscript"/>
        </w:rPr>
        <w:t>4</w:t>
      </w:r>
      <w:r w:rsidR="00642D6B" w:rsidRPr="00FD35ED">
        <w:rPr>
          <w:vertAlign w:val="superscript"/>
        </w:rPr>
        <w:fldChar w:fldCharType="end"/>
      </w:r>
      <w:r w:rsidR="00642D6B" w:rsidRPr="00FD35ED">
        <w:t xml:space="preserve"> </w:t>
      </w:r>
      <w:r w:rsidR="001212BF" w:rsidRPr="00FD35ED">
        <w:t>uveal melanoma</w:t>
      </w:r>
      <w:r w:rsidRPr="00FD35ED">
        <w:t xml:space="preserve"> is rare in children.</w:t>
      </w:r>
      <w:r w:rsidR="00642D6B" w:rsidRPr="00FD35ED">
        <w:rPr>
          <w:vertAlign w:val="superscript"/>
        </w:rPr>
        <w:fldChar w:fldCharType="begin"/>
      </w:r>
      <w:r w:rsidR="00642D6B" w:rsidRPr="00FD35ED">
        <w:rPr>
          <w:vertAlign w:val="superscript"/>
        </w:rPr>
        <w:instrText xml:space="preserve"> NOTEREF _Ref95224182 \h  \* MERGEFORMAT </w:instrText>
      </w:r>
      <w:r w:rsidR="00642D6B" w:rsidRPr="00FD35ED">
        <w:rPr>
          <w:vertAlign w:val="superscript"/>
        </w:rPr>
      </w:r>
      <w:r w:rsidR="00642D6B" w:rsidRPr="00FD35ED">
        <w:rPr>
          <w:vertAlign w:val="superscript"/>
        </w:rPr>
        <w:fldChar w:fldCharType="separate"/>
      </w:r>
      <w:r w:rsidR="00301C3E">
        <w:rPr>
          <w:vertAlign w:val="superscript"/>
        </w:rPr>
        <w:t>3</w:t>
      </w:r>
      <w:r w:rsidR="00642D6B" w:rsidRPr="00FD35ED">
        <w:rPr>
          <w:vertAlign w:val="superscript"/>
        </w:rPr>
        <w:fldChar w:fldCharType="end"/>
      </w:r>
      <w:r w:rsidRPr="00FD35ED">
        <w:t xml:space="preserve"> The median age of diagnosis in Australia is 63 years.</w:t>
      </w:r>
      <w:r w:rsidR="00463382" w:rsidRPr="00FD35ED">
        <w:rPr>
          <w:vertAlign w:val="superscript"/>
        </w:rPr>
        <w:fldChar w:fldCharType="begin"/>
      </w:r>
      <w:r w:rsidR="00463382" w:rsidRPr="00FD35ED">
        <w:rPr>
          <w:vertAlign w:val="superscript"/>
        </w:rPr>
        <w:instrText xml:space="preserve"> NOTEREF _Ref113273098 \h  \* MERGEFORMAT </w:instrText>
      </w:r>
      <w:r w:rsidR="00463382" w:rsidRPr="00FD35ED">
        <w:rPr>
          <w:vertAlign w:val="superscript"/>
        </w:rPr>
      </w:r>
      <w:r w:rsidR="00463382" w:rsidRPr="00FD35ED">
        <w:rPr>
          <w:vertAlign w:val="superscript"/>
        </w:rPr>
        <w:fldChar w:fldCharType="separate"/>
      </w:r>
      <w:r w:rsidR="00301C3E">
        <w:rPr>
          <w:vertAlign w:val="superscript"/>
        </w:rPr>
        <w:t>5</w:t>
      </w:r>
      <w:r w:rsidR="00463382" w:rsidRPr="00FD35ED">
        <w:rPr>
          <w:vertAlign w:val="superscript"/>
        </w:rPr>
        <w:fldChar w:fldCharType="end"/>
      </w:r>
      <w:r w:rsidRPr="00FD35ED">
        <w:t xml:space="preserve"> Younger median age of diagnosis is reported in Asian populations, from 45 years in China,</w:t>
      </w:r>
      <w:r w:rsidR="00463382" w:rsidRPr="00FD35ED">
        <w:rPr>
          <w:rStyle w:val="FootnoteReference"/>
        </w:rPr>
        <w:footnoteReference w:id="7"/>
      </w:r>
      <w:r w:rsidR="00463382" w:rsidRPr="00FD35ED">
        <w:t xml:space="preserve"> </w:t>
      </w:r>
      <w:r w:rsidRPr="00FD35ED">
        <w:t>to 55 years in Japan</w:t>
      </w:r>
      <w:r w:rsidR="00463382" w:rsidRPr="00FD35ED">
        <w:t>.</w:t>
      </w:r>
      <w:r w:rsidR="00463382" w:rsidRPr="00FD35ED">
        <w:rPr>
          <w:rStyle w:val="FootnoteReference"/>
        </w:rPr>
        <w:footnoteReference w:id="8"/>
      </w:r>
      <w:r w:rsidRPr="00FD35ED">
        <w:t xml:space="preserve"> Increased risk can also be conferred by the presence of a germline </w:t>
      </w:r>
      <w:r w:rsidR="001F34DA">
        <w:t>BRCA1</w:t>
      </w:r>
      <w:r w:rsidR="00FB4056">
        <w:t>-</w:t>
      </w:r>
      <w:r w:rsidR="001F34DA">
        <w:t>associated protein 1 gene (</w:t>
      </w:r>
      <w:r w:rsidR="001F34DA" w:rsidRPr="00FB4056">
        <w:rPr>
          <w:i/>
        </w:rPr>
        <w:t>BAP1</w:t>
      </w:r>
      <w:r w:rsidR="001F34DA">
        <w:t xml:space="preserve">) </w:t>
      </w:r>
      <w:r w:rsidRPr="00FD35ED">
        <w:t>mutation, which is usually associated with younger age of presentation (30</w:t>
      </w:r>
      <w:r w:rsidR="00BB11D5" w:rsidRPr="00FD35ED">
        <w:t xml:space="preserve"> to </w:t>
      </w:r>
      <w:r w:rsidRPr="00FD35ED">
        <w:t>59 years).</w:t>
      </w:r>
      <w:bookmarkStart w:id="23" w:name="_Ref113283638"/>
      <w:r w:rsidR="00463382" w:rsidRPr="00FD35ED">
        <w:rPr>
          <w:rStyle w:val="FootnoteReference"/>
        </w:rPr>
        <w:footnoteReference w:id="9"/>
      </w:r>
      <w:bookmarkEnd w:id="23"/>
      <w:r w:rsidRPr="00FD35ED">
        <w:t xml:space="preserve"> Other risk factors include dysplastic naevus syndrome, sensitivity to sunburn, ocular </w:t>
      </w:r>
      <w:proofErr w:type="spellStart"/>
      <w:r w:rsidRPr="00FD35ED">
        <w:t>melanocytosis</w:t>
      </w:r>
      <w:proofErr w:type="spellEnd"/>
      <w:r w:rsidRPr="00FD35ED">
        <w:t xml:space="preserve">, and xeroderma pigmentosum, however, there is not a clear causal association with </w:t>
      </w:r>
      <w:r w:rsidR="00F20C34" w:rsidRPr="00FD35ED">
        <w:t xml:space="preserve">ultraviolet </w:t>
      </w:r>
      <w:r w:rsidRPr="00FD35ED">
        <w:t>exposure.</w:t>
      </w:r>
      <w:r w:rsidR="00463382" w:rsidRPr="00FD35ED">
        <w:rPr>
          <w:vertAlign w:val="superscript"/>
        </w:rPr>
        <w:fldChar w:fldCharType="begin"/>
      </w:r>
      <w:r w:rsidR="00463382" w:rsidRPr="00FD35ED">
        <w:rPr>
          <w:vertAlign w:val="superscript"/>
        </w:rPr>
        <w:instrText xml:space="preserve"> NOTEREF _Ref113273148 \h  \* MERGEFORMAT </w:instrText>
      </w:r>
      <w:r w:rsidR="00463382" w:rsidRPr="00FD35ED">
        <w:rPr>
          <w:vertAlign w:val="superscript"/>
        </w:rPr>
      </w:r>
      <w:r w:rsidR="00463382" w:rsidRPr="00FD35ED">
        <w:rPr>
          <w:vertAlign w:val="superscript"/>
        </w:rPr>
        <w:fldChar w:fldCharType="separate"/>
      </w:r>
      <w:r w:rsidR="00301C3E">
        <w:rPr>
          <w:vertAlign w:val="superscript"/>
        </w:rPr>
        <w:t>4</w:t>
      </w:r>
      <w:r w:rsidR="00463382" w:rsidRPr="00FD35ED">
        <w:rPr>
          <w:vertAlign w:val="superscript"/>
        </w:rPr>
        <w:fldChar w:fldCharType="end"/>
      </w:r>
      <w:r w:rsidR="00463382" w:rsidRPr="00FD35ED">
        <w:rPr>
          <w:vertAlign w:val="superscript"/>
        </w:rPr>
        <w:t>,</w:t>
      </w:r>
      <w:r w:rsidR="00463382" w:rsidRPr="00FD35ED">
        <w:rPr>
          <w:rStyle w:val="FootnoteReference"/>
        </w:rPr>
        <w:footnoteReference w:id="10"/>
      </w:r>
      <w:r w:rsidR="00463382" w:rsidRPr="00FD35ED">
        <w:rPr>
          <w:vertAlign w:val="superscript"/>
        </w:rPr>
        <w:t>,</w:t>
      </w:r>
      <w:r w:rsidR="00463382" w:rsidRPr="00FD35ED">
        <w:rPr>
          <w:rStyle w:val="FootnoteReference"/>
        </w:rPr>
        <w:footnoteReference w:id="11"/>
      </w:r>
    </w:p>
    <w:p w14:paraId="1C862E5E" w14:textId="131941C8" w:rsidR="00CA27EA" w:rsidRPr="00FD35ED" w:rsidRDefault="00CA27EA" w:rsidP="00CA27EA">
      <w:r w:rsidRPr="00FD35ED">
        <w:lastRenderedPageBreak/>
        <w:t xml:space="preserve">Factors associated with worse prognosis include location (ciliary body </w:t>
      </w:r>
      <w:r w:rsidR="004D6622">
        <w:t>versus</w:t>
      </w:r>
      <w:r w:rsidRPr="00FD35ED">
        <w:t xml:space="preserve"> choroid</w:t>
      </w:r>
      <w:r w:rsidR="004D6622">
        <w:t>,</w:t>
      </w:r>
      <w:r w:rsidRPr="00FD35ED">
        <w:t xml:space="preserve"> </w:t>
      </w:r>
      <w:r w:rsidR="004D6622">
        <w:t>versus</w:t>
      </w:r>
      <w:r w:rsidRPr="00FD35ED">
        <w:t xml:space="preserve"> iris) and size of primary lesion (larger </w:t>
      </w:r>
      <w:r w:rsidR="004D6622">
        <w:t>versus</w:t>
      </w:r>
      <w:r w:rsidRPr="00FD35ED">
        <w:t xml:space="preserve"> smaller).</w:t>
      </w:r>
      <w:r w:rsidR="00463382" w:rsidRPr="00FD35ED">
        <w:rPr>
          <w:rStyle w:val="FootnoteReference"/>
        </w:rPr>
        <w:footnoteReference w:id="12"/>
      </w:r>
      <w:r w:rsidRPr="00FD35ED">
        <w:t xml:space="preserve"> Histopathological factors (cell type, mitotic activity, microcirculation architecture, tumour</w:t>
      </w:r>
      <w:r w:rsidR="00F20C34" w:rsidRPr="00FD35ED">
        <w:t xml:space="preserve"> </w:t>
      </w:r>
      <w:r w:rsidRPr="00FD35ED">
        <w:t xml:space="preserve">infiltrating lymphocytes and the presence of </w:t>
      </w:r>
      <w:proofErr w:type="spellStart"/>
      <w:r w:rsidRPr="00FD35ED">
        <w:t>extrascleral</w:t>
      </w:r>
      <w:proofErr w:type="spellEnd"/>
      <w:r w:rsidRPr="00FD35ED">
        <w:t xml:space="preserve"> extension) are also predictive, and are included in the American Joint Committee on Cancer </w:t>
      </w:r>
      <w:r w:rsidR="004D6622">
        <w:t xml:space="preserve">(AJCC) </w:t>
      </w:r>
      <w:r w:rsidRPr="00FD35ED">
        <w:t xml:space="preserve">classification system for </w:t>
      </w:r>
      <w:r w:rsidR="001212BF" w:rsidRPr="00FD35ED">
        <w:t>uveal melanoma</w:t>
      </w:r>
      <w:r w:rsidRPr="00FD35ED">
        <w:t>.</w:t>
      </w:r>
      <w:r w:rsidR="00463382" w:rsidRPr="00FD35ED">
        <w:rPr>
          <w:rStyle w:val="FootnoteReference"/>
        </w:rPr>
        <w:footnoteReference w:id="13"/>
      </w:r>
      <w:r w:rsidRPr="00FD35ED">
        <w:t xml:space="preserve"> Cytogenic and molecular genetic prognostic markers have been identified more recently,</w:t>
      </w:r>
      <w:r w:rsidR="00463382" w:rsidRPr="00FD35ED">
        <w:rPr>
          <w:rStyle w:val="FootnoteReference"/>
        </w:rPr>
        <w:footnoteReference w:id="14"/>
      </w:r>
      <w:r w:rsidRPr="00FD35ED">
        <w:t xml:space="preserve"> and a recent publication out of the Cancer Genome Atlas Project categorised </w:t>
      </w:r>
      <w:r w:rsidR="001212BF" w:rsidRPr="00FD35ED">
        <w:t>uveal melanoma</w:t>
      </w:r>
      <w:r w:rsidRPr="00FD35ED">
        <w:t xml:space="preserve"> into four groups based on genetic abnormalities.</w:t>
      </w:r>
      <w:r w:rsidR="00463382" w:rsidRPr="00FD35ED">
        <w:rPr>
          <w:rStyle w:val="FootnoteReference"/>
        </w:rPr>
        <w:footnoteReference w:id="15"/>
      </w:r>
      <w:r w:rsidRPr="00FD35ED">
        <w:t xml:space="preserve"> No prospective studies to support the prognostic or therapy</w:t>
      </w:r>
      <w:r w:rsidR="00F20C34" w:rsidRPr="00FD35ED">
        <w:t xml:space="preserve"> </w:t>
      </w:r>
      <w:r w:rsidRPr="00FD35ED">
        <w:t>selecting value of these groupings are yet available.</w:t>
      </w:r>
    </w:p>
    <w:p w14:paraId="62AD9C18" w14:textId="337440DD" w:rsidR="00CA27EA" w:rsidRPr="00FD35ED" w:rsidRDefault="00CA27EA" w:rsidP="00CA27EA">
      <w:r w:rsidRPr="00FD35ED">
        <w:t>Despite melanocytes sharing a common embryonic origin, uveal melanoma is biologically, clinically, and genetically distinct from cutaneous melanoma.</w:t>
      </w:r>
      <w:bookmarkStart w:id="24" w:name="_Ref95229973"/>
      <w:r w:rsidR="00463382" w:rsidRPr="00FD35ED">
        <w:rPr>
          <w:rStyle w:val="FootnoteReference"/>
        </w:rPr>
        <w:footnoteReference w:id="16"/>
      </w:r>
      <w:bookmarkEnd w:id="24"/>
      <w:r w:rsidRPr="00FD35ED">
        <w:t xml:space="preserve"> </w:t>
      </w:r>
      <w:r w:rsidR="00BB11D5" w:rsidRPr="00FD35ED">
        <w:t>Cutaneous melanoma</w:t>
      </w:r>
      <w:r w:rsidRPr="00FD35ED">
        <w:t xml:space="preserve"> is associated with mutations in the </w:t>
      </w:r>
      <w:r w:rsidR="00155F4C" w:rsidRPr="00FD35ED">
        <w:t xml:space="preserve">mitogen-activated protein kinase </w:t>
      </w:r>
      <w:r w:rsidRPr="00FD35ED">
        <w:t xml:space="preserve">pathway (notably, </w:t>
      </w:r>
      <w:r w:rsidRPr="00FD35ED">
        <w:rPr>
          <w:i/>
          <w:iCs/>
        </w:rPr>
        <w:t>BRAF</w:t>
      </w:r>
      <w:r w:rsidRPr="00FD35ED">
        <w:t xml:space="preserve"> and </w:t>
      </w:r>
      <w:r w:rsidRPr="00FD35ED">
        <w:rPr>
          <w:i/>
          <w:iCs/>
        </w:rPr>
        <w:t>NRAS</w:t>
      </w:r>
      <w:r w:rsidRPr="00FD35ED">
        <w:t>), lymphatic dissemination, and high tumour mutational burden (TMB).</w:t>
      </w:r>
      <w:r w:rsidR="00463382" w:rsidRPr="00FD35ED">
        <w:rPr>
          <w:rStyle w:val="FootnoteReference"/>
        </w:rPr>
        <w:footnoteReference w:id="17"/>
      </w:r>
      <w:r w:rsidRPr="00FD35ED">
        <w:t xml:space="preserve"> By contrast, </w:t>
      </w:r>
      <w:r w:rsidR="001212BF" w:rsidRPr="00FD35ED">
        <w:t>uveal melanoma</w:t>
      </w:r>
      <w:r w:rsidRPr="00FD35ED">
        <w:t xml:space="preserve"> tends to be associated with different genetic abnormalities (90% show a mutation in </w:t>
      </w:r>
      <w:r w:rsidRPr="00FD35ED">
        <w:rPr>
          <w:i/>
          <w:iCs/>
        </w:rPr>
        <w:t>GNA11</w:t>
      </w:r>
      <w:r w:rsidRPr="00FD35ED">
        <w:t xml:space="preserve"> or </w:t>
      </w:r>
      <w:r w:rsidRPr="00FD35ED">
        <w:rPr>
          <w:i/>
          <w:iCs/>
        </w:rPr>
        <w:t>GNAQ</w:t>
      </w:r>
      <w:r w:rsidRPr="00FD35ED">
        <w:t xml:space="preserve">; other common mutations are </w:t>
      </w:r>
      <w:r w:rsidRPr="00FD35ED">
        <w:rPr>
          <w:i/>
          <w:iCs/>
        </w:rPr>
        <w:t>BAP1</w:t>
      </w:r>
      <w:r w:rsidRPr="00FD35ED">
        <w:t xml:space="preserve">, </w:t>
      </w:r>
      <w:r w:rsidRPr="00FD35ED">
        <w:rPr>
          <w:i/>
          <w:iCs/>
        </w:rPr>
        <w:t>EIF1AX</w:t>
      </w:r>
      <w:r w:rsidRPr="00FD35ED">
        <w:t xml:space="preserve">, and </w:t>
      </w:r>
      <w:r w:rsidRPr="00FD35ED">
        <w:rPr>
          <w:i/>
          <w:iCs/>
        </w:rPr>
        <w:t>SF3B1</w:t>
      </w:r>
      <w:r w:rsidRPr="00FD35ED">
        <w:t>), low average TMB scores,</w:t>
      </w:r>
      <w:r w:rsidR="00463382" w:rsidRPr="00FD35ED">
        <w:rPr>
          <w:rStyle w:val="FootnoteReference"/>
        </w:rPr>
        <w:footnoteReference w:id="18"/>
      </w:r>
      <w:r w:rsidRPr="00FD35ED">
        <w:t xml:space="preserve"> and haematogenous spread (explained by a lack of lymphatics in the uveal tract).</w:t>
      </w:r>
      <w:r w:rsidR="00463382" w:rsidRPr="00FD35ED">
        <w:rPr>
          <w:vertAlign w:val="superscript"/>
        </w:rPr>
        <w:fldChar w:fldCharType="begin"/>
      </w:r>
      <w:r w:rsidR="00463382" w:rsidRPr="00FD35ED">
        <w:rPr>
          <w:vertAlign w:val="superscript"/>
        </w:rPr>
        <w:instrText xml:space="preserve"> NOTEREF _Ref95229973 \h  \* MERGEFORMAT </w:instrText>
      </w:r>
      <w:r w:rsidR="00463382" w:rsidRPr="00FD35ED">
        <w:rPr>
          <w:vertAlign w:val="superscript"/>
        </w:rPr>
      </w:r>
      <w:r w:rsidR="00463382" w:rsidRPr="00FD35ED">
        <w:rPr>
          <w:vertAlign w:val="superscript"/>
        </w:rPr>
        <w:fldChar w:fldCharType="separate"/>
      </w:r>
      <w:r w:rsidR="00301C3E">
        <w:rPr>
          <w:vertAlign w:val="superscript"/>
        </w:rPr>
        <w:t>16</w:t>
      </w:r>
      <w:r w:rsidR="00463382" w:rsidRPr="00FD35ED">
        <w:rPr>
          <w:vertAlign w:val="superscript"/>
        </w:rPr>
        <w:fldChar w:fldCharType="end"/>
      </w:r>
    </w:p>
    <w:p w14:paraId="394A3DA7" w14:textId="5E1100E7" w:rsidR="00CA27EA" w:rsidRPr="00FD35ED" w:rsidRDefault="00CA27EA" w:rsidP="00CA27EA">
      <w:r w:rsidRPr="00FD35ED">
        <w:t xml:space="preserve">Metastatic </w:t>
      </w:r>
      <w:r w:rsidR="001212BF" w:rsidRPr="00FD35ED">
        <w:t>uveal melanoma</w:t>
      </w:r>
      <w:r w:rsidRPr="00FD35ED">
        <w:t xml:space="preserve"> also differs from </w:t>
      </w:r>
      <w:r w:rsidR="00BB11D5" w:rsidRPr="00FD35ED">
        <w:t>cutaneous melanoma</w:t>
      </w:r>
      <w:r w:rsidRPr="00FD35ED">
        <w:t xml:space="preserve"> in its striking liver tropism: around 90% of patients </w:t>
      </w:r>
      <w:bookmarkStart w:id="25" w:name="_Ref95294374"/>
      <w:r w:rsidRPr="00FD35ED">
        <w:t xml:space="preserve">with </w:t>
      </w:r>
      <w:r w:rsidR="001212BF" w:rsidRPr="00FD35ED">
        <w:t>metastatic uveal melanoma</w:t>
      </w:r>
      <w:r w:rsidRPr="00FD35ED">
        <w:t xml:space="preserve"> have hepatic metastases (compared to around 20% in </w:t>
      </w:r>
      <w:r w:rsidR="00BB11D5" w:rsidRPr="00FD35ED">
        <w:t>cutaneous melanoma</w:t>
      </w:r>
      <w:r w:rsidRPr="00FD35ED">
        <w:t>),</w:t>
      </w:r>
      <w:r w:rsidR="00463382" w:rsidRPr="00FD35ED">
        <w:rPr>
          <w:rStyle w:val="FootnoteReference"/>
        </w:rPr>
        <w:footnoteReference w:id="19"/>
      </w:r>
      <w:r w:rsidRPr="00FD35ED">
        <w:t xml:space="preserve"> whilst lesions in lung, bone, </w:t>
      </w:r>
      <w:proofErr w:type="gramStart"/>
      <w:r w:rsidRPr="00FD35ED">
        <w:t>brain</w:t>
      </w:r>
      <w:proofErr w:type="gramEnd"/>
      <w:r w:rsidRPr="00FD35ED">
        <w:t xml:space="preserve"> and soft tissue are less common.</w:t>
      </w:r>
      <w:bookmarkEnd w:id="25"/>
      <w:r w:rsidR="00463382" w:rsidRPr="00FD35ED">
        <w:rPr>
          <w:rStyle w:val="FootnoteReference"/>
        </w:rPr>
        <w:footnoteReference w:id="20"/>
      </w:r>
      <w:r w:rsidRPr="00FD35ED">
        <w:t xml:space="preserve"> The cause of death in patients with </w:t>
      </w:r>
      <w:r w:rsidR="001212BF" w:rsidRPr="00FD35ED">
        <w:t>uveal melanoma</w:t>
      </w:r>
      <w:r w:rsidRPr="00FD35ED">
        <w:t xml:space="preserve"> who have hepatic metastases is almost exclusively hepatic failure, even when other visceral sites are involved.</w:t>
      </w:r>
      <w:bookmarkStart w:id="26" w:name="_Ref113273788"/>
      <w:r w:rsidR="00463382" w:rsidRPr="00FD35ED">
        <w:rPr>
          <w:rStyle w:val="FootnoteReference"/>
        </w:rPr>
        <w:footnoteReference w:id="21"/>
      </w:r>
      <w:bookmarkEnd w:id="26"/>
    </w:p>
    <w:p w14:paraId="702C0FF3" w14:textId="04C591EB" w:rsidR="00CA27EA" w:rsidRPr="00FD35ED" w:rsidRDefault="00CA27EA" w:rsidP="00CA27EA">
      <w:r w:rsidRPr="00FD35ED">
        <w:t>Although</w:t>
      </w:r>
      <w:r w:rsidR="004D6622">
        <w:t>,</w:t>
      </w:r>
      <w:r w:rsidRPr="00FD35ED">
        <w:t xml:space="preserve"> in general</w:t>
      </w:r>
      <w:r w:rsidR="004D6622">
        <w:t>,</w:t>
      </w:r>
      <w:r w:rsidRPr="00FD35ED">
        <w:t xml:space="preserve"> </w:t>
      </w:r>
      <w:r w:rsidR="001212BF" w:rsidRPr="00FD35ED">
        <w:t>uveal melanoma</w:t>
      </w:r>
      <w:r w:rsidRPr="00FD35ED">
        <w:t xml:space="preserve"> is considered to have low immunogenicity,</w:t>
      </w:r>
      <w:r w:rsidR="00463382" w:rsidRPr="00FD35ED">
        <w:rPr>
          <w:rStyle w:val="FootnoteReference"/>
        </w:rPr>
        <w:footnoteReference w:id="22"/>
      </w:r>
      <w:r w:rsidRPr="00FD35ED">
        <w:t xml:space="preserve"> a subset of </w:t>
      </w:r>
      <w:r w:rsidR="001212BF" w:rsidRPr="00FD35ED">
        <w:t>uveal melanoma</w:t>
      </w:r>
      <w:r w:rsidRPr="00FD35ED">
        <w:t xml:space="preserve"> liver metastases </w:t>
      </w:r>
      <w:r w:rsidR="00BB11D5" w:rsidRPr="00FD35ED">
        <w:t>has</w:t>
      </w:r>
      <w:r w:rsidRPr="00FD35ED">
        <w:t xml:space="preserve"> been shown to harbour infiltrating T-cells with similar anti-tumour activity to those seen in </w:t>
      </w:r>
      <w:r w:rsidR="00BB11D5" w:rsidRPr="00FD35ED">
        <w:t>cutaneous melanoma</w:t>
      </w:r>
      <w:r w:rsidRPr="00FD35ED">
        <w:t>, suggesting this trait may be heterogeneous.</w:t>
      </w:r>
      <w:r w:rsidR="00463382" w:rsidRPr="00FD35ED">
        <w:rPr>
          <w:rStyle w:val="FootnoteReference"/>
        </w:rPr>
        <w:footnoteReference w:id="23"/>
      </w:r>
    </w:p>
    <w:p w14:paraId="656CC6C6" w14:textId="359BBEDC" w:rsidR="00CA27EA" w:rsidRDefault="00CA27EA" w:rsidP="00CA27EA">
      <w:pPr>
        <w:rPr>
          <w:vertAlign w:val="superscript"/>
        </w:rPr>
      </w:pPr>
      <w:r w:rsidRPr="00FD35ED">
        <w:t>Despite the success of sight</w:t>
      </w:r>
      <w:r w:rsidR="002D446A" w:rsidRPr="00FD35ED">
        <w:t xml:space="preserve"> </w:t>
      </w:r>
      <w:r w:rsidRPr="00FD35ED">
        <w:t>conserving treatments, survival rates have remained stagnant over the past few decades.</w:t>
      </w:r>
      <w:r w:rsidR="00463382" w:rsidRPr="00FD35ED">
        <w:rPr>
          <w:rStyle w:val="FootnoteReference"/>
        </w:rPr>
        <w:footnoteReference w:id="24"/>
      </w:r>
      <w:r w:rsidRPr="00FD35ED">
        <w:t xml:space="preserve"> The 5-year disease</w:t>
      </w:r>
      <w:r w:rsidR="00BB11D5" w:rsidRPr="00FD35ED">
        <w:t xml:space="preserve"> </w:t>
      </w:r>
      <w:r w:rsidRPr="00FD35ED">
        <w:t xml:space="preserve">specific </w:t>
      </w:r>
      <w:bookmarkStart w:id="27" w:name="_Hlk117538978"/>
      <w:r w:rsidRPr="00FD35ED">
        <w:t xml:space="preserve">overall survival </w:t>
      </w:r>
      <w:bookmarkEnd w:id="27"/>
      <w:r w:rsidRPr="00FD35ED">
        <w:t xml:space="preserve">rate of </w:t>
      </w:r>
      <w:r w:rsidR="001212BF" w:rsidRPr="00FD35ED">
        <w:t>uveal melanoma</w:t>
      </w:r>
      <w:r w:rsidRPr="00FD35ED">
        <w:t xml:space="preserve"> in Australia (1982</w:t>
      </w:r>
      <w:r w:rsidR="00BB11D5" w:rsidRPr="00FD35ED">
        <w:t xml:space="preserve"> to</w:t>
      </w:r>
      <w:r w:rsidR="00534E23" w:rsidRPr="00FD35ED">
        <w:t xml:space="preserve"> </w:t>
      </w:r>
      <w:r w:rsidRPr="00FD35ED">
        <w:t>2011) has remained stable at around 81%</w:t>
      </w:r>
      <w:r w:rsidR="00463382" w:rsidRPr="00FD35ED">
        <w:t>;</w:t>
      </w:r>
      <w:r w:rsidR="00463382" w:rsidRPr="00FD35ED">
        <w:rPr>
          <w:vertAlign w:val="superscript"/>
        </w:rPr>
        <w:fldChar w:fldCharType="begin"/>
      </w:r>
      <w:r w:rsidR="00463382" w:rsidRPr="00FD35ED">
        <w:rPr>
          <w:vertAlign w:val="superscript"/>
        </w:rPr>
        <w:instrText xml:space="preserve"> NOTEREF _Ref113273098 \h  \* MERGEFORMAT </w:instrText>
      </w:r>
      <w:r w:rsidR="00463382" w:rsidRPr="00FD35ED">
        <w:rPr>
          <w:vertAlign w:val="superscript"/>
        </w:rPr>
      </w:r>
      <w:r w:rsidR="00463382" w:rsidRPr="00FD35ED">
        <w:rPr>
          <w:vertAlign w:val="superscript"/>
        </w:rPr>
        <w:fldChar w:fldCharType="separate"/>
      </w:r>
      <w:r w:rsidR="00301C3E">
        <w:rPr>
          <w:vertAlign w:val="superscript"/>
        </w:rPr>
        <w:t>5</w:t>
      </w:r>
      <w:r w:rsidR="00463382" w:rsidRPr="00FD35ED">
        <w:rPr>
          <w:vertAlign w:val="superscript"/>
        </w:rPr>
        <w:fldChar w:fldCharType="end"/>
      </w:r>
      <w:r w:rsidRPr="00FD35ED">
        <w:t xml:space="preserve"> (similarly to </w:t>
      </w:r>
      <w:r w:rsidRPr="00FD35ED">
        <w:lastRenderedPageBreak/>
        <w:t>rates reported in the USA),</w:t>
      </w:r>
      <w:r w:rsidR="00463382" w:rsidRPr="00FD35ED">
        <w:rPr>
          <w:rStyle w:val="FootnoteReference"/>
        </w:rPr>
        <w:footnoteReference w:id="25"/>
      </w:r>
      <w:r w:rsidRPr="00FD35ED">
        <w:t xml:space="preserve"> and the 15-year </w:t>
      </w:r>
      <w:r w:rsidR="00EC2FAE" w:rsidRPr="00EC2FAE">
        <w:t>overall survival</w:t>
      </w:r>
      <w:r w:rsidRPr="00FD35ED">
        <w:t xml:space="preserve"> rate is around 55%.</w:t>
      </w:r>
      <w:r w:rsidR="00534E23" w:rsidRPr="00FD35ED">
        <w:rPr>
          <w:vertAlign w:val="superscript"/>
        </w:rPr>
        <w:fldChar w:fldCharType="begin"/>
      </w:r>
      <w:r w:rsidR="00534E23" w:rsidRPr="00FD35ED">
        <w:rPr>
          <w:vertAlign w:val="superscript"/>
        </w:rPr>
        <w:instrText xml:space="preserve"> NOTEREF _Ref113283638 \h  \* MERGEFORMAT </w:instrText>
      </w:r>
      <w:r w:rsidR="00534E23" w:rsidRPr="00FD35ED">
        <w:rPr>
          <w:vertAlign w:val="superscript"/>
        </w:rPr>
      </w:r>
      <w:r w:rsidR="00534E23" w:rsidRPr="00FD35ED">
        <w:rPr>
          <w:vertAlign w:val="superscript"/>
        </w:rPr>
        <w:fldChar w:fldCharType="separate"/>
      </w:r>
      <w:r w:rsidR="00301C3E">
        <w:rPr>
          <w:vertAlign w:val="superscript"/>
        </w:rPr>
        <w:t>9</w:t>
      </w:r>
      <w:r w:rsidR="00534E23" w:rsidRPr="00FD35ED">
        <w:rPr>
          <w:vertAlign w:val="superscript"/>
        </w:rPr>
        <w:fldChar w:fldCharType="end"/>
      </w:r>
      <w:r w:rsidRPr="00FD35ED">
        <w:t xml:space="preserve"> Once a patient develops metastatic disease, the median </w:t>
      </w:r>
      <w:r w:rsidR="00EC2FAE" w:rsidRPr="00EC2FAE">
        <w:t>overall survival</w:t>
      </w:r>
      <w:r w:rsidRPr="00FD35ED">
        <w:t xml:space="preserve"> is 13 months, </w:t>
      </w:r>
      <w:r w:rsidR="00463382" w:rsidRPr="00FD35ED">
        <w:rPr>
          <w:rStyle w:val="FootnoteReference"/>
        </w:rPr>
        <w:footnoteReference w:id="26"/>
      </w:r>
      <w:r w:rsidR="00463382" w:rsidRPr="00FD35ED">
        <w:rPr>
          <w:vertAlign w:val="superscript"/>
        </w:rPr>
        <w:t>,</w:t>
      </w:r>
      <w:r w:rsidR="00463382" w:rsidRPr="00FD35ED">
        <w:rPr>
          <w:rStyle w:val="FootnoteReference"/>
        </w:rPr>
        <w:footnoteReference w:id="27"/>
      </w:r>
      <w:r w:rsidR="00463382" w:rsidRPr="00FD35ED">
        <w:t xml:space="preserve"> </w:t>
      </w:r>
      <w:r w:rsidRPr="00FD35ED">
        <w:t xml:space="preserve">with a 2-year </w:t>
      </w:r>
      <w:r w:rsidR="00EC2FAE" w:rsidRPr="00EC2FAE">
        <w:t>overall survival</w:t>
      </w:r>
      <w:r w:rsidRPr="00FD35ED">
        <w:t xml:space="preserve"> rate of 8%.</w:t>
      </w:r>
      <w:r w:rsidR="00463382" w:rsidRPr="00FD35ED">
        <w:rPr>
          <w:rStyle w:val="FootnoteReference"/>
        </w:rPr>
        <w:footnoteReference w:id="28"/>
      </w:r>
      <w:r w:rsidRPr="00FD35ED">
        <w:t xml:space="preserve"> The median survival of patients with </w:t>
      </w:r>
      <w:r w:rsidR="001212BF" w:rsidRPr="00FD35ED">
        <w:t>uveal melanoma</w:t>
      </w:r>
      <w:r w:rsidRPr="00FD35ED">
        <w:t xml:space="preserve"> who develop hepatic metastases is shorter (6 to 12 months) than for patients who first develop metastatic disease in other sites (19</w:t>
      </w:r>
      <w:r w:rsidR="00534E23" w:rsidRPr="00FD35ED">
        <w:t xml:space="preserve"> to </w:t>
      </w:r>
      <w:r w:rsidRPr="00FD35ED">
        <w:t>28 months).</w:t>
      </w:r>
      <w:r w:rsidR="00174DB0" w:rsidRPr="00FD35ED">
        <w:rPr>
          <w:vertAlign w:val="superscript"/>
        </w:rPr>
        <w:fldChar w:fldCharType="begin"/>
      </w:r>
      <w:r w:rsidR="00174DB0" w:rsidRPr="00FD35ED">
        <w:rPr>
          <w:vertAlign w:val="superscript"/>
        </w:rPr>
        <w:instrText xml:space="preserve"> NOTEREF _Ref113273788 \h  \* MERGEFORMAT </w:instrText>
      </w:r>
      <w:r w:rsidR="00174DB0" w:rsidRPr="00FD35ED">
        <w:rPr>
          <w:vertAlign w:val="superscript"/>
        </w:rPr>
      </w:r>
      <w:r w:rsidR="00174DB0" w:rsidRPr="00FD35ED">
        <w:rPr>
          <w:vertAlign w:val="superscript"/>
        </w:rPr>
        <w:fldChar w:fldCharType="separate"/>
      </w:r>
      <w:r w:rsidR="00301C3E">
        <w:rPr>
          <w:vertAlign w:val="superscript"/>
        </w:rPr>
        <w:t>21</w:t>
      </w:r>
      <w:r w:rsidR="00174DB0" w:rsidRPr="00FD35ED">
        <w:rPr>
          <w:vertAlign w:val="superscript"/>
        </w:rPr>
        <w:fldChar w:fldCharType="end"/>
      </w:r>
    </w:p>
    <w:p w14:paraId="783FEC93" w14:textId="387B788C" w:rsidR="00CA27EA" w:rsidRPr="00FD35ED" w:rsidRDefault="00CA27EA" w:rsidP="00CA27EA">
      <w:r w:rsidRPr="00FD35ED">
        <w:t xml:space="preserve">Treatment of primary </w:t>
      </w:r>
      <w:r w:rsidR="001212BF" w:rsidRPr="00FD35ED">
        <w:t>uveal melanoma</w:t>
      </w:r>
      <w:r w:rsidRPr="00FD35ED">
        <w:t xml:space="preserve"> aims for conservation of vision, and includes radiation followed by localised resection, or enucleation for larger or locally advanced tumours.</w:t>
      </w:r>
      <w:r w:rsidR="00174DB0" w:rsidRPr="00FD35ED">
        <w:rPr>
          <w:vertAlign w:val="superscript"/>
        </w:rPr>
        <w:fldChar w:fldCharType="begin"/>
      </w:r>
      <w:r w:rsidR="00174DB0" w:rsidRPr="00FD35ED">
        <w:rPr>
          <w:vertAlign w:val="superscript"/>
        </w:rPr>
        <w:instrText xml:space="preserve"> NOTEREF _Ref113273148 \h  \* MERGEFORMAT </w:instrText>
      </w:r>
      <w:r w:rsidR="00174DB0" w:rsidRPr="00FD35ED">
        <w:rPr>
          <w:vertAlign w:val="superscript"/>
        </w:rPr>
      </w:r>
      <w:r w:rsidR="00174DB0" w:rsidRPr="00FD35ED">
        <w:rPr>
          <w:vertAlign w:val="superscript"/>
        </w:rPr>
        <w:fldChar w:fldCharType="separate"/>
      </w:r>
      <w:r w:rsidR="00301C3E">
        <w:rPr>
          <w:vertAlign w:val="superscript"/>
        </w:rPr>
        <w:t>4</w:t>
      </w:r>
      <w:r w:rsidR="00174DB0" w:rsidRPr="00FD35ED">
        <w:rPr>
          <w:vertAlign w:val="superscript"/>
        </w:rPr>
        <w:fldChar w:fldCharType="end"/>
      </w:r>
      <w:r w:rsidRPr="00FD35ED">
        <w:t xml:space="preserve"> Local tumour control is achieved in the vast majority of cases (&gt;</w:t>
      </w:r>
      <w:r w:rsidR="006D7C69" w:rsidRPr="00FD35ED">
        <w:t> </w:t>
      </w:r>
      <w:r w:rsidRPr="00FD35ED">
        <w:t xml:space="preserve">95%), but despite this, metastatic </w:t>
      </w:r>
      <w:r w:rsidR="001212BF" w:rsidRPr="00FD35ED">
        <w:t>uveal melanoma</w:t>
      </w:r>
      <w:r w:rsidRPr="00FD35ED">
        <w:t xml:space="preserve"> develops in around half of patients with </w:t>
      </w:r>
      <w:r w:rsidR="001212BF" w:rsidRPr="00FD35ED">
        <w:t>uveal melanoma</w:t>
      </w:r>
      <w:r w:rsidRPr="00FD35ED">
        <w:t xml:space="preserve"> within ten years of diagnosis.</w:t>
      </w:r>
      <w:r w:rsidR="00174DB0" w:rsidRPr="00FD35ED">
        <w:rPr>
          <w:vertAlign w:val="superscript"/>
        </w:rPr>
        <w:fldChar w:fldCharType="begin"/>
      </w:r>
      <w:r w:rsidR="00174DB0" w:rsidRPr="00FD35ED">
        <w:rPr>
          <w:vertAlign w:val="superscript"/>
        </w:rPr>
        <w:instrText xml:space="preserve"> NOTEREF _Ref113273148 \h  \* MERGEFORMAT </w:instrText>
      </w:r>
      <w:r w:rsidR="00174DB0" w:rsidRPr="00FD35ED">
        <w:rPr>
          <w:vertAlign w:val="superscript"/>
        </w:rPr>
      </w:r>
      <w:r w:rsidR="00174DB0" w:rsidRPr="00FD35ED">
        <w:rPr>
          <w:vertAlign w:val="superscript"/>
        </w:rPr>
        <w:fldChar w:fldCharType="separate"/>
      </w:r>
      <w:r w:rsidR="00301C3E">
        <w:rPr>
          <w:vertAlign w:val="superscript"/>
        </w:rPr>
        <w:t>4</w:t>
      </w:r>
      <w:r w:rsidR="00174DB0" w:rsidRPr="00FD35ED">
        <w:rPr>
          <w:vertAlign w:val="superscript"/>
        </w:rPr>
        <w:fldChar w:fldCharType="end"/>
      </w:r>
    </w:p>
    <w:p w14:paraId="4763B990" w14:textId="18C0F6BA" w:rsidR="00CA27EA" w:rsidRPr="00FD35ED" w:rsidRDefault="00CA27EA" w:rsidP="00CA27EA">
      <w:r w:rsidRPr="00FD35ED">
        <w:t xml:space="preserve">There are no registered systemic therapies for the treatment of uveal melanoma in Australia, and prior to the </w:t>
      </w:r>
      <w:r w:rsidR="00CC695D" w:rsidRPr="00FD35ED">
        <w:t>US</w:t>
      </w:r>
      <w:r w:rsidRPr="00FD35ED">
        <w:t xml:space="preserve"> Food and Drug Administration (FDA) approval of </w:t>
      </w:r>
      <w:proofErr w:type="spellStart"/>
      <w:r w:rsidRPr="00FD35ED">
        <w:t>tebentafusp</w:t>
      </w:r>
      <w:proofErr w:type="spellEnd"/>
      <w:r w:rsidRPr="00FD35ED">
        <w:t xml:space="preserve"> (in January 2021),</w:t>
      </w:r>
      <w:r w:rsidR="00174DB0" w:rsidRPr="00FD35ED">
        <w:rPr>
          <w:rStyle w:val="FootnoteReference"/>
        </w:rPr>
        <w:footnoteReference w:id="29"/>
      </w:r>
      <w:r w:rsidRPr="00FD35ED">
        <w:t xml:space="preserve"> this was also the case in the USA.</w:t>
      </w:r>
    </w:p>
    <w:p w14:paraId="57D2B462" w14:textId="043C4329" w:rsidR="00CA27EA" w:rsidRPr="00FD35ED" w:rsidRDefault="00CA27EA" w:rsidP="00CA27EA">
      <w:r w:rsidRPr="00FD35ED">
        <w:t>The National Comprehensive Cancer Network (NCCN) guideline recommends participation in a clinical trial as the preferred management option, because existing therapies have shown limited efficacy (though there are isolated examples of patients who derived substantial benefit).</w:t>
      </w:r>
      <w:bookmarkStart w:id="28" w:name="_Ref113274006"/>
      <w:r w:rsidR="00174DB0" w:rsidRPr="00FD35ED">
        <w:rPr>
          <w:rStyle w:val="FootnoteReference"/>
        </w:rPr>
        <w:footnoteReference w:id="30"/>
      </w:r>
      <w:bookmarkEnd w:id="28"/>
      <w:r w:rsidRPr="00FD35ED">
        <w:t xml:space="preserve"> Outside of clinical trial enrolment, the guideline mentions </w:t>
      </w:r>
      <w:proofErr w:type="gramStart"/>
      <w:r w:rsidRPr="00FD35ED">
        <w:t>a number of</w:t>
      </w:r>
      <w:proofErr w:type="gramEnd"/>
      <w:r w:rsidRPr="00FD35ED">
        <w:t xml:space="preserve"> possible therapies which may be tried as monotherapies or in combination. These include live</w:t>
      </w:r>
      <w:r w:rsidR="002D446A" w:rsidRPr="00FD35ED">
        <w:t xml:space="preserve">r </w:t>
      </w:r>
      <w:r w:rsidRPr="00FD35ED">
        <w:t xml:space="preserve">directed therapies (such as ablative procedures, </w:t>
      </w:r>
      <w:proofErr w:type="spellStart"/>
      <w:r w:rsidRPr="00FD35ED">
        <w:t>embolisation</w:t>
      </w:r>
      <w:proofErr w:type="spellEnd"/>
      <w:r w:rsidRPr="00FD35ED">
        <w:t xml:space="preserve">, isolation of perfusion, </w:t>
      </w:r>
      <w:proofErr w:type="gramStart"/>
      <w:r w:rsidRPr="00FD35ED">
        <w:t>resection</w:t>
      </w:r>
      <w:proofErr w:type="gramEnd"/>
      <w:r w:rsidRPr="00FD35ED">
        <w:t xml:space="preserve"> or radiation), systemic therapies (such as with immune‐oncology agents, cytotoxic regimens or trametinib), resection or radiation treatment for limited or symptomatic extrahepatic disease, and supportive palliative care.</w:t>
      </w:r>
      <w:r w:rsidR="00174DB0" w:rsidRPr="00FD35ED">
        <w:rPr>
          <w:vertAlign w:val="superscript"/>
        </w:rPr>
        <w:fldChar w:fldCharType="begin"/>
      </w:r>
      <w:r w:rsidR="00174DB0" w:rsidRPr="00FD35ED">
        <w:rPr>
          <w:vertAlign w:val="superscript"/>
        </w:rPr>
        <w:instrText xml:space="preserve"> NOTEREF _Ref113274006 \h  \* MERGEFORMAT </w:instrText>
      </w:r>
      <w:r w:rsidR="00174DB0" w:rsidRPr="00FD35ED">
        <w:rPr>
          <w:vertAlign w:val="superscript"/>
        </w:rPr>
      </w:r>
      <w:r w:rsidR="00174DB0" w:rsidRPr="00FD35ED">
        <w:rPr>
          <w:vertAlign w:val="superscript"/>
        </w:rPr>
        <w:fldChar w:fldCharType="separate"/>
      </w:r>
      <w:r w:rsidR="00301C3E">
        <w:rPr>
          <w:vertAlign w:val="superscript"/>
        </w:rPr>
        <w:t>30</w:t>
      </w:r>
      <w:r w:rsidR="00174DB0" w:rsidRPr="00FD35ED">
        <w:rPr>
          <w:vertAlign w:val="superscript"/>
        </w:rPr>
        <w:fldChar w:fldCharType="end"/>
      </w:r>
    </w:p>
    <w:p w14:paraId="495F0318" w14:textId="2688753D" w:rsidR="00CA27EA" w:rsidRPr="00FD35ED" w:rsidRDefault="00CA27EA" w:rsidP="00CA27EA">
      <w:r w:rsidRPr="00FD35ED">
        <w:t xml:space="preserve">Systemic chemotherapy is associated with significant toxicity, and efficacy has been generally disappointing both with conventional drugs (dacarbazine, temozolomide, </w:t>
      </w:r>
      <w:proofErr w:type="spellStart"/>
      <w:r w:rsidRPr="00FD35ED">
        <w:t>fotemustine</w:t>
      </w:r>
      <w:proofErr w:type="spellEnd"/>
      <w:r w:rsidRPr="00FD35ED">
        <w:t>) and modern agents (paclitaxel, docosahexaenoic acid, liposomal vincristine).</w:t>
      </w:r>
      <w:bookmarkStart w:id="29" w:name="_Ref113274079"/>
      <w:r w:rsidR="00174DB0" w:rsidRPr="00FD35ED">
        <w:rPr>
          <w:rStyle w:val="FootnoteReference"/>
        </w:rPr>
        <w:footnoteReference w:id="31"/>
      </w:r>
      <w:bookmarkEnd w:id="29"/>
      <w:r w:rsidRPr="00FD35ED">
        <w:t xml:space="preserve"> Of these, </w:t>
      </w:r>
      <w:proofErr w:type="spellStart"/>
      <w:r w:rsidRPr="00FD35ED">
        <w:t>treosulfan</w:t>
      </w:r>
      <w:proofErr w:type="spellEnd"/>
      <w:r w:rsidRPr="00FD35ED">
        <w:t xml:space="preserve"> plus gemcitabine showed the most promise, with a median </w:t>
      </w:r>
      <w:r w:rsidR="004D6622">
        <w:t>overall survival</w:t>
      </w:r>
      <w:r w:rsidR="004D6622" w:rsidRPr="00FD35ED">
        <w:t xml:space="preserve"> </w:t>
      </w:r>
      <w:r w:rsidRPr="00FD35ED">
        <w:t>of 14 months.</w:t>
      </w:r>
      <w:r w:rsidR="00174DB0" w:rsidRPr="00FD35ED">
        <w:rPr>
          <w:rStyle w:val="FootnoteReference"/>
        </w:rPr>
        <w:footnoteReference w:id="32"/>
      </w:r>
    </w:p>
    <w:p w14:paraId="5D069459" w14:textId="29CF63B4" w:rsidR="00CA27EA" w:rsidRPr="00FD35ED" w:rsidRDefault="00CA27EA" w:rsidP="00CA27EA">
      <w:r w:rsidRPr="00FD35ED">
        <w:t>Various localised therapies to hepatic lesions have shown promise across a number of studies, but to date none have demonstrated a significant population survival advantage.</w:t>
      </w:r>
      <w:r w:rsidR="00174DB0" w:rsidRPr="00FD35ED">
        <w:rPr>
          <w:vertAlign w:val="superscript"/>
        </w:rPr>
        <w:fldChar w:fldCharType="begin"/>
      </w:r>
      <w:r w:rsidR="00174DB0" w:rsidRPr="00FD35ED">
        <w:rPr>
          <w:vertAlign w:val="superscript"/>
        </w:rPr>
        <w:instrText xml:space="preserve"> NOTEREF _Ref113274072 \h  \* MERGEFORMAT </w:instrText>
      </w:r>
      <w:r w:rsidR="00174DB0" w:rsidRPr="00FD35ED">
        <w:rPr>
          <w:vertAlign w:val="superscript"/>
        </w:rPr>
      </w:r>
      <w:r w:rsidR="00174DB0" w:rsidRPr="00FD35ED">
        <w:rPr>
          <w:vertAlign w:val="superscript"/>
        </w:rPr>
        <w:fldChar w:fldCharType="separate"/>
      </w:r>
      <w:r w:rsidR="00301C3E">
        <w:rPr>
          <w:vertAlign w:val="superscript"/>
        </w:rPr>
        <w:t>1</w:t>
      </w:r>
      <w:r w:rsidR="00174DB0" w:rsidRPr="00FD35ED">
        <w:rPr>
          <w:vertAlign w:val="superscript"/>
        </w:rPr>
        <w:fldChar w:fldCharType="end"/>
      </w:r>
      <w:r w:rsidR="00174DB0" w:rsidRPr="00FD35ED">
        <w:rPr>
          <w:vertAlign w:val="superscript"/>
        </w:rPr>
        <w:t>,</w:t>
      </w:r>
      <w:r w:rsidR="00174DB0" w:rsidRPr="00FD35ED">
        <w:rPr>
          <w:vertAlign w:val="superscript"/>
        </w:rPr>
        <w:fldChar w:fldCharType="begin"/>
      </w:r>
      <w:r w:rsidR="00174DB0" w:rsidRPr="00FD35ED">
        <w:rPr>
          <w:vertAlign w:val="superscript"/>
        </w:rPr>
        <w:instrText xml:space="preserve"> NOTEREF _Ref113274079 \h  \* MERGEFORMAT </w:instrText>
      </w:r>
      <w:r w:rsidR="00174DB0" w:rsidRPr="00FD35ED">
        <w:rPr>
          <w:vertAlign w:val="superscript"/>
        </w:rPr>
      </w:r>
      <w:r w:rsidR="00174DB0" w:rsidRPr="00FD35ED">
        <w:rPr>
          <w:vertAlign w:val="superscript"/>
        </w:rPr>
        <w:fldChar w:fldCharType="separate"/>
      </w:r>
      <w:r w:rsidR="00301C3E">
        <w:rPr>
          <w:vertAlign w:val="superscript"/>
        </w:rPr>
        <w:t>31</w:t>
      </w:r>
      <w:r w:rsidR="00174DB0" w:rsidRPr="00FD35ED">
        <w:rPr>
          <w:vertAlign w:val="superscript"/>
        </w:rPr>
        <w:fldChar w:fldCharType="end"/>
      </w:r>
      <w:r w:rsidR="00174DB0" w:rsidRPr="00FD35ED">
        <w:rPr>
          <w:vertAlign w:val="superscript"/>
        </w:rPr>
        <w:t>,</w:t>
      </w:r>
      <w:r w:rsidR="00174DB0" w:rsidRPr="00FD35ED">
        <w:rPr>
          <w:rStyle w:val="FootnoteReference"/>
        </w:rPr>
        <w:footnoteReference w:id="33"/>
      </w:r>
    </w:p>
    <w:p w14:paraId="6075F1FF" w14:textId="482A2FF8" w:rsidR="00CA27EA" w:rsidRDefault="00CA27EA" w:rsidP="00CA27EA">
      <w:pPr>
        <w:rPr>
          <w:vertAlign w:val="superscript"/>
        </w:rPr>
      </w:pPr>
      <w:r w:rsidRPr="00FD35ED">
        <w:t xml:space="preserve">Immunotherapies have been incredibly successful in the </w:t>
      </w:r>
      <w:r w:rsidR="00BB11D5" w:rsidRPr="00FD35ED">
        <w:t>cutaneous melanoma</w:t>
      </w:r>
      <w:r w:rsidRPr="00FD35ED">
        <w:t xml:space="preserve"> setting, but in keeping with the scientific rationale for immunotherapy efficacy and the generally low TMB seen in </w:t>
      </w:r>
      <w:r w:rsidR="001212BF" w:rsidRPr="00FD35ED">
        <w:t>uveal melanoma</w:t>
      </w:r>
      <w:r w:rsidRPr="00FD35ED">
        <w:t xml:space="preserve">, results with immunotherapy in </w:t>
      </w:r>
      <w:r w:rsidR="001212BF" w:rsidRPr="00FD35ED">
        <w:t>metastatic uveal melanoma</w:t>
      </w:r>
      <w:r w:rsidRPr="00FD35ED">
        <w:t xml:space="preserve"> </w:t>
      </w:r>
      <w:r w:rsidRPr="00FD35ED">
        <w:lastRenderedPageBreak/>
        <w:t xml:space="preserve">have been disappointing. Monotherapy with either </w:t>
      </w:r>
      <w:r w:rsidR="00155F4C" w:rsidRPr="00FD35ED">
        <w:t>anti-programmed death (ligand)-1 (anti-PD(L)1)</w:t>
      </w:r>
      <w:r w:rsidR="007A3F06" w:rsidRPr="00FD35ED">
        <w:rPr>
          <w:rStyle w:val="FootnoteReference"/>
        </w:rPr>
        <w:footnoteReference w:id="34"/>
      </w:r>
      <w:r w:rsidRPr="00FD35ED">
        <w:t xml:space="preserve"> or </w:t>
      </w:r>
      <w:r w:rsidR="00D03155" w:rsidRPr="00FD35ED">
        <w:t>anti-cytotoxic T-lymphocyte-associated antigen 4 (</w:t>
      </w:r>
      <w:r w:rsidRPr="00FD35ED">
        <w:t>anti-CTLA4</w:t>
      </w:r>
      <w:r w:rsidR="00D03155" w:rsidRPr="00FD35ED">
        <w:t>)</w:t>
      </w:r>
      <w:r w:rsidR="007A3F06" w:rsidRPr="00FD35ED">
        <w:rPr>
          <w:rStyle w:val="FootnoteReference"/>
        </w:rPr>
        <w:footnoteReference w:id="35"/>
      </w:r>
      <w:r w:rsidRPr="00FD35ED">
        <w:t xml:space="preserve"> treatment was associated with response rates of 4</w:t>
      </w:r>
      <w:r w:rsidR="006D7C69" w:rsidRPr="00FD35ED">
        <w:t xml:space="preserve"> to </w:t>
      </w:r>
      <w:r w:rsidRPr="00FD35ED">
        <w:t>5%, whilst combining both classes of agent gave response rates of 12</w:t>
      </w:r>
      <w:r w:rsidR="006D7C69" w:rsidRPr="00FD35ED">
        <w:t xml:space="preserve"> to </w:t>
      </w:r>
      <w:r w:rsidRPr="00FD35ED">
        <w:t>18%, without evidence of significant survival benefit.</w:t>
      </w:r>
      <w:r w:rsidR="00174DB0" w:rsidRPr="00FD35ED">
        <w:rPr>
          <w:vertAlign w:val="superscript"/>
        </w:rPr>
        <w:fldChar w:fldCharType="begin"/>
      </w:r>
      <w:r w:rsidR="00174DB0" w:rsidRPr="00FD35ED">
        <w:rPr>
          <w:vertAlign w:val="superscript"/>
        </w:rPr>
        <w:instrText xml:space="preserve"> NOTEREF _Ref95229973 \h  \* MERGEFORMAT </w:instrText>
      </w:r>
      <w:r w:rsidR="00174DB0" w:rsidRPr="00FD35ED">
        <w:rPr>
          <w:vertAlign w:val="superscript"/>
        </w:rPr>
      </w:r>
      <w:r w:rsidR="00174DB0" w:rsidRPr="00FD35ED">
        <w:rPr>
          <w:vertAlign w:val="superscript"/>
        </w:rPr>
        <w:fldChar w:fldCharType="separate"/>
      </w:r>
      <w:r w:rsidR="00301C3E">
        <w:rPr>
          <w:vertAlign w:val="superscript"/>
        </w:rPr>
        <w:t>16</w:t>
      </w:r>
      <w:r w:rsidR="00174DB0" w:rsidRPr="00FD35ED">
        <w:rPr>
          <w:vertAlign w:val="superscript"/>
        </w:rPr>
        <w:fldChar w:fldCharType="end"/>
      </w:r>
      <w:r w:rsidRPr="00FD35ED">
        <w:t xml:space="preserve"> Despite this, and in keeping with a subset of </w:t>
      </w:r>
      <w:r w:rsidR="001212BF" w:rsidRPr="00FD35ED">
        <w:t>uveal melanoma</w:t>
      </w:r>
      <w:r w:rsidRPr="00FD35ED">
        <w:t xml:space="preserve"> being immunogenic, individual responses are on occasion striking, including complete responses, particularly amongst patients with unusually high TMB for </w:t>
      </w:r>
      <w:r w:rsidR="001212BF" w:rsidRPr="00FD35ED">
        <w:t>uveal melanoma</w:t>
      </w:r>
      <w:r w:rsidRPr="00FD35ED">
        <w:t>.</w:t>
      </w:r>
      <w:r w:rsidR="00174DB0" w:rsidRPr="00FD35ED">
        <w:rPr>
          <w:vertAlign w:val="superscript"/>
        </w:rPr>
        <w:fldChar w:fldCharType="begin"/>
      </w:r>
      <w:r w:rsidR="00174DB0" w:rsidRPr="00FD35ED">
        <w:rPr>
          <w:vertAlign w:val="superscript"/>
        </w:rPr>
        <w:instrText xml:space="preserve"> NOTEREF _Ref95229973 \h  \* MERGEFORMAT </w:instrText>
      </w:r>
      <w:r w:rsidR="00174DB0" w:rsidRPr="00FD35ED">
        <w:rPr>
          <w:vertAlign w:val="superscript"/>
        </w:rPr>
      </w:r>
      <w:r w:rsidR="00174DB0" w:rsidRPr="00FD35ED">
        <w:rPr>
          <w:vertAlign w:val="superscript"/>
        </w:rPr>
        <w:fldChar w:fldCharType="separate"/>
      </w:r>
      <w:r w:rsidR="00301C3E">
        <w:rPr>
          <w:vertAlign w:val="superscript"/>
        </w:rPr>
        <w:t>16</w:t>
      </w:r>
      <w:r w:rsidR="00174DB0" w:rsidRPr="00FD35ED">
        <w:rPr>
          <w:vertAlign w:val="superscript"/>
        </w:rPr>
        <w:fldChar w:fldCharType="end"/>
      </w:r>
      <w:r w:rsidR="00174DB0" w:rsidRPr="00FD35ED">
        <w:rPr>
          <w:vertAlign w:val="superscript"/>
        </w:rPr>
        <w:t>,</w:t>
      </w:r>
      <w:r w:rsidR="00174DB0" w:rsidRPr="00FD35ED">
        <w:rPr>
          <w:rStyle w:val="FootnoteReference"/>
        </w:rPr>
        <w:footnoteReference w:id="36"/>
      </w:r>
    </w:p>
    <w:p w14:paraId="328FC098" w14:textId="472CA5AB" w:rsidR="00CA27EA" w:rsidRPr="00FD35ED" w:rsidRDefault="00CA27EA" w:rsidP="00CA27EA">
      <w:proofErr w:type="spellStart"/>
      <w:r w:rsidRPr="00FD35ED">
        <w:t>Tebentafusp</w:t>
      </w:r>
      <w:proofErr w:type="spellEnd"/>
      <w:r w:rsidRPr="00FD35ED">
        <w:t xml:space="preserve"> is a bispecific protein that was developed by </w:t>
      </w:r>
      <w:proofErr w:type="spellStart"/>
      <w:r w:rsidR="00CC695D" w:rsidRPr="00FD35ED">
        <w:t>Immunocore</w:t>
      </w:r>
      <w:proofErr w:type="spellEnd"/>
      <w:r w:rsidR="0043337F">
        <w:t>;</w:t>
      </w:r>
      <w:r w:rsidR="0043337F">
        <w:rPr>
          <w:rStyle w:val="FootnoteReference"/>
        </w:rPr>
        <w:footnoteReference w:id="37"/>
      </w:r>
      <w:r w:rsidR="006D7C69" w:rsidRPr="00FD35ED">
        <w:t xml:space="preserve"> </w:t>
      </w:r>
      <w:r w:rsidRPr="00FD35ED">
        <w:t xml:space="preserve">through their </w:t>
      </w:r>
      <w:r w:rsidR="006D7C69" w:rsidRPr="00FD35ED">
        <w:t>‘</w:t>
      </w:r>
      <w:proofErr w:type="spellStart"/>
      <w:r w:rsidRPr="00FD35ED">
        <w:t>ImmTAC</w:t>
      </w:r>
      <w:proofErr w:type="spellEnd"/>
      <w:r w:rsidR="006D7C69" w:rsidRPr="00FD35ED">
        <w:t>’</w:t>
      </w:r>
      <w:r w:rsidRPr="00FD35ED">
        <w:t xml:space="preserve"> platform.</w:t>
      </w:r>
      <w:bookmarkStart w:id="30" w:name="_Ref113274286"/>
      <w:r w:rsidR="00174DB0" w:rsidRPr="00FD35ED">
        <w:rPr>
          <w:rStyle w:val="FootnoteReference"/>
        </w:rPr>
        <w:footnoteReference w:id="38"/>
      </w:r>
      <w:bookmarkEnd w:id="30"/>
      <w:r w:rsidRPr="00FD35ED">
        <w:t xml:space="preserve"> </w:t>
      </w:r>
      <w:proofErr w:type="spellStart"/>
      <w:r w:rsidRPr="00FD35ED">
        <w:t>ImmTAC</w:t>
      </w:r>
      <w:proofErr w:type="spellEnd"/>
      <w:r w:rsidRPr="00FD35ED">
        <w:t xml:space="preserve"> molecules are based on a soluble human T</w:t>
      </w:r>
      <w:r w:rsidR="006D7C69" w:rsidRPr="00FD35ED">
        <w:t>-</w:t>
      </w:r>
      <w:r w:rsidRPr="00FD35ED">
        <w:t xml:space="preserve">cell receptor and incorporate a non-native interchain </w:t>
      </w:r>
      <w:proofErr w:type="spellStart"/>
      <w:r w:rsidRPr="00FD35ED">
        <w:t>disulfide</w:t>
      </w:r>
      <w:proofErr w:type="spellEnd"/>
      <w:r w:rsidRPr="00FD35ED">
        <w:t xml:space="preserve"> bond to overcome the instability of </w:t>
      </w:r>
      <w:r w:rsidR="00F20C34" w:rsidRPr="00FD35ED">
        <w:t>T</w:t>
      </w:r>
      <w:r w:rsidR="00F20C34" w:rsidRPr="00FD35ED">
        <w:noBreakHyphen/>
        <w:t>cell receptor</w:t>
      </w:r>
      <w:r w:rsidRPr="00FD35ED">
        <w:t>s as soluble proteins.</w:t>
      </w:r>
      <w:r w:rsidR="00174DB0" w:rsidRPr="00FD35ED">
        <w:rPr>
          <w:vertAlign w:val="superscript"/>
        </w:rPr>
        <w:fldChar w:fldCharType="begin"/>
      </w:r>
      <w:r w:rsidR="00174DB0" w:rsidRPr="00FD35ED">
        <w:rPr>
          <w:vertAlign w:val="superscript"/>
        </w:rPr>
        <w:instrText xml:space="preserve"> NOTEREF _Ref113274286 \h  \* MERGEFORMAT </w:instrText>
      </w:r>
      <w:r w:rsidR="00174DB0" w:rsidRPr="00FD35ED">
        <w:rPr>
          <w:vertAlign w:val="superscript"/>
        </w:rPr>
      </w:r>
      <w:r w:rsidR="00174DB0" w:rsidRPr="00FD35ED">
        <w:rPr>
          <w:vertAlign w:val="superscript"/>
        </w:rPr>
        <w:fldChar w:fldCharType="separate"/>
      </w:r>
      <w:r w:rsidR="00301C3E">
        <w:rPr>
          <w:vertAlign w:val="superscript"/>
        </w:rPr>
        <w:t>38</w:t>
      </w:r>
      <w:r w:rsidR="00174DB0" w:rsidRPr="00FD35ED">
        <w:rPr>
          <w:vertAlign w:val="superscript"/>
        </w:rPr>
        <w:fldChar w:fldCharType="end"/>
      </w:r>
    </w:p>
    <w:p w14:paraId="4FDC4A94" w14:textId="22A3DE29" w:rsidR="00CA27EA" w:rsidRPr="00FD35ED" w:rsidRDefault="00CA27EA" w:rsidP="00CA27EA">
      <w:r w:rsidRPr="00FD35ED">
        <w:t>On the tumour</w:t>
      </w:r>
      <w:r w:rsidR="00F20C34" w:rsidRPr="00FD35ED">
        <w:t xml:space="preserve"> </w:t>
      </w:r>
      <w:r w:rsidRPr="00FD35ED">
        <w:t xml:space="preserve">facing side, </w:t>
      </w:r>
      <w:proofErr w:type="spellStart"/>
      <w:r w:rsidRPr="00FD35ED">
        <w:t>tebentafusp</w:t>
      </w:r>
      <w:proofErr w:type="spellEnd"/>
      <w:r w:rsidRPr="00FD35ED">
        <w:t xml:space="preserve"> has a binding site with high affinity for the </w:t>
      </w:r>
      <w:r w:rsidR="00D03155" w:rsidRPr="00FD35ED">
        <w:t>glycoprotein 100 (</w:t>
      </w:r>
      <w:r w:rsidRPr="00FD35ED">
        <w:t>gp100</w:t>
      </w:r>
      <w:r w:rsidR="00D03155" w:rsidRPr="00FD35ED">
        <w:t>)</w:t>
      </w:r>
      <w:r w:rsidRPr="00FD35ED">
        <w:t xml:space="preserve"> peptide presented by human leukocyte antigen</w:t>
      </w:r>
      <w:r w:rsidR="00CC695D" w:rsidRPr="00FD35ED">
        <w:t xml:space="preserve"> (HLA)</w:t>
      </w:r>
      <w:r w:rsidRPr="00FD35ED">
        <w:t>‐A*02:01, which is present in around 50% of Caucasian</w:t>
      </w:r>
      <w:r w:rsidR="00F20C34" w:rsidRPr="00FD35ED">
        <w:t xml:space="preserve"> population</w:t>
      </w:r>
      <w:r w:rsidRPr="00FD35ED">
        <w:t>.</w:t>
      </w:r>
      <w:r w:rsidR="00174DB0" w:rsidRPr="00FD35ED">
        <w:rPr>
          <w:rStyle w:val="FootnoteReference"/>
        </w:rPr>
        <w:footnoteReference w:id="39"/>
      </w:r>
      <w:r w:rsidRPr="00FD35ED">
        <w:t xml:space="preserve"> Expression of the gp100 peptide is much higher in melanoma cells than normal melanocytes and is minimal in other histologies.</w:t>
      </w:r>
      <w:r w:rsidR="00174DB0" w:rsidRPr="00FD35ED">
        <w:rPr>
          <w:vertAlign w:val="superscript"/>
        </w:rPr>
        <w:fldChar w:fldCharType="begin"/>
      </w:r>
      <w:r w:rsidR="00174DB0" w:rsidRPr="00FD35ED">
        <w:rPr>
          <w:vertAlign w:val="superscript"/>
        </w:rPr>
        <w:instrText xml:space="preserve"> NOTEREF _Ref113274286 \h  \* MERGEFORMAT </w:instrText>
      </w:r>
      <w:r w:rsidR="00174DB0" w:rsidRPr="00FD35ED">
        <w:rPr>
          <w:vertAlign w:val="superscript"/>
        </w:rPr>
      </w:r>
      <w:r w:rsidR="00174DB0" w:rsidRPr="00FD35ED">
        <w:rPr>
          <w:vertAlign w:val="superscript"/>
        </w:rPr>
        <w:fldChar w:fldCharType="separate"/>
      </w:r>
      <w:r w:rsidR="00301C3E">
        <w:rPr>
          <w:vertAlign w:val="superscript"/>
        </w:rPr>
        <w:t>38</w:t>
      </w:r>
      <w:r w:rsidR="00174DB0" w:rsidRPr="00FD35ED">
        <w:rPr>
          <w:vertAlign w:val="superscript"/>
        </w:rPr>
        <w:fldChar w:fldCharType="end"/>
      </w:r>
    </w:p>
    <w:p w14:paraId="5125F4EB" w14:textId="0E534003" w:rsidR="00CA27EA" w:rsidRPr="00FD35ED" w:rsidRDefault="00CA27EA" w:rsidP="00CA27EA">
      <w:r w:rsidRPr="00FD35ED">
        <w:t xml:space="preserve">At the other end of the </w:t>
      </w:r>
      <w:proofErr w:type="spellStart"/>
      <w:r w:rsidRPr="00FD35ED">
        <w:t>tebentafusp</w:t>
      </w:r>
      <w:proofErr w:type="spellEnd"/>
      <w:r w:rsidRPr="00FD35ED">
        <w:t xml:space="preserve"> molecule, the soluble </w:t>
      </w:r>
      <w:r w:rsidR="00F20C34" w:rsidRPr="00FD35ED">
        <w:t>T-cell receptor</w:t>
      </w:r>
      <w:r w:rsidRPr="00FD35ED">
        <w:t xml:space="preserve"> fragment is fused to an anti-</w:t>
      </w:r>
      <w:r w:rsidR="00D03155" w:rsidRPr="00FD35ED">
        <w:t>cluster of differentiation 3 (anti-</w:t>
      </w:r>
      <w:r w:rsidRPr="00FD35ED">
        <w:t>CD3</w:t>
      </w:r>
      <w:r w:rsidR="00D03155" w:rsidRPr="00FD35ED">
        <w:t>)</w:t>
      </w:r>
      <w:r w:rsidRPr="00FD35ED">
        <w:t xml:space="preserve"> single</w:t>
      </w:r>
      <w:r w:rsidR="002D446A" w:rsidRPr="00FD35ED">
        <w:t xml:space="preserve"> </w:t>
      </w:r>
      <w:r w:rsidRPr="00FD35ED">
        <w:t>chain variable fragment. This binds to the T</w:t>
      </w:r>
      <w:r w:rsidR="006D7C69" w:rsidRPr="00FD35ED">
        <w:t>-</w:t>
      </w:r>
      <w:r w:rsidRPr="00FD35ED">
        <w:t>cell</w:t>
      </w:r>
      <w:r w:rsidR="006D7C69" w:rsidRPr="00FD35ED">
        <w:t xml:space="preserve"> </w:t>
      </w:r>
      <w:r w:rsidRPr="00FD35ED">
        <w:t>specific CD3 co</w:t>
      </w:r>
      <w:r w:rsidR="00F20C34" w:rsidRPr="00FD35ED">
        <w:noBreakHyphen/>
      </w:r>
      <w:r w:rsidRPr="00FD35ED">
        <w:t>receptor, and thereby recruits and activates polyclonal T</w:t>
      </w:r>
      <w:r w:rsidR="006D7C69" w:rsidRPr="00FD35ED">
        <w:t>-</w:t>
      </w:r>
      <w:r w:rsidRPr="00FD35ED">
        <w:t>cells to release cytokines and cytolytic mediators.</w:t>
      </w:r>
      <w:bookmarkStart w:id="31" w:name="_Ref113274815"/>
      <w:r w:rsidR="00174DB0" w:rsidRPr="00FD35ED">
        <w:rPr>
          <w:rStyle w:val="FootnoteReference"/>
        </w:rPr>
        <w:footnoteReference w:id="40"/>
      </w:r>
      <w:bookmarkEnd w:id="31"/>
      <w:r w:rsidRPr="00FD35ED">
        <w:t xml:space="preserve"> As formation of the active CD3 signalling complex is independent of native </w:t>
      </w:r>
      <w:r w:rsidR="00F20C34" w:rsidRPr="00FD35ED">
        <w:t>T-cell receptor</w:t>
      </w:r>
      <w:r w:rsidRPr="00FD35ED">
        <w:t xml:space="preserve"> specificity, </w:t>
      </w:r>
      <w:proofErr w:type="spellStart"/>
      <w:r w:rsidRPr="00FD35ED">
        <w:t>ImmTAC</w:t>
      </w:r>
      <w:proofErr w:type="spellEnd"/>
      <w:r w:rsidRPr="00FD35ED">
        <w:t xml:space="preserve"> molecules such as </w:t>
      </w:r>
      <w:proofErr w:type="spellStart"/>
      <w:r w:rsidRPr="00FD35ED">
        <w:t>tebentafusp</w:t>
      </w:r>
      <w:proofErr w:type="spellEnd"/>
      <w:r w:rsidRPr="00FD35ED">
        <w:t xml:space="preserve"> are said to ‘redirect’ T</w:t>
      </w:r>
      <w:r w:rsidR="006D7C69" w:rsidRPr="00FD35ED">
        <w:t>-</w:t>
      </w:r>
      <w:r w:rsidRPr="00FD35ED">
        <w:t>cells to attack cells expressing a target antigen, independently of their native specificity.</w:t>
      </w:r>
      <w:r w:rsidR="00174DB0" w:rsidRPr="00FD35ED">
        <w:rPr>
          <w:vertAlign w:val="superscript"/>
        </w:rPr>
        <w:fldChar w:fldCharType="begin"/>
      </w:r>
      <w:r w:rsidR="00174DB0" w:rsidRPr="00FD35ED">
        <w:rPr>
          <w:vertAlign w:val="superscript"/>
        </w:rPr>
        <w:instrText xml:space="preserve"> NOTEREF _Ref113274286 \h  \* MERGEFORMAT </w:instrText>
      </w:r>
      <w:r w:rsidR="00174DB0" w:rsidRPr="00FD35ED">
        <w:rPr>
          <w:vertAlign w:val="superscript"/>
        </w:rPr>
      </w:r>
      <w:r w:rsidR="00174DB0" w:rsidRPr="00FD35ED">
        <w:rPr>
          <w:vertAlign w:val="superscript"/>
        </w:rPr>
        <w:fldChar w:fldCharType="separate"/>
      </w:r>
      <w:r w:rsidR="00301C3E">
        <w:rPr>
          <w:vertAlign w:val="superscript"/>
        </w:rPr>
        <w:t>38</w:t>
      </w:r>
      <w:r w:rsidR="00174DB0" w:rsidRPr="00FD35ED">
        <w:rPr>
          <w:vertAlign w:val="superscript"/>
        </w:rPr>
        <w:fldChar w:fldCharType="end"/>
      </w:r>
    </w:p>
    <w:p w14:paraId="6DCB8842" w14:textId="1FC0B7AF" w:rsidR="00CA27EA" w:rsidRPr="00FD35ED" w:rsidRDefault="00CA27EA" w:rsidP="00CA27EA">
      <w:r w:rsidRPr="00FD35ED">
        <w:t xml:space="preserve">The proposed mechanism of action of </w:t>
      </w:r>
      <w:proofErr w:type="spellStart"/>
      <w:r w:rsidRPr="00FD35ED">
        <w:t>tebentafusp</w:t>
      </w:r>
      <w:proofErr w:type="spellEnd"/>
      <w:r w:rsidRPr="00FD35ED">
        <w:t xml:space="preserve"> is supported by pharmacodynamic observations in the submitted </w:t>
      </w:r>
      <w:r w:rsidR="00F97E3A" w:rsidRPr="00FD35ED">
        <w:t>Phase</w:t>
      </w:r>
      <w:r w:rsidRPr="00FD35ED">
        <w:t xml:space="preserve"> </w:t>
      </w:r>
      <w:r w:rsidR="00F97E3A" w:rsidRPr="00FD35ED">
        <w:t>I</w:t>
      </w:r>
      <w:r w:rsidRPr="00FD35ED">
        <w:t>/</w:t>
      </w:r>
      <w:r w:rsidR="00F97E3A" w:rsidRPr="00FD35ED">
        <w:t>II</w:t>
      </w:r>
      <w:r w:rsidRPr="00FD35ED">
        <w:t xml:space="preserve"> clinical </w:t>
      </w:r>
      <w:r w:rsidR="00F97E3A" w:rsidRPr="00FD35ED">
        <w:t xml:space="preserve">Study </w:t>
      </w:r>
      <w:r w:rsidRPr="00FD35ED">
        <w:t>IMCgp100-102 (</w:t>
      </w:r>
      <w:r w:rsidR="00F20C34" w:rsidRPr="00FD35ED">
        <w:t xml:space="preserve">also known as </w:t>
      </w:r>
      <w:r w:rsidRPr="00FD35ED">
        <w:t>Study 102)</w:t>
      </w:r>
      <w:r w:rsidR="002D446A" w:rsidRPr="00FD35ED">
        <w:t>. T</w:t>
      </w:r>
      <w:r w:rsidRPr="00FD35ED">
        <w:t>ransient increases in serum inflammatory cytokines and chemokines were seen in patients within 24 hours after a dose, and increased levels of CD3+, CD4+ and CD8+ T</w:t>
      </w:r>
      <w:r w:rsidR="006D7C69" w:rsidRPr="00FD35ED">
        <w:t>-</w:t>
      </w:r>
      <w:r w:rsidRPr="00FD35ED">
        <w:t>cells were seen in Day 16 tumour re-biopsy tissue (after three doses of drug) compared to baseline biopsies.</w:t>
      </w:r>
    </w:p>
    <w:p w14:paraId="0E399421" w14:textId="2ACB6F69" w:rsidR="009F2673" w:rsidRPr="00FD35ED" w:rsidRDefault="009F2673" w:rsidP="00CA27EA">
      <w:r w:rsidRPr="00FD35ED">
        <w:t xml:space="preserve">This evaluation was facilitated through </w:t>
      </w:r>
      <w:hyperlink r:id="rId15" w:history="1">
        <w:r w:rsidRPr="00FD35ED">
          <w:rPr>
            <w:rStyle w:val="Hyperlink"/>
          </w:rPr>
          <w:t>Project Orbis</w:t>
        </w:r>
      </w:hyperlink>
      <w:r w:rsidR="00833ED8" w:rsidRPr="00FD35ED">
        <w:t>,</w:t>
      </w:r>
      <w:r w:rsidRPr="00FD35ED">
        <w:t xml:space="preserve"> an initiative of the United States (US) Food and Drug Administration (FDA) Oncology </w:t>
      </w:r>
      <w:proofErr w:type="spellStart"/>
      <w:r w:rsidRPr="00FD35ED">
        <w:t>Center</w:t>
      </w:r>
      <w:proofErr w:type="spellEnd"/>
      <w:r w:rsidRPr="00FD35ED">
        <w:t xml:space="preserve"> of Excellence (OCE). Under this project, the FDA, Health Canada, </w:t>
      </w:r>
      <w:r w:rsidR="00DC6EA6" w:rsidRPr="00FD35ED">
        <w:t>Medicines and Healthcare products Regulatory Agency (MHRA</w:t>
      </w:r>
      <w:r w:rsidR="00F20C34" w:rsidRPr="00FD35ED">
        <w:t xml:space="preserve">; </w:t>
      </w:r>
      <w:r w:rsidR="00DC6EA6" w:rsidRPr="00FD35ED">
        <w:t xml:space="preserve">Great Britain) </w:t>
      </w:r>
      <w:r w:rsidRPr="00FD35ED">
        <w:t xml:space="preserve">and the TGA collaboratively reviewed the </w:t>
      </w:r>
      <w:r w:rsidR="00BB0B78" w:rsidRPr="00FD35ED">
        <w:t>submission</w:t>
      </w:r>
      <w:r w:rsidRPr="00FD35ED">
        <w:t>. This evaluation process provided a framework for process alignment and management of evaluation issues in real-time across jurisdictions. Each regulator made independent decisions regarding approval (market authorisation) of the new medicine.</w:t>
      </w:r>
    </w:p>
    <w:p w14:paraId="7E072605" w14:textId="77777777" w:rsidR="008E7846" w:rsidRPr="00FD35ED" w:rsidRDefault="00386150" w:rsidP="008E7846">
      <w:pPr>
        <w:pStyle w:val="Heading3"/>
      </w:pPr>
      <w:bookmarkStart w:id="32" w:name="_Toc119316336"/>
      <w:r w:rsidRPr="00FD35ED">
        <w:lastRenderedPageBreak/>
        <w:t>Regulatory s</w:t>
      </w:r>
      <w:r w:rsidR="008E7846" w:rsidRPr="00FD35ED">
        <w:t>tatus</w:t>
      </w:r>
      <w:bookmarkEnd w:id="16"/>
      <w:bookmarkEnd w:id="17"/>
      <w:bookmarkEnd w:id="32"/>
    </w:p>
    <w:p w14:paraId="734A9C07" w14:textId="2779CB15" w:rsidR="00332715" w:rsidRPr="00FD35ED" w:rsidRDefault="00332715" w:rsidP="00332715">
      <w:bookmarkStart w:id="33" w:name="_Toc247691505"/>
      <w:bookmarkStart w:id="34" w:name="_Toc314842486"/>
      <w:r w:rsidRPr="00FD35ED">
        <w:t>This product is considered a new biological entity for Australian regulatory purposes.</w:t>
      </w:r>
    </w:p>
    <w:p w14:paraId="0267D92D" w14:textId="597DCB16" w:rsidR="00332715" w:rsidRPr="00FD35ED" w:rsidRDefault="00332715" w:rsidP="00332715">
      <w:r w:rsidRPr="00FD35ED">
        <w:t xml:space="preserve">This product received </w:t>
      </w:r>
      <w:hyperlink r:id="rId16" w:history="1">
        <w:r w:rsidRPr="00FD35ED">
          <w:rPr>
            <w:rStyle w:val="Hyperlink"/>
          </w:rPr>
          <w:t>orphan drug designation</w:t>
        </w:r>
      </w:hyperlink>
      <w:r w:rsidRPr="00FD35ED">
        <w:t xml:space="preserve"> on </w:t>
      </w:r>
      <w:r w:rsidR="00DC6EA6" w:rsidRPr="00FD35ED">
        <w:t xml:space="preserve">30 August 2021 </w:t>
      </w:r>
      <w:r w:rsidRPr="00FD35ED">
        <w:t>for the following indication:</w:t>
      </w:r>
    </w:p>
    <w:p w14:paraId="4F5ADC71" w14:textId="6A73C2E9" w:rsidR="00DC6EA6" w:rsidRPr="00FD35ED" w:rsidRDefault="00DC6EA6" w:rsidP="00DC6EA6">
      <w:pPr>
        <w:ind w:left="720"/>
        <w:rPr>
          <w:i/>
          <w:iCs/>
        </w:rPr>
      </w:pPr>
      <w:r w:rsidRPr="00FD35ED">
        <w:rPr>
          <w:i/>
          <w:iCs/>
        </w:rPr>
        <w:t>for the treatment of uveal melanoma</w:t>
      </w:r>
    </w:p>
    <w:p w14:paraId="68905E3A" w14:textId="1DF9C915" w:rsidR="00DC6EA6" w:rsidRPr="00FD35ED" w:rsidRDefault="00332715" w:rsidP="00DC6EA6">
      <w:r w:rsidRPr="00FD35ED">
        <w:t xml:space="preserve">At the time the TGA considered this </w:t>
      </w:r>
      <w:r w:rsidR="00BB0B78" w:rsidRPr="00FD35ED">
        <w:t>submission</w:t>
      </w:r>
      <w:r w:rsidRPr="00FD35ED">
        <w:t xml:space="preserve">, similar </w:t>
      </w:r>
      <w:r w:rsidR="00BB0B78" w:rsidRPr="00FD35ED">
        <w:t>submission</w:t>
      </w:r>
      <w:r w:rsidR="00DC6EA6" w:rsidRPr="00FD35ED">
        <w:t>s were</w:t>
      </w:r>
      <w:r w:rsidRPr="00FD35ED">
        <w:t xml:space="preserve"> under consideration in </w:t>
      </w:r>
      <w:r w:rsidR="00DC6EA6" w:rsidRPr="00FD35ED">
        <w:t>the USA (submitted on 23 June 2021), the Great Britain (submitted on 29</w:t>
      </w:r>
      <w:r w:rsidR="00901F5B" w:rsidRPr="00FD35ED">
        <w:t> </w:t>
      </w:r>
      <w:r w:rsidR="00DC6EA6" w:rsidRPr="00FD35ED">
        <w:t>July</w:t>
      </w:r>
      <w:r w:rsidR="00901F5B" w:rsidRPr="00FD35ED">
        <w:t> </w:t>
      </w:r>
      <w:r w:rsidR="00DC6EA6" w:rsidRPr="00FD35ED">
        <w:t>2021), and the European Union (submitted on 26 July 2021)</w:t>
      </w:r>
      <w:r w:rsidR="00F01613" w:rsidRPr="00FD35ED">
        <w:t>.</w:t>
      </w:r>
    </w:p>
    <w:p w14:paraId="7C7D7690" w14:textId="77777777" w:rsidR="008E7846" w:rsidRPr="00FD35ED" w:rsidRDefault="008E7846" w:rsidP="00940A89">
      <w:pPr>
        <w:pStyle w:val="Heading3"/>
      </w:pPr>
      <w:bookmarkStart w:id="35" w:name="_Toc119316337"/>
      <w:r w:rsidRPr="00FD35ED">
        <w:t>Product Information</w:t>
      </w:r>
      <w:bookmarkEnd w:id="33"/>
      <w:bookmarkEnd w:id="34"/>
      <w:bookmarkEnd w:id="35"/>
    </w:p>
    <w:p w14:paraId="743A5C42" w14:textId="49E4F0D2" w:rsidR="00332715" w:rsidRPr="00FD35ED" w:rsidRDefault="00332715" w:rsidP="00332715">
      <w:bookmarkStart w:id="36" w:name="_Toc504480011"/>
      <w:bookmarkStart w:id="37" w:name="_Toc247691506"/>
      <w:bookmarkStart w:id="38" w:name="_Toc314842487"/>
      <w:r w:rsidRPr="00FD35ED">
        <w:t xml:space="preserve">The Product Information (PI) approved with the submission which is described in this </w:t>
      </w:r>
      <w:proofErr w:type="spellStart"/>
      <w:r w:rsidRPr="00FD35ED">
        <w:t>AusPAR</w:t>
      </w:r>
      <w:proofErr w:type="spellEnd"/>
      <w:r w:rsidRPr="00FD35ED">
        <w:t xml:space="preserve"> can be found as Attachment 1. For the most recent PI, please refer to the TGA </w:t>
      </w:r>
      <w:hyperlink r:id="rId17" w:history="1">
        <w:r w:rsidRPr="00FD35ED">
          <w:rPr>
            <w:rStyle w:val="Hyperlink"/>
          </w:rPr>
          <w:t>PI/CMI search facility</w:t>
        </w:r>
        <w:r w:rsidRPr="00FD35ED">
          <w:rPr>
            <w:rStyle w:val="Hyperlink"/>
            <w:color w:val="auto"/>
            <w:u w:val="none"/>
          </w:rPr>
          <w:t>.</w:t>
        </w:r>
      </w:hyperlink>
    </w:p>
    <w:p w14:paraId="5314D0CE" w14:textId="77777777" w:rsidR="00500337" w:rsidRPr="00FD35ED" w:rsidRDefault="00500337" w:rsidP="00500337">
      <w:pPr>
        <w:pStyle w:val="Heading2"/>
      </w:pPr>
      <w:bookmarkStart w:id="39" w:name="_Toc119316338"/>
      <w:r w:rsidRPr="00FD35ED">
        <w:t>Registration timeline</w:t>
      </w:r>
      <w:bookmarkEnd w:id="36"/>
      <w:bookmarkEnd w:id="39"/>
    </w:p>
    <w:p w14:paraId="609B3FAF" w14:textId="77777777" w:rsidR="0074163C" w:rsidRPr="00FD35ED" w:rsidRDefault="0074163C" w:rsidP="0074163C">
      <w:r w:rsidRPr="00FD35ED">
        <w:t xml:space="preserve">The following table captures the key steps and dates for this </w:t>
      </w:r>
      <w:r w:rsidR="00804D99" w:rsidRPr="00FD35ED">
        <w:t>submission</w:t>
      </w:r>
      <w:r w:rsidRPr="00FD35ED">
        <w:t>.</w:t>
      </w:r>
    </w:p>
    <w:p w14:paraId="02134AA9" w14:textId="2DEE4E81" w:rsidR="0074163C" w:rsidRPr="00856E21" w:rsidRDefault="0074163C" w:rsidP="00856E21">
      <w:pPr>
        <w:pStyle w:val="TableTitle"/>
      </w:pPr>
      <w:r w:rsidRPr="00856E21">
        <w:t xml:space="preserve">Table </w:t>
      </w:r>
      <w:fldSimple w:instr=" SEQ Table \* ARABIC ">
        <w:r w:rsidR="00301C3E">
          <w:rPr>
            <w:noProof/>
          </w:rPr>
          <w:t>1</w:t>
        </w:r>
      </w:fldSimple>
      <w:r w:rsidRPr="00856E21">
        <w:t xml:space="preserve">: Timeline for Submission </w:t>
      </w:r>
      <w:r w:rsidR="00BC1B01" w:rsidRPr="00856E21">
        <w:t>PM-2021-04357-1-4</w:t>
      </w:r>
    </w:p>
    <w:p w14:paraId="7AD3945B" w14:textId="2A46751E" w:rsidR="0074163C" w:rsidRPr="00FD35ED" w:rsidRDefault="00FD1AC7" w:rsidP="0074163C">
      <w:pPr>
        <w:pStyle w:val="Instructions"/>
        <w:rPr>
          <w:i w:val="0"/>
          <w:color w:val="auto"/>
          <w:szCs w:val="20"/>
        </w:rPr>
      </w:pPr>
      <w:hyperlink r:id="rId18" w:history="1">
        <w:r w:rsidR="0074163C" w:rsidRPr="00FD35ED">
          <w:rPr>
            <w:rStyle w:val="Hyperlink"/>
            <w:i w:val="0"/>
            <w:szCs w:val="20"/>
          </w:rPr>
          <w:t>Priority review pathway</w:t>
        </w:r>
      </w:hyperlink>
    </w:p>
    <w:tbl>
      <w:tblPr>
        <w:tblStyle w:val="TableTGAblue"/>
        <w:tblW w:w="0" w:type="auto"/>
        <w:tblLook w:val="04A0" w:firstRow="1" w:lastRow="0" w:firstColumn="1" w:lastColumn="0" w:noHBand="0" w:noVBand="1"/>
      </w:tblPr>
      <w:tblGrid>
        <w:gridCol w:w="6091"/>
        <w:gridCol w:w="2403"/>
      </w:tblGrid>
      <w:tr w:rsidR="0074163C" w:rsidRPr="00FD35ED" w14:paraId="17D6BF7B" w14:textId="77777777" w:rsidTr="007F517C">
        <w:trPr>
          <w:cnfStyle w:val="100000000000" w:firstRow="1" w:lastRow="0" w:firstColumn="0" w:lastColumn="0" w:oddVBand="0" w:evenVBand="0" w:oddHBand="0" w:evenHBand="0" w:firstRowFirstColumn="0" w:firstRowLastColumn="0" w:lastRowFirstColumn="0" w:lastRowLastColumn="0"/>
        </w:trPr>
        <w:tc>
          <w:tcPr>
            <w:tcW w:w="6091" w:type="dxa"/>
            <w:tcBorders>
              <w:top w:val="single" w:sz="4" w:space="0" w:color="auto"/>
              <w:left w:val="single" w:sz="4" w:space="0" w:color="auto"/>
              <w:bottom w:val="single" w:sz="4" w:space="0" w:color="auto"/>
              <w:right w:val="single" w:sz="4" w:space="0" w:color="auto"/>
            </w:tcBorders>
          </w:tcPr>
          <w:p w14:paraId="21EF6CA8" w14:textId="77777777" w:rsidR="0074163C" w:rsidRPr="00FD35ED" w:rsidRDefault="0074163C" w:rsidP="009E5A87">
            <w:r w:rsidRPr="00FD35ED">
              <w:t>Description</w:t>
            </w:r>
          </w:p>
        </w:tc>
        <w:tc>
          <w:tcPr>
            <w:tcW w:w="2403" w:type="dxa"/>
            <w:tcBorders>
              <w:top w:val="single" w:sz="4" w:space="0" w:color="auto"/>
              <w:left w:val="single" w:sz="4" w:space="0" w:color="auto"/>
              <w:bottom w:val="single" w:sz="4" w:space="0" w:color="auto"/>
              <w:right w:val="single" w:sz="4" w:space="0" w:color="auto"/>
            </w:tcBorders>
          </w:tcPr>
          <w:p w14:paraId="79283DC6" w14:textId="77777777" w:rsidR="0074163C" w:rsidRPr="00FD35ED" w:rsidRDefault="0074163C" w:rsidP="009E5A87">
            <w:r w:rsidRPr="00FD35ED">
              <w:t>Date</w:t>
            </w:r>
          </w:p>
        </w:tc>
      </w:tr>
      <w:tr w:rsidR="0074163C" w:rsidRPr="00FD35ED" w14:paraId="0A4E3E73" w14:textId="77777777" w:rsidTr="007F517C">
        <w:tc>
          <w:tcPr>
            <w:tcW w:w="6091" w:type="dxa"/>
            <w:tcBorders>
              <w:top w:val="single" w:sz="4" w:space="0" w:color="auto"/>
            </w:tcBorders>
          </w:tcPr>
          <w:p w14:paraId="247C908D" w14:textId="77D705AE" w:rsidR="0074163C" w:rsidRPr="00FD35ED" w:rsidRDefault="0074163C" w:rsidP="00901F5B">
            <w:r w:rsidRPr="00FD35ED">
              <w:t>Designation (Orphan)</w:t>
            </w:r>
          </w:p>
        </w:tc>
        <w:tc>
          <w:tcPr>
            <w:tcW w:w="2403" w:type="dxa"/>
            <w:tcBorders>
              <w:top w:val="single" w:sz="4" w:space="0" w:color="auto"/>
            </w:tcBorders>
          </w:tcPr>
          <w:p w14:paraId="59C233E8" w14:textId="3669C861" w:rsidR="0074163C" w:rsidRPr="00FD35ED" w:rsidRDefault="00BC1B01" w:rsidP="007A4661">
            <w:r w:rsidRPr="00FD35ED">
              <w:t>30 August 2021</w:t>
            </w:r>
          </w:p>
        </w:tc>
      </w:tr>
      <w:tr w:rsidR="0074163C" w:rsidRPr="00FD35ED" w14:paraId="7E0311D0" w14:textId="77777777" w:rsidTr="007F517C">
        <w:tc>
          <w:tcPr>
            <w:tcW w:w="6091" w:type="dxa"/>
            <w:tcBorders>
              <w:top w:val="single" w:sz="4" w:space="0" w:color="auto"/>
            </w:tcBorders>
          </w:tcPr>
          <w:p w14:paraId="76BE7C38" w14:textId="77777777" w:rsidR="0074163C" w:rsidRPr="0017613A" w:rsidRDefault="0074163C" w:rsidP="0017613A">
            <w:r w:rsidRPr="0017613A">
              <w:t>Determination (Priority)</w:t>
            </w:r>
          </w:p>
        </w:tc>
        <w:tc>
          <w:tcPr>
            <w:tcW w:w="2403" w:type="dxa"/>
            <w:tcBorders>
              <w:top w:val="single" w:sz="4" w:space="0" w:color="auto"/>
            </w:tcBorders>
          </w:tcPr>
          <w:p w14:paraId="04B06443" w14:textId="5608CB81" w:rsidR="0074163C" w:rsidRPr="00FD35ED" w:rsidRDefault="00BC1B01" w:rsidP="009E5A87">
            <w:r w:rsidRPr="00FD35ED">
              <w:rPr>
                <w:szCs w:val="22"/>
              </w:rPr>
              <w:t>30 August 2021</w:t>
            </w:r>
          </w:p>
        </w:tc>
      </w:tr>
      <w:tr w:rsidR="0074163C" w:rsidRPr="00FD35ED" w14:paraId="2D709C6D" w14:textId="77777777" w:rsidTr="007F517C">
        <w:tc>
          <w:tcPr>
            <w:tcW w:w="6091" w:type="dxa"/>
          </w:tcPr>
          <w:p w14:paraId="56CF5099" w14:textId="77777777" w:rsidR="0074163C" w:rsidRPr="00FD35ED" w:rsidRDefault="0074163C" w:rsidP="009E5A87">
            <w:r w:rsidRPr="00FD35ED">
              <w:t>Submission dossier accepted and first round evaluation commenced</w:t>
            </w:r>
          </w:p>
        </w:tc>
        <w:tc>
          <w:tcPr>
            <w:tcW w:w="2403" w:type="dxa"/>
          </w:tcPr>
          <w:p w14:paraId="6A53D71E" w14:textId="7F8EBF0E" w:rsidR="0074163C" w:rsidRPr="00FD35ED" w:rsidRDefault="00BC1B01" w:rsidP="009E5A87">
            <w:r w:rsidRPr="00FD35ED">
              <w:t>26 October 2021</w:t>
            </w:r>
          </w:p>
        </w:tc>
      </w:tr>
      <w:tr w:rsidR="00BC1B01" w:rsidRPr="00FD35ED" w14:paraId="53704465" w14:textId="77777777" w:rsidTr="007F517C">
        <w:tc>
          <w:tcPr>
            <w:tcW w:w="6091" w:type="dxa"/>
          </w:tcPr>
          <w:p w14:paraId="542DC51B" w14:textId="77777777" w:rsidR="00BC1B01" w:rsidRPr="00FD35ED" w:rsidRDefault="00BC1B01" w:rsidP="00BC1B01">
            <w:r w:rsidRPr="00FD35ED">
              <w:t>Evaluation completed</w:t>
            </w:r>
          </w:p>
        </w:tc>
        <w:tc>
          <w:tcPr>
            <w:tcW w:w="2403" w:type="dxa"/>
          </w:tcPr>
          <w:p w14:paraId="7AEF8FE5" w14:textId="4B5EDF3B" w:rsidR="00BC1B01" w:rsidRPr="00FD35ED" w:rsidRDefault="00BC1B01" w:rsidP="00BC1B01">
            <w:r w:rsidRPr="00FD35ED">
              <w:t>10 March 2022</w:t>
            </w:r>
          </w:p>
        </w:tc>
      </w:tr>
      <w:tr w:rsidR="00BC1B01" w:rsidRPr="00FD35ED" w14:paraId="3652E377" w14:textId="77777777" w:rsidTr="007F517C">
        <w:tc>
          <w:tcPr>
            <w:tcW w:w="6091" w:type="dxa"/>
          </w:tcPr>
          <w:p w14:paraId="14FCA871" w14:textId="545A1C92" w:rsidR="00BC1B01" w:rsidRPr="00FD35ED" w:rsidRDefault="00BC1B01" w:rsidP="00BC1B01">
            <w:r w:rsidRPr="00FD35ED">
              <w:t>Delegate’s Overall benefit-risk assessment</w:t>
            </w:r>
          </w:p>
        </w:tc>
        <w:tc>
          <w:tcPr>
            <w:tcW w:w="2403" w:type="dxa"/>
          </w:tcPr>
          <w:p w14:paraId="3BD6B10C" w14:textId="11A6A9DC" w:rsidR="00BC1B01" w:rsidRPr="00FD35ED" w:rsidRDefault="00BC1B01" w:rsidP="00BC1B01">
            <w:r w:rsidRPr="00FD35ED">
              <w:t>19 April 2022</w:t>
            </w:r>
          </w:p>
        </w:tc>
      </w:tr>
      <w:tr w:rsidR="00BC1B01" w:rsidRPr="00FD35ED" w14:paraId="563B0904" w14:textId="77777777" w:rsidTr="007F517C">
        <w:tc>
          <w:tcPr>
            <w:tcW w:w="6091" w:type="dxa"/>
          </w:tcPr>
          <w:p w14:paraId="24ED185C" w14:textId="77777777" w:rsidR="00BC1B01" w:rsidRPr="00FD35ED" w:rsidRDefault="00BC1B01" w:rsidP="00BC1B01">
            <w:r w:rsidRPr="00FD35ED">
              <w:t>Sponsor’s pre-Advisory Committee response</w:t>
            </w:r>
          </w:p>
        </w:tc>
        <w:tc>
          <w:tcPr>
            <w:tcW w:w="2403" w:type="dxa"/>
          </w:tcPr>
          <w:p w14:paraId="36CC49E1" w14:textId="41CF2514" w:rsidR="00BC1B01" w:rsidRPr="00FD35ED" w:rsidRDefault="00BC1B01" w:rsidP="00BC1B01">
            <w:r w:rsidRPr="00FD35ED">
              <w:t>Not applicable</w:t>
            </w:r>
          </w:p>
        </w:tc>
      </w:tr>
      <w:tr w:rsidR="00BC1B01" w:rsidRPr="00FD35ED" w14:paraId="65FF97CA" w14:textId="77777777" w:rsidTr="007F517C">
        <w:tc>
          <w:tcPr>
            <w:tcW w:w="6091" w:type="dxa"/>
          </w:tcPr>
          <w:p w14:paraId="31D5B4D9" w14:textId="77777777" w:rsidR="00BC1B01" w:rsidRPr="00FD35ED" w:rsidRDefault="00BC1B01" w:rsidP="00BC1B01">
            <w:r w:rsidRPr="00FD35ED">
              <w:t>Advisory Committee meeting</w:t>
            </w:r>
          </w:p>
        </w:tc>
        <w:tc>
          <w:tcPr>
            <w:tcW w:w="2403" w:type="dxa"/>
          </w:tcPr>
          <w:p w14:paraId="6E87ACDD" w14:textId="42CE4708" w:rsidR="00BC1B01" w:rsidRPr="00FD35ED" w:rsidRDefault="00BC1B01" w:rsidP="00BC1B01">
            <w:r w:rsidRPr="00FD35ED">
              <w:t>Not applicable</w:t>
            </w:r>
          </w:p>
        </w:tc>
      </w:tr>
      <w:tr w:rsidR="00BC1B01" w:rsidRPr="00FD35ED" w14:paraId="2D6F0AA2" w14:textId="77777777" w:rsidTr="007F517C">
        <w:tc>
          <w:tcPr>
            <w:tcW w:w="6091" w:type="dxa"/>
          </w:tcPr>
          <w:p w14:paraId="196F03D1" w14:textId="77777777" w:rsidR="00BC1B01" w:rsidRPr="00FD35ED" w:rsidRDefault="00BC1B01" w:rsidP="00BC1B01">
            <w:r w:rsidRPr="00FD35ED">
              <w:t>Registration decision (Outcome)</w:t>
            </w:r>
          </w:p>
        </w:tc>
        <w:tc>
          <w:tcPr>
            <w:tcW w:w="2403" w:type="dxa"/>
          </w:tcPr>
          <w:p w14:paraId="52F21DD3" w14:textId="7E87E4C8" w:rsidR="00BC1B01" w:rsidRPr="00FD35ED" w:rsidRDefault="00BC1B01" w:rsidP="00BC1B01">
            <w:r w:rsidRPr="00FD35ED">
              <w:t>27 May 2022</w:t>
            </w:r>
          </w:p>
        </w:tc>
      </w:tr>
      <w:tr w:rsidR="00BC1B01" w:rsidRPr="00FD35ED" w14:paraId="27BAEBCD" w14:textId="77777777" w:rsidTr="007F517C">
        <w:tc>
          <w:tcPr>
            <w:tcW w:w="6091" w:type="dxa"/>
          </w:tcPr>
          <w:p w14:paraId="17F7C0AC" w14:textId="77777777" w:rsidR="00BC1B01" w:rsidRPr="00FD35ED" w:rsidRDefault="00BC1B01" w:rsidP="00BC1B01">
            <w:r w:rsidRPr="00FD35ED">
              <w:t>Completion of administrative activities and registration on the ARTG</w:t>
            </w:r>
          </w:p>
        </w:tc>
        <w:tc>
          <w:tcPr>
            <w:tcW w:w="2403" w:type="dxa"/>
          </w:tcPr>
          <w:p w14:paraId="16A73578" w14:textId="3E60B58E" w:rsidR="00BC1B01" w:rsidRPr="00FD35ED" w:rsidRDefault="00BC1B01" w:rsidP="00BC1B01">
            <w:r w:rsidRPr="00FD35ED">
              <w:t>3 June 2022</w:t>
            </w:r>
          </w:p>
        </w:tc>
      </w:tr>
      <w:tr w:rsidR="00BC1B01" w:rsidRPr="00FD35ED" w14:paraId="233A2065" w14:textId="77777777" w:rsidTr="007F517C">
        <w:tc>
          <w:tcPr>
            <w:tcW w:w="6091" w:type="dxa"/>
          </w:tcPr>
          <w:p w14:paraId="48F4DB95" w14:textId="77777777" w:rsidR="00BC1B01" w:rsidRPr="00FD35ED" w:rsidRDefault="00BC1B01" w:rsidP="00BC1B01">
            <w:r w:rsidRPr="00FD35ED">
              <w:t>Number of working days from submission dossier acceptance to registration decision*</w:t>
            </w:r>
          </w:p>
        </w:tc>
        <w:tc>
          <w:tcPr>
            <w:tcW w:w="2403" w:type="dxa"/>
          </w:tcPr>
          <w:p w14:paraId="7498C13C" w14:textId="1F21EDD1" w:rsidR="00BC1B01" w:rsidRPr="00FD35ED" w:rsidRDefault="00BC1B01" w:rsidP="00BC1B01">
            <w:r w:rsidRPr="00FD35ED">
              <w:t>120</w:t>
            </w:r>
          </w:p>
        </w:tc>
      </w:tr>
    </w:tbl>
    <w:p w14:paraId="07F99770" w14:textId="77777777" w:rsidR="0074163C" w:rsidRPr="00856E21" w:rsidRDefault="0074163C" w:rsidP="00856E21">
      <w:pPr>
        <w:pStyle w:val="TableDescription"/>
      </w:pPr>
      <w:r w:rsidRPr="00856E21">
        <w:t xml:space="preserve">*Target timeframe for priority </w:t>
      </w:r>
      <w:r w:rsidR="00BB0B78" w:rsidRPr="00856E21">
        <w:t>submission</w:t>
      </w:r>
      <w:r w:rsidRPr="00856E21">
        <w:t>s is 150 working days from acceptance for evaluation to the decision.</w:t>
      </w:r>
    </w:p>
    <w:p w14:paraId="61922CEF" w14:textId="77777777" w:rsidR="008E7846" w:rsidRPr="00FD35ED" w:rsidRDefault="00006FAB" w:rsidP="008E7846">
      <w:pPr>
        <w:pStyle w:val="Heading2"/>
      </w:pPr>
      <w:bookmarkStart w:id="40" w:name="_Toc196046504"/>
      <w:bookmarkStart w:id="41" w:name="_Toc247691527"/>
      <w:bookmarkStart w:id="42" w:name="_Toc314842510"/>
      <w:bookmarkStart w:id="43" w:name="_Toc163441390"/>
      <w:bookmarkStart w:id="44" w:name="_Toc119316339"/>
      <w:bookmarkEnd w:id="37"/>
      <w:bookmarkEnd w:id="38"/>
      <w:bookmarkEnd w:id="1"/>
      <w:r w:rsidRPr="00FD35ED">
        <w:lastRenderedPageBreak/>
        <w:t xml:space="preserve">Submission overview </w:t>
      </w:r>
      <w:r w:rsidR="008E7846" w:rsidRPr="00FD35ED">
        <w:t>and risk/benefit assessment</w:t>
      </w:r>
      <w:bookmarkEnd w:id="40"/>
      <w:bookmarkEnd w:id="41"/>
      <w:bookmarkEnd w:id="42"/>
      <w:bookmarkEnd w:id="44"/>
    </w:p>
    <w:p w14:paraId="3FD2B486" w14:textId="77777777" w:rsidR="005A79F5" w:rsidRPr="00FD35ED" w:rsidRDefault="005A79F5" w:rsidP="0074163C">
      <w:pPr>
        <w:pStyle w:val="Instructions"/>
        <w:rPr>
          <w:i w:val="0"/>
          <w:color w:val="auto"/>
        </w:rPr>
      </w:pPr>
      <w:bookmarkStart w:id="45" w:name="_Toc247691528"/>
      <w:bookmarkStart w:id="46" w:name="_Toc314842511"/>
      <w:r w:rsidRPr="00FD35ED">
        <w:rPr>
          <w:i w:val="0"/>
          <w:color w:val="auto"/>
        </w:rPr>
        <w:t>A summary of the TGA’s assessment for this submission is provided below.</w:t>
      </w:r>
    </w:p>
    <w:p w14:paraId="52FD701F" w14:textId="620D0F3A" w:rsidR="0074163C" w:rsidRDefault="0074163C" w:rsidP="0074163C">
      <w:r w:rsidRPr="00FD35ED">
        <w:t>This section is a TGA summary of wording used in TGA’s evaluation report, which discussed numerous aspects of overseas evaluation reports and included some information that was commercial-in-confidence.</w:t>
      </w:r>
    </w:p>
    <w:p w14:paraId="2A0E10F2" w14:textId="6CD9F1D0" w:rsidR="00D33A78" w:rsidRPr="00FD35ED" w:rsidRDefault="00D33A78" w:rsidP="0074163C">
      <w:r w:rsidRPr="00D33A78">
        <w:t>Relevant guidelines or guidance documents referred to by the Delegate are listed below:</w:t>
      </w:r>
    </w:p>
    <w:p w14:paraId="22155CDB" w14:textId="7DACB4B4" w:rsidR="009F6A25" w:rsidRPr="00FD35ED" w:rsidRDefault="009F6A25" w:rsidP="009F6A25">
      <w:pPr>
        <w:pStyle w:val="ListBullet"/>
      </w:pPr>
      <w:r w:rsidRPr="00FD35ED">
        <w:t>European Medicines agency (EMA), Committee for medicinal products for human use (CHMP), ICH Guideline S6 (R1) - Preclinical Safety Evaluation of Biotechnology-Derived Pharmaceuticals, EMA/CHMP/ICH/731268/1998, June 2011.</w:t>
      </w:r>
    </w:p>
    <w:p w14:paraId="658DCED1" w14:textId="7DCDA9D2" w:rsidR="00DC6EA6" w:rsidRPr="00FD35ED" w:rsidRDefault="00901F5B" w:rsidP="009F6A25">
      <w:pPr>
        <w:pStyle w:val="ListBullet"/>
      </w:pPr>
      <w:r w:rsidRPr="00FD35ED">
        <w:t>National Comprehensive Cancer Network (</w:t>
      </w:r>
      <w:r w:rsidR="00DC6EA6" w:rsidRPr="00FD35ED">
        <w:t>NCCN</w:t>
      </w:r>
      <w:r w:rsidRPr="00FD35ED">
        <w:t>)</w:t>
      </w:r>
      <w:r w:rsidR="00DC6EA6" w:rsidRPr="00FD35ED">
        <w:t xml:space="preserve"> </w:t>
      </w:r>
      <w:r w:rsidRPr="00FD35ED">
        <w:t>G</w:t>
      </w:r>
      <w:r w:rsidR="00DC6EA6" w:rsidRPr="00FD35ED">
        <w:t xml:space="preserve">uidelines for </w:t>
      </w:r>
      <w:r w:rsidRPr="00FD35ED">
        <w:t xml:space="preserve">Uveal Melanoma, </w:t>
      </w:r>
      <w:r w:rsidR="00DC6EA6" w:rsidRPr="00FD35ED">
        <w:t>Version 2.2021</w:t>
      </w:r>
      <w:r w:rsidRPr="00FD35ED">
        <w:t>.</w:t>
      </w:r>
    </w:p>
    <w:p w14:paraId="64FA4620" w14:textId="77777777" w:rsidR="008E7846" w:rsidRPr="00FD35ED" w:rsidRDefault="008E7846" w:rsidP="008E7846">
      <w:pPr>
        <w:pStyle w:val="Heading3"/>
      </w:pPr>
      <w:bookmarkStart w:id="47" w:name="_Toc119316340"/>
      <w:r w:rsidRPr="00FD35ED">
        <w:t>Quality</w:t>
      </w:r>
      <w:bookmarkEnd w:id="45"/>
      <w:bookmarkEnd w:id="46"/>
      <w:bookmarkEnd w:id="47"/>
    </w:p>
    <w:p w14:paraId="69F538C1" w14:textId="5D9E4642" w:rsidR="008F309B" w:rsidRDefault="008F309B" w:rsidP="00FC788A">
      <w:proofErr w:type="spellStart"/>
      <w:r w:rsidRPr="008F309B">
        <w:t>Tebentafusp</w:t>
      </w:r>
      <w:proofErr w:type="spellEnd"/>
      <w:r w:rsidRPr="008F309B">
        <w:t xml:space="preserve"> is a bispecific </w:t>
      </w:r>
      <w:r w:rsidR="0017613A" w:rsidRPr="0017613A">
        <w:t xml:space="preserve">glycoprotein 100 </w:t>
      </w:r>
      <w:r w:rsidR="0017613A">
        <w:t>(</w:t>
      </w:r>
      <w:r w:rsidRPr="008F309B">
        <w:t>gp100</w:t>
      </w:r>
      <w:r w:rsidR="0017613A">
        <w:t>)</w:t>
      </w:r>
      <w:r w:rsidRPr="008F309B">
        <w:t>-targeted T</w:t>
      </w:r>
      <w:r w:rsidR="00D33A78">
        <w:t>-</w:t>
      </w:r>
      <w:r w:rsidRPr="008F309B">
        <w:t xml:space="preserve">cell receptor fusion protein with an approximate molecular weight of 77 </w:t>
      </w:r>
      <w:proofErr w:type="spellStart"/>
      <w:r w:rsidRPr="008F309B">
        <w:t>kDa</w:t>
      </w:r>
      <w:proofErr w:type="spellEnd"/>
      <w:r w:rsidRPr="008F309B">
        <w:t xml:space="preserve">. </w:t>
      </w:r>
      <w:proofErr w:type="spellStart"/>
      <w:r w:rsidRPr="008F309B">
        <w:t>Tebentafusp</w:t>
      </w:r>
      <w:proofErr w:type="spellEnd"/>
      <w:r w:rsidRPr="008F309B">
        <w:t xml:space="preserve"> is produced by recombinant DNA </w:t>
      </w:r>
      <w:r>
        <w:t xml:space="preserve">technology in </w:t>
      </w:r>
      <w:r w:rsidRPr="00D33A78">
        <w:rPr>
          <w:i/>
        </w:rPr>
        <w:t>Escherichia coli</w:t>
      </w:r>
      <w:r>
        <w:t>.</w:t>
      </w:r>
    </w:p>
    <w:p w14:paraId="304C01DF" w14:textId="5D3C1C52" w:rsidR="00D8019C" w:rsidRPr="00FD35ED" w:rsidRDefault="008F309B" w:rsidP="00FC788A">
      <w:proofErr w:type="spellStart"/>
      <w:r>
        <w:t>T</w:t>
      </w:r>
      <w:r w:rsidR="00D8019C" w:rsidRPr="00FD35ED">
        <w:t>ebentafusp</w:t>
      </w:r>
      <w:proofErr w:type="spellEnd"/>
      <w:r w:rsidR="00D8019C" w:rsidRPr="00FD35ED">
        <w:t xml:space="preserve"> is comprised of an affinity-enhanced soluble T-cell receptor domain fused to an anti-CD3 single-chain variable fragment. </w:t>
      </w:r>
      <w:proofErr w:type="spellStart"/>
      <w:r w:rsidR="00D8019C" w:rsidRPr="00FD35ED">
        <w:t>Tebentafusp</w:t>
      </w:r>
      <w:proofErr w:type="spellEnd"/>
      <w:r w:rsidR="00D8019C" w:rsidRPr="00FD35ED">
        <w:t xml:space="preserve"> is a heterodimeric protein consisting of an alpha and a beta sub-unit.</w:t>
      </w:r>
    </w:p>
    <w:p w14:paraId="3D12B171" w14:textId="4499AD7B" w:rsidR="00D8019C" w:rsidRDefault="00D8019C" w:rsidP="00FC788A">
      <w:r w:rsidRPr="00FD35ED">
        <w:t>The finished product is a solution for infusion presented at the concentration of 0.2 mg/</w:t>
      </w:r>
      <w:proofErr w:type="spellStart"/>
      <w:r w:rsidRPr="00FD35ED">
        <w:t>mL.</w:t>
      </w:r>
      <w:proofErr w:type="spellEnd"/>
      <w:r w:rsidRPr="00FD35ED">
        <w:t xml:space="preserve"> The product is available in a 2 mL Type 1 clear glass injection vial with a </w:t>
      </w:r>
      <w:proofErr w:type="spellStart"/>
      <w:r w:rsidRPr="00FD35ED">
        <w:t>bromobutyl</w:t>
      </w:r>
      <w:proofErr w:type="spellEnd"/>
      <w:r w:rsidRPr="00FD35ED">
        <w:t xml:space="preserve">, low </w:t>
      </w:r>
      <w:proofErr w:type="spellStart"/>
      <w:r w:rsidRPr="00FD35ED">
        <w:t>siliconised</w:t>
      </w:r>
      <w:proofErr w:type="spellEnd"/>
      <w:r w:rsidRPr="00FD35ED">
        <w:t xml:space="preserve"> rubber stopper and an aluminium </w:t>
      </w:r>
      <w:proofErr w:type="spellStart"/>
      <w:r w:rsidRPr="00FD35ED">
        <w:t>overseal</w:t>
      </w:r>
      <w:proofErr w:type="spellEnd"/>
      <w:r w:rsidRPr="00FD35ED">
        <w:t xml:space="preserve"> with a flip-off cap.</w:t>
      </w:r>
      <w:r w:rsidR="000F5155">
        <w:t xml:space="preserve"> </w:t>
      </w:r>
      <w:proofErr w:type="spellStart"/>
      <w:r w:rsidR="000F5155" w:rsidRPr="00FD35ED">
        <w:t>Kimmtrak</w:t>
      </w:r>
      <w:proofErr w:type="spellEnd"/>
      <w:r w:rsidR="000F5155" w:rsidRPr="00FD35ED">
        <w:t xml:space="preserve"> does not contain a preservative</w:t>
      </w:r>
      <w:r w:rsidR="000F5155">
        <w:t>.</w:t>
      </w:r>
    </w:p>
    <w:p w14:paraId="15661147" w14:textId="1BC63EC9" w:rsidR="00CA3C16" w:rsidRDefault="00CA3C16" w:rsidP="00D33A78">
      <w:r w:rsidRPr="00D33A78">
        <w:t xml:space="preserve">A two-step process is required for preparation of the final </w:t>
      </w:r>
      <w:proofErr w:type="spellStart"/>
      <w:r w:rsidRPr="00CA3C16">
        <w:t>Kimmtrak</w:t>
      </w:r>
      <w:proofErr w:type="spellEnd"/>
      <w:r w:rsidRPr="00CA3C16">
        <w:t xml:space="preserve"> </w:t>
      </w:r>
      <w:r w:rsidRPr="00D33A78">
        <w:t>dose</w:t>
      </w:r>
      <w:r w:rsidR="00F2721B">
        <w:t xml:space="preserve"> for use in a patient</w:t>
      </w:r>
      <w:r w:rsidR="000F5155">
        <w:t>, summarised as follows</w:t>
      </w:r>
      <w:r w:rsidRPr="00D33A78">
        <w:t>:</w:t>
      </w:r>
      <w:r w:rsidR="00F2721B">
        <w:rPr>
          <w:rStyle w:val="FootnoteReference"/>
        </w:rPr>
        <w:footnoteReference w:id="41"/>
      </w:r>
    </w:p>
    <w:p w14:paraId="7E75A53D" w14:textId="1253D242" w:rsidR="000F5155" w:rsidRDefault="00CA3C16" w:rsidP="00D33A78">
      <w:pPr>
        <w:pStyle w:val="ListBullet"/>
      </w:pPr>
      <w:r>
        <w:t xml:space="preserve">Step 1 requires preparation of the infusion bag. A calculated volume of human albumin (varying </w:t>
      </w:r>
      <w:r w:rsidR="00257494">
        <w:t xml:space="preserve">depending on the available concentration) is added to 100 mL 0.9% sodium </w:t>
      </w:r>
      <w:r w:rsidR="00257494" w:rsidRPr="00257494">
        <w:t>chloride for injection</w:t>
      </w:r>
      <w:r w:rsidR="00257494">
        <w:t>.</w:t>
      </w:r>
    </w:p>
    <w:p w14:paraId="18B3E3ED" w14:textId="77777777" w:rsidR="000F5155" w:rsidRPr="00D33A78" w:rsidRDefault="00257494" w:rsidP="00D33A78">
      <w:pPr>
        <w:pStyle w:val="ListBullet"/>
      </w:pPr>
      <w:r w:rsidRPr="00D33A78">
        <w:rPr>
          <w:rFonts w:eastAsiaTheme="minorHAnsi" w:cs="Cambria"/>
          <w:lang w:val="en-GB"/>
        </w:rPr>
        <w:t xml:space="preserve">Step 2 requires preparation of </w:t>
      </w:r>
      <w:proofErr w:type="spellStart"/>
      <w:r w:rsidRPr="00D33A78">
        <w:rPr>
          <w:rFonts w:eastAsiaTheme="minorHAnsi" w:cs="Cambria"/>
          <w:lang w:val="en-GB"/>
        </w:rPr>
        <w:t>Kimmtrak</w:t>
      </w:r>
      <w:proofErr w:type="spellEnd"/>
      <w:r w:rsidRPr="00D33A78">
        <w:rPr>
          <w:rFonts w:eastAsiaTheme="minorHAnsi" w:cs="Cambria"/>
          <w:lang w:val="en-GB"/>
        </w:rPr>
        <w:t xml:space="preserve"> solution for infusion.</w:t>
      </w:r>
    </w:p>
    <w:p w14:paraId="1448EC6D" w14:textId="37CB98DB" w:rsidR="00257494" w:rsidRPr="00D33A78" w:rsidRDefault="00257494" w:rsidP="00D33A78">
      <w:pPr>
        <w:pStyle w:val="ListBullet"/>
        <w:numPr>
          <w:ilvl w:val="0"/>
          <w:numId w:val="0"/>
        </w:numPr>
        <w:ind w:left="360"/>
      </w:pPr>
      <w:r w:rsidRPr="00D33A78">
        <w:rPr>
          <w:rFonts w:eastAsiaTheme="minorHAnsi" w:cs="Cambria"/>
          <w:lang w:val="en-GB"/>
        </w:rPr>
        <w:t xml:space="preserve">The required volume of </w:t>
      </w:r>
      <w:proofErr w:type="spellStart"/>
      <w:r w:rsidRPr="00D33A78">
        <w:rPr>
          <w:rFonts w:eastAsiaTheme="minorHAnsi" w:cs="Cambria"/>
          <w:lang w:val="en-GB"/>
        </w:rPr>
        <w:t>Kimmtrak</w:t>
      </w:r>
      <w:proofErr w:type="spellEnd"/>
      <w:r w:rsidRPr="00D33A78">
        <w:rPr>
          <w:rFonts w:eastAsiaTheme="minorHAnsi" w:cs="Cambria"/>
          <w:lang w:val="en-GB"/>
        </w:rPr>
        <w:t xml:space="preserve"> (</w:t>
      </w:r>
      <w:proofErr w:type="spellStart"/>
      <w:r w:rsidRPr="00D33A78">
        <w:rPr>
          <w:rFonts w:eastAsiaTheme="minorHAnsi" w:cs="Cambria"/>
          <w:lang w:val="en-GB"/>
        </w:rPr>
        <w:t>tebentafusp</w:t>
      </w:r>
      <w:proofErr w:type="spellEnd"/>
      <w:r w:rsidRPr="00D33A78">
        <w:rPr>
          <w:rFonts w:eastAsiaTheme="minorHAnsi" w:cs="Cambria"/>
          <w:lang w:val="en-GB"/>
        </w:rPr>
        <w:t>) 200 </w:t>
      </w:r>
      <w:r>
        <w:t>µg</w:t>
      </w:r>
      <w:r w:rsidRPr="00D33A78">
        <w:rPr>
          <w:rFonts w:eastAsiaTheme="minorHAnsi" w:cs="Cambria"/>
          <w:lang w:val="en-GB"/>
        </w:rPr>
        <w:t xml:space="preserve">/mL as per the dose required </w:t>
      </w:r>
      <w:r w:rsidR="000F5155" w:rsidRPr="00D33A78">
        <w:rPr>
          <w:rFonts w:eastAsiaTheme="minorHAnsi" w:cs="Cambria"/>
          <w:lang w:val="en-GB"/>
        </w:rPr>
        <w:t xml:space="preserve">is extracted </w:t>
      </w:r>
      <w:r w:rsidRPr="00D33A78">
        <w:rPr>
          <w:rFonts w:eastAsiaTheme="minorHAnsi" w:cs="Cambria"/>
          <w:lang w:val="en-GB"/>
        </w:rPr>
        <w:t>and add</w:t>
      </w:r>
      <w:r w:rsidR="000F5155" w:rsidRPr="00D33A78">
        <w:rPr>
          <w:rFonts w:eastAsiaTheme="minorHAnsi" w:cs="Cambria"/>
          <w:lang w:val="en-GB"/>
        </w:rPr>
        <w:t>ed</w:t>
      </w:r>
      <w:r w:rsidRPr="00D33A78">
        <w:rPr>
          <w:rFonts w:eastAsiaTheme="minorHAnsi" w:cs="Cambria"/>
          <w:lang w:val="en-GB"/>
        </w:rPr>
        <w:t xml:space="preserve"> to the prepared 100 mL infusion bag containing sodium chloride 9 mg/mL (0.9 %) solution for injection, plus human albumin.</w:t>
      </w:r>
    </w:p>
    <w:p w14:paraId="4DBBF2B2" w14:textId="458A1B7C" w:rsidR="00CA3C16" w:rsidRDefault="00D8019C" w:rsidP="00FC788A">
      <w:r w:rsidRPr="00FD35ED">
        <w:t xml:space="preserve">The recommended shelf life is based upon stability data submitted by the sponsor. </w:t>
      </w:r>
      <w:r w:rsidR="007828E5" w:rsidRPr="00FD35ED">
        <w:t>F</w:t>
      </w:r>
      <w:r w:rsidRPr="00FD35ED">
        <w:t xml:space="preserve">or the drug substance the recommended shelf life is 24 months </w:t>
      </w:r>
      <w:r w:rsidR="00CA3C16">
        <w:t>at</w:t>
      </w:r>
      <w:r w:rsidRPr="00FD35ED">
        <w:t xml:space="preserve"> </w:t>
      </w:r>
      <w:r w:rsidR="00CA3C16">
        <w:t>≤ </w:t>
      </w:r>
      <w:r w:rsidRPr="00FD35ED">
        <w:t>-60°C.</w:t>
      </w:r>
    </w:p>
    <w:p w14:paraId="396DDAC3" w14:textId="1EFB92A6" w:rsidR="000F5155" w:rsidRDefault="00D8019C" w:rsidP="00D33A78">
      <w:pPr>
        <w:pStyle w:val="ListBullet"/>
      </w:pPr>
      <w:r w:rsidRPr="00FD35ED">
        <w:t>For the drug product</w:t>
      </w:r>
      <w:r w:rsidR="00CA3C16">
        <w:t xml:space="preserve"> </w:t>
      </w:r>
      <w:r w:rsidR="000F5155">
        <w:t xml:space="preserve">(that is </w:t>
      </w:r>
      <w:proofErr w:type="spellStart"/>
      <w:r w:rsidR="000F5155">
        <w:t>Kimmtrak</w:t>
      </w:r>
      <w:proofErr w:type="spellEnd"/>
      <w:r w:rsidR="000F5155">
        <w:t xml:space="preserve"> (</w:t>
      </w:r>
      <w:proofErr w:type="spellStart"/>
      <w:r w:rsidR="000F5155">
        <w:t>tebentafusp</w:t>
      </w:r>
      <w:proofErr w:type="spellEnd"/>
      <w:r w:rsidR="000F5155">
        <w:t xml:space="preserve">), </w:t>
      </w:r>
      <w:r w:rsidR="00CA3C16">
        <w:t>vial)</w:t>
      </w:r>
      <w:r w:rsidRPr="00FD35ED">
        <w:t xml:space="preserve"> the long-term shelf life is 18</w:t>
      </w:r>
      <w:r w:rsidR="00CA3C16">
        <w:t> </w:t>
      </w:r>
      <w:r w:rsidRPr="00FD35ED">
        <w:t>months</w:t>
      </w:r>
      <w:r w:rsidR="00CA3C16">
        <w:t>, to be stored at</w:t>
      </w:r>
      <w:r w:rsidRPr="00FD35ED">
        <w:t xml:space="preserve"> between 2°C to 8°</w:t>
      </w:r>
      <w:proofErr w:type="gramStart"/>
      <w:r w:rsidRPr="00FD35ED">
        <w:t xml:space="preserve">C, </w:t>
      </w:r>
      <w:r w:rsidR="00CA3C16">
        <w:t>and</w:t>
      </w:r>
      <w:proofErr w:type="gramEnd"/>
      <w:r w:rsidR="00CA3C16">
        <w:t xml:space="preserve"> </w:t>
      </w:r>
      <w:r w:rsidRPr="00FD35ED">
        <w:t>protected from light.</w:t>
      </w:r>
    </w:p>
    <w:p w14:paraId="2FEC7CDE" w14:textId="3435AD4B" w:rsidR="007F510F" w:rsidRDefault="00FC788A" w:rsidP="00D33A78">
      <w:pPr>
        <w:pStyle w:val="ListBullet"/>
      </w:pPr>
      <w:r w:rsidRPr="00FD35ED">
        <w:t>When in use</w:t>
      </w:r>
      <w:r w:rsidR="00CA3C16">
        <w:t xml:space="preserve"> (that is, following dilution) </w:t>
      </w:r>
      <w:r w:rsidRPr="00FD35ED">
        <w:t>the d</w:t>
      </w:r>
      <w:r w:rsidR="00D8019C" w:rsidRPr="00FD35ED">
        <w:t>iluted solution for infusion may be stored below 30°C for 4 hours</w:t>
      </w:r>
      <w:r w:rsidR="000F5155">
        <w:t>,</w:t>
      </w:r>
      <w:r w:rsidR="00D8019C" w:rsidRPr="00FD35ED">
        <w:t xml:space="preserve"> or at 2°C to 8°C for 24 hours from the time of preparation which includes the time allowed for equilibration of the infusion bag to below 30°C and the duration of the infusion.</w:t>
      </w:r>
    </w:p>
    <w:p w14:paraId="7DF04036" w14:textId="550A6A7A" w:rsidR="00D8019C" w:rsidRDefault="00D8019C" w:rsidP="00D33A78">
      <w:pPr>
        <w:pStyle w:val="ListBullet"/>
      </w:pPr>
      <w:r w:rsidRPr="00FD35ED">
        <w:t xml:space="preserve">The prepared infusion bag should be administered within 4 hours from the time of preparation including the duration of infusion. During the 4-hour window, the </w:t>
      </w:r>
      <w:proofErr w:type="spellStart"/>
      <w:r w:rsidR="000F5155" w:rsidRPr="00FD35ED">
        <w:lastRenderedPageBreak/>
        <w:t>Kimmtrak</w:t>
      </w:r>
      <w:proofErr w:type="spellEnd"/>
      <w:r w:rsidR="000F5155" w:rsidRPr="00FD35ED">
        <w:t xml:space="preserve"> </w:t>
      </w:r>
      <w:r w:rsidRPr="00FD35ED">
        <w:t>infusion bag should remain below 30°C.</w:t>
      </w:r>
      <w:r w:rsidR="00FC788A" w:rsidRPr="00FD35ED">
        <w:t xml:space="preserve"> </w:t>
      </w:r>
      <w:r w:rsidRPr="00FD35ED">
        <w:t>There are no allowable temperature excursions for the product.</w:t>
      </w:r>
    </w:p>
    <w:p w14:paraId="354D7435" w14:textId="6C68BBB5" w:rsidR="00F2721B" w:rsidRDefault="007F510F" w:rsidP="00D33A78">
      <w:pPr>
        <w:pStyle w:val="ListBullet"/>
      </w:pPr>
      <w:r w:rsidRPr="007F510F">
        <w:t xml:space="preserve">Once removed from the refrigerator, </w:t>
      </w:r>
      <w:proofErr w:type="spellStart"/>
      <w:r w:rsidRPr="007F510F">
        <w:t>Kimmtrak</w:t>
      </w:r>
      <w:proofErr w:type="spellEnd"/>
      <w:r w:rsidRPr="007F510F">
        <w:t xml:space="preserve"> infusion bag must not be refrigerated again. Do not freeze. Discard unused </w:t>
      </w:r>
      <w:proofErr w:type="spellStart"/>
      <w:r w:rsidRPr="007F510F">
        <w:t>Kimmtrak</w:t>
      </w:r>
      <w:proofErr w:type="spellEnd"/>
      <w:r w:rsidRPr="007F510F">
        <w:t xml:space="preserve"> solution beyond the recommended storage time.</w:t>
      </w:r>
    </w:p>
    <w:p w14:paraId="7E033CE8" w14:textId="450FD108" w:rsidR="000F5155" w:rsidRPr="00FD35ED" w:rsidRDefault="000F5155" w:rsidP="00D33A78">
      <w:pPr>
        <w:pStyle w:val="Heading4"/>
      </w:pPr>
      <w:r>
        <w:t>Conclusions and recommendation</w:t>
      </w:r>
    </w:p>
    <w:p w14:paraId="3163DADD" w14:textId="087CD066" w:rsidR="000F5155" w:rsidRDefault="000F5155" w:rsidP="00FC788A">
      <w:r w:rsidRPr="00FD35ED">
        <w:t>The formulation development has been adequately described and the final formulation intended for marketing was used in the Phase III clinical trials.</w:t>
      </w:r>
    </w:p>
    <w:p w14:paraId="0413AA86" w14:textId="2F74DD8B" w:rsidR="00FC788A" w:rsidRPr="00FD35ED" w:rsidRDefault="00FC788A" w:rsidP="00FC788A">
      <w:r w:rsidRPr="00FD35ED">
        <w:t xml:space="preserve">Sufficient evidence was provided to demonstrate that the risks related to adventitious agents in the manufacturing of </w:t>
      </w:r>
      <w:proofErr w:type="spellStart"/>
      <w:r w:rsidRPr="00FD35ED">
        <w:t>Kimmtrak</w:t>
      </w:r>
      <w:proofErr w:type="spellEnd"/>
      <w:r w:rsidRPr="00FD35ED">
        <w:t xml:space="preserve"> have been managed to an acceptable level. An evaluation of sterility aspects concluded that there were no objections from a microbiological perspective for the application to register </w:t>
      </w:r>
      <w:proofErr w:type="spellStart"/>
      <w:r w:rsidRPr="00FD35ED">
        <w:t>Kimmtrak</w:t>
      </w:r>
      <w:proofErr w:type="spellEnd"/>
      <w:r w:rsidRPr="00FD35ED">
        <w:t xml:space="preserve"> (</w:t>
      </w:r>
      <w:proofErr w:type="spellStart"/>
      <w:r w:rsidRPr="00FD35ED">
        <w:t>tebentafusp</w:t>
      </w:r>
      <w:proofErr w:type="spellEnd"/>
      <w:r w:rsidRPr="00FD35ED">
        <w:t>) 0.1 mg/0.5 mL concentrated solution for infusion vial. Container safety and bacterial endotoxin testing aspects were also found to be acceptable.</w:t>
      </w:r>
    </w:p>
    <w:p w14:paraId="5C74095B" w14:textId="0506AFEB" w:rsidR="00222799" w:rsidRPr="00FD35ED" w:rsidRDefault="00222799" w:rsidP="00FC788A">
      <w:r w:rsidRPr="00FD35ED">
        <w:t xml:space="preserve">The quality of this product </w:t>
      </w:r>
      <w:proofErr w:type="gramStart"/>
      <w:r w:rsidRPr="00FD35ED">
        <w:t>is considered to be</w:t>
      </w:r>
      <w:proofErr w:type="gramEnd"/>
      <w:r w:rsidRPr="00FD35ED">
        <w:t xml:space="preserve"> acceptable when used in accordance with the conditions defined in the PI, labels, </w:t>
      </w:r>
      <w:r w:rsidR="00FC788A" w:rsidRPr="00FD35ED">
        <w:t xml:space="preserve">Consumer Medicines Information (CMI) </w:t>
      </w:r>
      <w:r w:rsidRPr="00FD35ED">
        <w:t>and the Australian Register of Therapeutic Goods (ARTG). Physicochemical and biological aspects relevant to the uniform clinical performance of the product have been investigated and are controlled in a satisfactory way. Information on development, manufacture and control of the active substance and finished product has been presented in a satisfactory manner. The results of tests carried out indicate consistency and uniformity of important product quality characteristics, and these in turn lead to the conclusion that the product should have a satisfactory and uniform performance in clinical use. From quality perspective, compliance with Therapeutic Goods Legislations (</w:t>
      </w:r>
      <w:r w:rsidR="00FC788A" w:rsidRPr="00FD35ED">
        <w:t>Therapeutic Goods Act, Regulations and Orders</w:t>
      </w:r>
      <w:r w:rsidRPr="00FD35ED">
        <w:t xml:space="preserve">) and relevant </w:t>
      </w:r>
      <w:r w:rsidR="00FC788A" w:rsidRPr="00FD35ED">
        <w:t xml:space="preserve">Therapeutic Goods </w:t>
      </w:r>
      <w:r w:rsidRPr="00FD35ED">
        <w:t xml:space="preserve">Orders as well as consistency with relevant guidelines and the </w:t>
      </w:r>
      <w:r w:rsidR="00FC788A" w:rsidRPr="00FD35ED">
        <w:t xml:space="preserve">Australian Regulatory Guidelines for Prescription Medicines </w:t>
      </w:r>
      <w:r w:rsidRPr="00FD35ED">
        <w:t>has been demonstrated.</w:t>
      </w:r>
    </w:p>
    <w:p w14:paraId="12FAC291" w14:textId="141D50FC" w:rsidR="00222799" w:rsidRPr="00FD35ED" w:rsidRDefault="00222799" w:rsidP="00FC788A">
      <w:r w:rsidRPr="00FD35ED">
        <w:t>Standard quality-related conditions of registration are proposed.</w:t>
      </w:r>
    </w:p>
    <w:p w14:paraId="6B35CB7C" w14:textId="77777777" w:rsidR="008E7846" w:rsidRPr="00FD35ED" w:rsidRDefault="008E7846" w:rsidP="008E7846">
      <w:pPr>
        <w:pStyle w:val="Heading3"/>
      </w:pPr>
      <w:bookmarkStart w:id="48" w:name="_Toc314842512"/>
      <w:bookmarkStart w:id="49" w:name="_Toc119316341"/>
      <w:r w:rsidRPr="00FD35ED">
        <w:t>Nonclinical</w:t>
      </w:r>
      <w:bookmarkEnd w:id="48"/>
      <w:bookmarkEnd w:id="49"/>
    </w:p>
    <w:p w14:paraId="76326CCF" w14:textId="7A1F8482" w:rsidR="00222799" w:rsidRPr="00FD35ED" w:rsidRDefault="00222799" w:rsidP="00222799">
      <w:r w:rsidRPr="00FD35ED">
        <w:t xml:space="preserve">The TGA toxicology evaluation concluded that the nonclinical data support the use of </w:t>
      </w:r>
      <w:proofErr w:type="spellStart"/>
      <w:r w:rsidRPr="00FD35ED">
        <w:t>tebentafusp</w:t>
      </w:r>
      <w:proofErr w:type="spellEnd"/>
      <w:r w:rsidRPr="00FD35ED">
        <w:t xml:space="preserve"> for the proposed indication. Potential areas of concern raised by the nonclinical data were considered during review of clinical data</w:t>
      </w:r>
      <w:r w:rsidR="00BC3E99" w:rsidRPr="00FD35ED">
        <w:t xml:space="preserve"> (See Sections</w:t>
      </w:r>
      <w:r w:rsidRPr="00FD35ED">
        <w:t xml:space="preserve"> </w:t>
      </w:r>
      <w:r w:rsidR="00BC3E99" w:rsidRPr="00FD35ED">
        <w:t>C</w:t>
      </w:r>
      <w:r w:rsidR="00901F5B" w:rsidRPr="00FD35ED">
        <w:t>ytokine release syndrome</w:t>
      </w:r>
      <w:r w:rsidRPr="00FD35ED">
        <w:t xml:space="preserve">, </w:t>
      </w:r>
      <w:r w:rsidR="00BC3E99" w:rsidRPr="00FD35ED">
        <w:t>S</w:t>
      </w:r>
      <w:r w:rsidRPr="00FD35ED">
        <w:t xml:space="preserve">kin toxicity, </w:t>
      </w:r>
      <w:r w:rsidR="00BC3E99" w:rsidRPr="00FD35ED">
        <w:t>E</w:t>
      </w:r>
      <w:r w:rsidRPr="00FD35ED">
        <w:t xml:space="preserve">ye toxicity, </w:t>
      </w:r>
      <w:r w:rsidR="00BC3E99" w:rsidRPr="00FD35ED">
        <w:t>I</w:t>
      </w:r>
      <w:r w:rsidRPr="00FD35ED">
        <w:t xml:space="preserve">nfections and </w:t>
      </w:r>
      <w:r w:rsidR="00BC3E99" w:rsidRPr="00FD35ED">
        <w:t>D</w:t>
      </w:r>
      <w:r w:rsidRPr="00FD35ED">
        <w:t xml:space="preserve">rug-drug interaction with </w:t>
      </w:r>
      <w:r w:rsidR="00D03155" w:rsidRPr="00FD35ED">
        <w:t xml:space="preserve">cytochrome P450 </w:t>
      </w:r>
      <w:r w:rsidR="00424B61">
        <w:t xml:space="preserve">(CYP) </w:t>
      </w:r>
      <w:r w:rsidRPr="00FD35ED">
        <w:t>substrates.</w:t>
      </w:r>
      <w:r w:rsidR="00424B61" w:rsidRPr="00FD35ED">
        <w:rPr>
          <w:rStyle w:val="FootnoteReference"/>
        </w:rPr>
        <w:footnoteReference w:id="42"/>
      </w:r>
    </w:p>
    <w:p w14:paraId="078544C7" w14:textId="63D52967" w:rsidR="00222799" w:rsidRPr="00FD35ED" w:rsidRDefault="00222799" w:rsidP="00222799">
      <w:r w:rsidRPr="00FD35ED">
        <w:t>Nonclinical data in this submission were limited to pharmacology studies with human cancer and cross</w:t>
      </w:r>
      <w:r w:rsidR="00901F5B" w:rsidRPr="00FD35ED">
        <w:t xml:space="preserve"> </w:t>
      </w:r>
      <w:r w:rsidRPr="00FD35ED">
        <w:t xml:space="preserve">reactivity with normal cells and tissues. The absence of nonclinical </w:t>
      </w:r>
      <w:r w:rsidRPr="00FD35ED">
        <w:lastRenderedPageBreak/>
        <w:t xml:space="preserve">toxicity studies in animal species was justified based on the human specificity of the </w:t>
      </w:r>
      <w:proofErr w:type="spellStart"/>
      <w:r w:rsidRPr="00FD35ED">
        <w:t>tebentafusp</w:t>
      </w:r>
      <w:proofErr w:type="spellEnd"/>
      <w:r w:rsidRPr="00FD35ED">
        <w:t xml:space="preserve"> molecule and the absence of equivalent targets in other species.</w:t>
      </w:r>
    </w:p>
    <w:p w14:paraId="1EAC3846" w14:textId="1ABEE44B" w:rsidR="00222799" w:rsidRPr="00FD35ED" w:rsidRDefault="00222799" w:rsidP="00222799">
      <w:proofErr w:type="spellStart"/>
      <w:r w:rsidRPr="00FD35ED">
        <w:t>Tebentafusp</w:t>
      </w:r>
      <w:proofErr w:type="spellEnd"/>
      <w:r w:rsidRPr="00FD35ED">
        <w:t xml:space="preserve"> was shown to bind to the human gp100 peptide presented by HLA-A*02:01 and human CD3 with picomolar affinity and shows specificity for the target human HLA</w:t>
      </w:r>
      <w:r w:rsidR="00901F5B" w:rsidRPr="00FD35ED">
        <w:noBreakHyphen/>
      </w:r>
      <w:r w:rsidRPr="00FD35ED">
        <w:t xml:space="preserve">A*02. </w:t>
      </w:r>
      <w:proofErr w:type="spellStart"/>
      <w:r w:rsidRPr="00FD35ED">
        <w:t>Tebentafusp</w:t>
      </w:r>
      <w:proofErr w:type="spellEnd"/>
      <w:r w:rsidRPr="00FD35ED">
        <w:t xml:space="preserve"> redirects T</w:t>
      </w:r>
      <w:r w:rsidR="006D7C69" w:rsidRPr="00FD35ED">
        <w:t>-</w:t>
      </w:r>
      <w:r w:rsidRPr="00FD35ED">
        <w:t>cell activity against HLA-A*02:01 and gp100</w:t>
      </w:r>
      <w:r w:rsidR="00200045" w:rsidRPr="00FD35ED">
        <w:t>-</w:t>
      </w:r>
      <w:r w:rsidRPr="00FD35ED">
        <w:t>positive cancer cells (</w:t>
      </w:r>
      <w:r w:rsidR="001212BF" w:rsidRPr="00FD35ED">
        <w:t>uveal melanoma</w:t>
      </w:r>
      <w:r w:rsidRPr="00FD35ED">
        <w:t xml:space="preserve"> and cutaneous melanoma) at clinically relevant concentrations (at </w:t>
      </w:r>
      <w:proofErr w:type="spellStart"/>
      <w:r w:rsidRPr="00FD35ED">
        <w:t>pM</w:t>
      </w:r>
      <w:proofErr w:type="spellEnd"/>
      <w:r w:rsidRPr="00FD35ED">
        <w:t>) as demonstrated by T</w:t>
      </w:r>
      <w:r w:rsidR="006D7C69" w:rsidRPr="00FD35ED">
        <w:t>-</w:t>
      </w:r>
      <w:r w:rsidRPr="00FD35ED">
        <w:t xml:space="preserve">cell activation and target cell killing. </w:t>
      </w:r>
      <w:proofErr w:type="spellStart"/>
      <w:r w:rsidRPr="00FD35ED">
        <w:t>Tebentafusp</w:t>
      </w:r>
      <w:proofErr w:type="spellEnd"/>
      <w:r w:rsidRPr="00FD35ED">
        <w:t xml:space="preserve"> also induced cytokine</w:t>
      </w:r>
      <w:r w:rsidR="00901F5B" w:rsidRPr="00FD35ED">
        <w:t xml:space="preserve"> or </w:t>
      </w:r>
      <w:r w:rsidRPr="00FD35ED">
        <w:t>chemokine release from T</w:t>
      </w:r>
      <w:r w:rsidR="006D7C69" w:rsidRPr="00FD35ED">
        <w:t>-</w:t>
      </w:r>
      <w:r w:rsidRPr="00FD35ED">
        <w:t>cells from healthy donors or cancer patients. In a mouse xenograft model of human melanoma with human T</w:t>
      </w:r>
      <w:r w:rsidR="006D7C69" w:rsidRPr="00FD35ED">
        <w:noBreakHyphen/>
      </w:r>
      <w:r w:rsidRPr="00FD35ED">
        <w:t xml:space="preserve">cell engraftment, </w:t>
      </w:r>
      <w:proofErr w:type="spellStart"/>
      <w:r w:rsidRPr="00FD35ED">
        <w:t>tebentafusp</w:t>
      </w:r>
      <w:proofErr w:type="spellEnd"/>
      <w:r w:rsidRPr="00FD35ED">
        <w:t xml:space="preserve"> reduced tumour growth compared to controls at doses comparable to human doses.</w:t>
      </w:r>
    </w:p>
    <w:p w14:paraId="4FF78ED3" w14:textId="299F404D" w:rsidR="00222799" w:rsidRPr="00FD35ED" w:rsidRDefault="00222799" w:rsidP="00222799">
      <w:proofErr w:type="spellStart"/>
      <w:r w:rsidRPr="00FD35ED">
        <w:t>Tebentafusp</w:t>
      </w:r>
      <w:proofErr w:type="spellEnd"/>
      <w:r w:rsidRPr="00FD35ED">
        <w:t xml:space="preserve"> binds to normal human epidermal melanocytes </w:t>
      </w:r>
      <w:r w:rsidRPr="00FD35ED">
        <w:rPr>
          <w:i/>
          <w:iCs/>
        </w:rPr>
        <w:t>in vitro</w:t>
      </w:r>
      <w:r w:rsidRPr="00FD35ED">
        <w:t xml:space="preserve"> at 10</w:t>
      </w:r>
      <w:r w:rsidR="00901F5B" w:rsidRPr="00FD35ED">
        <w:t xml:space="preserve"> to </w:t>
      </w:r>
      <w:r w:rsidRPr="00FD35ED">
        <w:t>100</w:t>
      </w:r>
      <w:r w:rsidR="00901F5B" w:rsidRPr="00FD35ED">
        <w:t> </w:t>
      </w:r>
      <w:proofErr w:type="spellStart"/>
      <w:r w:rsidRPr="00FD35ED">
        <w:t>pM</w:t>
      </w:r>
      <w:proofErr w:type="spellEnd"/>
      <w:r w:rsidRPr="00FD35ED">
        <w:t xml:space="preserve"> concentrations. CD3</w:t>
      </w:r>
      <w:r w:rsidR="00901F5B" w:rsidRPr="00FD35ED">
        <w:t xml:space="preserve"> </w:t>
      </w:r>
      <w:r w:rsidRPr="00FD35ED">
        <w:t xml:space="preserve">specific </w:t>
      </w:r>
      <w:proofErr w:type="spellStart"/>
      <w:r w:rsidRPr="00FD35ED">
        <w:t>tebentafusp</w:t>
      </w:r>
      <w:proofErr w:type="spellEnd"/>
      <w:r w:rsidRPr="00FD35ED">
        <w:t xml:space="preserve"> binding was detected in membrane and cytoplasm of lymphocytes throughout the human tissue panel examined at clinically relevant concentrations. </w:t>
      </w:r>
      <w:proofErr w:type="spellStart"/>
      <w:r w:rsidRPr="00FD35ED">
        <w:t>Tebentafusp</w:t>
      </w:r>
      <w:proofErr w:type="spellEnd"/>
      <w:r w:rsidRPr="00FD35ED">
        <w:t xml:space="preserve"> did not display any other off target binding or alloreactivity against any common non-HLA-A*02 HLA types at clinically relevant concentrations.</w:t>
      </w:r>
    </w:p>
    <w:p w14:paraId="672F13BC" w14:textId="5D729DF7" w:rsidR="00222799" w:rsidRPr="00FD35ED" w:rsidRDefault="00222799" w:rsidP="00222799">
      <w:r w:rsidRPr="00FD35ED">
        <w:t xml:space="preserve">The nonclinical pharmacokinetic data are limited and are not clinically relevant for the assessment of </w:t>
      </w:r>
      <w:proofErr w:type="spellStart"/>
      <w:r w:rsidRPr="00FD35ED">
        <w:t>tebentafusp</w:t>
      </w:r>
      <w:proofErr w:type="spellEnd"/>
      <w:r w:rsidRPr="00FD35ED">
        <w:t xml:space="preserve"> safety given the absence of appropriate animal models. </w:t>
      </w:r>
      <w:proofErr w:type="spellStart"/>
      <w:r w:rsidRPr="00FD35ED">
        <w:t>Tebentafusp</w:t>
      </w:r>
      <w:proofErr w:type="spellEnd"/>
      <w:r w:rsidRPr="00FD35ED">
        <w:t xml:space="preserve"> is expected to be eliminated by proteolytic enzymes, and excretion was primarily in the urine.</w:t>
      </w:r>
    </w:p>
    <w:p w14:paraId="14150065" w14:textId="1122FE53" w:rsidR="00222799" w:rsidRPr="00FD35ED" w:rsidRDefault="00222799" w:rsidP="00222799">
      <w:r w:rsidRPr="00FD35ED">
        <w:t>Based on nonclinical pharmacology data, skin, and eye (melanocyte) toxicity is considered the most likely on-target, off-tumour toxicity.</w:t>
      </w:r>
    </w:p>
    <w:p w14:paraId="04BCE827" w14:textId="54CC498E" w:rsidR="00222799" w:rsidRPr="00FD35ED" w:rsidRDefault="00222799" w:rsidP="00222799">
      <w:r w:rsidRPr="00FD35ED">
        <w:t xml:space="preserve">Based on the mechanism of action of </w:t>
      </w:r>
      <w:proofErr w:type="spellStart"/>
      <w:r w:rsidRPr="00FD35ED">
        <w:t>tebentafusp</w:t>
      </w:r>
      <w:proofErr w:type="spellEnd"/>
      <w:r w:rsidRPr="00FD35ED">
        <w:t>, it may lower exposures to co</w:t>
      </w:r>
      <w:r w:rsidR="00901F5B" w:rsidRPr="00FD35ED">
        <w:noBreakHyphen/>
      </w:r>
      <w:r w:rsidRPr="00FD35ED">
        <w:t>administered drugs that are CYP substrates due to changes in cytokine levels in clinical scenarios. A transient reduction in lymphocyte counts could also occur, with possible associated risk of infection.</w:t>
      </w:r>
    </w:p>
    <w:p w14:paraId="5E22E241" w14:textId="456526C8" w:rsidR="00222799" w:rsidRPr="00FD35ED" w:rsidRDefault="00222799" w:rsidP="00222799">
      <w:proofErr w:type="spellStart"/>
      <w:r w:rsidRPr="00FD35ED">
        <w:t>Tebentafusp</w:t>
      </w:r>
      <w:proofErr w:type="spellEnd"/>
      <w:r w:rsidRPr="00FD35ED">
        <w:t xml:space="preserve"> did not induce cytokine release or impairment of platelet function at &lt;</w:t>
      </w:r>
      <w:r w:rsidR="006D7C69" w:rsidRPr="00FD35ED">
        <w:t> </w:t>
      </w:r>
      <w:r w:rsidRPr="00FD35ED">
        <w:t>1</w:t>
      </w:r>
      <w:r w:rsidR="006D7C69" w:rsidRPr="00FD35ED">
        <w:t> </w:t>
      </w:r>
      <w:proofErr w:type="spellStart"/>
      <w:r w:rsidRPr="00FD35ED">
        <w:t>nM</w:t>
      </w:r>
      <w:proofErr w:type="spellEnd"/>
      <w:r w:rsidRPr="00FD35ED">
        <w:t xml:space="preserve"> of </w:t>
      </w:r>
      <w:proofErr w:type="spellStart"/>
      <w:r w:rsidRPr="00FD35ED">
        <w:t>tebentafusp</w:t>
      </w:r>
      <w:proofErr w:type="spellEnd"/>
      <w:r w:rsidRPr="00FD35ED">
        <w:t xml:space="preserve"> in whole blood assays; however, some cytokine release was noted in blood from one out of 3 donors at a </w:t>
      </w:r>
      <w:proofErr w:type="spellStart"/>
      <w:r w:rsidRPr="00FD35ED">
        <w:t>tebentafusp</w:t>
      </w:r>
      <w:proofErr w:type="spellEnd"/>
      <w:r w:rsidRPr="00FD35ED">
        <w:t xml:space="preserve"> concentration (250 </w:t>
      </w:r>
      <w:proofErr w:type="spellStart"/>
      <w:r w:rsidRPr="00FD35ED">
        <w:t>pM</w:t>
      </w:r>
      <w:proofErr w:type="spellEnd"/>
      <w:r w:rsidRPr="00FD35ED">
        <w:t xml:space="preserve">) slightly above the expected clinical </w:t>
      </w:r>
      <w:r w:rsidR="00D03155" w:rsidRPr="00FD35ED">
        <w:t>maximum plasma concentration</w:t>
      </w:r>
      <w:r w:rsidRPr="00FD35ED">
        <w:t xml:space="preserve">. Based on the nature of the drug, potential </w:t>
      </w:r>
      <w:r w:rsidR="009861C4" w:rsidRPr="00FD35ED">
        <w:t>anti-drug antibody (</w:t>
      </w:r>
      <w:r w:rsidRPr="00FD35ED">
        <w:t>ADA</w:t>
      </w:r>
      <w:r w:rsidR="009861C4" w:rsidRPr="00FD35ED">
        <w:t>)</w:t>
      </w:r>
      <w:r w:rsidRPr="00FD35ED">
        <w:t xml:space="preserve"> development affecting </w:t>
      </w:r>
      <w:proofErr w:type="spellStart"/>
      <w:r w:rsidRPr="00FD35ED">
        <w:t>tebentafusp</w:t>
      </w:r>
      <w:proofErr w:type="spellEnd"/>
      <w:r w:rsidRPr="00FD35ED">
        <w:t xml:space="preserve"> exposure and cytokine release syndrome (CRS) are expected in clinical scenarios.</w:t>
      </w:r>
    </w:p>
    <w:p w14:paraId="7B4EB964" w14:textId="50E2AFBF" w:rsidR="00222799" w:rsidRPr="00FD35ED" w:rsidRDefault="00222799" w:rsidP="00222799">
      <w:r w:rsidRPr="00FD35ED">
        <w:t xml:space="preserve">Genotoxicity and carcinogenicity studies were not conducted, in line with </w:t>
      </w:r>
      <w:r w:rsidR="009F6A25" w:rsidRPr="00FD35ED">
        <w:t>International Council for Harmonisation (</w:t>
      </w:r>
      <w:r w:rsidRPr="00FD35ED">
        <w:t>ICH</w:t>
      </w:r>
      <w:r w:rsidR="009F6A25" w:rsidRPr="00FD35ED">
        <w:t>);</w:t>
      </w:r>
      <w:r w:rsidR="009F6A25" w:rsidRPr="00FD35ED">
        <w:rPr>
          <w:rStyle w:val="FootnoteReference"/>
        </w:rPr>
        <w:footnoteReference w:id="43"/>
      </w:r>
      <w:r w:rsidRPr="00FD35ED">
        <w:t xml:space="preserve"> </w:t>
      </w:r>
      <w:r w:rsidR="009F6A25" w:rsidRPr="00FD35ED">
        <w:t xml:space="preserve">guideline </w:t>
      </w:r>
      <w:r w:rsidRPr="00FD35ED">
        <w:t>S6 (R1).</w:t>
      </w:r>
      <w:r w:rsidR="009F6A25" w:rsidRPr="00FD35ED">
        <w:rPr>
          <w:rStyle w:val="FootnoteReference"/>
        </w:rPr>
        <w:footnoteReference w:id="44"/>
      </w:r>
    </w:p>
    <w:p w14:paraId="162B331B" w14:textId="532E1E4F" w:rsidR="00222799" w:rsidRPr="00FD35ED" w:rsidRDefault="00222799" w:rsidP="00222799">
      <w:r w:rsidRPr="00FD35ED">
        <w:t xml:space="preserve">In the absence of reproductive toxicity data, the </w:t>
      </w:r>
      <w:r w:rsidR="00DD2C64" w:rsidRPr="00FD35ED">
        <w:t>sponsor</w:t>
      </w:r>
      <w:r w:rsidRPr="00FD35ED">
        <w:t xml:space="preserve"> provided an assessment based on published literature. </w:t>
      </w:r>
      <w:proofErr w:type="spellStart"/>
      <w:r w:rsidRPr="00FD35ED">
        <w:t>Tebentafusp</w:t>
      </w:r>
      <w:proofErr w:type="spellEnd"/>
      <w:r w:rsidRPr="00FD35ED">
        <w:t xml:space="preserve"> may affect embryofetal development based on target biology. The proposed </w:t>
      </w:r>
      <w:r w:rsidR="00DD2C64" w:rsidRPr="00FD35ED">
        <w:t xml:space="preserve">Pregnancy Category </w:t>
      </w:r>
      <w:r w:rsidRPr="00FD35ED">
        <w:t>C</w:t>
      </w:r>
      <w:r w:rsidR="00D03155" w:rsidRPr="00FD35ED">
        <w:t>;</w:t>
      </w:r>
      <w:r w:rsidR="00D03155" w:rsidRPr="00FD35ED">
        <w:rPr>
          <w:rStyle w:val="FootnoteReference"/>
        </w:rPr>
        <w:footnoteReference w:id="45"/>
      </w:r>
      <w:r w:rsidRPr="00FD35ED">
        <w:t xml:space="preserve"> is appropriate.</w:t>
      </w:r>
    </w:p>
    <w:p w14:paraId="12545D5E" w14:textId="77777777" w:rsidR="00222799" w:rsidRPr="00FD35ED" w:rsidRDefault="00222799" w:rsidP="00222799">
      <w:r w:rsidRPr="00FD35ED">
        <w:lastRenderedPageBreak/>
        <w:t xml:space="preserve">One identified impurity was shown to impact </w:t>
      </w:r>
      <w:proofErr w:type="spellStart"/>
      <w:r w:rsidRPr="00FD35ED">
        <w:t>tebentafusp</w:t>
      </w:r>
      <w:proofErr w:type="spellEnd"/>
      <w:r w:rsidRPr="00FD35ED">
        <w:t xml:space="preserve"> activity and specificity at a concentration much higher than clinical concentrations, but with minimal effects at clinically relevant concentrations. The proposed specification limits are therefore adequate.</w:t>
      </w:r>
    </w:p>
    <w:p w14:paraId="351A766E" w14:textId="77777777" w:rsidR="008E7846" w:rsidRPr="00FD35ED" w:rsidRDefault="008E7846" w:rsidP="008E7846">
      <w:pPr>
        <w:pStyle w:val="Heading3"/>
      </w:pPr>
      <w:bookmarkStart w:id="50" w:name="_Toc247691530"/>
      <w:bookmarkStart w:id="51" w:name="_Toc314842513"/>
      <w:bookmarkStart w:id="52" w:name="_Toc119316342"/>
      <w:r w:rsidRPr="00FD35ED">
        <w:t>Clinical</w:t>
      </w:r>
      <w:bookmarkEnd w:id="50"/>
      <w:bookmarkEnd w:id="51"/>
      <w:bookmarkEnd w:id="52"/>
    </w:p>
    <w:p w14:paraId="10765DC4" w14:textId="77777777" w:rsidR="0074163C" w:rsidRPr="00FD35ED" w:rsidRDefault="0074163C" w:rsidP="0074163C">
      <w:pPr>
        <w:pStyle w:val="Heading4"/>
      </w:pPr>
      <w:bookmarkStart w:id="53" w:name="_Toc98931928"/>
      <w:r w:rsidRPr="00FD35ED">
        <w:t>Summary of clinical studies</w:t>
      </w:r>
      <w:bookmarkEnd w:id="53"/>
    </w:p>
    <w:p w14:paraId="27F7DD8E" w14:textId="77777777" w:rsidR="0074163C" w:rsidRPr="00FD35ED" w:rsidRDefault="0074163C" w:rsidP="0074163C">
      <w:r w:rsidRPr="00FD35ED">
        <w:t>The clinical dossier consisted of</w:t>
      </w:r>
      <w:r w:rsidR="00EB36D6" w:rsidRPr="00FD35ED">
        <w:t>:</w:t>
      </w:r>
    </w:p>
    <w:p w14:paraId="16D386F8" w14:textId="637052CE" w:rsidR="00424B61" w:rsidRDefault="00424B61" w:rsidP="00E229D2">
      <w:pPr>
        <w:pStyle w:val="ListBullet"/>
      </w:pPr>
      <w:r>
        <w:t xml:space="preserve">three Phase I/II studies: </w:t>
      </w:r>
      <w:r w:rsidRPr="00FD35ED">
        <w:t>Study IMCgp100‐01</w:t>
      </w:r>
      <w:r>
        <w:t xml:space="preserve">, </w:t>
      </w:r>
      <w:r w:rsidRPr="00FD35ED">
        <w:t>Study IMCgp100‐102</w:t>
      </w:r>
      <w:r>
        <w:t>, Study IMCgp100</w:t>
      </w:r>
      <w:r>
        <w:noBreakHyphen/>
      </w:r>
      <w:r w:rsidRPr="00FD35ED">
        <w:t xml:space="preserve">201 </w:t>
      </w:r>
      <w:r>
        <w:t xml:space="preserve">(abbreviated to Studies 01, 102 and 201 in this </w:t>
      </w:r>
      <w:proofErr w:type="spellStart"/>
      <w:r>
        <w:t>AusPAR</w:t>
      </w:r>
      <w:proofErr w:type="spellEnd"/>
      <w:proofErr w:type="gramStart"/>
      <w:r>
        <w:t>);</w:t>
      </w:r>
      <w:proofErr w:type="gramEnd"/>
    </w:p>
    <w:p w14:paraId="178A14A6" w14:textId="06924264" w:rsidR="00424B61" w:rsidRDefault="00424B61" w:rsidP="00E229D2">
      <w:pPr>
        <w:pStyle w:val="ListBullet"/>
      </w:pPr>
      <w:r>
        <w:t xml:space="preserve">one Phase II study: </w:t>
      </w:r>
      <w:r w:rsidRPr="00FD35ED">
        <w:t>Study IMCgp100‐401 (or Study 401</w:t>
      </w:r>
      <w:proofErr w:type="gramStart"/>
      <w:r w:rsidRPr="00FD35ED">
        <w:t>);</w:t>
      </w:r>
      <w:proofErr w:type="gramEnd"/>
    </w:p>
    <w:p w14:paraId="2914862D" w14:textId="776571A8" w:rsidR="00DD2C64" w:rsidRPr="00FD35ED" w:rsidRDefault="00E229D2" w:rsidP="00E229D2">
      <w:pPr>
        <w:pStyle w:val="ListBullet"/>
      </w:pPr>
      <w:r w:rsidRPr="00FD35ED">
        <w:t xml:space="preserve">one </w:t>
      </w:r>
      <w:r w:rsidR="00DD2C64" w:rsidRPr="00FD35ED">
        <w:t xml:space="preserve">Phase III </w:t>
      </w:r>
      <w:r w:rsidRPr="00FD35ED">
        <w:t>study</w:t>
      </w:r>
      <w:r w:rsidR="00DD2C64" w:rsidRPr="00FD35ED">
        <w:t>: Study IMCgp100-202 (</w:t>
      </w:r>
      <w:r w:rsidRPr="00FD35ED">
        <w:t>or</w:t>
      </w:r>
      <w:r w:rsidR="00DD2C64" w:rsidRPr="00FD35ED">
        <w:t xml:space="preserve"> Study 202).</w:t>
      </w:r>
    </w:p>
    <w:p w14:paraId="7C0D49C8" w14:textId="2B175AFC" w:rsidR="00222799" w:rsidRPr="00FD35ED" w:rsidRDefault="00222799" w:rsidP="00985193">
      <w:pPr>
        <w:pStyle w:val="Heading4"/>
      </w:pPr>
      <w:r w:rsidRPr="00FD35ED">
        <w:t>Pharmacology</w:t>
      </w:r>
    </w:p>
    <w:p w14:paraId="24D4752B" w14:textId="77777777" w:rsidR="00222799" w:rsidRPr="00FD35ED" w:rsidRDefault="00222799" w:rsidP="00985193">
      <w:pPr>
        <w:pStyle w:val="Heading5"/>
      </w:pPr>
      <w:r w:rsidRPr="00FD35ED">
        <w:t>Dosing</w:t>
      </w:r>
    </w:p>
    <w:p w14:paraId="059FC1AD" w14:textId="6853DDB5" w:rsidR="00222799" w:rsidRPr="00FD35ED" w:rsidRDefault="00222799" w:rsidP="00985193">
      <w:r w:rsidRPr="00FD35ED">
        <w:t xml:space="preserve">The proposed dosing regimen follows a priming strategy: 20 </w:t>
      </w:r>
      <w:r w:rsidR="00DD2C64" w:rsidRPr="00FD35ED">
        <w:t>µg</w:t>
      </w:r>
      <w:r w:rsidRPr="00FD35ED">
        <w:t xml:space="preserve"> on Day 1, 30 </w:t>
      </w:r>
      <w:r w:rsidR="00DD2C64" w:rsidRPr="00FD35ED">
        <w:t>µg</w:t>
      </w:r>
      <w:r w:rsidRPr="00FD35ED">
        <w:t xml:space="preserve"> on Day</w:t>
      </w:r>
      <w:r w:rsidR="00DD2C64" w:rsidRPr="00FD35ED">
        <w:t> </w:t>
      </w:r>
      <w:r w:rsidRPr="00FD35ED">
        <w:t>8, 68</w:t>
      </w:r>
      <w:r w:rsidR="00DD2C64" w:rsidRPr="00FD35ED">
        <w:t> µg</w:t>
      </w:r>
      <w:r w:rsidRPr="00FD35ED">
        <w:t xml:space="preserve"> on Day 15, and 68 </w:t>
      </w:r>
      <w:r w:rsidR="00DD2C64" w:rsidRPr="00FD35ED">
        <w:t>µg</w:t>
      </w:r>
      <w:r w:rsidRPr="00FD35ED">
        <w:t xml:space="preserve"> once every week thereafter, via intravenous infusion over 15</w:t>
      </w:r>
      <w:r w:rsidR="00DD2C64" w:rsidRPr="00FD35ED">
        <w:t> to </w:t>
      </w:r>
      <w:r w:rsidRPr="00FD35ED">
        <w:t>20</w:t>
      </w:r>
      <w:r w:rsidR="00DD2C64" w:rsidRPr="00FD35ED">
        <w:t> </w:t>
      </w:r>
      <w:r w:rsidRPr="00FD35ED">
        <w:t>minutes.</w:t>
      </w:r>
    </w:p>
    <w:p w14:paraId="5CD5AF29" w14:textId="3C2EC299" w:rsidR="00222799" w:rsidRPr="00FD35ED" w:rsidRDefault="00222799" w:rsidP="00985193">
      <w:r w:rsidRPr="00FD35ED">
        <w:t>This regimen was used in the pivotal efficacy and safety study, Study 202</w:t>
      </w:r>
      <w:r w:rsidR="00DD2C64" w:rsidRPr="00FD35ED">
        <w:t xml:space="preserve"> (</w:t>
      </w:r>
      <w:r w:rsidRPr="00FD35ED">
        <w:t>see</w:t>
      </w:r>
      <w:r w:rsidR="00DD2C64" w:rsidRPr="00FD35ED">
        <w:t xml:space="preserve"> </w:t>
      </w:r>
      <w:r w:rsidR="00845CC3" w:rsidRPr="00FD35ED">
        <w:t>S</w:t>
      </w:r>
      <w:r w:rsidR="00DD2C64" w:rsidRPr="00FD35ED">
        <w:t>ection</w:t>
      </w:r>
      <w:r w:rsidR="00B2060E">
        <w:t>: </w:t>
      </w:r>
      <w:r w:rsidR="00DB43A5" w:rsidRPr="00362C15">
        <w:rPr>
          <w:i/>
        </w:rPr>
        <w:t>Efficacy</w:t>
      </w:r>
      <w:r w:rsidRPr="00FD35ED">
        <w:t xml:space="preserve">), and is supported by the following data from earlier </w:t>
      </w:r>
      <w:r w:rsidR="00B2060E">
        <w:t>P</w:t>
      </w:r>
      <w:r w:rsidRPr="00FD35ED">
        <w:t>hase</w:t>
      </w:r>
      <w:r w:rsidR="00B2060E">
        <w:t xml:space="preserve"> I/II</w:t>
      </w:r>
      <w:r w:rsidRPr="00FD35ED">
        <w:t xml:space="preserve"> studies:</w:t>
      </w:r>
    </w:p>
    <w:p w14:paraId="0CADA345" w14:textId="390058C4" w:rsidR="00222799" w:rsidRPr="00FD35ED" w:rsidRDefault="00B2060E" w:rsidP="00985193">
      <w:pPr>
        <w:pStyle w:val="ListBullet"/>
      </w:pPr>
      <w:r w:rsidRPr="00FD35ED">
        <w:t>Study IMCgp100‐01</w:t>
      </w:r>
      <w:r>
        <w:t xml:space="preserve"> (</w:t>
      </w:r>
      <w:r w:rsidR="00222799" w:rsidRPr="00FD35ED">
        <w:t>Study 01</w:t>
      </w:r>
      <w:r>
        <w:t>)</w:t>
      </w:r>
      <w:r w:rsidR="00222799" w:rsidRPr="00FD35ED">
        <w:t>:</w:t>
      </w:r>
    </w:p>
    <w:p w14:paraId="7C5D4CB4" w14:textId="413B657B" w:rsidR="00222799" w:rsidRPr="00FD35ED" w:rsidRDefault="00222799" w:rsidP="00985193">
      <w:pPr>
        <w:pStyle w:val="ListBullet2"/>
      </w:pPr>
      <w:r w:rsidRPr="00FD35ED">
        <w:t>Weight</w:t>
      </w:r>
      <w:r w:rsidR="00DD2C64" w:rsidRPr="00FD35ED">
        <w:t xml:space="preserve"> </w:t>
      </w:r>
      <w:r w:rsidRPr="00FD35ED">
        <w:t>based dosing was associated with more adverse events</w:t>
      </w:r>
      <w:r w:rsidR="009710DB" w:rsidRPr="00FD35ED">
        <w:t xml:space="preserve"> (AEs)</w:t>
      </w:r>
      <w:r w:rsidRPr="00FD35ED">
        <w:t xml:space="preserve"> in patients with higher body weight.</w:t>
      </w:r>
    </w:p>
    <w:p w14:paraId="22548FE7" w14:textId="77777777" w:rsidR="00222799" w:rsidRPr="00FD35ED" w:rsidRDefault="00222799" w:rsidP="00985193">
      <w:pPr>
        <w:pStyle w:val="ListBullet2"/>
      </w:pPr>
      <w:r w:rsidRPr="00FD35ED">
        <w:t>Weekly dosing was not associated with clinically meaningful differences in safety or efficacy compared to daily dosing.</w:t>
      </w:r>
    </w:p>
    <w:p w14:paraId="212143CC" w14:textId="75676B65" w:rsidR="00222799" w:rsidRPr="00FD35ED" w:rsidRDefault="00B2060E" w:rsidP="00985193">
      <w:pPr>
        <w:pStyle w:val="ListBullet"/>
      </w:pPr>
      <w:r w:rsidRPr="00FD35ED">
        <w:t>Study IMCgp100‐102</w:t>
      </w:r>
      <w:r>
        <w:t xml:space="preserve"> (Study 102)</w:t>
      </w:r>
      <w:r w:rsidR="00222799" w:rsidRPr="00FD35ED">
        <w:t>:</w:t>
      </w:r>
    </w:p>
    <w:p w14:paraId="1432A967" w14:textId="171CF9CE" w:rsidR="00222799" w:rsidRPr="00FD35ED" w:rsidRDefault="00222799" w:rsidP="00985193">
      <w:pPr>
        <w:pStyle w:val="ListBullet2"/>
      </w:pPr>
      <w:r w:rsidRPr="00FD35ED">
        <w:t xml:space="preserve">A higher 73 </w:t>
      </w:r>
      <w:r w:rsidR="00DD2C64" w:rsidRPr="00FD35ED">
        <w:t>µg</w:t>
      </w:r>
      <w:r w:rsidRPr="00FD35ED">
        <w:t xml:space="preserve"> dose was associated with elevations in hepatic transaminases and concurrent low</w:t>
      </w:r>
      <w:r w:rsidR="00DD2C64" w:rsidRPr="00FD35ED">
        <w:t xml:space="preserve"> </w:t>
      </w:r>
      <w:r w:rsidRPr="00FD35ED">
        <w:t>grade increases in bilirubin. No dose limiting toxicities nor significant liver enzyme elevations were observed at the maintenance dose of 68</w:t>
      </w:r>
      <w:r w:rsidR="00DD2C64" w:rsidRPr="00FD35ED">
        <w:t> µg</w:t>
      </w:r>
      <w:r w:rsidRPr="00FD35ED">
        <w:t>.</w:t>
      </w:r>
    </w:p>
    <w:p w14:paraId="7699820C" w14:textId="660B817D" w:rsidR="00222799" w:rsidRPr="00FD35ED" w:rsidRDefault="00DD2C64" w:rsidP="00985193">
      <w:pPr>
        <w:pStyle w:val="ListBullet2"/>
      </w:pPr>
      <w:r w:rsidRPr="00FD35ED">
        <w:t>Cytokine release syndrome (</w:t>
      </w:r>
      <w:r w:rsidR="00222799" w:rsidRPr="00FD35ED">
        <w:t>CRS</w:t>
      </w:r>
      <w:r w:rsidRPr="00FD35ED">
        <w:t>)</w:t>
      </w:r>
      <w:r w:rsidR="00222799" w:rsidRPr="00FD35ED">
        <w:t xml:space="preserve"> occurred in 89% of patients and led to permanent treatment discontinuation in 1.2%. The priming dosing strategy used in the pivotal study was adopted to mitigate CRS.</w:t>
      </w:r>
    </w:p>
    <w:p w14:paraId="7A1EF7F3" w14:textId="77777777" w:rsidR="00222799" w:rsidRPr="00FD35ED" w:rsidRDefault="00222799" w:rsidP="00985193">
      <w:pPr>
        <w:pStyle w:val="Heading5"/>
      </w:pPr>
      <w:bookmarkStart w:id="54" w:name="_Ref95742083"/>
      <w:r w:rsidRPr="00FD35ED">
        <w:t>Pharmacokinetics</w:t>
      </w:r>
    </w:p>
    <w:p w14:paraId="111B0D35" w14:textId="1B8FED24" w:rsidR="00222799" w:rsidRPr="00FD35ED" w:rsidRDefault="00222799" w:rsidP="00985193">
      <w:r w:rsidRPr="00FD35ED">
        <w:t>Non</w:t>
      </w:r>
      <w:r w:rsidR="00845CC3" w:rsidRPr="00FD35ED">
        <w:t>-</w:t>
      </w:r>
      <w:r w:rsidRPr="00FD35ED">
        <w:t xml:space="preserve">compartmental population </w:t>
      </w:r>
      <w:r w:rsidR="009861C4" w:rsidRPr="00FD35ED">
        <w:t>pharmacokinetic (</w:t>
      </w:r>
      <w:r w:rsidRPr="00FD35ED">
        <w:t>PK</w:t>
      </w:r>
      <w:r w:rsidR="009861C4" w:rsidRPr="00FD35ED">
        <w:t>)</w:t>
      </w:r>
      <w:r w:rsidRPr="00FD35ED">
        <w:t xml:space="preserve"> analysis of </w:t>
      </w:r>
      <w:proofErr w:type="spellStart"/>
      <w:r w:rsidRPr="00FD35ED">
        <w:t>tebentafusp</w:t>
      </w:r>
      <w:proofErr w:type="spellEnd"/>
      <w:r w:rsidRPr="00FD35ED">
        <w:t xml:space="preserve"> from Study</w:t>
      </w:r>
      <w:r w:rsidR="00B2060E">
        <w:t> </w:t>
      </w:r>
      <w:r w:rsidRPr="00FD35ED">
        <w:t xml:space="preserve">202 in </w:t>
      </w:r>
      <w:r w:rsidR="001212BF" w:rsidRPr="00FD35ED">
        <w:t>metastatic uveal melanoma</w:t>
      </w:r>
      <w:r w:rsidRPr="00FD35ED">
        <w:t xml:space="preserve"> patients indicated dose</w:t>
      </w:r>
      <w:r w:rsidR="00845CC3" w:rsidRPr="00FD35ED">
        <w:t xml:space="preserve"> </w:t>
      </w:r>
      <w:r w:rsidRPr="00FD35ED">
        <w:t>proportional PK with a terminal half-life of 6.8 to 7.5</w:t>
      </w:r>
      <w:r w:rsidR="00845CC3" w:rsidRPr="00FD35ED">
        <w:t> </w:t>
      </w:r>
      <w:r w:rsidRPr="00FD35ED">
        <w:t xml:space="preserve">hours. The estimated systemic clearance and central volume of distribution of </w:t>
      </w:r>
      <w:proofErr w:type="spellStart"/>
      <w:r w:rsidRPr="00FD35ED">
        <w:t>tebentafusp</w:t>
      </w:r>
      <w:proofErr w:type="spellEnd"/>
      <w:r w:rsidRPr="00FD35ED">
        <w:t xml:space="preserve"> in melanoma patients were 4.33 L/d and 5.25 L, respectively.</w:t>
      </w:r>
    </w:p>
    <w:p w14:paraId="55D65B55" w14:textId="45F9E939" w:rsidR="00222799" w:rsidRPr="00FD35ED" w:rsidRDefault="00222799" w:rsidP="00985193">
      <w:r w:rsidRPr="00FD35ED">
        <w:lastRenderedPageBreak/>
        <w:t>High-</w:t>
      </w:r>
      <w:r w:rsidR="006D7C69" w:rsidRPr="00FD35ED">
        <w:t>titre</w:t>
      </w:r>
      <w:r w:rsidRPr="00FD35ED">
        <w:t xml:space="preserve"> anti</w:t>
      </w:r>
      <w:r w:rsidR="009861C4" w:rsidRPr="00FD35ED">
        <w:t>-</w:t>
      </w:r>
      <w:r w:rsidRPr="00FD35ED">
        <w:t>drug antibodies (ADA) and renal function (</w:t>
      </w:r>
      <w:r w:rsidR="009861C4" w:rsidRPr="00FD35ED">
        <w:t>estimated glomerular filtration rate</w:t>
      </w:r>
      <w:r w:rsidRPr="00FD35ED">
        <w:t xml:space="preserve">) were identified as significant covariates impacting </w:t>
      </w:r>
      <w:r w:rsidR="00845CC3" w:rsidRPr="00FD35ED">
        <w:t>clearance</w:t>
      </w:r>
      <w:r w:rsidRPr="00FD35ED">
        <w:t>. Age, sex, weight, and race had no impact on PK.</w:t>
      </w:r>
    </w:p>
    <w:p w14:paraId="1B7AA4BF" w14:textId="0BB6425E" w:rsidR="00222799" w:rsidRPr="00FD35ED" w:rsidRDefault="00222799" w:rsidP="00985193">
      <w:r w:rsidRPr="00FD35ED">
        <w:t>Exploratory exposure</w:t>
      </w:r>
      <w:r w:rsidR="00845CC3" w:rsidRPr="00FD35ED">
        <w:t xml:space="preserve"> </w:t>
      </w:r>
      <w:r w:rsidRPr="00FD35ED">
        <w:t xml:space="preserve">response analysis did not find clinically significant trends between </w:t>
      </w:r>
      <w:proofErr w:type="spellStart"/>
      <w:r w:rsidRPr="00FD35ED">
        <w:t>tebentafusp</w:t>
      </w:r>
      <w:proofErr w:type="spellEnd"/>
      <w:r w:rsidRPr="00FD35ED">
        <w:t xml:space="preserve"> exposure and key safety or efficacy endpoints over the dose range investigated (</w:t>
      </w:r>
      <w:r w:rsidR="00845CC3" w:rsidRPr="00FD35ED">
        <w:t>once weekly by intravenous</w:t>
      </w:r>
      <w:r w:rsidRPr="00FD35ED">
        <w:t xml:space="preserve"> infusion of 5 ng/kg to 68 </w:t>
      </w:r>
      <w:proofErr w:type="spellStart"/>
      <w:r w:rsidRPr="00FD35ED">
        <w:t>μg</w:t>
      </w:r>
      <w:proofErr w:type="spellEnd"/>
      <w:r w:rsidRPr="00FD35ED">
        <w:t xml:space="preserve"> of </w:t>
      </w:r>
      <w:proofErr w:type="spellStart"/>
      <w:r w:rsidRPr="00FD35ED">
        <w:t>tebentafusp</w:t>
      </w:r>
      <w:proofErr w:type="spellEnd"/>
      <w:r w:rsidRPr="00FD35ED">
        <w:t>).</w:t>
      </w:r>
    </w:p>
    <w:p w14:paraId="4B0EF732" w14:textId="77777777" w:rsidR="00222799" w:rsidRPr="00FD35ED" w:rsidRDefault="00222799" w:rsidP="00985193">
      <w:pPr>
        <w:pStyle w:val="Heading6"/>
      </w:pPr>
      <w:r w:rsidRPr="00FD35ED">
        <w:t>Renal function</w:t>
      </w:r>
    </w:p>
    <w:p w14:paraId="182E21C4" w14:textId="3A3E85F4" w:rsidR="00222799" w:rsidRPr="00FD35ED" w:rsidRDefault="00222799" w:rsidP="00985193">
      <w:r w:rsidRPr="00FD35ED">
        <w:t xml:space="preserve">Although </w:t>
      </w:r>
      <w:proofErr w:type="spellStart"/>
      <w:r w:rsidRPr="00FD35ED">
        <w:t>tebentafusp</w:t>
      </w:r>
      <w:proofErr w:type="spellEnd"/>
      <w:r w:rsidRPr="00FD35ED">
        <w:t xml:space="preserve"> </w:t>
      </w:r>
      <w:r w:rsidR="00845CC3" w:rsidRPr="00FD35ED">
        <w:t>clearance</w:t>
      </w:r>
      <w:r w:rsidRPr="00FD35ED">
        <w:t xml:space="preserve"> decreased slightly with decreasing renal function, it remained essentially within the range observed in patients with normal renal function, and no impact on safety or efficacy parameters was identified. Therefore, no dose adjustment is recommended in mild to moderate renal impairment. There are no data to support recommendations for patients with severe renal impairment to end</w:t>
      </w:r>
      <w:r w:rsidR="00845CC3" w:rsidRPr="00FD35ED">
        <w:t xml:space="preserve"> </w:t>
      </w:r>
      <w:r w:rsidRPr="00FD35ED">
        <w:t>stage renal disease (</w:t>
      </w:r>
      <w:r w:rsidR="009861C4" w:rsidRPr="00FD35ED">
        <w:t xml:space="preserve">creatinine clearance </w:t>
      </w:r>
      <w:r w:rsidRPr="00FD35ED">
        <w:t>&lt; 30 mL/min), or moderate to severe hepatic impairment (total bilirubin &gt;</w:t>
      </w:r>
      <w:r w:rsidR="00845CC3" w:rsidRPr="00FD35ED">
        <w:t> </w:t>
      </w:r>
      <w:r w:rsidRPr="00FD35ED">
        <w:t>3</w:t>
      </w:r>
      <w:r w:rsidR="00845CC3" w:rsidRPr="00FD35ED">
        <w:t> </w:t>
      </w:r>
      <w:r w:rsidRPr="00FD35ED">
        <w:t>to 10</w:t>
      </w:r>
      <w:r w:rsidR="00845CC3" w:rsidRPr="00FD35ED">
        <w:t xml:space="preserve"> </w:t>
      </w:r>
      <w:r w:rsidRPr="00FD35ED">
        <w:t xml:space="preserve">x </w:t>
      </w:r>
      <w:r w:rsidR="009861C4" w:rsidRPr="00FD35ED">
        <w:t>upper limit of normal (</w:t>
      </w:r>
      <w:r w:rsidRPr="00FD35ED">
        <w:t>ULN</w:t>
      </w:r>
      <w:r w:rsidR="009861C4" w:rsidRPr="00FD35ED">
        <w:t>)</w:t>
      </w:r>
      <w:r w:rsidRPr="00FD35ED">
        <w:t xml:space="preserve">, any </w:t>
      </w:r>
      <w:r w:rsidR="009861C4" w:rsidRPr="00FD35ED">
        <w:t xml:space="preserve">aspartate </w:t>
      </w:r>
      <w:r w:rsidR="00B2060E">
        <w:t>amino</w:t>
      </w:r>
      <w:r w:rsidR="009861C4" w:rsidRPr="00FD35ED">
        <w:t>transaminase (</w:t>
      </w:r>
      <w:r w:rsidRPr="00FD35ED">
        <w:t>AST</w:t>
      </w:r>
      <w:r w:rsidR="009861C4" w:rsidRPr="00FD35ED">
        <w:t>)</w:t>
      </w:r>
      <w:r w:rsidRPr="00FD35ED">
        <w:t>).</w:t>
      </w:r>
    </w:p>
    <w:p w14:paraId="3CD2258F" w14:textId="633ED696" w:rsidR="00222799" w:rsidRPr="00FD35ED" w:rsidRDefault="00845CC3" w:rsidP="00985193">
      <w:pPr>
        <w:pStyle w:val="Heading6"/>
      </w:pPr>
      <w:r w:rsidRPr="00FD35ED">
        <w:t xml:space="preserve">Pharmacokinetic </w:t>
      </w:r>
      <w:r w:rsidR="00222799" w:rsidRPr="00FD35ED">
        <w:t>impact of anti</w:t>
      </w:r>
      <w:r w:rsidR="009861C4" w:rsidRPr="00FD35ED">
        <w:t>-</w:t>
      </w:r>
      <w:r w:rsidR="00222799" w:rsidRPr="00FD35ED">
        <w:t>drug antibodies</w:t>
      </w:r>
    </w:p>
    <w:p w14:paraId="0D791A91" w14:textId="4BA10CFF" w:rsidR="00222799" w:rsidRPr="00FD35ED" w:rsidRDefault="00222799" w:rsidP="00985193">
      <w:r w:rsidRPr="00FD35ED">
        <w:t xml:space="preserve">Treatment‐emergent ADA against </w:t>
      </w:r>
      <w:proofErr w:type="spellStart"/>
      <w:r w:rsidRPr="00FD35ED">
        <w:t>tebentafusp</w:t>
      </w:r>
      <w:proofErr w:type="spellEnd"/>
      <w:r w:rsidRPr="00FD35ED">
        <w:t xml:space="preserve"> were detected in around 33% and 29% of </w:t>
      </w:r>
      <w:proofErr w:type="spellStart"/>
      <w:r w:rsidRPr="00FD35ED">
        <w:t>tebentafusp</w:t>
      </w:r>
      <w:proofErr w:type="spellEnd"/>
      <w:r w:rsidR="00845CC3" w:rsidRPr="00FD35ED">
        <w:t xml:space="preserve"> </w:t>
      </w:r>
      <w:r w:rsidRPr="00FD35ED">
        <w:t>treated patients in Study 102 and Study 202, respectively, with a median onset time of 6</w:t>
      </w:r>
      <w:r w:rsidR="00845CC3" w:rsidRPr="00FD35ED">
        <w:t xml:space="preserve"> to </w:t>
      </w:r>
      <w:r w:rsidRPr="00FD35ED">
        <w:t xml:space="preserve">9 weeks. High </w:t>
      </w:r>
      <w:r w:rsidR="006D7C69" w:rsidRPr="00FD35ED">
        <w:t>titre</w:t>
      </w:r>
      <w:r w:rsidRPr="00FD35ED">
        <w:t xml:space="preserve"> ADA positivity (above the median </w:t>
      </w:r>
      <w:r w:rsidR="00B2060E">
        <w:t xml:space="preserve">titre </w:t>
      </w:r>
      <w:r w:rsidRPr="00FD35ED">
        <w:t xml:space="preserve">of 8192) was associated with a 33-fold increase in clearance and commensurate decreased </w:t>
      </w:r>
      <w:proofErr w:type="spellStart"/>
      <w:r w:rsidRPr="00FD35ED">
        <w:t>tebentafusp</w:t>
      </w:r>
      <w:proofErr w:type="spellEnd"/>
      <w:r w:rsidRPr="00FD35ED">
        <w:t xml:space="preserve"> plasma concentrations.</w:t>
      </w:r>
      <w:bookmarkStart w:id="55" w:name="_Hlk96081328"/>
      <w:r w:rsidR="00845CC3" w:rsidRPr="00FD35ED">
        <w:t xml:space="preserve"> (</w:t>
      </w:r>
      <w:r w:rsidRPr="00FD35ED">
        <w:t>See</w:t>
      </w:r>
      <w:r w:rsidR="00845CC3" w:rsidRPr="00FD35ED">
        <w:t xml:space="preserve"> Section</w:t>
      </w:r>
      <w:r w:rsidR="00B2060E">
        <w:t>:</w:t>
      </w:r>
      <w:r w:rsidR="00845CC3" w:rsidRPr="00FD35ED">
        <w:t xml:space="preserve"> </w:t>
      </w:r>
      <w:r w:rsidRPr="009E35BB">
        <w:rPr>
          <w:i/>
        </w:rPr>
        <w:fldChar w:fldCharType="begin"/>
      </w:r>
      <w:r w:rsidRPr="009E35BB">
        <w:rPr>
          <w:i/>
        </w:rPr>
        <w:instrText xml:space="preserve"> REF _Ref96523479 \h </w:instrText>
      </w:r>
      <w:r w:rsidR="00985193" w:rsidRPr="009E35BB">
        <w:rPr>
          <w:i/>
        </w:rPr>
        <w:instrText xml:space="preserve"> \* MERGEFORMAT </w:instrText>
      </w:r>
      <w:r w:rsidRPr="009E35BB">
        <w:rPr>
          <w:i/>
        </w:rPr>
      </w:r>
      <w:r w:rsidRPr="009E35BB">
        <w:rPr>
          <w:i/>
        </w:rPr>
        <w:fldChar w:fldCharType="separate"/>
      </w:r>
      <w:r w:rsidR="00301C3E" w:rsidRPr="00301C3E">
        <w:rPr>
          <w:i/>
        </w:rPr>
        <w:t>Immunogenicity</w:t>
      </w:r>
      <w:r w:rsidRPr="009E35BB">
        <w:rPr>
          <w:i/>
        </w:rPr>
        <w:fldChar w:fldCharType="end"/>
      </w:r>
      <w:r w:rsidR="00845CC3" w:rsidRPr="00FD35ED">
        <w:t>)</w:t>
      </w:r>
    </w:p>
    <w:p w14:paraId="79FCF534" w14:textId="2CC1245D" w:rsidR="00222799" w:rsidRPr="00FD35ED" w:rsidRDefault="00222799" w:rsidP="00985193">
      <w:pPr>
        <w:pStyle w:val="Heading6"/>
      </w:pPr>
      <w:bookmarkStart w:id="56" w:name="_Ref96605548"/>
      <w:bookmarkEnd w:id="55"/>
      <w:r w:rsidRPr="00FD35ED">
        <w:t xml:space="preserve">Cytokine release and interactions with </w:t>
      </w:r>
      <w:r w:rsidR="00845CC3" w:rsidRPr="00FD35ED">
        <w:t>cytochrome P450 metabolised</w:t>
      </w:r>
      <w:r w:rsidRPr="00FD35ED">
        <w:t xml:space="preserve"> drugs</w:t>
      </w:r>
      <w:bookmarkEnd w:id="56"/>
    </w:p>
    <w:p w14:paraId="7857C57F" w14:textId="15086FF9" w:rsidR="00222799" w:rsidRPr="00FD35ED" w:rsidRDefault="00222799" w:rsidP="00985193">
      <w:r w:rsidRPr="00FD35ED">
        <w:t xml:space="preserve">As </w:t>
      </w:r>
      <w:proofErr w:type="spellStart"/>
      <w:r w:rsidRPr="00FD35ED">
        <w:t>tebentafusp</w:t>
      </w:r>
      <w:proofErr w:type="spellEnd"/>
      <w:r w:rsidRPr="00FD35ED">
        <w:t xml:space="preserve"> can cause a transient release of cytokines after dosing, it was considered whether this could suppress CYP enzyme function and lead to drug-drug interactions.</w:t>
      </w:r>
    </w:p>
    <w:p w14:paraId="5A4091D8" w14:textId="07F17435" w:rsidR="00222799" w:rsidRPr="00FD35ED" w:rsidRDefault="00222799" w:rsidP="00985193">
      <w:r w:rsidRPr="00FD35ED">
        <w:t xml:space="preserve">Based on the totality of data, the risk </w:t>
      </w:r>
      <w:proofErr w:type="gramStart"/>
      <w:r w:rsidRPr="00FD35ED">
        <w:t>is considered to be</w:t>
      </w:r>
      <w:proofErr w:type="gramEnd"/>
      <w:r w:rsidRPr="00FD35ED">
        <w:t xml:space="preserve"> low:</w:t>
      </w:r>
    </w:p>
    <w:p w14:paraId="7A27FD48" w14:textId="63F01247" w:rsidR="00222799" w:rsidRPr="00FD35ED" w:rsidRDefault="00222799" w:rsidP="00985193">
      <w:pPr>
        <w:pStyle w:val="ListBullet"/>
      </w:pPr>
      <w:proofErr w:type="spellStart"/>
      <w:r w:rsidRPr="00FD35ED">
        <w:t>Tebentafusp</w:t>
      </w:r>
      <w:proofErr w:type="spellEnd"/>
      <w:r w:rsidRPr="00FD35ED">
        <w:t xml:space="preserve"> has a short half‐life (6</w:t>
      </w:r>
      <w:r w:rsidR="00845CC3" w:rsidRPr="00FD35ED">
        <w:t xml:space="preserve"> to </w:t>
      </w:r>
      <w:r w:rsidRPr="00FD35ED">
        <w:t>8 hours).</w:t>
      </w:r>
    </w:p>
    <w:p w14:paraId="6B2CAFFC" w14:textId="77777777" w:rsidR="00222799" w:rsidRPr="00FD35ED" w:rsidRDefault="00222799" w:rsidP="00985193">
      <w:pPr>
        <w:pStyle w:val="ListBullet"/>
      </w:pPr>
      <w:r w:rsidRPr="00FD35ED">
        <w:t xml:space="preserve">Elevations of pro‐inflammatory cytokines are transient following </w:t>
      </w:r>
      <w:proofErr w:type="spellStart"/>
      <w:r w:rsidRPr="00FD35ED">
        <w:t>tebentafusp</w:t>
      </w:r>
      <w:proofErr w:type="spellEnd"/>
      <w:r w:rsidRPr="00FD35ED">
        <w:t xml:space="preserve"> infusion.</w:t>
      </w:r>
    </w:p>
    <w:p w14:paraId="2C684811" w14:textId="0EE4CC57" w:rsidR="00222799" w:rsidRPr="00FD35ED" w:rsidRDefault="00222799" w:rsidP="00985193">
      <w:pPr>
        <w:pStyle w:val="ListBullet"/>
      </w:pPr>
      <w:r w:rsidRPr="00FD35ED">
        <w:t>Elevations of pro‐inflammatory cytokines are observed to attenuate with repeat dosing, such that the highest drug‐drug interaction risk is following the first three doses.</w:t>
      </w:r>
    </w:p>
    <w:p w14:paraId="37A16ED8" w14:textId="1AEC904C" w:rsidR="00222799" w:rsidRPr="00FD35ED" w:rsidRDefault="00222799" w:rsidP="00985193">
      <w:pPr>
        <w:pStyle w:val="ListBullet"/>
      </w:pPr>
      <w:r w:rsidRPr="00FD35ED">
        <w:t xml:space="preserve">The dosing instructions recommend observation of patients for at least 16 hours after dosing, so that if drug interaction-related </w:t>
      </w:r>
      <w:r w:rsidR="009710DB" w:rsidRPr="00FD35ED">
        <w:t>AE</w:t>
      </w:r>
      <w:r w:rsidRPr="00FD35ED">
        <w:t>s occurred, they would be likely to receive prompt recognition and management.</w:t>
      </w:r>
    </w:p>
    <w:p w14:paraId="472636ED" w14:textId="34093C95" w:rsidR="00222799" w:rsidRPr="00FD35ED" w:rsidRDefault="00222799" w:rsidP="00985193">
      <w:r w:rsidRPr="00FD35ED">
        <w:t xml:space="preserve">The observed clinical data support an assessment of low risk. In Study 202, </w:t>
      </w:r>
      <w:r w:rsidR="00845CC3" w:rsidRPr="00FD35ED">
        <w:t>20</w:t>
      </w:r>
      <w:r w:rsidRPr="00FD35ED">
        <w:t xml:space="preserve"> (5.1%) of the </w:t>
      </w:r>
      <w:proofErr w:type="spellStart"/>
      <w:r w:rsidRPr="00FD35ED">
        <w:t>tebentafusp</w:t>
      </w:r>
      <w:proofErr w:type="spellEnd"/>
      <w:r w:rsidR="00845CC3" w:rsidRPr="00FD35ED">
        <w:t xml:space="preserve"> </w:t>
      </w:r>
      <w:r w:rsidRPr="00FD35ED">
        <w:t xml:space="preserve">treated patients with metastatic uveal melanoma had concomitant medications with a narrow therapeutic index within a 2‐week period of a CRS episode. The rate of Grade 3 and 4 treatment-emergent adverse events (TEAEs) in that population was comparable to the overall </w:t>
      </w:r>
      <w:proofErr w:type="spellStart"/>
      <w:r w:rsidRPr="00FD35ED">
        <w:t>tebentafusp</w:t>
      </w:r>
      <w:proofErr w:type="spellEnd"/>
      <w:r w:rsidRPr="00FD35ED">
        <w:t xml:space="preserve"> population and none of these patients had </w:t>
      </w:r>
      <w:proofErr w:type="spellStart"/>
      <w:r w:rsidRPr="00FD35ED">
        <w:t>QTcF</w:t>
      </w:r>
      <w:proofErr w:type="spellEnd"/>
      <w:r w:rsidR="009861C4" w:rsidRPr="00FD35ED">
        <w:t xml:space="preserve"> (QT interval corrected for heart rate according to Fridericia’s formula)</w:t>
      </w:r>
      <w:bookmarkStart w:id="57" w:name="_Ref113376119"/>
      <w:r w:rsidR="009861C4" w:rsidRPr="00FD35ED">
        <w:rPr>
          <w:rStyle w:val="FootnoteReference"/>
        </w:rPr>
        <w:footnoteReference w:id="46"/>
      </w:r>
      <w:bookmarkEnd w:id="57"/>
      <w:r w:rsidRPr="00FD35ED">
        <w:t xml:space="preserve"> prolongation &gt;</w:t>
      </w:r>
      <w:r w:rsidR="009861C4" w:rsidRPr="00FD35ED">
        <w:t> </w:t>
      </w:r>
      <w:r w:rsidRPr="00FD35ED">
        <w:t>500</w:t>
      </w:r>
      <w:r w:rsidR="00845CC3" w:rsidRPr="00FD35ED">
        <w:t> </w:t>
      </w:r>
      <w:proofErr w:type="spellStart"/>
      <w:r w:rsidRPr="00FD35ED">
        <w:t>ms</w:t>
      </w:r>
      <w:proofErr w:type="spellEnd"/>
      <w:r w:rsidRPr="00FD35ED">
        <w:t xml:space="preserve"> during the susceptible period.</w:t>
      </w:r>
    </w:p>
    <w:p w14:paraId="2015EF80" w14:textId="77777777" w:rsidR="00222799" w:rsidRPr="00FD35ED" w:rsidRDefault="00222799" w:rsidP="00985193">
      <w:r w:rsidRPr="00FD35ED">
        <w:lastRenderedPageBreak/>
        <w:t xml:space="preserve">Given the technical challenges of conducting a dedicated drug‐drug interaction study to coincide with the peak of cytokine release and expected variance in degree of cytokine increase for individual patients, a formal drug‐drug interaction study to assess the drug interaction potential due to cytokine release after </w:t>
      </w:r>
      <w:proofErr w:type="spellStart"/>
      <w:r w:rsidRPr="00FD35ED">
        <w:t>tebentafusp</w:t>
      </w:r>
      <w:proofErr w:type="spellEnd"/>
      <w:r w:rsidRPr="00FD35ED">
        <w:t xml:space="preserve"> treatment is not considered feasible.</w:t>
      </w:r>
    </w:p>
    <w:p w14:paraId="0491CD55" w14:textId="77777777" w:rsidR="00222799" w:rsidRPr="00FD35ED" w:rsidRDefault="00222799" w:rsidP="00985193">
      <w:pPr>
        <w:pStyle w:val="Heading4"/>
      </w:pPr>
      <w:bookmarkStart w:id="58" w:name="_Ref95810732"/>
      <w:r w:rsidRPr="00FD35ED">
        <w:t>Efficacy</w:t>
      </w:r>
      <w:bookmarkEnd w:id="54"/>
      <w:bookmarkEnd w:id="58"/>
    </w:p>
    <w:p w14:paraId="687EE276" w14:textId="783138D6" w:rsidR="00222799" w:rsidRPr="00FD35ED" w:rsidRDefault="00B2060E" w:rsidP="00985193">
      <w:pPr>
        <w:pStyle w:val="Heading5"/>
      </w:pPr>
      <w:r>
        <w:t>Study IMCgp100</w:t>
      </w:r>
      <w:r>
        <w:noBreakHyphen/>
        <w:t>201 (</w:t>
      </w:r>
      <w:r w:rsidR="00222799" w:rsidRPr="00FD35ED">
        <w:t>Study 202</w:t>
      </w:r>
      <w:r>
        <w:t xml:space="preserve">, </w:t>
      </w:r>
      <w:r w:rsidR="00845CC3" w:rsidRPr="00FD35ED">
        <w:t>pivotal study)</w:t>
      </w:r>
    </w:p>
    <w:p w14:paraId="66C2A5A0" w14:textId="0496E249" w:rsidR="00222799" w:rsidRPr="00FD35ED" w:rsidRDefault="00222799" w:rsidP="00985193">
      <w:r w:rsidRPr="00FD35ED">
        <w:t xml:space="preserve">The pivotal data supporting efficacy come from the </w:t>
      </w:r>
      <w:r w:rsidR="00F97E3A" w:rsidRPr="00FD35ED">
        <w:t>Phase</w:t>
      </w:r>
      <w:r w:rsidRPr="00FD35ED">
        <w:t xml:space="preserve"> </w:t>
      </w:r>
      <w:r w:rsidR="00F97E3A" w:rsidRPr="00FD35ED">
        <w:t>III</w:t>
      </w:r>
      <w:r w:rsidRPr="00FD35ED">
        <w:t xml:space="preserve"> </w:t>
      </w:r>
      <w:r w:rsidR="00F97E3A" w:rsidRPr="00FD35ED">
        <w:t xml:space="preserve">Study </w:t>
      </w:r>
      <w:r w:rsidRPr="00FD35ED">
        <w:t>202. The design of Study</w:t>
      </w:r>
      <w:r w:rsidR="00845CC3" w:rsidRPr="00FD35ED">
        <w:t> </w:t>
      </w:r>
      <w:r w:rsidRPr="00FD35ED">
        <w:t>202 has been described in a peer-reviewed publication,</w:t>
      </w:r>
      <w:r w:rsidR="00DE5364" w:rsidRPr="00FD35ED">
        <w:rPr>
          <w:vertAlign w:val="superscript"/>
        </w:rPr>
        <w:fldChar w:fldCharType="begin"/>
      </w:r>
      <w:r w:rsidR="00DE5364" w:rsidRPr="00FD35ED">
        <w:rPr>
          <w:vertAlign w:val="superscript"/>
        </w:rPr>
        <w:instrText xml:space="preserve"> NOTEREF _Ref113274815 \h  \* MERGEFORMAT </w:instrText>
      </w:r>
      <w:r w:rsidR="00DE5364" w:rsidRPr="00FD35ED">
        <w:rPr>
          <w:vertAlign w:val="superscript"/>
        </w:rPr>
      </w:r>
      <w:r w:rsidR="00DE5364" w:rsidRPr="00FD35ED">
        <w:rPr>
          <w:vertAlign w:val="superscript"/>
        </w:rPr>
        <w:fldChar w:fldCharType="separate"/>
      </w:r>
      <w:r w:rsidR="00301C3E">
        <w:rPr>
          <w:vertAlign w:val="superscript"/>
        </w:rPr>
        <w:t>40</w:t>
      </w:r>
      <w:r w:rsidR="00DE5364" w:rsidRPr="00FD35ED">
        <w:rPr>
          <w:vertAlign w:val="superscript"/>
        </w:rPr>
        <w:fldChar w:fldCharType="end"/>
      </w:r>
      <w:r w:rsidRPr="00FD35ED">
        <w:t xml:space="preserve"> and is summarised in </w:t>
      </w:r>
      <w:r w:rsidR="00856E21">
        <w:fldChar w:fldCharType="begin"/>
      </w:r>
      <w:r w:rsidR="00856E21">
        <w:instrText xml:space="preserve"> REF _Ref117519401 \h </w:instrText>
      </w:r>
      <w:r w:rsidR="00856E21">
        <w:fldChar w:fldCharType="separate"/>
      </w:r>
      <w:r w:rsidR="00301C3E" w:rsidRPr="00856E21">
        <w:t xml:space="preserve">Figure </w:t>
      </w:r>
      <w:r w:rsidR="00301C3E">
        <w:rPr>
          <w:noProof/>
        </w:rPr>
        <w:t>1</w:t>
      </w:r>
      <w:r w:rsidR="00856E21">
        <w:fldChar w:fldCharType="end"/>
      </w:r>
      <w:r w:rsidR="00856E21">
        <w:t xml:space="preserve"> below</w:t>
      </w:r>
      <w:r w:rsidRPr="00FD35ED">
        <w:t>, and in the publicly available FDA label.</w:t>
      </w:r>
      <w:r w:rsidR="00DE5364" w:rsidRPr="00FD35ED">
        <w:rPr>
          <w:rStyle w:val="FootnoteReference"/>
        </w:rPr>
        <w:footnoteReference w:id="47"/>
      </w:r>
    </w:p>
    <w:p w14:paraId="5458E662" w14:textId="51A843DD" w:rsidR="00222799" w:rsidRPr="00FD35ED" w:rsidRDefault="00222799" w:rsidP="00985193">
      <w:r w:rsidRPr="00FD35ED">
        <w:t xml:space="preserve">The submitted </w:t>
      </w:r>
      <w:bookmarkStart w:id="59" w:name="_Hlk117539921"/>
      <w:r w:rsidRPr="00FD35ED">
        <w:t>clinical study report</w:t>
      </w:r>
      <w:bookmarkEnd w:id="59"/>
      <w:r w:rsidRPr="00FD35ED">
        <w:t xml:space="preserve"> presents data from the primary analysis, which was triggered by a recommendation from the </w:t>
      </w:r>
      <w:r w:rsidR="00845CC3" w:rsidRPr="00FD35ED">
        <w:t>Independent Data Monitoring Committee</w:t>
      </w:r>
      <w:r w:rsidRPr="00FD35ED">
        <w:t xml:space="preserve"> to unblind the study following the first prespecified interim analysis (at approximately 60% of the expected death events).</w:t>
      </w:r>
    </w:p>
    <w:p w14:paraId="718B0FB8" w14:textId="4B089D78" w:rsidR="00222799" w:rsidRPr="00FD35ED" w:rsidRDefault="00845CC3" w:rsidP="00985193">
      <w:pPr>
        <w:pStyle w:val="Heading6"/>
      </w:pPr>
      <w:r w:rsidRPr="00FD35ED">
        <w:t>Study d</w:t>
      </w:r>
      <w:r w:rsidR="00222799" w:rsidRPr="00FD35ED">
        <w:t>esign</w:t>
      </w:r>
    </w:p>
    <w:p w14:paraId="7EE7090A" w14:textId="120D75E2" w:rsidR="00222799" w:rsidRPr="00FD35ED" w:rsidRDefault="00222799" w:rsidP="00985193">
      <w:r w:rsidRPr="00FD35ED">
        <w:t>Study 202 was a randomised, controlled, open</w:t>
      </w:r>
      <w:r w:rsidR="00845CC3" w:rsidRPr="00FD35ED">
        <w:t xml:space="preserve"> </w:t>
      </w:r>
      <w:r w:rsidRPr="00FD35ED">
        <w:t>label, multi</w:t>
      </w:r>
      <w:r w:rsidR="00845CC3" w:rsidRPr="00FD35ED">
        <w:t>-</w:t>
      </w:r>
      <w:r w:rsidRPr="00FD35ED">
        <w:t xml:space="preserve">centre trial that enrolled patients with </w:t>
      </w:r>
      <w:r w:rsidR="001212BF" w:rsidRPr="00FD35ED">
        <w:t>metastatic uveal melanoma</w:t>
      </w:r>
      <w:r w:rsidRPr="00FD35ED">
        <w:t xml:space="preserve"> who were HLA-A*02:01 genotype</w:t>
      </w:r>
      <w:r w:rsidR="00200045" w:rsidRPr="00FD35ED">
        <w:t>-</w:t>
      </w:r>
      <w:r w:rsidRPr="00FD35ED">
        <w:t xml:space="preserve">positive according to a central clinical trial assay (see </w:t>
      </w:r>
      <w:r w:rsidR="00845CC3" w:rsidRPr="00FD35ED">
        <w:t>Section</w:t>
      </w:r>
      <w:r w:rsidR="00B2060E">
        <w:t>:</w:t>
      </w:r>
      <w:r w:rsidR="00DB43A5" w:rsidRPr="00FD35ED">
        <w:t xml:space="preserve"> </w:t>
      </w:r>
      <w:r w:rsidRPr="009E35BB">
        <w:rPr>
          <w:i/>
        </w:rPr>
        <w:fldChar w:fldCharType="begin"/>
      </w:r>
      <w:r w:rsidRPr="009E35BB">
        <w:rPr>
          <w:i/>
        </w:rPr>
        <w:instrText xml:space="preserve"> REF _Ref96081018 \h </w:instrText>
      </w:r>
      <w:r w:rsidR="00985193" w:rsidRPr="009E35BB">
        <w:rPr>
          <w:i/>
        </w:rPr>
        <w:instrText xml:space="preserve"> \* MERGEFORMAT </w:instrText>
      </w:r>
      <w:r w:rsidRPr="009E35BB">
        <w:rPr>
          <w:i/>
        </w:rPr>
      </w:r>
      <w:r w:rsidRPr="009E35BB">
        <w:rPr>
          <w:i/>
        </w:rPr>
        <w:fldChar w:fldCharType="separate"/>
      </w:r>
      <w:r w:rsidR="00301C3E" w:rsidRPr="00301C3E">
        <w:rPr>
          <w:i/>
        </w:rPr>
        <w:t>Companion diagnostic considerations</w:t>
      </w:r>
      <w:r w:rsidRPr="009E35BB">
        <w:rPr>
          <w:i/>
        </w:rPr>
        <w:fldChar w:fldCharType="end"/>
      </w:r>
      <w:r w:rsidRPr="00FD35ED">
        <w:t xml:space="preserve">). Key eligibility criteria are summarised in </w:t>
      </w:r>
      <w:r w:rsidR="00856E21">
        <w:fldChar w:fldCharType="begin"/>
      </w:r>
      <w:r w:rsidR="00856E21">
        <w:instrText xml:space="preserve"> REF _Ref117166871 \h </w:instrText>
      </w:r>
      <w:r w:rsidR="00856E21">
        <w:fldChar w:fldCharType="separate"/>
      </w:r>
      <w:r w:rsidR="00301C3E" w:rsidRPr="00856E21">
        <w:t xml:space="preserve">Table </w:t>
      </w:r>
      <w:r w:rsidR="00301C3E">
        <w:rPr>
          <w:noProof/>
        </w:rPr>
        <w:t>2</w:t>
      </w:r>
      <w:r w:rsidR="00856E21">
        <w:fldChar w:fldCharType="end"/>
      </w:r>
      <w:r w:rsidR="00856E21">
        <w:t xml:space="preserve"> below</w:t>
      </w:r>
      <w:r w:rsidRPr="00FD35ED">
        <w:t>. Patients who</w:t>
      </w:r>
      <w:r w:rsidR="00845CC3" w:rsidRPr="00FD35ED">
        <w:t xml:space="preserve"> had</w:t>
      </w:r>
      <w:r w:rsidRPr="00FD35ED">
        <w:t xml:space="preserve"> received prior systemic or localised liver</w:t>
      </w:r>
      <w:r w:rsidR="00845CC3" w:rsidRPr="00FD35ED">
        <w:t xml:space="preserve"> </w:t>
      </w:r>
      <w:r w:rsidRPr="00FD35ED">
        <w:t xml:space="preserve">directed treatment of </w:t>
      </w:r>
      <w:r w:rsidR="001212BF" w:rsidRPr="00FD35ED">
        <w:t>metastatic uveal melanoma</w:t>
      </w:r>
      <w:r w:rsidRPr="00FD35ED">
        <w:t xml:space="preserve"> were excluded, but those who</w:t>
      </w:r>
      <w:r w:rsidR="00DB43A5" w:rsidRPr="00FD35ED">
        <w:t xml:space="preserve"> had</w:t>
      </w:r>
      <w:r w:rsidRPr="00FD35ED">
        <w:t xml:space="preserve"> received prior surgical resection of oligometastatic disease were not.</w:t>
      </w:r>
    </w:p>
    <w:p w14:paraId="0052C6F0" w14:textId="720EC3D4" w:rsidR="00222799" w:rsidRDefault="0020544C" w:rsidP="00985193">
      <w:r>
        <w:t>A total of 378 p</w:t>
      </w:r>
      <w:r w:rsidR="00222799" w:rsidRPr="00FD35ED">
        <w:t xml:space="preserve">atients were randomised </w:t>
      </w:r>
      <w:r>
        <w:t xml:space="preserve">in </w:t>
      </w:r>
      <w:r w:rsidR="00222799" w:rsidRPr="00FD35ED">
        <w:t>2:1</w:t>
      </w:r>
      <w:r>
        <w:t xml:space="preserve"> ratio</w:t>
      </w:r>
      <w:r w:rsidR="00222799" w:rsidRPr="00FD35ED">
        <w:t xml:space="preserve"> to </w:t>
      </w:r>
      <w:r>
        <w:t xml:space="preserve">either </w:t>
      </w:r>
      <w:r w:rsidR="00222799" w:rsidRPr="00FD35ED">
        <w:t xml:space="preserve">receive </w:t>
      </w:r>
      <w:proofErr w:type="spellStart"/>
      <w:r>
        <w:t>tebentafusp</w:t>
      </w:r>
      <w:proofErr w:type="spellEnd"/>
      <w:r>
        <w:t xml:space="preserve"> </w:t>
      </w:r>
      <w:r w:rsidR="00222799" w:rsidRPr="00FD35ED">
        <w:t xml:space="preserve">weekly by </w:t>
      </w:r>
      <w:bookmarkStart w:id="60" w:name="_Hlk113305859"/>
      <w:r w:rsidR="00222799" w:rsidRPr="00FD35ED">
        <w:t xml:space="preserve">intravenous </w:t>
      </w:r>
      <w:bookmarkEnd w:id="60"/>
      <w:r w:rsidR="00222799" w:rsidRPr="00FD35ED">
        <w:t xml:space="preserve">infusion following the proposed </w:t>
      </w:r>
      <w:proofErr w:type="spellStart"/>
      <w:r>
        <w:t>tebentafusp</w:t>
      </w:r>
      <w:proofErr w:type="spellEnd"/>
      <w:r>
        <w:t xml:space="preserve"> </w:t>
      </w:r>
      <w:r w:rsidR="00222799" w:rsidRPr="00FD35ED">
        <w:t>dosing regimen (</w:t>
      </w:r>
      <w:r w:rsidR="004416D7">
        <w:t xml:space="preserve">Arm 1, </w:t>
      </w:r>
      <w:r w:rsidR="00222799" w:rsidRPr="00FD35ED">
        <w:t>252</w:t>
      </w:r>
      <w:r>
        <w:t> patients</w:t>
      </w:r>
      <w:r w:rsidR="00222799" w:rsidRPr="00FD35ED">
        <w:t>)</w:t>
      </w:r>
      <w:r>
        <w:t>;</w:t>
      </w:r>
      <w:r w:rsidR="00222799" w:rsidRPr="00FD35ED">
        <w:t xml:space="preserve"> or investigator’s choice </w:t>
      </w:r>
      <w:r>
        <w:t>of treatment (</w:t>
      </w:r>
      <w:r w:rsidR="004416D7">
        <w:t xml:space="preserve">Arm 2, </w:t>
      </w:r>
      <w:r>
        <w:t xml:space="preserve">126 patients </w:t>
      </w:r>
      <w:r w:rsidR="0010099C">
        <w:t xml:space="preserve">in </w:t>
      </w:r>
      <w:r>
        <w:t>total)</w:t>
      </w:r>
      <w:r w:rsidR="00222799" w:rsidRPr="00FD35ED">
        <w:t xml:space="preserve">, </w:t>
      </w:r>
      <w:r>
        <w:t xml:space="preserve">with 103 patients treated with </w:t>
      </w:r>
      <w:r w:rsidR="00222799" w:rsidRPr="00FD35ED">
        <w:t>pembrolizumab</w:t>
      </w:r>
      <w:r>
        <w:t xml:space="preserve">, 16 with </w:t>
      </w:r>
      <w:r w:rsidR="00222799" w:rsidRPr="00FD35ED">
        <w:t>ipilimumab</w:t>
      </w:r>
      <w:r>
        <w:t xml:space="preserve">, </w:t>
      </w:r>
      <w:r w:rsidR="00222799" w:rsidRPr="00FD35ED">
        <w:t xml:space="preserve">or </w:t>
      </w:r>
      <w:r>
        <w:t xml:space="preserve">7 with </w:t>
      </w:r>
      <w:r w:rsidR="00222799" w:rsidRPr="00FD35ED">
        <w:t>dacarbazine</w:t>
      </w:r>
      <w:r>
        <w:t xml:space="preserve">. </w:t>
      </w:r>
      <w:r w:rsidR="00222799" w:rsidRPr="00FD35ED">
        <w:t xml:space="preserve">This comparator arm is considered appropriate, as it is in line with the current standard of care for </w:t>
      </w:r>
      <w:r w:rsidR="001212BF" w:rsidRPr="00FD35ED">
        <w:t>metastatic uveal melanoma</w:t>
      </w:r>
      <w:r w:rsidR="00222799" w:rsidRPr="00FD35ED">
        <w:t>.</w:t>
      </w:r>
    </w:p>
    <w:p w14:paraId="3F367CE0" w14:textId="26A0E8E1" w:rsidR="003A6B05" w:rsidRDefault="0011144E" w:rsidP="00985193">
      <w:r>
        <w:fldChar w:fldCharType="begin"/>
      </w:r>
      <w:r>
        <w:instrText xml:space="preserve"> REF _Ref117519401 \h </w:instrText>
      </w:r>
      <w:r>
        <w:fldChar w:fldCharType="separate"/>
      </w:r>
      <w:r w:rsidR="00301C3E" w:rsidRPr="00856E21">
        <w:t xml:space="preserve">Figure </w:t>
      </w:r>
      <w:r w:rsidR="00301C3E">
        <w:rPr>
          <w:noProof/>
        </w:rPr>
        <w:t>1</w:t>
      </w:r>
      <w:r>
        <w:fldChar w:fldCharType="end"/>
      </w:r>
      <w:r w:rsidR="003A6B05">
        <w:t xml:space="preserve"> shown below, summaries the study design.</w:t>
      </w:r>
    </w:p>
    <w:p w14:paraId="76B68831" w14:textId="5FB7D47C" w:rsidR="003A6B05" w:rsidRPr="00856E21" w:rsidRDefault="003A6B05" w:rsidP="00856E21">
      <w:pPr>
        <w:pStyle w:val="FigureTitle"/>
      </w:pPr>
      <w:bookmarkStart w:id="61" w:name="_Ref117519401"/>
      <w:bookmarkStart w:id="62" w:name="_Ref117166683"/>
      <w:r w:rsidRPr="00856E21">
        <w:t xml:space="preserve">Figure </w:t>
      </w:r>
      <w:fldSimple w:instr=" SEQ Figure \* ARABIC ">
        <w:r w:rsidR="00301C3E">
          <w:rPr>
            <w:noProof/>
          </w:rPr>
          <w:t>1</w:t>
        </w:r>
      </w:fldSimple>
      <w:bookmarkEnd w:id="61"/>
      <w:r w:rsidRPr="00856E21">
        <w:t>: Study 202 Study design</w:t>
      </w:r>
      <w:bookmarkEnd w:id="62"/>
    </w:p>
    <w:p w14:paraId="5393AA46" w14:textId="77777777" w:rsidR="003A6B05" w:rsidRPr="00FD35ED" w:rsidRDefault="003A6B05" w:rsidP="00856E21">
      <w:r w:rsidRPr="00FD35ED">
        <w:rPr>
          <w:noProof/>
          <w:lang w:val="en-GB" w:eastAsia="en-GB"/>
        </w:rPr>
        <w:drawing>
          <wp:inline distT="0" distB="0" distL="0" distR="0" wp14:anchorId="6394F63C" wp14:editId="1B720A96">
            <wp:extent cx="5400040" cy="1626235"/>
            <wp:effectExtent l="0" t="0" r="0" b="0"/>
            <wp:docPr id="3" name="Picture 3" descr="Figure 1: Study 202 Study design&#10;&#10;Study 202 is an ongoing Phase III, open label, randomised study evaluating the efficacy and safety of tebentafusp versus investigator’s choice (dacarbazine, ipilimumab, and pembrolizumab) in adult human leukocyte antigen (HLA)-A*02:01-positive patients with metastatic uveal melanoma who had not received prior systemic therapy in the metastatic setting.&#10;&#10;Enrolled patients were randomised 2:1 to receive either tebentafusp or investigator’s choice, the latter of which was selected prior to randomisation. Randomisation was stratified by lactate dehydrogenase status, a known prognostic factor for advanced uveal melanoma.&#10;&#10;All patients randomised to tebentafusp followed the proposed dosing regimen: 20 µg on Day 1, 30 µg on Day 8, 68 µg on Day 15, and 68 µg once every week thereafter. Investigator’s choice agents were administered at the approved doses and every 3 week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Study 202 Study design&#10;&#10;Study 202 is an ongoing Phase III, open label, randomised study evaluating the efficacy and safety of tebentafusp versus investigator’s choice (dacarbazine, ipilimumab, and pembrolizumab) in adult human leukocyte antigen (HLA)-A*02:01-positive patients with metastatic uveal melanoma who had not received prior systemic therapy in the metastatic setting.&#10;&#10;Enrolled patients were randomised 2:1 to receive either tebentafusp or investigator’s choice, the latter of which was selected prior to randomisation. Randomisation was stratified by lactate dehydrogenase status, a known prognostic factor for advanced uveal melanoma.&#10;&#10;All patients randomised to tebentafusp followed the proposed dosing regimen: 20 µg on Day 1, 30 µg on Day 8, 68 µg on Day 15, and 68 µg once every week thereafter. Investigator’s choice agents were administered at the approved doses and every 3 week schedule."/>
                    <pic:cNvPicPr/>
                  </pic:nvPicPr>
                  <pic:blipFill>
                    <a:blip r:embed="rId19"/>
                    <a:stretch>
                      <a:fillRect/>
                    </a:stretch>
                  </pic:blipFill>
                  <pic:spPr>
                    <a:xfrm>
                      <a:off x="0" y="0"/>
                      <a:ext cx="5400040" cy="1626235"/>
                    </a:xfrm>
                    <a:prstGeom prst="rect">
                      <a:avLst/>
                    </a:prstGeom>
                  </pic:spPr>
                </pic:pic>
              </a:graphicData>
            </a:graphic>
          </wp:inline>
        </w:drawing>
      </w:r>
    </w:p>
    <w:p w14:paraId="3B1154B3" w14:textId="639EA506" w:rsidR="003A6B05" w:rsidRPr="00856E21" w:rsidRDefault="003A6B05" w:rsidP="00856E21">
      <w:pPr>
        <w:pStyle w:val="FigureDescription"/>
      </w:pPr>
      <w:r w:rsidRPr="00856E21">
        <w:t xml:space="preserve">Abbreviations: C = Cycle; D = Day; HLA = human leukocyte antigen; LDH = lactate dehydrogenase; Q3W = every 3 weeks; RP2D-IE = recommended Phase II dose </w:t>
      </w:r>
      <w:proofErr w:type="spellStart"/>
      <w:r w:rsidRPr="00856E21">
        <w:t>intrapatient</w:t>
      </w:r>
      <w:proofErr w:type="spellEnd"/>
      <w:r w:rsidRPr="00856E21">
        <w:t xml:space="preserve"> escalation regimen; ULN = upper limit of normal; vs = versus.</w:t>
      </w:r>
    </w:p>
    <w:p w14:paraId="3846D9F1" w14:textId="5ED9AC85" w:rsidR="004416D7" w:rsidRDefault="00222799" w:rsidP="00985193">
      <w:r w:rsidRPr="00FD35ED">
        <w:lastRenderedPageBreak/>
        <w:t>Randomisation was stratified by lactate dehydrogenase (LDH) level at study entry</w:t>
      </w:r>
      <w:r w:rsidR="004416D7">
        <w:t xml:space="preserve">, into those with baseline LDH below or equal to the ULN; or those with </w:t>
      </w:r>
      <w:r w:rsidR="0010606F">
        <w:t xml:space="preserve">baseline </w:t>
      </w:r>
      <w:r w:rsidR="004416D7">
        <w:t xml:space="preserve">LDH above the ULN (LDH measured centrally) </w:t>
      </w:r>
      <w:r w:rsidRPr="00FD35ED">
        <w:t>to ensure adequate balance of this prognostic factor across arms.</w:t>
      </w:r>
    </w:p>
    <w:p w14:paraId="02A693DF" w14:textId="34B5D7A3" w:rsidR="00222799" w:rsidRPr="00FD35ED" w:rsidRDefault="00222799" w:rsidP="00985193">
      <w:r w:rsidRPr="00FD35ED">
        <w:t xml:space="preserve">Study treatment was ceased on disease progression per </w:t>
      </w:r>
      <w:r w:rsidR="00D47A02" w:rsidRPr="00FD35ED">
        <w:t xml:space="preserve">Response Evaluation Criteria </w:t>
      </w:r>
      <w:proofErr w:type="gramStart"/>
      <w:r w:rsidR="00D47A02" w:rsidRPr="00FD35ED">
        <w:t>In</w:t>
      </w:r>
      <w:proofErr w:type="gramEnd"/>
      <w:r w:rsidR="00D47A02" w:rsidRPr="00FD35ED">
        <w:t xml:space="preserve"> Solid Tumours (RECIST)</w:t>
      </w:r>
      <w:r w:rsidR="00D47A02" w:rsidRPr="00FD35ED">
        <w:rPr>
          <w:rStyle w:val="FootnoteReference"/>
        </w:rPr>
        <w:footnoteReference w:id="48"/>
      </w:r>
      <w:r w:rsidRPr="00FD35ED">
        <w:t xml:space="preserve"> </w:t>
      </w:r>
      <w:r w:rsidR="00D47A02" w:rsidRPr="00FD35ED">
        <w:t xml:space="preserve">version </w:t>
      </w:r>
      <w:r w:rsidRPr="00FD35ED">
        <w:t>1.1 criteria</w:t>
      </w:r>
      <w:r w:rsidR="00DE5364" w:rsidRPr="00FD35ED">
        <w:t>;</w:t>
      </w:r>
      <w:r w:rsidR="00DE5364" w:rsidRPr="00FD35ED">
        <w:rPr>
          <w:rStyle w:val="FootnoteReference"/>
        </w:rPr>
        <w:footnoteReference w:id="49"/>
      </w:r>
      <w:r w:rsidRPr="00FD35ED">
        <w:t xml:space="preserve"> or for unacceptable toxicity, however, treatment beyond initial progression was allowed in select settings in which it was considered the patient may still be benefiting. The rationale provided for this in the </w:t>
      </w:r>
      <w:r w:rsidR="005A6EF3" w:rsidRPr="005A6EF3">
        <w:t>clinical study report</w:t>
      </w:r>
      <w:r w:rsidRPr="00FD35ED">
        <w:t xml:space="preserve"> was:</w:t>
      </w:r>
    </w:p>
    <w:p w14:paraId="4B838BB5" w14:textId="1589E463" w:rsidR="00222799" w:rsidRPr="00FD35ED" w:rsidRDefault="00222799" w:rsidP="00985193">
      <w:pPr>
        <w:ind w:left="720"/>
      </w:pPr>
      <w:r w:rsidRPr="00FD35ED">
        <w:t xml:space="preserve">There is accumulating evidence in the field of immuno-oncology that some patients treated with immunotherapy agents, such as </w:t>
      </w:r>
      <w:proofErr w:type="spellStart"/>
      <w:r w:rsidRPr="00FD35ED">
        <w:t>tebentafusp</w:t>
      </w:r>
      <w:proofErr w:type="spellEnd"/>
      <w:r w:rsidRPr="00FD35ED">
        <w:t xml:space="preserve">, may develop initial progressive disease of the </w:t>
      </w:r>
      <w:r w:rsidR="002D446A" w:rsidRPr="00FD35ED">
        <w:t>tumour</w:t>
      </w:r>
      <w:r w:rsidRPr="00FD35ED">
        <w:t xml:space="preserve"> prior to subsequent disease stabili</w:t>
      </w:r>
      <w:r w:rsidR="001212BF" w:rsidRPr="00FD35ED">
        <w:t>s</w:t>
      </w:r>
      <w:r w:rsidRPr="00FD35ED">
        <w:t>ation or objective response.</w:t>
      </w:r>
      <w:r w:rsidR="00387655" w:rsidRPr="00FD35ED">
        <w:rPr>
          <w:rStyle w:val="FootnoteReference"/>
        </w:rPr>
        <w:footnoteReference w:id="50"/>
      </w:r>
      <w:r w:rsidRPr="00FD35ED">
        <w:t xml:space="preserve"> Evidence of these phenomena were noted in the Phase I development of </w:t>
      </w:r>
      <w:proofErr w:type="spellStart"/>
      <w:r w:rsidRPr="00FD35ED">
        <w:t>tebentafusp</w:t>
      </w:r>
      <w:proofErr w:type="spellEnd"/>
      <w:r w:rsidRPr="00FD35ED">
        <w:t>.</w:t>
      </w:r>
      <w:r w:rsidR="00387655" w:rsidRPr="00FD35ED">
        <w:rPr>
          <w:rStyle w:val="FootnoteReference"/>
        </w:rPr>
        <w:footnoteReference w:id="51"/>
      </w:r>
      <w:r w:rsidR="00387655" w:rsidRPr="00FD35ED">
        <w:rPr>
          <w:vertAlign w:val="superscript"/>
        </w:rPr>
        <w:t>,</w:t>
      </w:r>
      <w:r w:rsidR="00387655" w:rsidRPr="00FD35ED">
        <w:rPr>
          <w:rStyle w:val="FootnoteReference"/>
        </w:rPr>
        <w:footnoteReference w:id="52"/>
      </w:r>
      <w:r w:rsidRPr="00FD35ED">
        <w:t xml:space="preserve"> Given these data, patients receiving </w:t>
      </w:r>
      <w:proofErr w:type="spellStart"/>
      <w:r w:rsidRPr="00FD35ED">
        <w:t>tebentafusp</w:t>
      </w:r>
      <w:proofErr w:type="spellEnd"/>
      <w:r w:rsidRPr="00FD35ED">
        <w:t xml:space="preserve">, ipilimumab, or pembrolizumab who demonstrated initial </w:t>
      </w:r>
      <w:r w:rsidR="00D47A02" w:rsidRPr="00FD35ED">
        <w:t xml:space="preserve">progressive disease </w:t>
      </w:r>
      <w:r w:rsidRPr="00FD35ED">
        <w:t>by RECIST v</w:t>
      </w:r>
      <w:r w:rsidR="00D47A02" w:rsidRPr="00FD35ED">
        <w:t xml:space="preserve">ersion </w:t>
      </w:r>
      <w:r w:rsidRPr="00FD35ED">
        <w:t xml:space="preserve">1.1 could have continued treatment beyond the initial </w:t>
      </w:r>
      <w:r w:rsidR="00D47A02" w:rsidRPr="00FD35ED">
        <w:t>progressive disease</w:t>
      </w:r>
      <w:r w:rsidRPr="00FD35ED">
        <w:t>.</w:t>
      </w:r>
    </w:p>
    <w:p w14:paraId="236C2523" w14:textId="4B64BBBE" w:rsidR="003A6B05" w:rsidRDefault="00222799" w:rsidP="00985193">
      <w:r w:rsidRPr="00FD35ED">
        <w:t xml:space="preserve">Patients experiencing </w:t>
      </w:r>
      <w:r w:rsidR="00D47A02" w:rsidRPr="00FD35ED">
        <w:t>progressive disease</w:t>
      </w:r>
      <w:r w:rsidRPr="00FD35ED">
        <w:t xml:space="preserve"> per RECIST v</w:t>
      </w:r>
      <w:r w:rsidR="00D47A02" w:rsidRPr="00FD35ED">
        <w:t xml:space="preserve">ersion </w:t>
      </w:r>
      <w:r w:rsidRPr="00FD35ED">
        <w:t xml:space="preserve">1.1 criteria could therefore continue to be treated until meeting the criteria for unequivocal, confirmed </w:t>
      </w:r>
      <w:r w:rsidR="00D47A02" w:rsidRPr="00FD35ED">
        <w:t>progressive disease</w:t>
      </w:r>
      <w:r w:rsidRPr="00FD35ED">
        <w:t xml:space="preserve"> by </w:t>
      </w:r>
      <w:r w:rsidR="00D47A02" w:rsidRPr="00FD35ED">
        <w:t xml:space="preserve">immune-related </w:t>
      </w:r>
      <w:r w:rsidRPr="00FD35ED">
        <w:t>RECIST.</w:t>
      </w:r>
      <w:r w:rsidR="00387655" w:rsidRPr="00FD35ED">
        <w:rPr>
          <w:rStyle w:val="FootnoteReference"/>
        </w:rPr>
        <w:footnoteReference w:id="53"/>
      </w:r>
    </w:p>
    <w:p w14:paraId="72835138" w14:textId="4AE2AEF4" w:rsidR="003A6B05" w:rsidRDefault="003A6B05" w:rsidP="009E35BB">
      <w:pPr>
        <w:pStyle w:val="Heading6"/>
      </w:pPr>
      <w:r>
        <w:t>Inclusion and exclusion criteria.</w:t>
      </w:r>
    </w:p>
    <w:p w14:paraId="755E9324" w14:textId="2B678872" w:rsidR="003A6B05" w:rsidRDefault="003A6B05">
      <w:r>
        <w:fldChar w:fldCharType="begin"/>
      </w:r>
      <w:r>
        <w:instrText xml:space="preserve"> REF _Ref117166871 \h </w:instrText>
      </w:r>
      <w:r>
        <w:fldChar w:fldCharType="separate"/>
      </w:r>
      <w:r w:rsidR="00301C3E" w:rsidRPr="00856E21">
        <w:t xml:space="preserve">Table </w:t>
      </w:r>
      <w:r w:rsidR="00301C3E">
        <w:rPr>
          <w:noProof/>
        </w:rPr>
        <w:t>2</w:t>
      </w:r>
      <w:r>
        <w:fldChar w:fldCharType="end"/>
      </w:r>
      <w:r>
        <w:t xml:space="preserve">, shown below, presents a summary of the key eligibility criteria for the </w:t>
      </w:r>
      <w:r w:rsidR="009E35BB">
        <w:t>pivotal</w:t>
      </w:r>
      <w:r>
        <w:t xml:space="preserve"> study.</w:t>
      </w:r>
    </w:p>
    <w:p w14:paraId="41377336" w14:textId="13ADFA40" w:rsidR="003A6B05" w:rsidRPr="00856E21" w:rsidRDefault="003A6B05" w:rsidP="00856E21">
      <w:pPr>
        <w:pStyle w:val="TableTitle"/>
      </w:pPr>
      <w:bookmarkStart w:id="63" w:name="_Ref117166871"/>
      <w:r w:rsidRPr="00856E21">
        <w:t xml:space="preserve">Table </w:t>
      </w:r>
      <w:fldSimple w:instr=" SEQ Table \* ARABIC ">
        <w:r w:rsidR="00301C3E">
          <w:rPr>
            <w:noProof/>
          </w:rPr>
          <w:t>2</w:t>
        </w:r>
      </w:fldSimple>
      <w:bookmarkEnd w:id="63"/>
      <w:r w:rsidRPr="00856E21">
        <w:t>: Study 202 Key eligibility criteria</w:t>
      </w:r>
    </w:p>
    <w:tbl>
      <w:tblPr>
        <w:tblStyle w:val="TableTGAblue"/>
        <w:tblW w:w="8495" w:type="dxa"/>
        <w:tblLook w:val="04A0" w:firstRow="1" w:lastRow="0" w:firstColumn="1" w:lastColumn="0" w:noHBand="0" w:noVBand="1"/>
      </w:tblPr>
      <w:tblGrid>
        <w:gridCol w:w="3860"/>
        <w:gridCol w:w="4635"/>
      </w:tblGrid>
      <w:tr w:rsidR="003A6B05" w:rsidRPr="00276BA7" w14:paraId="5A0D158B" w14:textId="77777777" w:rsidTr="001603A6">
        <w:trPr>
          <w:cnfStyle w:val="100000000000" w:firstRow="1" w:lastRow="0" w:firstColumn="0" w:lastColumn="0" w:oddVBand="0" w:evenVBand="0" w:oddHBand="0" w:evenHBand="0" w:firstRowFirstColumn="0" w:firstRowLastColumn="0" w:lastRowFirstColumn="0" w:lastRowLastColumn="0"/>
        </w:trPr>
        <w:tc>
          <w:tcPr>
            <w:tcW w:w="3860" w:type="dxa"/>
          </w:tcPr>
          <w:p w14:paraId="074BB05E" w14:textId="77777777" w:rsidR="003A6B05" w:rsidRPr="00276BA7" w:rsidRDefault="003A6B05" w:rsidP="001603A6">
            <w:r w:rsidRPr="00276BA7">
              <w:t>Inclu</w:t>
            </w:r>
            <w:r>
              <w:t>sion criteria</w:t>
            </w:r>
          </w:p>
        </w:tc>
        <w:tc>
          <w:tcPr>
            <w:tcW w:w="4635" w:type="dxa"/>
          </w:tcPr>
          <w:p w14:paraId="7DB9C024" w14:textId="77777777" w:rsidR="003A6B05" w:rsidRPr="00276BA7" w:rsidRDefault="003A6B05" w:rsidP="001603A6">
            <w:r>
              <w:t>Exclusion criteria</w:t>
            </w:r>
          </w:p>
        </w:tc>
      </w:tr>
      <w:tr w:rsidR="003A6B05" w:rsidRPr="00276BA7" w14:paraId="202D7E97" w14:textId="77777777" w:rsidTr="001603A6">
        <w:tc>
          <w:tcPr>
            <w:tcW w:w="3860" w:type="dxa"/>
          </w:tcPr>
          <w:p w14:paraId="43006810" w14:textId="77777777" w:rsidR="003A6B05" w:rsidRPr="00276BA7" w:rsidRDefault="003A6B05" w:rsidP="001603A6">
            <w:pPr>
              <w:ind w:left="0" w:right="0"/>
            </w:pPr>
            <w:r w:rsidRPr="00276BA7">
              <w:t>Consenting adults (≥ 18 years) with metastatic uveal melanoma (histology or cytology-confirmed)</w:t>
            </w:r>
          </w:p>
          <w:p w14:paraId="01A4FD3E" w14:textId="77777777" w:rsidR="003A6B05" w:rsidRPr="00276BA7" w:rsidRDefault="003A6B05" w:rsidP="001603A6">
            <w:pPr>
              <w:ind w:left="0" w:right="0"/>
            </w:pPr>
            <w:r w:rsidRPr="00276BA7">
              <w:lastRenderedPageBreak/>
              <w:t>Eastern Cooperative Oncology Group Performance Status score &lt; 2;</w:t>
            </w:r>
            <w:r w:rsidRPr="00276BA7">
              <w:rPr>
                <w:vertAlign w:val="superscript"/>
              </w:rPr>
              <w:footnoteReference w:id="54"/>
            </w:r>
          </w:p>
          <w:p w14:paraId="3193D551" w14:textId="77777777" w:rsidR="003A6B05" w:rsidRPr="00276BA7" w:rsidRDefault="003A6B05" w:rsidP="001603A6">
            <w:pPr>
              <w:ind w:left="0" w:right="0"/>
            </w:pPr>
            <w:r w:rsidRPr="00276BA7">
              <w:t>No prior systemic therapy in the metastatic or advanced setting</w:t>
            </w:r>
          </w:p>
          <w:p w14:paraId="0F6B5B32" w14:textId="77777777" w:rsidR="003A6B05" w:rsidRPr="00276BA7" w:rsidRDefault="003A6B05" w:rsidP="001603A6">
            <w:pPr>
              <w:ind w:left="0" w:right="0"/>
            </w:pPr>
            <w:r w:rsidRPr="00276BA7">
              <w:t>No regional liver-directed therapy</w:t>
            </w:r>
          </w:p>
          <w:p w14:paraId="2496592E" w14:textId="77777777" w:rsidR="003A6B05" w:rsidRPr="00276BA7" w:rsidRDefault="003A6B05" w:rsidP="001603A6">
            <w:pPr>
              <w:ind w:left="0" w:right="0"/>
            </w:pPr>
            <w:r w:rsidRPr="00276BA7">
              <w:t xml:space="preserve">Human leukocyte </w:t>
            </w:r>
            <w:proofErr w:type="gramStart"/>
            <w:r w:rsidRPr="00276BA7">
              <w:t>antigen-A</w:t>
            </w:r>
            <w:proofErr w:type="gramEnd"/>
            <w:r w:rsidRPr="00276BA7">
              <w:t>*02:01</w:t>
            </w:r>
            <w:r>
              <w:t xml:space="preserve"> </w:t>
            </w:r>
            <w:r w:rsidRPr="00276BA7">
              <w:t>positive by central assay</w:t>
            </w:r>
          </w:p>
        </w:tc>
        <w:tc>
          <w:tcPr>
            <w:tcW w:w="4635" w:type="dxa"/>
          </w:tcPr>
          <w:p w14:paraId="36E80AE6" w14:textId="77777777" w:rsidR="003A6B05" w:rsidRPr="00276BA7" w:rsidRDefault="003A6B05" w:rsidP="001603A6">
            <w:pPr>
              <w:ind w:left="0" w:right="0"/>
            </w:pPr>
            <w:r w:rsidRPr="00276BA7">
              <w:lastRenderedPageBreak/>
              <w:t>Systemic or untreated central nervous system metastases</w:t>
            </w:r>
          </w:p>
          <w:p w14:paraId="7EF6D8D4" w14:textId="77777777" w:rsidR="003A6B05" w:rsidRPr="00276BA7" w:rsidRDefault="003A6B05" w:rsidP="001603A6">
            <w:pPr>
              <w:ind w:left="0" w:right="0"/>
            </w:pPr>
            <w:r w:rsidRPr="00276BA7">
              <w:t>Hypersensitivity to monoclonal antibodies or other biological medicines</w:t>
            </w:r>
          </w:p>
          <w:p w14:paraId="5EE9393F" w14:textId="77777777" w:rsidR="003A6B05" w:rsidRPr="00276BA7" w:rsidRDefault="003A6B05" w:rsidP="001603A6">
            <w:pPr>
              <w:ind w:left="0" w:right="0"/>
            </w:pPr>
            <w:r w:rsidRPr="00276BA7">
              <w:t>Inadequate cardiac health</w:t>
            </w:r>
          </w:p>
          <w:p w14:paraId="34460605" w14:textId="77777777" w:rsidR="003A6B05" w:rsidRPr="00276BA7" w:rsidRDefault="003A6B05" w:rsidP="001603A6">
            <w:pPr>
              <w:ind w:left="0" w:right="0"/>
            </w:pPr>
            <w:r w:rsidRPr="00276BA7">
              <w:lastRenderedPageBreak/>
              <w:t>Significant infection (systemic antibiotics, human immunodeficiency virus, active hepatitis B or C) or immunosuppression (including any dose systemic steroid)</w:t>
            </w:r>
          </w:p>
          <w:p w14:paraId="7D61C960" w14:textId="77777777" w:rsidR="003A6B05" w:rsidRPr="00276BA7" w:rsidRDefault="003A6B05" w:rsidP="001603A6">
            <w:pPr>
              <w:ind w:left="0" w:right="0"/>
            </w:pPr>
            <w:r w:rsidRPr="00276BA7">
              <w:t>Adrenal insufficiency</w:t>
            </w:r>
          </w:p>
          <w:p w14:paraId="2B7766BB" w14:textId="77777777" w:rsidR="003A6B05" w:rsidRPr="00276BA7" w:rsidRDefault="003A6B05" w:rsidP="001603A6">
            <w:pPr>
              <w:ind w:left="0" w:right="0"/>
            </w:pPr>
            <w:r w:rsidRPr="00276BA7">
              <w:t>Interstitial lung disease, pneumonitis requiring corticosteroids</w:t>
            </w:r>
          </w:p>
          <w:p w14:paraId="1EACDB58" w14:textId="77777777" w:rsidR="003A6B05" w:rsidRPr="00276BA7" w:rsidRDefault="003A6B05" w:rsidP="001603A6">
            <w:pPr>
              <w:ind w:left="0" w:right="0"/>
            </w:pPr>
            <w:r w:rsidRPr="00276BA7">
              <w:t>Colitis/inflammatory bowel disease</w:t>
            </w:r>
          </w:p>
          <w:p w14:paraId="6867766A" w14:textId="77777777" w:rsidR="003A6B05" w:rsidRPr="00276BA7" w:rsidRDefault="003A6B05" w:rsidP="001603A6">
            <w:pPr>
              <w:ind w:left="0" w:right="0"/>
            </w:pPr>
            <w:r w:rsidRPr="00276BA7">
              <w:t>Radiotherapy within 2 weeks of first dose of study drug</w:t>
            </w:r>
          </w:p>
          <w:p w14:paraId="6436AA3B" w14:textId="77777777" w:rsidR="003A6B05" w:rsidRPr="00276BA7" w:rsidRDefault="003A6B05" w:rsidP="001603A6">
            <w:pPr>
              <w:ind w:left="0" w:right="0"/>
            </w:pPr>
            <w:r w:rsidRPr="00276BA7">
              <w:t>Use of h</w:t>
            </w:r>
            <w:r>
              <w:t>a</w:t>
            </w:r>
            <w:r w:rsidRPr="00276BA7">
              <w:t>ematopoietic colony-stimulating growth factors</w:t>
            </w:r>
          </w:p>
        </w:tc>
      </w:tr>
    </w:tbl>
    <w:p w14:paraId="078ABF59" w14:textId="1E3AF6C9" w:rsidR="004416D7" w:rsidRDefault="004416D7" w:rsidP="0089264D">
      <w:pPr>
        <w:pStyle w:val="Heading6"/>
      </w:pPr>
      <w:r>
        <w:lastRenderedPageBreak/>
        <w:t>Efficacy outcomes</w:t>
      </w:r>
    </w:p>
    <w:p w14:paraId="05E46E1A" w14:textId="46247869" w:rsidR="00222799" w:rsidRDefault="00222799" w:rsidP="00985193">
      <w:r w:rsidRPr="00FD35ED">
        <w:t xml:space="preserve">The primary efficacy outcome was overall survival with </w:t>
      </w:r>
      <w:proofErr w:type="spellStart"/>
      <w:r w:rsidRPr="00FD35ED">
        <w:t>tebentafusp</w:t>
      </w:r>
      <w:proofErr w:type="spellEnd"/>
      <w:r w:rsidRPr="00FD35ED">
        <w:t xml:space="preserve"> versus </w:t>
      </w:r>
      <w:r w:rsidR="004416D7">
        <w:t>investigator’s choice of treatment</w:t>
      </w:r>
      <w:r w:rsidR="004416D7" w:rsidRPr="00FD35ED">
        <w:t xml:space="preserve"> </w:t>
      </w:r>
      <w:r w:rsidRPr="00FD35ED">
        <w:t xml:space="preserve">(the intention-to-treat </w:t>
      </w:r>
      <w:r w:rsidR="001C7332" w:rsidRPr="00FD35ED">
        <w:t>(</w:t>
      </w:r>
      <w:r w:rsidRPr="00FD35ED">
        <w:t>ITT</w:t>
      </w:r>
      <w:r w:rsidR="001C7332" w:rsidRPr="00FD35ED">
        <w:t>)</w:t>
      </w:r>
      <w:r w:rsidR="00D47A02" w:rsidRPr="00FD35ED">
        <w:rPr>
          <w:rStyle w:val="FootnoteReference"/>
        </w:rPr>
        <w:footnoteReference w:id="55"/>
      </w:r>
      <w:r w:rsidRPr="00FD35ED">
        <w:t xml:space="preserve"> analysis set).</w:t>
      </w:r>
      <w:r w:rsidR="00F01613" w:rsidRPr="00FD35ED">
        <w:rPr>
          <w:rStyle w:val="FootnoteReference"/>
        </w:rPr>
        <w:footnoteReference w:id="56"/>
      </w:r>
      <w:r w:rsidR="007A4661" w:rsidRPr="00FD35ED">
        <w:t xml:space="preserve"> </w:t>
      </w:r>
      <w:r w:rsidRPr="00FD35ED">
        <w:t>Additional efficacy endpoints included investigator</w:t>
      </w:r>
      <w:r w:rsidR="00DB43A5" w:rsidRPr="00FD35ED">
        <w:t xml:space="preserve"> </w:t>
      </w:r>
      <w:r w:rsidRPr="00FD35ED">
        <w:t xml:space="preserve">assessed </w:t>
      </w:r>
      <w:bookmarkStart w:id="65" w:name="_Hlk113307248"/>
      <w:r w:rsidRPr="00FD35ED">
        <w:t>progression free survival</w:t>
      </w:r>
      <w:bookmarkEnd w:id="65"/>
      <w:r w:rsidRPr="00FD35ED">
        <w:t xml:space="preserve">, </w:t>
      </w:r>
      <w:bookmarkStart w:id="66" w:name="_Hlk113307293"/>
      <w:r w:rsidRPr="00FD35ED">
        <w:t>objective response rate</w:t>
      </w:r>
      <w:bookmarkEnd w:id="66"/>
      <w:r w:rsidRPr="00FD35ED">
        <w:t xml:space="preserve"> and best overall response per RECIST </w:t>
      </w:r>
      <w:r w:rsidR="00D47A02" w:rsidRPr="00FD35ED">
        <w:t xml:space="preserve">version </w:t>
      </w:r>
      <w:r w:rsidRPr="00FD35ED">
        <w:t>1.1.</w:t>
      </w:r>
    </w:p>
    <w:p w14:paraId="51EAF2AE" w14:textId="68531D24" w:rsidR="003A6B05" w:rsidRPr="00FD35ED" w:rsidRDefault="003A6B05" w:rsidP="009E35BB">
      <w:pPr>
        <w:pStyle w:val="Heading6"/>
      </w:pPr>
      <w:r>
        <w:t>Statistical analysis</w:t>
      </w:r>
    </w:p>
    <w:p w14:paraId="27609165" w14:textId="2B59E717" w:rsidR="00222799" w:rsidRPr="00FD35ED" w:rsidRDefault="00222799" w:rsidP="00985193">
      <w:r w:rsidRPr="00FD35ED">
        <w:t>Type 1 error control was incorporated using sequential testing (</w:t>
      </w:r>
      <w:r w:rsidR="001E10CF">
        <w:t>overall survival</w:t>
      </w:r>
      <w:r w:rsidRPr="00FD35ED">
        <w:t xml:space="preserve">, then </w:t>
      </w:r>
      <w:r w:rsidR="001E10CF">
        <w:t>progression</w:t>
      </w:r>
      <w:r w:rsidR="00FB4056">
        <w:t xml:space="preserve"> </w:t>
      </w:r>
      <w:r w:rsidR="001E10CF">
        <w:t>free survival</w:t>
      </w:r>
      <w:r w:rsidRPr="00FD35ED">
        <w:t xml:space="preserve">, then </w:t>
      </w:r>
      <w:r w:rsidR="001E10CF">
        <w:t>best overall response</w:t>
      </w:r>
      <w:r w:rsidRPr="00FD35ED">
        <w:t xml:space="preserve">). The difference in </w:t>
      </w:r>
      <w:r w:rsidR="00EC2FAE" w:rsidRPr="00EC2FAE">
        <w:t>overall survival</w:t>
      </w:r>
      <w:r w:rsidRPr="00FD35ED">
        <w:t xml:space="preserve"> between the treatment arms was tested using a 2‐sided log‐rank test</w:t>
      </w:r>
      <w:r w:rsidR="007A4661" w:rsidRPr="00FD35ED">
        <w:t>;</w:t>
      </w:r>
      <w:r w:rsidR="007A4661" w:rsidRPr="00FD35ED">
        <w:rPr>
          <w:rStyle w:val="FootnoteReference"/>
        </w:rPr>
        <w:footnoteReference w:id="57"/>
      </w:r>
      <w:r w:rsidRPr="00FD35ED">
        <w:t xml:space="preserve"> stratified by LDH status. The </w:t>
      </w:r>
      <w:r w:rsidR="001E10CF">
        <w:t>overall survival</w:t>
      </w:r>
      <w:r w:rsidR="001E10CF" w:rsidRPr="00FD35ED">
        <w:t xml:space="preserve"> </w:t>
      </w:r>
      <w:bookmarkStart w:id="67" w:name="_Hlk117539402"/>
      <w:r w:rsidR="00EE3CAF" w:rsidRPr="00FD35ED">
        <w:t>hazard ratio</w:t>
      </w:r>
      <w:r w:rsidRPr="00FD35ED">
        <w:t xml:space="preserve"> </w:t>
      </w:r>
      <w:bookmarkEnd w:id="67"/>
      <w:r w:rsidRPr="00FD35ED">
        <w:t>was estimated using a stratified Cox</w:t>
      </w:r>
      <w:r w:rsidR="00DB43A5" w:rsidRPr="00FD35ED">
        <w:noBreakHyphen/>
      </w:r>
      <w:r w:rsidRPr="00FD35ED">
        <w:t>proportional hazards model,</w:t>
      </w:r>
      <w:r w:rsidR="007A4661" w:rsidRPr="00FD35ED">
        <w:rPr>
          <w:rStyle w:val="FootnoteReference"/>
        </w:rPr>
        <w:footnoteReference w:id="58"/>
      </w:r>
      <w:r w:rsidRPr="00FD35ED">
        <w:t xml:space="preserve"> using the </w:t>
      </w:r>
      <w:proofErr w:type="spellStart"/>
      <w:r w:rsidRPr="00FD35ED">
        <w:t>Efron</w:t>
      </w:r>
      <w:proofErr w:type="spellEnd"/>
      <w:r w:rsidRPr="00FD35ED">
        <w:t xml:space="preserve"> approach for handling ties,</w:t>
      </w:r>
      <w:bookmarkStart w:id="68" w:name="_Ref113283969"/>
      <w:r w:rsidR="007A4661" w:rsidRPr="00FD35ED">
        <w:rPr>
          <w:rStyle w:val="FootnoteReference"/>
        </w:rPr>
        <w:footnoteReference w:id="59"/>
      </w:r>
      <w:bookmarkEnd w:id="68"/>
      <w:r w:rsidRPr="00FD35ED">
        <w:t xml:space="preserve"> along with corresponding 95% </w:t>
      </w:r>
      <w:r w:rsidR="00EE3CAF" w:rsidRPr="00FD35ED">
        <w:t>confidence intervals (</w:t>
      </w:r>
      <w:r w:rsidRPr="00FD35ED">
        <w:t>CIs</w:t>
      </w:r>
      <w:r w:rsidR="00EE3CAF" w:rsidRPr="00FD35ED">
        <w:t>)</w:t>
      </w:r>
      <w:r w:rsidRPr="00FD35ED">
        <w:t xml:space="preserve"> for the </w:t>
      </w:r>
      <w:r w:rsidR="007806A6" w:rsidRPr="007806A6">
        <w:t>hazard ratio</w:t>
      </w:r>
      <w:r w:rsidRPr="00FD35ED">
        <w:t>. Kaplan Meier estimates and exploratory landmark rates were also generated.</w:t>
      </w:r>
      <w:bookmarkStart w:id="69" w:name="_Ref113284019"/>
      <w:r w:rsidR="007A4661" w:rsidRPr="00FD35ED">
        <w:rPr>
          <w:rStyle w:val="FootnoteReference"/>
        </w:rPr>
        <w:footnoteReference w:id="60"/>
      </w:r>
      <w:bookmarkEnd w:id="69"/>
      <w:r w:rsidRPr="00FD35ED">
        <w:t xml:space="preserve"> The analysis method for </w:t>
      </w:r>
      <w:r w:rsidR="005A6EF3">
        <w:t>p</w:t>
      </w:r>
      <w:r w:rsidR="005A6EF3" w:rsidRPr="005A6EF3">
        <w:t>rogression free survival</w:t>
      </w:r>
      <w:r w:rsidRPr="00FD35ED">
        <w:t xml:space="preserve"> was the same as that of </w:t>
      </w:r>
      <w:r w:rsidR="00EC2FAE" w:rsidRPr="00EC2FAE">
        <w:t>overall survival</w:t>
      </w:r>
      <w:r w:rsidRPr="00FD35ED">
        <w:t xml:space="preserve">. A summary of </w:t>
      </w:r>
      <w:r w:rsidR="001E10CF">
        <w:t>best overall response</w:t>
      </w:r>
      <w:r w:rsidR="001E10CF" w:rsidRPr="00FD35ED">
        <w:t xml:space="preserve"> </w:t>
      </w:r>
      <w:r w:rsidRPr="00FD35ED">
        <w:t xml:space="preserve">and </w:t>
      </w:r>
      <w:r w:rsidR="001E10CF">
        <w:t>objective response rate</w:t>
      </w:r>
      <w:r w:rsidR="001E10CF" w:rsidRPr="00FD35ED">
        <w:t xml:space="preserve"> </w:t>
      </w:r>
      <w:r w:rsidRPr="00FD35ED">
        <w:t xml:space="preserve">was presented by treatment group, and </w:t>
      </w:r>
      <w:r w:rsidR="001E10CF">
        <w:t xml:space="preserve">objective response </w:t>
      </w:r>
      <w:r w:rsidR="001E10CF">
        <w:lastRenderedPageBreak/>
        <w:t>rate</w:t>
      </w:r>
      <w:r w:rsidR="001E10CF" w:rsidRPr="00FD35ED">
        <w:t xml:space="preserve"> </w:t>
      </w:r>
      <w:r w:rsidRPr="00FD35ED">
        <w:t>was compared between treatment arms using a stratified Cochran-Mantel‐Haenszel test adjusting for baseline LDH status.</w:t>
      </w:r>
      <w:r w:rsidR="007A4661" w:rsidRPr="00FD35ED">
        <w:rPr>
          <w:rStyle w:val="FootnoteReference"/>
        </w:rPr>
        <w:footnoteReference w:id="61"/>
      </w:r>
      <w:r w:rsidR="007A4661" w:rsidRPr="00FD35ED">
        <w:rPr>
          <w:vertAlign w:val="superscript"/>
        </w:rPr>
        <w:t>,</w:t>
      </w:r>
      <w:r w:rsidR="007A4661" w:rsidRPr="00FD35ED">
        <w:rPr>
          <w:rStyle w:val="FootnoteReference"/>
        </w:rPr>
        <w:footnoteReference w:id="62"/>
      </w:r>
    </w:p>
    <w:p w14:paraId="3EB6A124" w14:textId="6BD928B7" w:rsidR="00222799" w:rsidRPr="00FD35ED" w:rsidRDefault="00222799" w:rsidP="00985193">
      <w:r w:rsidRPr="00FD35ED">
        <w:t xml:space="preserve">The sample size in Study 202 was chosen based on 250 events (deaths) required in </w:t>
      </w:r>
      <w:proofErr w:type="gramStart"/>
      <w:r w:rsidRPr="00FD35ED">
        <w:t>the all</w:t>
      </w:r>
      <w:proofErr w:type="gramEnd"/>
      <w:r w:rsidR="00DB43A5" w:rsidRPr="00FD35ED">
        <w:t xml:space="preserve"> </w:t>
      </w:r>
      <w:r w:rsidRPr="00FD35ED">
        <w:t xml:space="preserve">randomised population to provide 89% power to detect an </w:t>
      </w:r>
      <w:r w:rsidR="00EC2FAE">
        <w:t>overall survival</w:t>
      </w:r>
      <w:r w:rsidR="001E10CF" w:rsidRPr="00FD35ED">
        <w:t xml:space="preserve"> </w:t>
      </w:r>
      <w:r w:rsidR="001E10CF">
        <w:t>hazard ratio</w:t>
      </w:r>
      <w:r w:rsidRPr="00FD35ED">
        <w:t xml:space="preserve"> of 0.645 at 2</w:t>
      </w:r>
      <w:r w:rsidR="00DB43A5" w:rsidRPr="00FD35ED">
        <w:noBreakHyphen/>
      </w:r>
      <w:r w:rsidRPr="00FD35ED">
        <w:t xml:space="preserve">sided significance level of 0.045. Assuming an exponential distribution and a median </w:t>
      </w:r>
      <w:r w:rsidR="00EC2FAE" w:rsidRPr="00EC2FAE">
        <w:t>overall survival</w:t>
      </w:r>
      <w:r w:rsidRPr="00FD35ED">
        <w:t xml:space="preserve"> of 12</w:t>
      </w:r>
      <w:r w:rsidR="00DB43A5" w:rsidRPr="00FD35ED">
        <w:t> </w:t>
      </w:r>
      <w:r w:rsidRPr="00FD35ED">
        <w:t xml:space="preserve">months in the </w:t>
      </w:r>
      <w:bookmarkStart w:id="70" w:name="_Hlk117538828"/>
      <w:r w:rsidR="003A6B05">
        <w:t>investigator’s choice of treatment</w:t>
      </w:r>
      <w:r w:rsidR="003A6B05" w:rsidRPr="00FD35ED" w:rsidDel="003A6B05">
        <w:t xml:space="preserve"> </w:t>
      </w:r>
      <w:bookmarkEnd w:id="70"/>
      <w:r w:rsidRPr="00FD35ED">
        <w:t xml:space="preserve">arm, the </w:t>
      </w:r>
      <w:r w:rsidR="007806A6" w:rsidRPr="007806A6">
        <w:t>hazard ratio</w:t>
      </w:r>
      <w:r w:rsidRPr="00FD35ED">
        <w:t xml:space="preserve"> of 0.645 corresponds to a median </w:t>
      </w:r>
      <w:r w:rsidR="00EC2FAE" w:rsidRPr="00EC2FAE">
        <w:t>overall survival</w:t>
      </w:r>
      <w:r w:rsidRPr="00FD35ED">
        <w:t xml:space="preserve"> of 18.6 months in the </w:t>
      </w:r>
      <w:proofErr w:type="spellStart"/>
      <w:r w:rsidRPr="00FD35ED">
        <w:t>tebentafusp</w:t>
      </w:r>
      <w:proofErr w:type="spellEnd"/>
      <w:r w:rsidRPr="00FD35ED">
        <w:t xml:space="preserve"> arm and a difference of 6.6 months in median </w:t>
      </w:r>
      <w:r w:rsidR="00EC2FAE" w:rsidRPr="00EC2FAE">
        <w:t>overall survival</w:t>
      </w:r>
      <w:r w:rsidRPr="00FD35ED">
        <w:t xml:space="preserve"> between the arms. Considering a non‐uniform recruitment of about 33 months and 10% annual drop‐out rate, 369 patients were to be randomised in a 2:1 ratio to observe 250 events after 51</w:t>
      </w:r>
      <w:r w:rsidR="00DB43A5" w:rsidRPr="00FD35ED">
        <w:t> </w:t>
      </w:r>
      <w:r w:rsidRPr="00FD35ED">
        <w:t>months.</w:t>
      </w:r>
    </w:p>
    <w:p w14:paraId="7F50A68F" w14:textId="0AE8F1AE" w:rsidR="00222799" w:rsidRPr="00FD35ED" w:rsidRDefault="00222799" w:rsidP="00985193">
      <w:r w:rsidRPr="00FD35ED">
        <w:t xml:space="preserve">Two formal interim analyses of </w:t>
      </w:r>
      <w:r w:rsidR="00EC2FAE" w:rsidRPr="00EC2FAE">
        <w:t>overall survival</w:t>
      </w:r>
      <w:r w:rsidRPr="00FD35ED">
        <w:t xml:space="preserve"> were planned, to be performed at approximately 60% (150 events) and 80% (200 events) of the total expected events. Analyses of </w:t>
      </w:r>
      <w:r w:rsidR="00EC2FAE" w:rsidRPr="00EC2FAE">
        <w:t>overall survival</w:t>
      </w:r>
      <w:r w:rsidRPr="00FD35ED">
        <w:t xml:space="preserve"> were based on O’Brien-Fleming boundaries,</w:t>
      </w:r>
      <w:r w:rsidR="007A4661" w:rsidRPr="00FD35ED">
        <w:rPr>
          <w:rStyle w:val="FootnoteReference"/>
        </w:rPr>
        <w:footnoteReference w:id="63"/>
      </w:r>
      <w:r w:rsidRPr="00FD35ED">
        <w:t xml:space="preserve"> using the Lan-</w:t>
      </w:r>
      <w:proofErr w:type="spellStart"/>
      <w:r w:rsidRPr="00FD35ED">
        <w:t>DeMets</w:t>
      </w:r>
      <w:proofErr w:type="spellEnd"/>
      <w:r w:rsidRPr="00FD35ED">
        <w:t xml:space="preserve"> approach to adjust for situations where the actual number of events up to the </w:t>
      </w:r>
      <w:r w:rsidR="001C7332" w:rsidRPr="00FD35ED">
        <w:t xml:space="preserve">data cut-off date </w:t>
      </w:r>
      <w:r w:rsidRPr="00FD35ED">
        <w:t>for a given interim analysis did not match the planned number.</w:t>
      </w:r>
      <w:r w:rsidR="007A4661" w:rsidRPr="00FD35ED">
        <w:rPr>
          <w:rStyle w:val="FootnoteReference"/>
        </w:rPr>
        <w:footnoteReference w:id="64"/>
      </w:r>
    </w:p>
    <w:p w14:paraId="5412BCE6" w14:textId="1ADFA811" w:rsidR="00222799" w:rsidRPr="00FD35ED" w:rsidRDefault="00222799" w:rsidP="00985193">
      <w:r w:rsidRPr="00FD35ED">
        <w:t xml:space="preserve">The </w:t>
      </w:r>
      <w:r w:rsidR="001E10CF">
        <w:t>progression</w:t>
      </w:r>
      <w:r w:rsidR="00FB4056">
        <w:t xml:space="preserve"> </w:t>
      </w:r>
      <w:r w:rsidR="001E10CF">
        <w:t xml:space="preserve">free survival </w:t>
      </w:r>
      <w:r w:rsidRPr="00FD35ED">
        <w:t xml:space="preserve">analysis could be performed once 274 progression or death events had occurred. Assuming a median </w:t>
      </w:r>
      <w:r w:rsidR="005A6EF3" w:rsidRPr="005A6EF3">
        <w:t>progression free survival</w:t>
      </w:r>
      <w:r w:rsidRPr="00FD35ED">
        <w:t xml:space="preserve"> of 5 months in the </w:t>
      </w:r>
      <w:proofErr w:type="spellStart"/>
      <w:r w:rsidRPr="00FD35ED">
        <w:t>tebentafusp</w:t>
      </w:r>
      <w:proofErr w:type="spellEnd"/>
      <w:r w:rsidRPr="00FD35ED">
        <w:t xml:space="preserve"> arm and 3.3</w:t>
      </w:r>
      <w:r w:rsidR="001E10CF">
        <w:t> </w:t>
      </w:r>
      <w:r w:rsidRPr="00FD35ED">
        <w:t xml:space="preserve">months in the </w:t>
      </w:r>
      <w:r w:rsidR="001E10CF">
        <w:t>investigator’s choice of treatment arm</w:t>
      </w:r>
      <w:r w:rsidRPr="00FD35ED">
        <w:t xml:space="preserve">, a </w:t>
      </w:r>
      <w:r w:rsidR="007806A6" w:rsidRPr="007806A6">
        <w:t>hazard ratio</w:t>
      </w:r>
      <w:r w:rsidRPr="00FD35ED">
        <w:t xml:space="preserve"> of 0.66, and the same accrual and drop-out assumptions described above for </w:t>
      </w:r>
      <w:r w:rsidR="00EC2FAE" w:rsidRPr="00EC2FAE">
        <w:t>overall survival</w:t>
      </w:r>
      <w:r w:rsidRPr="00FD35ED">
        <w:t xml:space="preserve">, the analysis of </w:t>
      </w:r>
      <w:r w:rsidR="005A6EF3" w:rsidRPr="005A6EF3">
        <w:t>progression free survival</w:t>
      </w:r>
      <w:r w:rsidRPr="00FD35ED">
        <w:t xml:space="preserve"> was expected to have 90% power to demonstrate a difference between arms. Due to the higher hazard of progression events relative to death events, the required number of </w:t>
      </w:r>
      <w:r w:rsidR="005A6EF3" w:rsidRPr="005A6EF3">
        <w:t>progression free survival</w:t>
      </w:r>
      <w:r w:rsidRPr="00FD35ED">
        <w:t xml:space="preserve"> events was expected to (and did) occur prior to the first interim analysis of </w:t>
      </w:r>
      <w:r w:rsidR="00EC2FAE" w:rsidRPr="00EC2FAE">
        <w:t>overall survival</w:t>
      </w:r>
      <w:r w:rsidRPr="00FD35ED">
        <w:t>.</w:t>
      </w:r>
    </w:p>
    <w:p w14:paraId="6DE5B49E" w14:textId="41548DEC" w:rsidR="00222799" w:rsidRPr="00FD35ED" w:rsidRDefault="00222799" w:rsidP="00985193">
      <w:r w:rsidRPr="00FD35ED">
        <w:t xml:space="preserve">Protocol amendments and deviations were reviewed by the regulators and are considered unlikely to have altered study conclusions. Compliance with </w:t>
      </w:r>
      <w:r w:rsidR="00EE3CAF" w:rsidRPr="00FD35ED">
        <w:t>Good Clinical Practice;</w:t>
      </w:r>
      <w:r w:rsidR="00EE3CAF" w:rsidRPr="00FD35ED">
        <w:rPr>
          <w:rStyle w:val="FootnoteReference"/>
        </w:rPr>
        <w:footnoteReference w:id="65"/>
      </w:r>
      <w:r w:rsidRPr="00FD35ED">
        <w:t xml:space="preserve"> was audited by </w:t>
      </w:r>
      <w:r w:rsidR="00EE3CAF" w:rsidRPr="00FD35ED">
        <w:t xml:space="preserve">the </w:t>
      </w:r>
      <w:r w:rsidRPr="00FD35ED">
        <w:t>FDA.</w:t>
      </w:r>
    </w:p>
    <w:p w14:paraId="2D445C3A" w14:textId="229E0F88" w:rsidR="00222799" w:rsidRPr="00FD35ED" w:rsidRDefault="00222799" w:rsidP="00985193">
      <w:pPr>
        <w:pStyle w:val="Heading6"/>
      </w:pPr>
      <w:r w:rsidRPr="00FD35ED">
        <w:t>Population</w:t>
      </w:r>
      <w:r w:rsidR="003A6B05">
        <w:t xml:space="preserve"> demographics and baseline disease characteristics</w:t>
      </w:r>
    </w:p>
    <w:p w14:paraId="3292F5DD" w14:textId="23A1EEA3" w:rsidR="00222799" w:rsidRPr="00FD35ED" w:rsidRDefault="00222799" w:rsidP="00985193">
      <w:r w:rsidRPr="00FD35ED">
        <w:t xml:space="preserve">Patients were randomised across 58 sites in 14 countries (US, Germany, France, United Kingdom, Poland, Canada, Australia, Belgium, Spain, Switzerland, Ukraine, Russia, Italy, and the Netherlands). In total, 17 patients were randomised </w:t>
      </w:r>
      <w:r w:rsidR="003A6B05">
        <w:t>at</w:t>
      </w:r>
      <w:r w:rsidR="003A6B05" w:rsidRPr="00FD35ED">
        <w:t xml:space="preserve"> </w:t>
      </w:r>
      <w:r w:rsidRPr="00FD35ED">
        <w:t>Australian sites: 9</w:t>
      </w:r>
      <w:r w:rsidR="003A6B05">
        <w:t xml:space="preserve"> patients </w:t>
      </w:r>
      <w:r w:rsidRPr="00FD35ED">
        <w:t>to</w:t>
      </w:r>
      <w:r w:rsidR="003A6B05">
        <w:t xml:space="preserve"> the </w:t>
      </w:r>
      <w:proofErr w:type="spellStart"/>
      <w:r w:rsidRPr="00FD35ED">
        <w:t>tebentafusp</w:t>
      </w:r>
      <w:proofErr w:type="spellEnd"/>
      <w:r w:rsidR="003A6B05">
        <w:t>-treatment arm</w:t>
      </w:r>
      <w:r w:rsidRPr="00FD35ED">
        <w:t xml:space="preserve"> and 8 to </w:t>
      </w:r>
      <w:r w:rsidR="00433FFA">
        <w:t>investigator’s choice of t</w:t>
      </w:r>
      <w:r w:rsidR="003A6B05">
        <w:t>reatment</w:t>
      </w:r>
      <w:r w:rsidR="00433FFA">
        <w:t xml:space="preserve"> arm</w:t>
      </w:r>
      <w:r w:rsidRPr="00FD35ED">
        <w:t>.</w:t>
      </w:r>
    </w:p>
    <w:p w14:paraId="4AEEDC20" w14:textId="4554AA6F" w:rsidR="00222799" w:rsidRPr="00FD35ED" w:rsidRDefault="00222799" w:rsidP="00985193">
      <w:r w:rsidRPr="00FD35ED">
        <w:t>Demographics and baseline disease characteristics were generally similar between treatment arms, suggestive of intact randomisation, and in keeping with what would be expected for a first</w:t>
      </w:r>
      <w:r w:rsidR="00DB43A5" w:rsidRPr="00FD35ED">
        <w:t xml:space="preserve"> </w:t>
      </w:r>
      <w:r w:rsidRPr="00FD35ED">
        <w:t xml:space="preserve">line </w:t>
      </w:r>
      <w:r w:rsidR="001212BF" w:rsidRPr="00FD35ED">
        <w:t>metastatic uveal melanoma</w:t>
      </w:r>
      <w:r w:rsidRPr="00FD35ED">
        <w:t xml:space="preserve"> population in Australia. Amongst the ITT group, the median age was 64 years (range 23 to 92); 50% were female; 87% were Caucasian; 73% had a baseline </w:t>
      </w:r>
      <w:r w:rsidR="00EE3CAF" w:rsidRPr="00FD35ED">
        <w:t>Eastern Cooperative Oncology Group Performance Status;</w:t>
      </w:r>
      <w:r w:rsidR="00EE3CAF" w:rsidRPr="00FD35ED">
        <w:rPr>
          <w:rStyle w:val="FootnoteReference"/>
        </w:rPr>
        <w:footnoteReference w:id="66"/>
      </w:r>
      <w:r w:rsidRPr="00FD35ED">
        <w:t xml:space="preserve"> </w:t>
      </w:r>
      <w:r w:rsidRPr="00FD35ED">
        <w:lastRenderedPageBreak/>
        <w:t xml:space="preserve">of 0; 76% had a primary lesion derived from the choroid, around 7% had metastatic disease at diagnosis, 36% had an elevated baseline LDH level; and 94% had liver metastasis. The rate of prior surgical management of oligometastatic disease was 7% in the </w:t>
      </w:r>
      <w:r w:rsidR="00433FFA">
        <w:t xml:space="preserve">investigator’s choice of treatment </w:t>
      </w:r>
      <w:r w:rsidRPr="00FD35ED">
        <w:t xml:space="preserve">arm and 10% in the </w:t>
      </w:r>
      <w:proofErr w:type="spellStart"/>
      <w:r w:rsidRPr="00FD35ED">
        <w:t>tebentafusp</w:t>
      </w:r>
      <w:proofErr w:type="spellEnd"/>
      <w:r w:rsidR="00433FFA">
        <w:t>-treatment</w:t>
      </w:r>
      <w:r w:rsidRPr="00FD35ED">
        <w:t xml:space="preserve"> arm. For </w:t>
      </w:r>
      <w:proofErr w:type="gramStart"/>
      <w:r w:rsidRPr="00FD35ED">
        <w:t>the majority of</w:t>
      </w:r>
      <w:proofErr w:type="gramEnd"/>
      <w:r w:rsidRPr="00FD35ED">
        <w:t xml:space="preserve"> patients (80%), the pre-randomisation choice of therapy was pembrolizumab.</w:t>
      </w:r>
    </w:p>
    <w:p w14:paraId="487FA459" w14:textId="77777777" w:rsidR="00222799" w:rsidRPr="00FD35ED" w:rsidRDefault="00222799" w:rsidP="00222799">
      <w:pPr>
        <w:pStyle w:val="Heading6"/>
      </w:pPr>
      <w:r w:rsidRPr="00FD35ED">
        <w:t>Disposition</w:t>
      </w:r>
    </w:p>
    <w:p w14:paraId="63D0B34F" w14:textId="48105ACA" w:rsidR="00222799" w:rsidRPr="00FD35ED" w:rsidRDefault="00222799" w:rsidP="00985193">
      <w:r w:rsidRPr="00FD35ED">
        <w:t xml:space="preserve">At the </w:t>
      </w:r>
      <w:r w:rsidR="001C7332" w:rsidRPr="00FD35ED">
        <w:t>data cut-off</w:t>
      </w:r>
      <w:r w:rsidRPr="00FD35ED">
        <w:t xml:space="preserve"> for the interim </w:t>
      </w:r>
      <w:r w:rsidR="00433FFA">
        <w:t>overall survival</w:t>
      </w:r>
      <w:r w:rsidR="00433FFA" w:rsidRPr="00FD35ED">
        <w:t xml:space="preserve"> </w:t>
      </w:r>
      <w:r w:rsidRPr="00FD35ED">
        <w:t>analysis, the median duration of follow-up for all patients was 14 months (range 13</w:t>
      </w:r>
      <w:r w:rsidR="00DB43A5" w:rsidRPr="00FD35ED">
        <w:t xml:space="preserve"> to </w:t>
      </w:r>
      <w:r w:rsidRPr="00FD35ED">
        <w:t xml:space="preserve">15). Some key patient disposition information for the ITT is summarised in </w:t>
      </w:r>
      <w:r w:rsidRPr="00FD35ED">
        <w:fldChar w:fldCharType="begin"/>
      </w:r>
      <w:r w:rsidRPr="00FD35ED">
        <w:instrText xml:space="preserve"> REF _Ref95924535 \h </w:instrText>
      </w:r>
      <w:r w:rsidR="00985193" w:rsidRPr="00FD35ED">
        <w:instrText xml:space="preserve"> \* MERGEFORMAT </w:instrText>
      </w:r>
      <w:r w:rsidRPr="00FD35ED">
        <w:fldChar w:fldCharType="separate"/>
      </w:r>
      <w:r w:rsidR="00301C3E" w:rsidRPr="00856E21">
        <w:t xml:space="preserve">Table </w:t>
      </w:r>
      <w:r w:rsidR="00301C3E">
        <w:t>3</w:t>
      </w:r>
      <w:r w:rsidRPr="00FD35ED">
        <w:fldChar w:fldCharType="end"/>
      </w:r>
      <w:r w:rsidR="002E2A38" w:rsidRPr="00FD35ED">
        <w:t xml:space="preserve"> below</w:t>
      </w:r>
      <w:r w:rsidRPr="00FD35ED">
        <w:t>.</w:t>
      </w:r>
    </w:p>
    <w:p w14:paraId="587BDAC1" w14:textId="164C9798" w:rsidR="00222799" w:rsidRDefault="00222799" w:rsidP="00985193">
      <w:r w:rsidRPr="00FD35ED">
        <w:t xml:space="preserve">There was an imbalance across the treatment arms in patients who were randomised but did not receive treatment. Of these patients, 3 in the </w:t>
      </w:r>
      <w:proofErr w:type="spellStart"/>
      <w:r w:rsidRPr="00FD35ED">
        <w:t>tebentafusp</w:t>
      </w:r>
      <w:proofErr w:type="spellEnd"/>
      <w:r w:rsidRPr="00FD35ED">
        <w:t xml:space="preserve"> arm and 10 in the </w:t>
      </w:r>
      <w:r w:rsidR="00433FFA">
        <w:t xml:space="preserve">investigator’s choice of treatment </w:t>
      </w:r>
      <w:r w:rsidRPr="00FD35ED">
        <w:t>arm were still being followed for survival at the data cut-off date for the primary analysis (13</w:t>
      </w:r>
      <w:r w:rsidR="002E2A38" w:rsidRPr="00FD35ED">
        <w:t> </w:t>
      </w:r>
      <w:r w:rsidRPr="00FD35ED">
        <w:t xml:space="preserve">October 2020). At least 6 patients randomised to </w:t>
      </w:r>
      <w:r w:rsidR="001E10CF">
        <w:t xml:space="preserve">the investigator’s choice of treatment arm </w:t>
      </w:r>
      <w:r w:rsidRPr="00FD35ED">
        <w:t>who then decided not to continue with the study subsequently received anti-PD(L)1 or anti-CTLA4 therapy (5 of these patients received both in combination).</w:t>
      </w:r>
    </w:p>
    <w:p w14:paraId="2283FE06" w14:textId="4B6EF3C7" w:rsidR="00222799" w:rsidRPr="00856E21" w:rsidRDefault="00222799" w:rsidP="00856E21">
      <w:pPr>
        <w:pStyle w:val="TableTitle"/>
      </w:pPr>
      <w:bookmarkStart w:id="72" w:name="_Ref95924535"/>
      <w:r w:rsidRPr="00856E21">
        <w:t xml:space="preserve">Table </w:t>
      </w:r>
      <w:fldSimple w:instr=" SEQ Table \* ARABIC ">
        <w:r w:rsidR="00301C3E">
          <w:rPr>
            <w:noProof/>
          </w:rPr>
          <w:t>3</w:t>
        </w:r>
      </w:fldSimple>
      <w:bookmarkEnd w:id="72"/>
      <w:r w:rsidR="001C7332" w:rsidRPr="00856E21">
        <w:t>:</w:t>
      </w:r>
      <w:r w:rsidRPr="00856E21">
        <w:t xml:space="preserve"> </w:t>
      </w:r>
      <w:r w:rsidR="001C7332" w:rsidRPr="00856E21">
        <w:t xml:space="preserve">Study 202 </w:t>
      </w:r>
      <w:r w:rsidRPr="00856E21">
        <w:t>Patient disposition (</w:t>
      </w:r>
      <w:r w:rsidR="001C7332" w:rsidRPr="00856E21">
        <w:t>intention-to-treat</w:t>
      </w:r>
      <w:r w:rsidR="00431E29" w:rsidRPr="00856E21">
        <w:t xml:space="preserve"> analysis </w:t>
      </w:r>
      <w:bookmarkStart w:id="73" w:name="_Hlk113451980"/>
      <w:r w:rsidR="00D26203" w:rsidRPr="00856E21">
        <w:t>population</w:t>
      </w:r>
      <w:bookmarkEnd w:id="73"/>
      <w:r w:rsidR="00431E29" w:rsidRPr="00856E21">
        <w:t xml:space="preserve">; </w:t>
      </w:r>
      <w:r w:rsidR="001C7332" w:rsidRPr="00856E21">
        <w:t>data cut</w:t>
      </w:r>
      <w:r w:rsidR="00D26203" w:rsidRPr="00856E21">
        <w:noBreakHyphen/>
      </w:r>
      <w:r w:rsidR="001C7332" w:rsidRPr="00856E21">
        <w:t>off date:</w:t>
      </w:r>
      <w:r w:rsidR="00431E29" w:rsidRPr="00856E21">
        <w:t xml:space="preserve"> </w:t>
      </w:r>
      <w:r w:rsidRPr="00856E21">
        <w:t>13</w:t>
      </w:r>
      <w:r w:rsidR="00431E29" w:rsidRPr="00856E21">
        <w:t> </w:t>
      </w:r>
      <w:r w:rsidRPr="00856E21">
        <w:t>Oct</w:t>
      </w:r>
      <w:r w:rsidR="00AE1769" w:rsidRPr="00856E21">
        <w:t>ober</w:t>
      </w:r>
      <w:r w:rsidRPr="00856E21">
        <w:t xml:space="preserve"> 2020</w:t>
      </w:r>
      <w:r w:rsidR="001C7332" w:rsidRPr="00856E21">
        <w:t>)</w:t>
      </w:r>
    </w:p>
    <w:tbl>
      <w:tblPr>
        <w:tblStyle w:val="TableTGAblue"/>
        <w:tblW w:w="8354" w:type="dxa"/>
        <w:tblLayout w:type="fixed"/>
        <w:tblLook w:val="01E0" w:firstRow="1" w:lastRow="1" w:firstColumn="1" w:lastColumn="1" w:noHBand="0" w:noVBand="0"/>
      </w:tblPr>
      <w:tblGrid>
        <w:gridCol w:w="1975"/>
        <w:gridCol w:w="2693"/>
        <w:gridCol w:w="1701"/>
        <w:gridCol w:w="1985"/>
      </w:tblGrid>
      <w:tr w:rsidR="00222799" w:rsidRPr="00FD35ED" w14:paraId="77814B95" w14:textId="77777777" w:rsidTr="00180CDD">
        <w:trPr>
          <w:cnfStyle w:val="100000000000" w:firstRow="1" w:lastRow="0" w:firstColumn="0" w:lastColumn="0" w:oddVBand="0" w:evenVBand="0" w:oddHBand="0" w:evenHBand="0" w:firstRowFirstColumn="0" w:firstRowLastColumn="0" w:lastRowFirstColumn="0" w:lastRowLastColumn="0"/>
          <w:trHeight w:val="455"/>
        </w:trPr>
        <w:tc>
          <w:tcPr>
            <w:tcW w:w="4668" w:type="dxa"/>
            <w:gridSpan w:val="2"/>
          </w:tcPr>
          <w:p w14:paraId="3CB4F2D6" w14:textId="77777777" w:rsidR="00222799" w:rsidRPr="00FD35ED" w:rsidRDefault="00222799" w:rsidP="00431E29">
            <w:pPr>
              <w:pStyle w:val="Tabletext"/>
              <w:ind w:left="0" w:right="0"/>
            </w:pPr>
          </w:p>
        </w:tc>
        <w:tc>
          <w:tcPr>
            <w:tcW w:w="1701" w:type="dxa"/>
          </w:tcPr>
          <w:p w14:paraId="3B314ADE" w14:textId="421C3CF8" w:rsidR="00433FFA" w:rsidRDefault="00222799" w:rsidP="00431E29">
            <w:pPr>
              <w:pStyle w:val="Tabletext"/>
              <w:ind w:left="0" w:right="0"/>
            </w:pPr>
            <w:proofErr w:type="spellStart"/>
            <w:r w:rsidRPr="00FD35ED">
              <w:t>Tebentafusp</w:t>
            </w:r>
            <w:proofErr w:type="spellEnd"/>
            <w:r w:rsidR="00433FFA">
              <w:t xml:space="preserve"> arm</w:t>
            </w:r>
          </w:p>
          <w:p w14:paraId="75B913C9" w14:textId="6160605F" w:rsidR="00222799" w:rsidRPr="00FD35ED" w:rsidRDefault="00222799" w:rsidP="00431E29">
            <w:pPr>
              <w:pStyle w:val="Tabletext"/>
              <w:ind w:left="0" w:right="0"/>
            </w:pPr>
            <w:r w:rsidRPr="00FD35ED">
              <w:t>(n</w:t>
            </w:r>
            <w:r w:rsidR="00F97E3A" w:rsidRPr="00FD35ED">
              <w:t xml:space="preserve"> </w:t>
            </w:r>
            <w:r w:rsidRPr="00FD35ED">
              <w:t>=</w:t>
            </w:r>
            <w:r w:rsidR="00F97E3A" w:rsidRPr="00FD35ED">
              <w:t xml:space="preserve"> </w:t>
            </w:r>
            <w:r w:rsidRPr="00FD35ED">
              <w:t>252)</w:t>
            </w:r>
          </w:p>
        </w:tc>
        <w:tc>
          <w:tcPr>
            <w:tcW w:w="1985" w:type="dxa"/>
          </w:tcPr>
          <w:p w14:paraId="58390DCA" w14:textId="455F5520" w:rsidR="00222799" w:rsidRPr="009E35BB" w:rsidRDefault="00431E29" w:rsidP="00431E29">
            <w:pPr>
              <w:pStyle w:val="Tabletext"/>
              <w:ind w:left="0" w:right="0"/>
              <w:rPr>
                <w:vertAlign w:val="superscript"/>
              </w:rPr>
            </w:pPr>
            <w:r w:rsidRPr="00FD35ED">
              <w:t>Investigator’s choice</w:t>
            </w:r>
            <w:r w:rsidR="00433FFA">
              <w:t xml:space="preserve"> of </w:t>
            </w:r>
            <w:proofErr w:type="spellStart"/>
            <w:r w:rsidR="00433FFA">
              <w:t>treatment</w:t>
            </w:r>
            <w:r w:rsidR="00433FFA">
              <w:rPr>
                <w:vertAlign w:val="superscript"/>
              </w:rPr>
              <w:t>a</w:t>
            </w:r>
            <w:proofErr w:type="spellEnd"/>
          </w:p>
          <w:p w14:paraId="1FD2DD52" w14:textId="290D6710" w:rsidR="00222799" w:rsidRPr="00FD35ED" w:rsidRDefault="00222799" w:rsidP="00431E29">
            <w:pPr>
              <w:pStyle w:val="Tabletext"/>
              <w:ind w:left="0" w:right="0"/>
            </w:pPr>
            <w:r w:rsidRPr="00FD35ED">
              <w:t>(n</w:t>
            </w:r>
            <w:r w:rsidR="00F97E3A" w:rsidRPr="00FD35ED">
              <w:t xml:space="preserve"> </w:t>
            </w:r>
            <w:r w:rsidRPr="00FD35ED">
              <w:t>=</w:t>
            </w:r>
            <w:r w:rsidR="00F97E3A" w:rsidRPr="00FD35ED">
              <w:t xml:space="preserve"> </w:t>
            </w:r>
            <w:r w:rsidRPr="00FD35ED">
              <w:t>126)</w:t>
            </w:r>
          </w:p>
        </w:tc>
      </w:tr>
      <w:tr w:rsidR="00222799" w:rsidRPr="00FD35ED" w14:paraId="43862D4E" w14:textId="77777777" w:rsidTr="00180CDD">
        <w:trPr>
          <w:trHeight w:val="20"/>
        </w:trPr>
        <w:tc>
          <w:tcPr>
            <w:tcW w:w="4668" w:type="dxa"/>
            <w:gridSpan w:val="2"/>
          </w:tcPr>
          <w:p w14:paraId="363D8732" w14:textId="77777777" w:rsidR="00222799" w:rsidRPr="00FD35ED" w:rsidRDefault="00222799" w:rsidP="00431E29">
            <w:pPr>
              <w:pStyle w:val="Tabletext"/>
              <w:ind w:left="0" w:right="0"/>
            </w:pPr>
            <w:r w:rsidRPr="009E35BB">
              <w:rPr>
                <w:b/>
              </w:rPr>
              <w:t>Patients randomised but not treated</w:t>
            </w:r>
            <w:r w:rsidRPr="00FD35ED">
              <w:t>, n (%)</w:t>
            </w:r>
          </w:p>
        </w:tc>
        <w:tc>
          <w:tcPr>
            <w:tcW w:w="1701" w:type="dxa"/>
          </w:tcPr>
          <w:p w14:paraId="71784A93" w14:textId="77777777" w:rsidR="00222799" w:rsidRPr="00FD35ED" w:rsidRDefault="00222799" w:rsidP="00431E29">
            <w:pPr>
              <w:pStyle w:val="Tabletext"/>
              <w:ind w:left="0" w:right="0"/>
            </w:pPr>
            <w:r w:rsidRPr="00FD35ED">
              <w:t>7 (3%)</w:t>
            </w:r>
          </w:p>
        </w:tc>
        <w:tc>
          <w:tcPr>
            <w:tcW w:w="1985" w:type="dxa"/>
          </w:tcPr>
          <w:p w14:paraId="2ED1D932" w14:textId="77777777" w:rsidR="00222799" w:rsidRPr="00FD35ED" w:rsidRDefault="00222799" w:rsidP="00431E29">
            <w:pPr>
              <w:pStyle w:val="Tabletext"/>
              <w:ind w:left="0" w:right="0"/>
            </w:pPr>
            <w:r w:rsidRPr="00FD35ED">
              <w:t>15 (12%)</w:t>
            </w:r>
          </w:p>
        </w:tc>
      </w:tr>
      <w:tr w:rsidR="00222799" w:rsidRPr="00FD35ED" w14:paraId="62E7668E" w14:textId="77777777" w:rsidTr="00180CDD">
        <w:trPr>
          <w:trHeight w:val="20"/>
        </w:trPr>
        <w:tc>
          <w:tcPr>
            <w:tcW w:w="1975" w:type="dxa"/>
            <w:vMerge w:val="restart"/>
          </w:tcPr>
          <w:p w14:paraId="0D84D085" w14:textId="77777777" w:rsidR="00222799" w:rsidRPr="00FD35ED" w:rsidRDefault="00222799" w:rsidP="00431E29">
            <w:pPr>
              <w:pStyle w:val="Tabletext"/>
              <w:ind w:left="0" w:right="0"/>
            </w:pPr>
            <w:r w:rsidRPr="009E35BB">
              <w:rPr>
                <w:b/>
              </w:rPr>
              <w:t>Reason for no treatment</w:t>
            </w:r>
            <w:r w:rsidRPr="00FD35ED">
              <w:t>, n</w:t>
            </w:r>
          </w:p>
        </w:tc>
        <w:tc>
          <w:tcPr>
            <w:tcW w:w="2693" w:type="dxa"/>
          </w:tcPr>
          <w:p w14:paraId="3B404739" w14:textId="77777777" w:rsidR="00222799" w:rsidRPr="00FD35ED" w:rsidRDefault="00222799" w:rsidP="00431E29">
            <w:pPr>
              <w:pStyle w:val="Tabletext"/>
              <w:ind w:left="0" w:right="0"/>
            </w:pPr>
            <w:r w:rsidRPr="00FD35ED">
              <w:t>Patient decision/withdrew consent</w:t>
            </w:r>
          </w:p>
        </w:tc>
        <w:tc>
          <w:tcPr>
            <w:tcW w:w="1701" w:type="dxa"/>
          </w:tcPr>
          <w:p w14:paraId="2BF9256F" w14:textId="77777777" w:rsidR="00222799" w:rsidRPr="00FD35ED" w:rsidRDefault="00222799" w:rsidP="00431E29">
            <w:pPr>
              <w:pStyle w:val="Tabletext"/>
              <w:ind w:left="0" w:right="0"/>
            </w:pPr>
            <w:r w:rsidRPr="00FD35ED">
              <w:t>4</w:t>
            </w:r>
          </w:p>
        </w:tc>
        <w:tc>
          <w:tcPr>
            <w:tcW w:w="1985" w:type="dxa"/>
          </w:tcPr>
          <w:p w14:paraId="101DD0FE" w14:textId="77777777" w:rsidR="00222799" w:rsidRPr="00FD35ED" w:rsidRDefault="00222799" w:rsidP="00431E29">
            <w:pPr>
              <w:pStyle w:val="Tabletext"/>
              <w:ind w:left="0" w:right="0"/>
            </w:pPr>
            <w:r w:rsidRPr="00FD35ED">
              <w:t>14</w:t>
            </w:r>
          </w:p>
        </w:tc>
      </w:tr>
      <w:tr w:rsidR="00222799" w:rsidRPr="00FD35ED" w14:paraId="77C91745" w14:textId="77777777" w:rsidTr="00180CDD">
        <w:trPr>
          <w:trHeight w:val="20"/>
        </w:trPr>
        <w:tc>
          <w:tcPr>
            <w:tcW w:w="1975" w:type="dxa"/>
            <w:vMerge/>
          </w:tcPr>
          <w:p w14:paraId="62563DF6" w14:textId="77777777" w:rsidR="00222799" w:rsidRPr="00FD35ED" w:rsidRDefault="00222799" w:rsidP="00431E29">
            <w:pPr>
              <w:pStyle w:val="Tabletext"/>
              <w:ind w:left="0" w:right="0"/>
            </w:pPr>
          </w:p>
        </w:tc>
        <w:tc>
          <w:tcPr>
            <w:tcW w:w="2693" w:type="dxa"/>
          </w:tcPr>
          <w:p w14:paraId="2193E12F" w14:textId="55BA35AF" w:rsidR="00222799" w:rsidRPr="00FD35ED" w:rsidRDefault="00222799" w:rsidP="00431E29">
            <w:pPr>
              <w:pStyle w:val="Tabletext"/>
              <w:ind w:left="0" w:right="0"/>
            </w:pPr>
            <w:r w:rsidRPr="00FD35ED">
              <w:t>Adverse even</w:t>
            </w:r>
            <w:r w:rsidR="001C7332" w:rsidRPr="00FD35ED">
              <w:t>t</w:t>
            </w:r>
          </w:p>
        </w:tc>
        <w:tc>
          <w:tcPr>
            <w:tcW w:w="1701" w:type="dxa"/>
          </w:tcPr>
          <w:p w14:paraId="4132813F" w14:textId="77777777" w:rsidR="00222799" w:rsidRPr="00FD35ED" w:rsidRDefault="00222799" w:rsidP="00431E29">
            <w:pPr>
              <w:pStyle w:val="Tabletext"/>
              <w:ind w:left="0" w:right="0"/>
            </w:pPr>
            <w:r w:rsidRPr="00FD35ED">
              <w:t>2</w:t>
            </w:r>
          </w:p>
        </w:tc>
        <w:tc>
          <w:tcPr>
            <w:tcW w:w="1985" w:type="dxa"/>
          </w:tcPr>
          <w:p w14:paraId="49951811" w14:textId="77777777" w:rsidR="00222799" w:rsidRPr="00FD35ED" w:rsidRDefault="00222799" w:rsidP="00431E29">
            <w:pPr>
              <w:pStyle w:val="Tabletext"/>
              <w:ind w:left="0" w:right="0"/>
            </w:pPr>
            <w:r w:rsidRPr="00FD35ED">
              <w:t>0</w:t>
            </w:r>
          </w:p>
        </w:tc>
      </w:tr>
      <w:tr w:rsidR="00222799" w:rsidRPr="00FD35ED" w14:paraId="59A29304" w14:textId="77777777" w:rsidTr="00180CDD">
        <w:trPr>
          <w:trHeight w:val="20"/>
        </w:trPr>
        <w:tc>
          <w:tcPr>
            <w:tcW w:w="1975" w:type="dxa"/>
            <w:vMerge/>
          </w:tcPr>
          <w:p w14:paraId="788E9CC3" w14:textId="77777777" w:rsidR="00222799" w:rsidRPr="00FD35ED" w:rsidRDefault="00222799" w:rsidP="00431E29">
            <w:pPr>
              <w:pStyle w:val="Tabletext"/>
              <w:ind w:left="0" w:right="0"/>
            </w:pPr>
          </w:p>
        </w:tc>
        <w:tc>
          <w:tcPr>
            <w:tcW w:w="2693" w:type="dxa"/>
          </w:tcPr>
          <w:p w14:paraId="1220D7DC" w14:textId="77777777" w:rsidR="00222799" w:rsidRPr="00FD35ED" w:rsidRDefault="00222799" w:rsidP="00431E29">
            <w:pPr>
              <w:pStyle w:val="Tabletext"/>
              <w:ind w:left="0" w:right="0"/>
            </w:pPr>
            <w:r w:rsidRPr="00FD35ED">
              <w:t>Didn’t meet eligibility criteria and unsafe to continue</w:t>
            </w:r>
          </w:p>
        </w:tc>
        <w:tc>
          <w:tcPr>
            <w:tcW w:w="1701" w:type="dxa"/>
          </w:tcPr>
          <w:p w14:paraId="1105BF82" w14:textId="77777777" w:rsidR="00222799" w:rsidRPr="00FD35ED" w:rsidRDefault="00222799" w:rsidP="00431E29">
            <w:pPr>
              <w:pStyle w:val="Tabletext"/>
              <w:ind w:left="0" w:right="0"/>
            </w:pPr>
            <w:r w:rsidRPr="00FD35ED">
              <w:t>1</w:t>
            </w:r>
          </w:p>
        </w:tc>
        <w:tc>
          <w:tcPr>
            <w:tcW w:w="1985" w:type="dxa"/>
          </w:tcPr>
          <w:p w14:paraId="249094A0" w14:textId="77777777" w:rsidR="00222799" w:rsidRPr="00FD35ED" w:rsidRDefault="00222799" w:rsidP="00431E29">
            <w:pPr>
              <w:pStyle w:val="Tabletext"/>
              <w:ind w:left="0" w:right="0"/>
            </w:pPr>
            <w:r w:rsidRPr="00FD35ED">
              <w:t>1</w:t>
            </w:r>
          </w:p>
        </w:tc>
      </w:tr>
      <w:tr w:rsidR="00222799" w:rsidRPr="00FD35ED" w14:paraId="261F3A00" w14:textId="77777777" w:rsidTr="00180CDD">
        <w:trPr>
          <w:trHeight w:val="20"/>
        </w:trPr>
        <w:tc>
          <w:tcPr>
            <w:tcW w:w="4668" w:type="dxa"/>
            <w:gridSpan w:val="2"/>
          </w:tcPr>
          <w:p w14:paraId="4CEEF8F0" w14:textId="505BCB5D" w:rsidR="00222799" w:rsidRPr="00FD35ED" w:rsidRDefault="00222799" w:rsidP="00431E29">
            <w:pPr>
              <w:pStyle w:val="Tabletext"/>
              <w:ind w:left="0" w:right="0"/>
            </w:pPr>
            <w:r w:rsidRPr="009E35BB">
              <w:rPr>
                <w:b/>
              </w:rPr>
              <w:t>Patients who received treatment beyond RECIST</w:t>
            </w:r>
            <w:r w:rsidR="00433FFA">
              <w:rPr>
                <w:b/>
              </w:rPr>
              <w:t> </w:t>
            </w:r>
            <w:r w:rsidRPr="009E35BB">
              <w:rPr>
                <w:b/>
              </w:rPr>
              <w:t>progression</w:t>
            </w:r>
            <w:r w:rsidRPr="00FD35ED">
              <w:t>, n (%)</w:t>
            </w:r>
          </w:p>
        </w:tc>
        <w:tc>
          <w:tcPr>
            <w:tcW w:w="1701" w:type="dxa"/>
          </w:tcPr>
          <w:p w14:paraId="06D0EC07" w14:textId="77777777" w:rsidR="00222799" w:rsidRPr="00FD35ED" w:rsidRDefault="00222799" w:rsidP="00431E29">
            <w:pPr>
              <w:pStyle w:val="Tabletext"/>
              <w:ind w:left="0" w:right="0"/>
            </w:pPr>
            <w:r w:rsidRPr="00FD35ED">
              <w:t>109 (43%)</w:t>
            </w:r>
          </w:p>
        </w:tc>
        <w:tc>
          <w:tcPr>
            <w:tcW w:w="1985" w:type="dxa"/>
          </w:tcPr>
          <w:p w14:paraId="17FB7E0B" w14:textId="77777777" w:rsidR="00222799" w:rsidRPr="00FD35ED" w:rsidRDefault="00222799" w:rsidP="00431E29">
            <w:pPr>
              <w:pStyle w:val="Tabletext"/>
              <w:ind w:left="0" w:right="0"/>
            </w:pPr>
            <w:r w:rsidRPr="00FD35ED">
              <w:t>18 (14%)</w:t>
            </w:r>
          </w:p>
        </w:tc>
      </w:tr>
      <w:tr w:rsidR="00222799" w:rsidRPr="00FD35ED" w14:paraId="3DEF78E8" w14:textId="77777777" w:rsidTr="00180CDD">
        <w:trPr>
          <w:trHeight w:val="282"/>
        </w:trPr>
        <w:tc>
          <w:tcPr>
            <w:tcW w:w="1975" w:type="dxa"/>
            <w:vMerge w:val="restart"/>
          </w:tcPr>
          <w:p w14:paraId="1700C8DA" w14:textId="77777777" w:rsidR="00222799" w:rsidRPr="00FD35ED" w:rsidRDefault="00222799" w:rsidP="00431E29">
            <w:pPr>
              <w:pStyle w:val="Tabletext"/>
              <w:ind w:left="0" w:right="0"/>
            </w:pPr>
            <w:r w:rsidRPr="009E35BB">
              <w:rPr>
                <w:b/>
              </w:rPr>
              <w:t>Duration of treatment beyond progression</w:t>
            </w:r>
            <w:r w:rsidRPr="00FD35ED">
              <w:t xml:space="preserve"> (ITT)</w:t>
            </w:r>
          </w:p>
        </w:tc>
        <w:tc>
          <w:tcPr>
            <w:tcW w:w="2693" w:type="dxa"/>
          </w:tcPr>
          <w:p w14:paraId="1426052D" w14:textId="77777777" w:rsidR="00222799" w:rsidRPr="00FD35ED" w:rsidRDefault="00222799" w:rsidP="00431E29">
            <w:pPr>
              <w:pStyle w:val="Tabletext"/>
              <w:ind w:left="0" w:right="0"/>
            </w:pPr>
            <w:r w:rsidRPr="00FD35ED">
              <w:t>Mean (standard deviation), months</w:t>
            </w:r>
          </w:p>
        </w:tc>
        <w:tc>
          <w:tcPr>
            <w:tcW w:w="1701" w:type="dxa"/>
          </w:tcPr>
          <w:p w14:paraId="11A148BF" w14:textId="77777777" w:rsidR="00222799" w:rsidRPr="00FD35ED" w:rsidRDefault="00222799" w:rsidP="00431E29">
            <w:pPr>
              <w:pStyle w:val="Tabletext"/>
              <w:ind w:left="0" w:right="0"/>
            </w:pPr>
            <w:r w:rsidRPr="00FD35ED">
              <w:t>3.5 (4.6)</w:t>
            </w:r>
          </w:p>
        </w:tc>
        <w:tc>
          <w:tcPr>
            <w:tcW w:w="1985" w:type="dxa"/>
          </w:tcPr>
          <w:p w14:paraId="7370801B" w14:textId="77777777" w:rsidR="00222799" w:rsidRPr="00FD35ED" w:rsidRDefault="00222799" w:rsidP="00431E29">
            <w:pPr>
              <w:pStyle w:val="Tabletext"/>
              <w:ind w:left="0" w:right="0"/>
            </w:pPr>
            <w:r w:rsidRPr="00FD35ED">
              <w:t>2.3 (3.2)</w:t>
            </w:r>
          </w:p>
        </w:tc>
      </w:tr>
      <w:tr w:rsidR="00222799" w:rsidRPr="00FD35ED" w14:paraId="6E230295" w14:textId="77777777" w:rsidTr="00180CDD">
        <w:trPr>
          <w:trHeight w:val="282"/>
        </w:trPr>
        <w:tc>
          <w:tcPr>
            <w:tcW w:w="1975" w:type="dxa"/>
            <w:vMerge/>
          </w:tcPr>
          <w:p w14:paraId="26FE21BE" w14:textId="77777777" w:rsidR="00222799" w:rsidRPr="00FD35ED" w:rsidRDefault="00222799" w:rsidP="00431E29">
            <w:pPr>
              <w:pStyle w:val="Tabletext"/>
              <w:ind w:left="0" w:right="0"/>
            </w:pPr>
          </w:p>
        </w:tc>
        <w:tc>
          <w:tcPr>
            <w:tcW w:w="2693" w:type="dxa"/>
          </w:tcPr>
          <w:p w14:paraId="7E61381B" w14:textId="77777777" w:rsidR="00222799" w:rsidRPr="00FD35ED" w:rsidRDefault="00222799" w:rsidP="00431E29">
            <w:pPr>
              <w:pStyle w:val="Tabletext"/>
              <w:ind w:left="0" w:right="0"/>
            </w:pPr>
            <w:r w:rsidRPr="00FD35ED">
              <w:t>&lt; 12 weeks, n (%)</w:t>
            </w:r>
          </w:p>
        </w:tc>
        <w:tc>
          <w:tcPr>
            <w:tcW w:w="1701" w:type="dxa"/>
          </w:tcPr>
          <w:p w14:paraId="72B26BF3" w14:textId="77777777" w:rsidR="00222799" w:rsidRPr="00FD35ED" w:rsidRDefault="00222799" w:rsidP="00431E29">
            <w:pPr>
              <w:pStyle w:val="Tabletext"/>
              <w:ind w:left="0" w:right="0"/>
            </w:pPr>
            <w:r w:rsidRPr="00FD35ED">
              <w:t>70 (28%)</w:t>
            </w:r>
          </w:p>
        </w:tc>
        <w:tc>
          <w:tcPr>
            <w:tcW w:w="1985" w:type="dxa"/>
          </w:tcPr>
          <w:p w14:paraId="41E44B21" w14:textId="77777777" w:rsidR="00222799" w:rsidRPr="00FD35ED" w:rsidRDefault="00222799" w:rsidP="00431E29">
            <w:pPr>
              <w:pStyle w:val="Tabletext"/>
              <w:ind w:left="0" w:right="0"/>
            </w:pPr>
            <w:r w:rsidRPr="00FD35ED">
              <w:t>15 (12%)</w:t>
            </w:r>
          </w:p>
        </w:tc>
      </w:tr>
      <w:tr w:rsidR="00222799" w:rsidRPr="00FD35ED" w14:paraId="23E7EB90" w14:textId="77777777" w:rsidTr="00180CDD">
        <w:trPr>
          <w:trHeight w:val="280"/>
        </w:trPr>
        <w:tc>
          <w:tcPr>
            <w:tcW w:w="1975" w:type="dxa"/>
            <w:vMerge/>
          </w:tcPr>
          <w:p w14:paraId="502706EA" w14:textId="77777777" w:rsidR="00222799" w:rsidRPr="00FD35ED" w:rsidRDefault="00222799" w:rsidP="00431E29">
            <w:pPr>
              <w:pStyle w:val="Tabletext"/>
              <w:ind w:left="0" w:right="0"/>
            </w:pPr>
          </w:p>
        </w:tc>
        <w:tc>
          <w:tcPr>
            <w:tcW w:w="2693" w:type="dxa"/>
          </w:tcPr>
          <w:p w14:paraId="0441115C" w14:textId="77777777" w:rsidR="00222799" w:rsidRPr="00FD35ED" w:rsidRDefault="00222799" w:rsidP="00431E29">
            <w:pPr>
              <w:pStyle w:val="Tabletext"/>
              <w:ind w:left="0" w:right="0"/>
            </w:pPr>
            <w:r w:rsidRPr="00FD35ED">
              <w:t>12-24 weeks, n (%)</w:t>
            </w:r>
          </w:p>
        </w:tc>
        <w:tc>
          <w:tcPr>
            <w:tcW w:w="1701" w:type="dxa"/>
          </w:tcPr>
          <w:p w14:paraId="4F439B70" w14:textId="77777777" w:rsidR="00222799" w:rsidRPr="00FD35ED" w:rsidRDefault="00222799" w:rsidP="00431E29">
            <w:pPr>
              <w:pStyle w:val="Tabletext"/>
              <w:ind w:left="0" w:right="0"/>
            </w:pPr>
            <w:r w:rsidRPr="00FD35ED">
              <w:t>25 (10%)</w:t>
            </w:r>
          </w:p>
        </w:tc>
        <w:tc>
          <w:tcPr>
            <w:tcW w:w="1985" w:type="dxa"/>
          </w:tcPr>
          <w:p w14:paraId="6FAEE72F" w14:textId="77777777" w:rsidR="00222799" w:rsidRPr="00FD35ED" w:rsidRDefault="00222799" w:rsidP="00431E29">
            <w:pPr>
              <w:pStyle w:val="Tabletext"/>
              <w:ind w:left="0" w:right="0"/>
            </w:pPr>
            <w:r w:rsidRPr="00FD35ED">
              <w:t>1 (1%)</w:t>
            </w:r>
          </w:p>
        </w:tc>
      </w:tr>
      <w:tr w:rsidR="00222799" w:rsidRPr="00FD35ED" w14:paraId="6E19B91D" w14:textId="77777777" w:rsidTr="00180CDD">
        <w:trPr>
          <w:trHeight w:val="280"/>
        </w:trPr>
        <w:tc>
          <w:tcPr>
            <w:tcW w:w="1975" w:type="dxa"/>
            <w:vMerge/>
          </w:tcPr>
          <w:p w14:paraId="1344C5F6" w14:textId="77777777" w:rsidR="00222799" w:rsidRPr="00FD35ED" w:rsidRDefault="00222799" w:rsidP="00431E29">
            <w:pPr>
              <w:pStyle w:val="Tabletext"/>
              <w:ind w:left="0" w:right="0"/>
            </w:pPr>
          </w:p>
        </w:tc>
        <w:tc>
          <w:tcPr>
            <w:tcW w:w="2693" w:type="dxa"/>
          </w:tcPr>
          <w:p w14:paraId="506B2F41" w14:textId="78D6A627" w:rsidR="00222799" w:rsidRPr="00FD35ED" w:rsidRDefault="00222799" w:rsidP="00431E29">
            <w:pPr>
              <w:pStyle w:val="Tabletext"/>
              <w:ind w:left="0" w:right="0"/>
            </w:pPr>
            <w:r w:rsidRPr="00FD35ED">
              <w:t>&gt;</w:t>
            </w:r>
            <w:r w:rsidR="006D7C69" w:rsidRPr="00FD35ED">
              <w:t xml:space="preserve"> </w:t>
            </w:r>
            <w:r w:rsidRPr="00FD35ED">
              <w:t>24 weeks, n (%)</w:t>
            </w:r>
          </w:p>
        </w:tc>
        <w:tc>
          <w:tcPr>
            <w:tcW w:w="1701" w:type="dxa"/>
          </w:tcPr>
          <w:p w14:paraId="3B00B5FE" w14:textId="77777777" w:rsidR="00222799" w:rsidRPr="00FD35ED" w:rsidRDefault="00222799" w:rsidP="00431E29">
            <w:pPr>
              <w:pStyle w:val="Tabletext"/>
              <w:ind w:left="0" w:right="0"/>
            </w:pPr>
            <w:r w:rsidRPr="00FD35ED">
              <w:t>14 (6%)</w:t>
            </w:r>
          </w:p>
        </w:tc>
        <w:tc>
          <w:tcPr>
            <w:tcW w:w="1985" w:type="dxa"/>
          </w:tcPr>
          <w:p w14:paraId="2552A1E6" w14:textId="77777777" w:rsidR="00222799" w:rsidRPr="00FD35ED" w:rsidRDefault="00222799" w:rsidP="00431E29">
            <w:pPr>
              <w:pStyle w:val="Tabletext"/>
              <w:ind w:left="0" w:right="0"/>
            </w:pPr>
            <w:r w:rsidRPr="00FD35ED">
              <w:t>2 (2%)</w:t>
            </w:r>
          </w:p>
        </w:tc>
      </w:tr>
      <w:tr w:rsidR="00222799" w:rsidRPr="00FD35ED" w14:paraId="5EB13916" w14:textId="77777777" w:rsidTr="00180CDD">
        <w:trPr>
          <w:trHeight w:val="20"/>
        </w:trPr>
        <w:tc>
          <w:tcPr>
            <w:tcW w:w="4668" w:type="dxa"/>
            <w:gridSpan w:val="2"/>
          </w:tcPr>
          <w:p w14:paraId="6BDF6F17" w14:textId="3DF80732" w:rsidR="00222799" w:rsidRPr="00FD35ED" w:rsidRDefault="00222799" w:rsidP="00431E29">
            <w:pPr>
              <w:pStyle w:val="Tabletext"/>
              <w:ind w:left="0" w:right="0"/>
            </w:pPr>
            <w:r w:rsidRPr="009E35BB">
              <w:rPr>
                <w:b/>
              </w:rPr>
              <w:t>Patients still receiving study treatment at data</w:t>
            </w:r>
            <w:r w:rsidR="00433FFA">
              <w:rPr>
                <w:b/>
              </w:rPr>
              <w:t> </w:t>
            </w:r>
            <w:r w:rsidRPr="009E35BB">
              <w:rPr>
                <w:b/>
              </w:rPr>
              <w:t>cut</w:t>
            </w:r>
            <w:r w:rsidR="00433FFA">
              <w:rPr>
                <w:b/>
              </w:rPr>
              <w:noBreakHyphen/>
            </w:r>
            <w:r w:rsidRPr="009E35BB">
              <w:rPr>
                <w:b/>
              </w:rPr>
              <w:t>off</w:t>
            </w:r>
            <w:r w:rsidRPr="00FD35ED">
              <w:t>, n (%)</w:t>
            </w:r>
          </w:p>
        </w:tc>
        <w:tc>
          <w:tcPr>
            <w:tcW w:w="1701" w:type="dxa"/>
          </w:tcPr>
          <w:p w14:paraId="75B5B260" w14:textId="77777777" w:rsidR="00222799" w:rsidRPr="00FD35ED" w:rsidRDefault="00222799" w:rsidP="00431E29">
            <w:pPr>
              <w:pStyle w:val="Tabletext"/>
              <w:ind w:left="0" w:right="0"/>
            </w:pPr>
            <w:r w:rsidRPr="00FD35ED">
              <w:t>73 (29%)</w:t>
            </w:r>
          </w:p>
        </w:tc>
        <w:tc>
          <w:tcPr>
            <w:tcW w:w="1985" w:type="dxa"/>
          </w:tcPr>
          <w:p w14:paraId="5688F1CD" w14:textId="77777777" w:rsidR="00222799" w:rsidRPr="00FD35ED" w:rsidRDefault="00222799" w:rsidP="00431E29">
            <w:pPr>
              <w:pStyle w:val="Tabletext"/>
              <w:ind w:left="0" w:right="0"/>
            </w:pPr>
            <w:r w:rsidRPr="00FD35ED">
              <w:t>11 (9%)</w:t>
            </w:r>
          </w:p>
        </w:tc>
      </w:tr>
      <w:tr w:rsidR="00222799" w:rsidRPr="00FD35ED" w14:paraId="2CA975F2" w14:textId="77777777" w:rsidTr="00180CDD">
        <w:trPr>
          <w:trHeight w:val="20"/>
        </w:trPr>
        <w:tc>
          <w:tcPr>
            <w:tcW w:w="4668" w:type="dxa"/>
            <w:gridSpan w:val="2"/>
          </w:tcPr>
          <w:p w14:paraId="4FE7E53F" w14:textId="77777777" w:rsidR="00222799" w:rsidRPr="00FD35ED" w:rsidRDefault="00222799" w:rsidP="00431E29">
            <w:pPr>
              <w:pStyle w:val="Tabletext"/>
              <w:ind w:left="0" w:right="0"/>
            </w:pPr>
            <w:r w:rsidRPr="009E35BB">
              <w:rPr>
                <w:b/>
              </w:rPr>
              <w:t>Patients who discontinued study treatment</w:t>
            </w:r>
            <w:r w:rsidRPr="00FD35ED">
              <w:t>, n (%)</w:t>
            </w:r>
          </w:p>
        </w:tc>
        <w:tc>
          <w:tcPr>
            <w:tcW w:w="1701" w:type="dxa"/>
          </w:tcPr>
          <w:p w14:paraId="0E527D14" w14:textId="77777777" w:rsidR="00222799" w:rsidRPr="00FD35ED" w:rsidRDefault="00222799" w:rsidP="00431E29">
            <w:pPr>
              <w:pStyle w:val="Tabletext"/>
              <w:ind w:left="0" w:right="0"/>
            </w:pPr>
            <w:r w:rsidRPr="00FD35ED">
              <w:t>172 (68%)</w:t>
            </w:r>
          </w:p>
        </w:tc>
        <w:tc>
          <w:tcPr>
            <w:tcW w:w="1985" w:type="dxa"/>
          </w:tcPr>
          <w:p w14:paraId="0D951DEB" w14:textId="77777777" w:rsidR="00222799" w:rsidRPr="00FD35ED" w:rsidRDefault="00222799" w:rsidP="00431E29">
            <w:pPr>
              <w:pStyle w:val="Tabletext"/>
              <w:ind w:left="0" w:right="0"/>
            </w:pPr>
            <w:r w:rsidRPr="00FD35ED">
              <w:t>100 (79%)</w:t>
            </w:r>
          </w:p>
        </w:tc>
      </w:tr>
      <w:tr w:rsidR="00222799" w:rsidRPr="00FD35ED" w14:paraId="57434C2B" w14:textId="77777777" w:rsidTr="00180CDD">
        <w:trPr>
          <w:trHeight w:val="20"/>
        </w:trPr>
        <w:tc>
          <w:tcPr>
            <w:tcW w:w="1975" w:type="dxa"/>
            <w:vMerge w:val="restart"/>
          </w:tcPr>
          <w:p w14:paraId="7C1E99E1" w14:textId="77777777" w:rsidR="00222799" w:rsidRPr="00FD35ED" w:rsidRDefault="00222799" w:rsidP="00431E29">
            <w:pPr>
              <w:pStyle w:val="Tabletext"/>
              <w:ind w:left="0" w:right="0"/>
            </w:pPr>
            <w:r w:rsidRPr="009E35BB">
              <w:rPr>
                <w:b/>
              </w:rPr>
              <w:t>Reason for study treatment discontinuation</w:t>
            </w:r>
            <w:r w:rsidRPr="00FD35ED">
              <w:t>, n (%)</w:t>
            </w:r>
          </w:p>
        </w:tc>
        <w:tc>
          <w:tcPr>
            <w:tcW w:w="2693" w:type="dxa"/>
          </w:tcPr>
          <w:p w14:paraId="3D024C31" w14:textId="77777777" w:rsidR="00222799" w:rsidRPr="00FD35ED" w:rsidRDefault="00222799" w:rsidP="00431E29">
            <w:pPr>
              <w:pStyle w:val="Tabletext"/>
              <w:ind w:left="0" w:right="0"/>
            </w:pPr>
            <w:r w:rsidRPr="00FD35ED">
              <w:t>Progression of disease</w:t>
            </w:r>
          </w:p>
        </w:tc>
        <w:tc>
          <w:tcPr>
            <w:tcW w:w="1701" w:type="dxa"/>
          </w:tcPr>
          <w:p w14:paraId="1C31CC98" w14:textId="77777777" w:rsidR="00222799" w:rsidRPr="00FD35ED" w:rsidRDefault="00222799" w:rsidP="00431E29">
            <w:pPr>
              <w:pStyle w:val="Tabletext"/>
              <w:ind w:left="0" w:right="0"/>
            </w:pPr>
            <w:r w:rsidRPr="00FD35ED">
              <w:t>154 (61%)</w:t>
            </w:r>
          </w:p>
        </w:tc>
        <w:tc>
          <w:tcPr>
            <w:tcW w:w="1985" w:type="dxa"/>
          </w:tcPr>
          <w:p w14:paraId="3D82A010" w14:textId="77777777" w:rsidR="00222799" w:rsidRPr="00FD35ED" w:rsidRDefault="00222799" w:rsidP="00431E29">
            <w:pPr>
              <w:pStyle w:val="Tabletext"/>
              <w:ind w:left="0" w:right="0"/>
            </w:pPr>
            <w:r w:rsidRPr="00FD35ED">
              <w:t>78 (62%)</w:t>
            </w:r>
          </w:p>
        </w:tc>
      </w:tr>
      <w:tr w:rsidR="00222799" w:rsidRPr="00FD35ED" w14:paraId="03A03304" w14:textId="77777777" w:rsidTr="00180CDD">
        <w:trPr>
          <w:trHeight w:val="20"/>
        </w:trPr>
        <w:tc>
          <w:tcPr>
            <w:tcW w:w="1975" w:type="dxa"/>
            <w:vMerge/>
          </w:tcPr>
          <w:p w14:paraId="4BCDFCF7" w14:textId="77777777" w:rsidR="00222799" w:rsidRPr="00FD35ED" w:rsidRDefault="00222799" w:rsidP="00431E29">
            <w:pPr>
              <w:pStyle w:val="Tabletext"/>
              <w:ind w:left="0" w:right="0"/>
            </w:pPr>
          </w:p>
        </w:tc>
        <w:tc>
          <w:tcPr>
            <w:tcW w:w="2693" w:type="dxa"/>
          </w:tcPr>
          <w:p w14:paraId="386E666C" w14:textId="77777777" w:rsidR="00222799" w:rsidRPr="00FD35ED" w:rsidRDefault="00222799" w:rsidP="00431E29">
            <w:pPr>
              <w:pStyle w:val="Tabletext"/>
              <w:ind w:left="0" w:right="0"/>
            </w:pPr>
            <w:r w:rsidRPr="00FD35ED">
              <w:t>Adverse event</w:t>
            </w:r>
          </w:p>
        </w:tc>
        <w:tc>
          <w:tcPr>
            <w:tcW w:w="1701" w:type="dxa"/>
          </w:tcPr>
          <w:p w14:paraId="7E5C1D24" w14:textId="77777777" w:rsidR="00222799" w:rsidRPr="00FD35ED" w:rsidRDefault="00222799" w:rsidP="00431E29">
            <w:pPr>
              <w:pStyle w:val="Tabletext"/>
              <w:ind w:left="0" w:right="0"/>
            </w:pPr>
            <w:r w:rsidRPr="00FD35ED">
              <w:t>6 (2%)</w:t>
            </w:r>
          </w:p>
        </w:tc>
        <w:tc>
          <w:tcPr>
            <w:tcW w:w="1985" w:type="dxa"/>
          </w:tcPr>
          <w:p w14:paraId="2ED6DB1A" w14:textId="77777777" w:rsidR="00222799" w:rsidRPr="00FD35ED" w:rsidRDefault="00222799" w:rsidP="00431E29">
            <w:pPr>
              <w:pStyle w:val="Tabletext"/>
              <w:ind w:left="0" w:right="0"/>
            </w:pPr>
            <w:r w:rsidRPr="00FD35ED">
              <w:t>5 (4%)</w:t>
            </w:r>
          </w:p>
        </w:tc>
      </w:tr>
      <w:tr w:rsidR="00222799" w:rsidRPr="00FD35ED" w14:paraId="6EA15CFB" w14:textId="77777777" w:rsidTr="00180CDD">
        <w:trPr>
          <w:trHeight w:val="20"/>
        </w:trPr>
        <w:tc>
          <w:tcPr>
            <w:tcW w:w="4668" w:type="dxa"/>
            <w:gridSpan w:val="2"/>
          </w:tcPr>
          <w:p w14:paraId="33D1C744" w14:textId="77777777" w:rsidR="00222799" w:rsidRPr="00FD35ED" w:rsidRDefault="00222799" w:rsidP="00431E29">
            <w:pPr>
              <w:pStyle w:val="Tabletext"/>
              <w:ind w:left="0" w:right="0"/>
            </w:pPr>
            <w:r w:rsidRPr="009E35BB">
              <w:rPr>
                <w:b/>
              </w:rPr>
              <w:t>Patients who discontinued study altogether</w:t>
            </w:r>
            <w:r w:rsidRPr="00FD35ED">
              <w:t>, n (%)</w:t>
            </w:r>
          </w:p>
        </w:tc>
        <w:tc>
          <w:tcPr>
            <w:tcW w:w="1701" w:type="dxa"/>
          </w:tcPr>
          <w:p w14:paraId="11D658FE" w14:textId="77777777" w:rsidR="00222799" w:rsidRPr="00FD35ED" w:rsidRDefault="00222799" w:rsidP="00431E29">
            <w:pPr>
              <w:pStyle w:val="Tabletext"/>
              <w:ind w:left="0" w:right="0"/>
            </w:pPr>
            <w:r w:rsidRPr="00FD35ED">
              <w:t>96 (38%)</w:t>
            </w:r>
          </w:p>
        </w:tc>
        <w:tc>
          <w:tcPr>
            <w:tcW w:w="1985" w:type="dxa"/>
          </w:tcPr>
          <w:p w14:paraId="6720C138" w14:textId="77777777" w:rsidR="00222799" w:rsidRPr="00FD35ED" w:rsidRDefault="00222799" w:rsidP="00431E29">
            <w:pPr>
              <w:pStyle w:val="Tabletext"/>
              <w:ind w:left="0" w:right="0"/>
            </w:pPr>
            <w:r w:rsidRPr="00FD35ED">
              <w:t>69 (55%)</w:t>
            </w:r>
          </w:p>
        </w:tc>
      </w:tr>
      <w:tr w:rsidR="00222799" w:rsidRPr="00FD35ED" w14:paraId="00D4C9AE" w14:textId="77777777" w:rsidTr="00180CDD">
        <w:trPr>
          <w:trHeight w:val="20"/>
        </w:trPr>
        <w:tc>
          <w:tcPr>
            <w:tcW w:w="1975" w:type="dxa"/>
          </w:tcPr>
          <w:p w14:paraId="3F78E8A5" w14:textId="77777777" w:rsidR="00222799" w:rsidRPr="00FD35ED" w:rsidRDefault="00222799" w:rsidP="00431E29">
            <w:pPr>
              <w:pStyle w:val="Tabletext"/>
              <w:ind w:left="0" w:right="0"/>
            </w:pPr>
            <w:r w:rsidRPr="009E35BB">
              <w:rPr>
                <w:b/>
              </w:rPr>
              <w:t>Reason for study discontinuation,</w:t>
            </w:r>
            <w:r w:rsidRPr="00FD35ED">
              <w:t xml:space="preserve"> n (%)</w:t>
            </w:r>
          </w:p>
        </w:tc>
        <w:tc>
          <w:tcPr>
            <w:tcW w:w="2693" w:type="dxa"/>
          </w:tcPr>
          <w:p w14:paraId="1C81C54E" w14:textId="77777777" w:rsidR="00222799" w:rsidRPr="00FD35ED" w:rsidRDefault="00222799" w:rsidP="00431E29">
            <w:pPr>
              <w:pStyle w:val="Tabletext"/>
              <w:ind w:left="0" w:right="0"/>
            </w:pPr>
            <w:r w:rsidRPr="00FD35ED">
              <w:t>Death</w:t>
            </w:r>
          </w:p>
        </w:tc>
        <w:tc>
          <w:tcPr>
            <w:tcW w:w="1701" w:type="dxa"/>
          </w:tcPr>
          <w:p w14:paraId="397B0020" w14:textId="77777777" w:rsidR="00222799" w:rsidRPr="00FD35ED" w:rsidRDefault="00222799" w:rsidP="00431E29">
            <w:pPr>
              <w:pStyle w:val="Tabletext"/>
              <w:ind w:left="0" w:right="0"/>
            </w:pPr>
            <w:r w:rsidRPr="00FD35ED">
              <w:t>87 (35%)</w:t>
            </w:r>
          </w:p>
        </w:tc>
        <w:tc>
          <w:tcPr>
            <w:tcW w:w="1985" w:type="dxa"/>
          </w:tcPr>
          <w:p w14:paraId="3EC0ADB5" w14:textId="77777777" w:rsidR="00222799" w:rsidRPr="00FD35ED" w:rsidRDefault="00222799" w:rsidP="00431E29">
            <w:pPr>
              <w:pStyle w:val="Tabletext"/>
              <w:ind w:left="0" w:right="0"/>
            </w:pPr>
            <w:r w:rsidRPr="00FD35ED">
              <w:t>63 (50%)</w:t>
            </w:r>
          </w:p>
        </w:tc>
      </w:tr>
    </w:tbl>
    <w:p w14:paraId="7E49D247" w14:textId="4F8FCE07" w:rsidR="00222799" w:rsidRPr="00856E21" w:rsidRDefault="00D26203" w:rsidP="00856E21">
      <w:pPr>
        <w:pStyle w:val="TableDescription"/>
      </w:pPr>
      <w:r w:rsidRPr="00856E21">
        <w:t xml:space="preserve">Abbreviations: </w:t>
      </w:r>
      <w:r w:rsidR="00222799" w:rsidRPr="00856E21">
        <w:t>DCO = data cut-off date; IC = investigator’s choice; ITT = intention-to-treat analysis population</w:t>
      </w:r>
      <w:r w:rsidR="00431E29" w:rsidRPr="00856E21">
        <w:t xml:space="preserve">; n = number of subjects in group; RECIST = Response Evaluation Criteria </w:t>
      </w:r>
      <w:proofErr w:type="gramStart"/>
      <w:r w:rsidR="00431E29" w:rsidRPr="00856E21">
        <w:t>In</w:t>
      </w:r>
      <w:proofErr w:type="gramEnd"/>
      <w:r w:rsidR="00431E29" w:rsidRPr="00856E21">
        <w:t xml:space="preserve"> Solid Tumours</w:t>
      </w:r>
      <w:r w:rsidR="00690F4C" w:rsidRPr="00856E21">
        <w:t>.</w:t>
      </w:r>
    </w:p>
    <w:p w14:paraId="5ADFCCCA" w14:textId="5002480F" w:rsidR="00433FFA" w:rsidRPr="00856E21" w:rsidRDefault="00433FFA" w:rsidP="00856E21">
      <w:pPr>
        <w:pStyle w:val="TableDescription"/>
      </w:pPr>
      <w:proofErr w:type="spellStart"/>
      <w:proofErr w:type="gramStart"/>
      <w:r w:rsidRPr="00856E21">
        <w:t>a</w:t>
      </w:r>
      <w:proofErr w:type="spellEnd"/>
      <w:proofErr w:type="gramEnd"/>
      <w:r w:rsidRPr="00856E21">
        <w:t> investigator’s choice of treatment = pembrolizumab, ipilimumab, or dacarbazine.</w:t>
      </w:r>
    </w:p>
    <w:p w14:paraId="49AADBFA" w14:textId="3F1E61C1" w:rsidR="00222799" w:rsidRPr="00FD35ED" w:rsidRDefault="00433FFA" w:rsidP="00985193">
      <w:pPr>
        <w:pStyle w:val="Heading6"/>
      </w:pPr>
      <w:r>
        <w:t>Results for the efficacy outcomes</w:t>
      </w:r>
    </w:p>
    <w:p w14:paraId="3AC5F40A" w14:textId="084F32A8" w:rsidR="00222799" w:rsidRPr="00FD35ED" w:rsidRDefault="00222799" w:rsidP="00985193">
      <w:r w:rsidRPr="00FD35ED">
        <w:t>Results (including some selected descriptive statistics and exploratory results) for Study</w:t>
      </w:r>
      <w:r w:rsidR="002E2A38" w:rsidRPr="00FD35ED">
        <w:t> </w:t>
      </w:r>
      <w:r w:rsidRPr="00FD35ED">
        <w:t xml:space="preserve">202 are summarised in </w:t>
      </w:r>
      <w:r w:rsidRPr="00FD35ED">
        <w:fldChar w:fldCharType="begin"/>
      </w:r>
      <w:r w:rsidRPr="00FD35ED">
        <w:instrText xml:space="preserve"> REF _Ref77940780 \h </w:instrText>
      </w:r>
      <w:r w:rsidR="00985193" w:rsidRPr="00FD35ED">
        <w:instrText xml:space="preserve"> \* MERGEFORMAT </w:instrText>
      </w:r>
      <w:r w:rsidRPr="00FD35ED">
        <w:fldChar w:fldCharType="separate"/>
      </w:r>
      <w:r w:rsidR="00301C3E" w:rsidRPr="00856E21">
        <w:t xml:space="preserve">Table </w:t>
      </w:r>
      <w:r w:rsidR="00301C3E">
        <w:t>4</w:t>
      </w:r>
      <w:r w:rsidRPr="00FD35ED">
        <w:fldChar w:fldCharType="end"/>
      </w:r>
      <w:r w:rsidRPr="00FD35ED">
        <w:t xml:space="preserve">, </w:t>
      </w:r>
      <w:r w:rsidRPr="00FD35ED">
        <w:fldChar w:fldCharType="begin"/>
      </w:r>
      <w:r w:rsidRPr="00FD35ED">
        <w:instrText xml:space="preserve"> REF _Ref78203287 \h </w:instrText>
      </w:r>
      <w:r w:rsidR="00985193" w:rsidRPr="00FD35ED">
        <w:instrText xml:space="preserve"> \* MERGEFORMAT </w:instrText>
      </w:r>
      <w:r w:rsidRPr="00FD35ED">
        <w:fldChar w:fldCharType="separate"/>
      </w:r>
      <w:r w:rsidR="00301C3E" w:rsidRPr="00856E21">
        <w:t xml:space="preserve">Figure </w:t>
      </w:r>
      <w:r w:rsidR="00301C3E">
        <w:t>3</w:t>
      </w:r>
      <w:r w:rsidRPr="00FD35ED">
        <w:fldChar w:fldCharType="end"/>
      </w:r>
      <w:r w:rsidRPr="00FD35ED">
        <w:t xml:space="preserve"> and </w:t>
      </w:r>
      <w:r w:rsidRPr="00FD35ED">
        <w:fldChar w:fldCharType="begin"/>
      </w:r>
      <w:r w:rsidRPr="00FD35ED">
        <w:instrText xml:space="preserve"> REF _Ref96006181 \h </w:instrText>
      </w:r>
      <w:r w:rsidR="00985193" w:rsidRPr="00FD35ED">
        <w:instrText xml:space="preserve"> \* MERGEFORMAT </w:instrText>
      </w:r>
      <w:r w:rsidRPr="00FD35ED">
        <w:fldChar w:fldCharType="separate"/>
      </w:r>
      <w:r w:rsidR="00301C3E" w:rsidRPr="00875041">
        <w:t xml:space="preserve">Figure </w:t>
      </w:r>
      <w:r w:rsidR="00301C3E">
        <w:t>4</w:t>
      </w:r>
      <w:r w:rsidRPr="00FD35ED">
        <w:fldChar w:fldCharType="end"/>
      </w:r>
      <w:r w:rsidRPr="00FD35ED">
        <w:t xml:space="preserve">, </w:t>
      </w:r>
      <w:r w:rsidRPr="00FD35ED">
        <w:fldChar w:fldCharType="begin"/>
      </w:r>
      <w:r w:rsidRPr="00FD35ED">
        <w:instrText xml:space="preserve"> REF _Ref96006188 \p \h </w:instrText>
      </w:r>
      <w:r w:rsidR="00985193" w:rsidRPr="00FD35ED">
        <w:instrText xml:space="preserve"> \* MERGEFORMAT </w:instrText>
      </w:r>
      <w:r w:rsidRPr="00FD35ED">
        <w:fldChar w:fldCharType="separate"/>
      </w:r>
      <w:r w:rsidR="00301C3E">
        <w:t>below</w:t>
      </w:r>
      <w:r w:rsidRPr="00FD35ED">
        <w:fldChar w:fldCharType="end"/>
      </w:r>
      <w:r w:rsidRPr="00FD35ED">
        <w:t>.</w:t>
      </w:r>
    </w:p>
    <w:p w14:paraId="573004E3" w14:textId="295E312C" w:rsidR="00222799" w:rsidRPr="00FD35ED" w:rsidRDefault="00222799" w:rsidP="00985193">
      <w:r w:rsidRPr="00FD35ED">
        <w:t xml:space="preserve">At the first interim analysis of </w:t>
      </w:r>
      <w:r w:rsidR="00433FFA">
        <w:t>overall survival</w:t>
      </w:r>
      <w:r w:rsidR="001E10CF">
        <w:t>,</w:t>
      </w:r>
      <w:r w:rsidR="00433FFA" w:rsidRPr="00FD35ED">
        <w:t xml:space="preserve"> </w:t>
      </w:r>
      <w:r w:rsidR="00433FFA">
        <w:t xml:space="preserve">with a </w:t>
      </w:r>
      <w:r w:rsidR="001C7332" w:rsidRPr="00FD35ED">
        <w:t>data cut-off</w:t>
      </w:r>
      <w:r w:rsidRPr="00FD35ED">
        <w:t xml:space="preserve"> </w:t>
      </w:r>
      <w:r w:rsidR="002E2A38" w:rsidRPr="00FD35ED">
        <w:t>date</w:t>
      </w:r>
      <w:r w:rsidR="00433FFA">
        <w:t xml:space="preserve"> of </w:t>
      </w:r>
      <w:r w:rsidRPr="00FD35ED">
        <w:t>13</w:t>
      </w:r>
      <w:r w:rsidR="00433FFA">
        <w:t> </w:t>
      </w:r>
      <w:r w:rsidRPr="00FD35ED">
        <w:t>October</w:t>
      </w:r>
      <w:r w:rsidR="00433FFA">
        <w:t> </w:t>
      </w:r>
      <w:r w:rsidRPr="00FD35ED">
        <w:t xml:space="preserve">2020, which became the primary analysis at the recommendation of the </w:t>
      </w:r>
      <w:r w:rsidR="009710DB" w:rsidRPr="00FD35ED">
        <w:t>Independent Data Monitoring Committee</w:t>
      </w:r>
      <w:r w:rsidRPr="00FD35ED">
        <w:t xml:space="preserve">, a significant </w:t>
      </w:r>
      <w:r w:rsidR="002E2A38" w:rsidRPr="00FD35ED">
        <w:t>survival</w:t>
      </w:r>
      <w:r w:rsidRPr="00FD35ED">
        <w:t xml:space="preserve"> benefit of </w:t>
      </w:r>
      <w:proofErr w:type="spellStart"/>
      <w:r w:rsidR="002E2A38" w:rsidRPr="00FD35ED">
        <w:t>tebentafusp</w:t>
      </w:r>
      <w:proofErr w:type="spellEnd"/>
      <w:r w:rsidRPr="00FD35ED">
        <w:t xml:space="preserve"> over </w:t>
      </w:r>
      <w:r w:rsidR="00433FFA">
        <w:t>investigator’s choice of treatment</w:t>
      </w:r>
      <w:r w:rsidR="00433FFA" w:rsidRPr="00FD35ED" w:rsidDel="00433FFA">
        <w:t xml:space="preserve"> </w:t>
      </w:r>
      <w:r w:rsidRPr="00FD35ED">
        <w:t xml:space="preserve">was demonstrated, with a difference of 5.7 months in median </w:t>
      </w:r>
      <w:r w:rsidR="00EC2FAE" w:rsidRPr="00EC2FAE">
        <w:t>overall survival</w:t>
      </w:r>
      <w:r w:rsidRPr="00FD35ED">
        <w:t xml:space="preserve">, corresponding to a </w:t>
      </w:r>
      <w:r w:rsidR="00433FFA">
        <w:t xml:space="preserve">hazard ratio </w:t>
      </w:r>
      <w:r w:rsidRPr="00FD35ED">
        <w:t>of 0.51 (95% CI: 0.37, 0.71, p</w:t>
      </w:r>
      <w:r w:rsidR="006D7C69" w:rsidRPr="00FD35ED">
        <w:t xml:space="preserve"> </w:t>
      </w:r>
      <w:r w:rsidRPr="00FD35ED">
        <w:t>&lt;</w:t>
      </w:r>
      <w:r w:rsidR="006D7C69" w:rsidRPr="00FD35ED">
        <w:t xml:space="preserve"> </w:t>
      </w:r>
      <w:r w:rsidRPr="00FD35ED">
        <w:t xml:space="preserve">0.0001), and meeting the stopping boundary of 0.006. Exploratory landmark analysis indicated an approximate 15% increase in the </w:t>
      </w:r>
      <w:r w:rsidR="002E2A38" w:rsidRPr="00FD35ED">
        <w:t>one</w:t>
      </w:r>
      <w:r w:rsidR="009710DB" w:rsidRPr="00FD35ED">
        <w:t>-</w:t>
      </w:r>
      <w:r w:rsidRPr="00FD35ED">
        <w:t xml:space="preserve">year </w:t>
      </w:r>
      <w:r w:rsidR="00EC2FAE" w:rsidRPr="00EC2FAE">
        <w:t>overall survival</w:t>
      </w:r>
      <w:r w:rsidRPr="00FD35ED">
        <w:t xml:space="preserve"> rate.</w:t>
      </w:r>
    </w:p>
    <w:p w14:paraId="68386FD3" w14:textId="46184AF3" w:rsidR="00222799" w:rsidRPr="00FD35ED" w:rsidRDefault="00222799" w:rsidP="00985193">
      <w:r w:rsidRPr="00FD35ED">
        <w:t xml:space="preserve">Exploratory subgroup analyses indicated consistent </w:t>
      </w:r>
      <w:r w:rsidR="00EC2FAE" w:rsidRPr="00EC2FAE">
        <w:t>overall survival</w:t>
      </w:r>
      <w:r w:rsidRPr="00FD35ED">
        <w:t xml:space="preserve"> findings for all subgroups with adequate sample size (see </w:t>
      </w:r>
      <w:r w:rsidRPr="00FD35ED">
        <w:fldChar w:fldCharType="begin"/>
      </w:r>
      <w:r w:rsidRPr="00FD35ED">
        <w:instrText xml:space="preserve"> REF _Ref96010520 \h </w:instrText>
      </w:r>
      <w:r w:rsidR="00985193" w:rsidRPr="00FD35ED">
        <w:instrText xml:space="preserve"> \* MERGEFORMAT </w:instrText>
      </w:r>
      <w:r w:rsidRPr="00FD35ED">
        <w:fldChar w:fldCharType="separate"/>
      </w:r>
      <w:r w:rsidR="00301C3E" w:rsidRPr="00301C3E">
        <w:rPr>
          <w:lang w:val="en-US"/>
        </w:rPr>
        <w:t>Figure 2</w:t>
      </w:r>
      <w:r w:rsidRPr="00FD35ED">
        <w:fldChar w:fldCharType="end"/>
      </w:r>
      <w:r w:rsidR="00534E23" w:rsidRPr="00FD35ED">
        <w:t xml:space="preserve"> below</w:t>
      </w:r>
      <w:r w:rsidRPr="00FD35ED">
        <w:t xml:space="preserve">). The greatest difference in </w:t>
      </w:r>
      <w:r w:rsidR="00433FFA">
        <w:t>hazard ratio</w:t>
      </w:r>
      <w:r w:rsidR="00433FFA" w:rsidRPr="00FD35ED">
        <w:t xml:space="preserve"> </w:t>
      </w:r>
      <w:r w:rsidRPr="00FD35ED">
        <w:t xml:space="preserve">for </w:t>
      </w:r>
      <w:r w:rsidR="00433FFA">
        <w:t>overall survival</w:t>
      </w:r>
      <w:r w:rsidRPr="00FD35ED">
        <w:t xml:space="preserve"> seen in subgroup analysis was between patients with an LDH above versus ≤ the upper limit of normal (250 U/L), which was a stratification factor for Study</w:t>
      </w:r>
      <w:r w:rsidR="00433FFA">
        <w:t> </w:t>
      </w:r>
      <w:r w:rsidRPr="00FD35ED">
        <w:t xml:space="preserve">202. The </w:t>
      </w:r>
      <w:r w:rsidR="00433FFA">
        <w:t>hazard ratio</w:t>
      </w:r>
      <w:r w:rsidR="00433FFA" w:rsidRPr="00FD35ED">
        <w:t xml:space="preserve"> </w:t>
      </w:r>
      <w:r w:rsidRPr="00FD35ED">
        <w:t xml:space="preserve">(95% CI) for </w:t>
      </w:r>
      <w:r w:rsidR="00433FFA">
        <w:t>overall survival</w:t>
      </w:r>
      <w:r w:rsidR="00433FFA" w:rsidRPr="00FD35ED">
        <w:t xml:space="preserve"> </w:t>
      </w:r>
      <w:r w:rsidRPr="00FD35ED">
        <w:t>was 0.35 (95% CI: 0.21, 0.60) in patients with LDH no higher than 250 U/L, and 0.70 (95%</w:t>
      </w:r>
      <w:r w:rsidR="002E2A38" w:rsidRPr="00FD35ED">
        <w:t> </w:t>
      </w:r>
      <w:r w:rsidRPr="00FD35ED">
        <w:t>CI: 0.46, 1.09) in patients with LDH above 250 U/L.</w:t>
      </w:r>
    </w:p>
    <w:p w14:paraId="4181A806" w14:textId="04FFD936" w:rsidR="00534E23" w:rsidRPr="00856E21" w:rsidRDefault="00534E23" w:rsidP="00856E21">
      <w:pPr>
        <w:pStyle w:val="FigureTitle"/>
      </w:pPr>
      <w:bookmarkStart w:id="74" w:name="_Ref96010520"/>
      <w:r w:rsidRPr="00856E21">
        <w:lastRenderedPageBreak/>
        <w:t xml:space="preserve">Figure </w:t>
      </w:r>
      <w:fldSimple w:instr=" SEQ Figure \* ARABIC ">
        <w:r w:rsidR="00301C3E">
          <w:rPr>
            <w:noProof/>
          </w:rPr>
          <w:t>2</w:t>
        </w:r>
      </w:fldSimple>
      <w:bookmarkEnd w:id="74"/>
      <w:r w:rsidR="002E2A38" w:rsidRPr="00856E21">
        <w:t>: Study 202</w:t>
      </w:r>
      <w:r w:rsidRPr="00856E21">
        <w:t xml:space="preserve"> Forest plots representing exploratory subgroup analyses of </w:t>
      </w:r>
      <w:r w:rsidR="002E2A38" w:rsidRPr="00856E21">
        <w:t>overall survival</w:t>
      </w:r>
      <w:r w:rsidRPr="00856E21">
        <w:t xml:space="preserve"> </w:t>
      </w:r>
      <w:r w:rsidR="002E2A38" w:rsidRPr="00856E21">
        <w:t>(intention-to-treat</w:t>
      </w:r>
      <w:r w:rsidRPr="00856E21">
        <w:t xml:space="preserve"> </w:t>
      </w:r>
      <w:r w:rsidR="00431E29" w:rsidRPr="00856E21">
        <w:t xml:space="preserve">analysis </w:t>
      </w:r>
      <w:r w:rsidR="00D26203" w:rsidRPr="00856E21">
        <w:t>population</w:t>
      </w:r>
      <w:r w:rsidR="002E2A38" w:rsidRPr="00856E21">
        <w:t>)</w:t>
      </w:r>
    </w:p>
    <w:p w14:paraId="76E31632" w14:textId="2627A698" w:rsidR="00534E23" w:rsidRPr="00FD35ED" w:rsidRDefault="00431E29" w:rsidP="00856E21">
      <w:r w:rsidRPr="00FD35ED">
        <w:rPr>
          <w:noProof/>
          <w:lang w:val="en-GB" w:eastAsia="en-GB"/>
        </w:rPr>
        <w:drawing>
          <wp:inline distT="0" distB="0" distL="0" distR="0" wp14:anchorId="18741E50" wp14:editId="5530429C">
            <wp:extent cx="5239024" cy="5339443"/>
            <wp:effectExtent l="0" t="0" r="0" b="0"/>
            <wp:docPr id="10" name="Picture 10" descr="Figure 2: Study 202 Forest plots representing exploratory subgroup analyses of overall survival (intention-to-treat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2: Study 202 Forest plots representing exploratory subgroup analyses of overall survival (intention-to-treat analysis population)"/>
                    <pic:cNvPicPr/>
                  </pic:nvPicPr>
                  <pic:blipFill>
                    <a:blip r:embed="rId20"/>
                    <a:stretch>
                      <a:fillRect/>
                    </a:stretch>
                  </pic:blipFill>
                  <pic:spPr>
                    <a:xfrm>
                      <a:off x="0" y="0"/>
                      <a:ext cx="5246379" cy="5346939"/>
                    </a:xfrm>
                    <a:prstGeom prst="rect">
                      <a:avLst/>
                    </a:prstGeom>
                  </pic:spPr>
                </pic:pic>
              </a:graphicData>
            </a:graphic>
          </wp:inline>
        </w:drawing>
      </w:r>
    </w:p>
    <w:p w14:paraId="00D77614" w14:textId="6AB54ADC" w:rsidR="00534E23" w:rsidRPr="00856E21" w:rsidRDefault="00D26203" w:rsidP="00856E21">
      <w:pPr>
        <w:pStyle w:val="FigureDescription"/>
      </w:pPr>
      <w:r w:rsidRPr="00856E21">
        <w:t xml:space="preserve">Abbreviations: </w:t>
      </w:r>
      <w:r w:rsidR="00534E23" w:rsidRPr="00856E21">
        <w:t xml:space="preserve">CI = confidence interval; ECOG = Eastern Cooperative Oncology Group; HR = hazard ratio; IMCgp100 = </w:t>
      </w:r>
      <w:proofErr w:type="spellStart"/>
      <w:r w:rsidR="00534E23" w:rsidRPr="00856E21">
        <w:t>tebentafusp</w:t>
      </w:r>
      <w:proofErr w:type="spellEnd"/>
      <w:r w:rsidR="00534E23" w:rsidRPr="00856E21">
        <w:t xml:space="preserve">; ITT = Intent-to-treat; LDH = lactate dehydrogenase; </w:t>
      </w:r>
      <w:r w:rsidR="00431E29" w:rsidRPr="00856E21">
        <w:t xml:space="preserve">N = number of subjects; </w:t>
      </w:r>
      <w:r w:rsidR="00534E23" w:rsidRPr="00856E21">
        <w:t>ULN = upper limit of normal.</w:t>
      </w:r>
    </w:p>
    <w:p w14:paraId="5826D90D" w14:textId="5B010547" w:rsidR="00222799" w:rsidRPr="00FD35ED" w:rsidRDefault="00222799" w:rsidP="00985193">
      <w:r w:rsidRPr="00FD35ED">
        <w:t xml:space="preserve">Exploratory sensitivity analyses using an inverse probability of censoring weighting approach suggest that the </w:t>
      </w:r>
      <w:r w:rsidR="00433FFA">
        <w:t>overall survival</w:t>
      </w:r>
      <w:r w:rsidR="00433FFA" w:rsidRPr="00FD35ED">
        <w:t xml:space="preserve"> </w:t>
      </w:r>
      <w:r w:rsidRPr="00FD35ED">
        <w:t>benefit that was observed in the primary analysis was maintained after removing the effect of subsequent therapy.</w:t>
      </w:r>
    </w:p>
    <w:p w14:paraId="6561BB09" w14:textId="3A21ECDB" w:rsidR="00222799" w:rsidRPr="00FD35ED" w:rsidRDefault="00222799" w:rsidP="00985193">
      <w:r w:rsidRPr="00FD35ED">
        <w:t xml:space="preserve">With a total of 295 events and a median follow-up duration of 11.4 months, the median </w:t>
      </w:r>
      <w:r w:rsidR="00433FFA">
        <w:t>progression</w:t>
      </w:r>
      <w:r w:rsidR="00FB4056">
        <w:t xml:space="preserve"> </w:t>
      </w:r>
      <w:r w:rsidR="00433FFA">
        <w:t xml:space="preserve">free survival </w:t>
      </w:r>
      <w:r w:rsidRPr="00FD35ED">
        <w:t xml:space="preserve">was 3.3 months in the </w:t>
      </w:r>
      <w:proofErr w:type="spellStart"/>
      <w:r w:rsidRPr="00FD35ED">
        <w:t>tebentafusp</w:t>
      </w:r>
      <w:proofErr w:type="spellEnd"/>
      <w:r w:rsidRPr="00FD35ED">
        <w:t xml:space="preserve"> arm and 2.9 months in the </w:t>
      </w:r>
      <w:r w:rsidR="00433FFA">
        <w:t>investigator’s choice of treatment</w:t>
      </w:r>
      <w:r w:rsidR="00433FFA" w:rsidRPr="00FD35ED" w:rsidDel="00433FFA">
        <w:t xml:space="preserve"> </w:t>
      </w:r>
      <w:r w:rsidRPr="00FD35ED">
        <w:t xml:space="preserve">arm, corresponding to a difference of 0.4 months (less than 2 weeks), and a </w:t>
      </w:r>
      <w:r w:rsidR="00433FFA">
        <w:t>hazard ratio</w:t>
      </w:r>
      <w:r w:rsidR="00433FFA" w:rsidRPr="00FD35ED">
        <w:t xml:space="preserve"> </w:t>
      </w:r>
      <w:r w:rsidRPr="00FD35ED">
        <w:t>of 0.73 (95% CI: 0.58, 0.94, p</w:t>
      </w:r>
      <w:r w:rsidR="00F97E3A" w:rsidRPr="00FD35ED">
        <w:t> </w:t>
      </w:r>
      <w:r w:rsidRPr="00FD35ED">
        <w:t>=</w:t>
      </w:r>
      <w:r w:rsidR="00F97E3A" w:rsidRPr="00FD35ED">
        <w:t> </w:t>
      </w:r>
      <w:r w:rsidRPr="00FD35ED">
        <w:t xml:space="preserve">0.0139). Whilst this result reached statistical significance (within the specified alpha limit of 0.05), it does not represent a clinically meaningful difference based on magnitude, particularly in context of the 12 weekly tumour assessments. The lack of meaningful difference is also reflected by a lack of clear, maintained separation of Kaplan-Meier curves for </w:t>
      </w:r>
      <w:r w:rsidR="00433FFA">
        <w:t>progression</w:t>
      </w:r>
      <w:r w:rsidR="00FB4056">
        <w:t xml:space="preserve"> </w:t>
      </w:r>
      <w:r w:rsidR="00433FFA">
        <w:t xml:space="preserve">free survival </w:t>
      </w:r>
      <w:r w:rsidRPr="00FD35ED">
        <w:t xml:space="preserve">(see </w:t>
      </w:r>
      <w:r w:rsidRPr="00FD35ED">
        <w:fldChar w:fldCharType="begin"/>
      </w:r>
      <w:r w:rsidRPr="00FD35ED">
        <w:instrText xml:space="preserve"> REF _Ref96006181 \h </w:instrText>
      </w:r>
      <w:r w:rsidR="00985193" w:rsidRPr="00FD35ED">
        <w:instrText xml:space="preserve"> \* MERGEFORMAT </w:instrText>
      </w:r>
      <w:r w:rsidRPr="00FD35ED">
        <w:fldChar w:fldCharType="separate"/>
      </w:r>
      <w:r w:rsidR="00301C3E" w:rsidRPr="00875041">
        <w:t xml:space="preserve">Figure </w:t>
      </w:r>
      <w:r w:rsidR="00301C3E">
        <w:t>4</w:t>
      </w:r>
      <w:r w:rsidRPr="00FD35ED">
        <w:fldChar w:fldCharType="end"/>
      </w:r>
      <w:r w:rsidR="002E2A38" w:rsidRPr="00FD35ED">
        <w:t xml:space="preserve"> below</w:t>
      </w:r>
      <w:r w:rsidRPr="00FD35ED">
        <w:t>).</w:t>
      </w:r>
    </w:p>
    <w:p w14:paraId="71513703" w14:textId="2D187CF9" w:rsidR="00222799" w:rsidRPr="00FD35ED" w:rsidRDefault="002E2A38" w:rsidP="00985193">
      <w:r w:rsidRPr="00FD35ED">
        <w:t>Progression free survival</w:t>
      </w:r>
      <w:r w:rsidR="00222799" w:rsidRPr="00FD35ED">
        <w:t xml:space="preserve"> results were consistent across prespecified sensitivity analyses assessing for evaluation-time bias and attrition bias. An exploratory analysis of </w:t>
      </w:r>
      <w:r w:rsidR="00222799" w:rsidRPr="005A6EF3">
        <w:rPr>
          <w:i/>
        </w:rPr>
        <w:t>PFS2</w:t>
      </w:r>
      <w:r w:rsidR="00222799" w:rsidRPr="00FD35ED">
        <w:t xml:space="preserve"> </w:t>
      </w:r>
      <w:r w:rsidR="00222799" w:rsidRPr="00FD35ED">
        <w:lastRenderedPageBreak/>
        <w:t xml:space="preserve">(defined as time from randomisation to a subsequent disease progression following initial RECIST </w:t>
      </w:r>
      <w:r w:rsidR="00D47A02" w:rsidRPr="00FD35ED">
        <w:t xml:space="preserve">version </w:t>
      </w:r>
      <w:r w:rsidR="00222799" w:rsidRPr="00FD35ED">
        <w:t xml:space="preserve">1 .1 disease progression, or death; assessed using similar methodologies as for </w:t>
      </w:r>
      <w:r w:rsidR="005A6EF3" w:rsidRPr="005A6EF3">
        <w:t>progression free survival</w:t>
      </w:r>
      <w:r w:rsidR="00222799" w:rsidRPr="00FD35ED">
        <w:t>) showed less than a month difference in medians (8.3</w:t>
      </w:r>
      <w:r w:rsidR="0010606F">
        <w:t> </w:t>
      </w:r>
      <w:r w:rsidR="00222799" w:rsidRPr="00FD35ED">
        <w:t xml:space="preserve">months with </w:t>
      </w:r>
      <w:proofErr w:type="spellStart"/>
      <w:r w:rsidR="00222799" w:rsidRPr="00FD35ED">
        <w:t>tebentafusp</w:t>
      </w:r>
      <w:proofErr w:type="spellEnd"/>
      <w:r w:rsidR="00222799" w:rsidRPr="00FD35ED">
        <w:t xml:space="preserve"> versus 9.2 months with </w:t>
      </w:r>
      <w:r w:rsidR="001603A6">
        <w:t>investigator’s choice of treatment</w:t>
      </w:r>
      <w:r w:rsidR="00222799" w:rsidRPr="00FD35ED">
        <w:t xml:space="preserve">), and a stratified </w:t>
      </w:r>
      <w:r w:rsidR="001603A6">
        <w:t>hazard ratio</w:t>
      </w:r>
      <w:r w:rsidR="001603A6" w:rsidRPr="00FD35ED">
        <w:t xml:space="preserve"> </w:t>
      </w:r>
      <w:r w:rsidR="00222799" w:rsidRPr="00FD35ED">
        <w:t>of 0.79 (0.59, 1.06).</w:t>
      </w:r>
    </w:p>
    <w:p w14:paraId="53B859C3" w14:textId="258D53FF" w:rsidR="00222799" w:rsidRPr="00FD35ED" w:rsidRDefault="002E2A38" w:rsidP="00985193">
      <w:r w:rsidRPr="00FD35ED">
        <w:t xml:space="preserve">Objective response rate </w:t>
      </w:r>
      <w:r w:rsidR="00222799" w:rsidRPr="00FD35ED">
        <w:t xml:space="preserve">and </w:t>
      </w:r>
      <w:r w:rsidR="001603A6">
        <w:t>best overall response</w:t>
      </w:r>
      <w:r w:rsidR="001603A6" w:rsidRPr="00FD35ED">
        <w:t xml:space="preserve"> </w:t>
      </w:r>
      <w:r w:rsidR="00222799" w:rsidRPr="00FD35ED">
        <w:t xml:space="preserve">were not formally analysed. Tumour response rates were low, and similar between arms. </w:t>
      </w:r>
      <w:r w:rsidR="00222799" w:rsidRPr="005A6EF3">
        <w:rPr>
          <w:i/>
        </w:rPr>
        <w:t>Post</w:t>
      </w:r>
      <w:r w:rsidRPr="005A6EF3">
        <w:rPr>
          <w:i/>
        </w:rPr>
        <w:t>-</w:t>
      </w:r>
      <w:r w:rsidR="00222799" w:rsidRPr="005A6EF3">
        <w:rPr>
          <w:i/>
        </w:rPr>
        <w:t>hoc</w:t>
      </w:r>
      <w:r w:rsidR="00222799" w:rsidRPr="00FD35ED">
        <w:t xml:space="preserve"> exploratory analyses of treatment beyond progression were </w:t>
      </w:r>
      <w:proofErr w:type="gramStart"/>
      <w:r w:rsidR="00222799" w:rsidRPr="00FD35ED">
        <w:t>provided, but</w:t>
      </w:r>
      <w:proofErr w:type="gramEnd"/>
      <w:r w:rsidR="00222799" w:rsidRPr="00FD35ED">
        <w:t xml:space="preserve"> are not of adequate statistical rigour to support regulatory approval of this approach to duration of therapy.</w:t>
      </w:r>
    </w:p>
    <w:p w14:paraId="6258686D" w14:textId="6C440D9F" w:rsidR="00222799" w:rsidRPr="00856E21" w:rsidRDefault="00222799" w:rsidP="00856E21">
      <w:pPr>
        <w:pStyle w:val="TableTitle"/>
      </w:pPr>
      <w:bookmarkStart w:id="75" w:name="_Ref77940780"/>
      <w:r w:rsidRPr="00856E21">
        <w:t xml:space="preserve">Table </w:t>
      </w:r>
      <w:fldSimple w:instr=" SEQ Table \* ARABIC ">
        <w:r w:rsidR="00301C3E">
          <w:rPr>
            <w:noProof/>
          </w:rPr>
          <w:t>4</w:t>
        </w:r>
      </w:fldSimple>
      <w:bookmarkEnd w:id="75"/>
      <w:r w:rsidR="00AE1769" w:rsidRPr="00856E21">
        <w:t>:</w:t>
      </w:r>
      <w:r w:rsidRPr="00856E21">
        <w:t xml:space="preserve"> </w:t>
      </w:r>
      <w:r w:rsidR="00AE1769" w:rsidRPr="00856E21">
        <w:t xml:space="preserve">Study 202 </w:t>
      </w:r>
      <w:r w:rsidR="006251C6" w:rsidRPr="00856E21">
        <w:t>Summary of study r</w:t>
      </w:r>
      <w:r w:rsidRPr="00856E21">
        <w:t>esults (</w:t>
      </w:r>
      <w:r w:rsidR="001C7332" w:rsidRPr="00856E21">
        <w:t>intention-to-treat</w:t>
      </w:r>
      <w:r w:rsidR="00431E29" w:rsidRPr="00856E21">
        <w:t xml:space="preserve"> analysis </w:t>
      </w:r>
      <w:r w:rsidR="00D26203" w:rsidRPr="00856E21">
        <w:t>population</w:t>
      </w:r>
      <w:r w:rsidR="00431E29" w:rsidRPr="00856E21">
        <w:t xml:space="preserve">; </w:t>
      </w:r>
      <w:r w:rsidR="001C7332" w:rsidRPr="00856E21">
        <w:t>data cut-off date:</w:t>
      </w:r>
      <w:r w:rsidRPr="00856E21">
        <w:t xml:space="preserve"> 13</w:t>
      </w:r>
      <w:r w:rsidR="00431E29" w:rsidRPr="00856E21">
        <w:t> </w:t>
      </w:r>
      <w:r w:rsidRPr="00856E21">
        <w:t>Oct</w:t>
      </w:r>
      <w:r w:rsidR="00AE1769" w:rsidRPr="00856E21">
        <w:t>ober</w:t>
      </w:r>
      <w:r w:rsidRPr="00856E21">
        <w:t xml:space="preserve"> 2020</w:t>
      </w:r>
      <w:r w:rsidR="001C7332" w:rsidRPr="00856E21">
        <w:t>)</w:t>
      </w:r>
    </w:p>
    <w:tbl>
      <w:tblPr>
        <w:tblStyle w:val="TableTGAblue"/>
        <w:tblW w:w="0" w:type="auto"/>
        <w:tblLook w:val="04A0" w:firstRow="1" w:lastRow="0" w:firstColumn="1" w:lastColumn="0" w:noHBand="0" w:noVBand="1"/>
      </w:tblPr>
      <w:tblGrid>
        <w:gridCol w:w="3959"/>
        <w:gridCol w:w="2127"/>
        <w:gridCol w:w="2126"/>
      </w:tblGrid>
      <w:tr w:rsidR="00222799" w:rsidRPr="00FD35ED" w14:paraId="723459FB" w14:textId="77777777" w:rsidTr="00180CDD">
        <w:trPr>
          <w:cnfStyle w:val="100000000000" w:firstRow="1" w:lastRow="0" w:firstColumn="0" w:lastColumn="0" w:oddVBand="0" w:evenVBand="0" w:oddHBand="0" w:evenHBand="0" w:firstRowFirstColumn="0" w:firstRowLastColumn="0" w:lastRowFirstColumn="0" w:lastRowLastColumn="0"/>
        </w:trPr>
        <w:tc>
          <w:tcPr>
            <w:tcW w:w="3959" w:type="dxa"/>
          </w:tcPr>
          <w:p w14:paraId="74AB0E96" w14:textId="77777777" w:rsidR="00222799" w:rsidRPr="00FD35ED" w:rsidRDefault="00222799" w:rsidP="006251C6">
            <w:pPr>
              <w:pStyle w:val="Tabletext"/>
            </w:pPr>
          </w:p>
        </w:tc>
        <w:tc>
          <w:tcPr>
            <w:tcW w:w="2127" w:type="dxa"/>
          </w:tcPr>
          <w:p w14:paraId="615B8D65" w14:textId="77777777" w:rsidR="00222799" w:rsidRPr="00FD35ED" w:rsidRDefault="00222799" w:rsidP="006251C6">
            <w:pPr>
              <w:pStyle w:val="Tabletext"/>
              <w:rPr>
                <w:b w:val="0"/>
              </w:rPr>
            </w:pPr>
            <w:proofErr w:type="spellStart"/>
            <w:r w:rsidRPr="00FD35ED">
              <w:t>Tebentafusp</w:t>
            </w:r>
            <w:proofErr w:type="spellEnd"/>
          </w:p>
          <w:p w14:paraId="104C541B" w14:textId="706752CB" w:rsidR="00222799" w:rsidRPr="00FD35ED" w:rsidRDefault="00222799" w:rsidP="006251C6">
            <w:pPr>
              <w:pStyle w:val="Tabletext"/>
            </w:pPr>
            <w:r w:rsidRPr="00FD35ED">
              <w:t>(n</w:t>
            </w:r>
            <w:r w:rsidR="00F97E3A" w:rsidRPr="00FD35ED">
              <w:t xml:space="preserve"> </w:t>
            </w:r>
            <w:r w:rsidRPr="00FD35ED">
              <w:t>=</w:t>
            </w:r>
            <w:r w:rsidR="00F97E3A" w:rsidRPr="00FD35ED">
              <w:t xml:space="preserve"> </w:t>
            </w:r>
            <w:r w:rsidRPr="00FD35ED">
              <w:t>252)</w:t>
            </w:r>
          </w:p>
        </w:tc>
        <w:tc>
          <w:tcPr>
            <w:tcW w:w="2126" w:type="dxa"/>
          </w:tcPr>
          <w:p w14:paraId="5B433F50" w14:textId="20A0FCCD" w:rsidR="00222799" w:rsidRPr="005A6EF3" w:rsidRDefault="00431E29" w:rsidP="006251C6">
            <w:pPr>
              <w:pStyle w:val="Tabletext"/>
              <w:rPr>
                <w:b w:val="0"/>
                <w:vertAlign w:val="superscript"/>
              </w:rPr>
            </w:pPr>
            <w:r w:rsidRPr="00FD35ED">
              <w:t>Investigator’s choice</w:t>
            </w:r>
            <w:r w:rsidR="001603A6">
              <w:t xml:space="preserve"> of treatment</w:t>
            </w:r>
            <w:r w:rsidR="001603A6">
              <w:rPr>
                <w:vertAlign w:val="superscript"/>
              </w:rPr>
              <w:t>*</w:t>
            </w:r>
          </w:p>
          <w:p w14:paraId="3DE0C00C" w14:textId="1FD09C11" w:rsidR="00222799" w:rsidRPr="00FD35ED" w:rsidRDefault="00222799" w:rsidP="006251C6">
            <w:pPr>
              <w:pStyle w:val="Tabletext"/>
            </w:pPr>
            <w:r w:rsidRPr="00FD35ED">
              <w:t>(n</w:t>
            </w:r>
            <w:r w:rsidR="00F97E3A" w:rsidRPr="00FD35ED">
              <w:t xml:space="preserve"> </w:t>
            </w:r>
            <w:r w:rsidRPr="00FD35ED">
              <w:t>=</w:t>
            </w:r>
            <w:r w:rsidR="00F97E3A" w:rsidRPr="00FD35ED">
              <w:t xml:space="preserve"> </w:t>
            </w:r>
            <w:r w:rsidRPr="00FD35ED">
              <w:t>126)</w:t>
            </w:r>
          </w:p>
        </w:tc>
      </w:tr>
      <w:tr w:rsidR="00222799" w:rsidRPr="00FD35ED" w14:paraId="4AE3F16B" w14:textId="77777777" w:rsidTr="00180CDD">
        <w:trPr>
          <w:trHeight w:val="227"/>
        </w:trPr>
        <w:tc>
          <w:tcPr>
            <w:tcW w:w="8212" w:type="dxa"/>
            <w:gridSpan w:val="3"/>
          </w:tcPr>
          <w:p w14:paraId="66C5BCAC" w14:textId="27150563" w:rsidR="00222799" w:rsidRPr="00FD35ED" w:rsidRDefault="00E90E77" w:rsidP="006251C6">
            <w:pPr>
              <w:pStyle w:val="Tabletext"/>
              <w:rPr>
                <w:b/>
              </w:rPr>
            </w:pPr>
            <w:bookmarkStart w:id="76" w:name="_Hlk95835901"/>
            <w:r w:rsidRPr="00FD35ED">
              <w:rPr>
                <w:b/>
              </w:rPr>
              <w:t>Overall survival</w:t>
            </w:r>
          </w:p>
        </w:tc>
      </w:tr>
      <w:tr w:rsidR="00222799" w:rsidRPr="00FD35ED" w14:paraId="3716D88D" w14:textId="77777777" w:rsidTr="00180CDD">
        <w:trPr>
          <w:trHeight w:val="227"/>
        </w:trPr>
        <w:tc>
          <w:tcPr>
            <w:tcW w:w="3959" w:type="dxa"/>
          </w:tcPr>
          <w:p w14:paraId="25B17508" w14:textId="47599F42" w:rsidR="00222799" w:rsidRPr="00FD35ED" w:rsidRDefault="00222799" w:rsidP="006251C6">
            <w:pPr>
              <w:pStyle w:val="Tabletext"/>
            </w:pPr>
            <w:r w:rsidRPr="00FD35ED">
              <w:t>Median</w:t>
            </w:r>
            <w:r w:rsidRPr="00FD35ED">
              <w:rPr>
                <w:spacing w:val="-3"/>
              </w:rPr>
              <w:t xml:space="preserve"> </w:t>
            </w:r>
            <w:r w:rsidRPr="00FD35ED">
              <w:t>follow‐up</w:t>
            </w:r>
            <w:r w:rsidRPr="00FD35ED">
              <w:rPr>
                <w:spacing w:val="-1"/>
              </w:rPr>
              <w:t xml:space="preserve"> </w:t>
            </w:r>
            <w:r w:rsidRPr="00FD35ED">
              <w:t xml:space="preserve">time for </w:t>
            </w:r>
            <w:r w:rsidR="00E90E77" w:rsidRPr="00FD35ED">
              <w:t>overall survival</w:t>
            </w:r>
            <w:r w:rsidRPr="00FD35ED">
              <w:t>,</w:t>
            </w:r>
            <w:r w:rsidRPr="00FD35ED">
              <w:rPr>
                <w:spacing w:val="-2"/>
              </w:rPr>
              <w:t xml:space="preserve"> </w:t>
            </w:r>
            <w:r w:rsidRPr="00FD35ED">
              <w:t>months</w:t>
            </w:r>
            <w:r w:rsidRPr="00FD35ED">
              <w:rPr>
                <w:spacing w:val="-2"/>
              </w:rPr>
              <w:t xml:space="preserve"> </w:t>
            </w:r>
            <w:r w:rsidRPr="00FD35ED">
              <w:t>(95%</w:t>
            </w:r>
            <w:r w:rsidRPr="00FD35ED">
              <w:rPr>
                <w:spacing w:val="-2"/>
              </w:rPr>
              <w:t xml:space="preserve"> </w:t>
            </w:r>
            <w:proofErr w:type="gramStart"/>
            <w:r w:rsidRPr="00FD35ED">
              <w:t>CI)</w:t>
            </w:r>
            <w:r w:rsidRPr="00FD35ED">
              <w:rPr>
                <w:vertAlign w:val="superscript"/>
              </w:rPr>
              <w:t>a</w:t>
            </w:r>
            <w:proofErr w:type="gramEnd"/>
          </w:p>
        </w:tc>
        <w:tc>
          <w:tcPr>
            <w:tcW w:w="2127" w:type="dxa"/>
          </w:tcPr>
          <w:p w14:paraId="23E3819C" w14:textId="77777777" w:rsidR="00222799" w:rsidRPr="00FD35ED" w:rsidRDefault="00222799" w:rsidP="006251C6">
            <w:pPr>
              <w:pStyle w:val="Tabletext"/>
            </w:pPr>
            <w:r w:rsidRPr="00FD35ED">
              <w:t>14.1</w:t>
            </w:r>
            <w:r w:rsidRPr="00FD35ED">
              <w:rPr>
                <w:spacing w:val="-2"/>
              </w:rPr>
              <w:t xml:space="preserve"> </w:t>
            </w:r>
            <w:r w:rsidRPr="00FD35ED">
              <w:t>(12.5,</w:t>
            </w:r>
            <w:r w:rsidRPr="00FD35ED">
              <w:rPr>
                <w:spacing w:val="-3"/>
              </w:rPr>
              <w:t xml:space="preserve"> </w:t>
            </w:r>
            <w:r w:rsidRPr="00FD35ED">
              <w:t>16.1)</w:t>
            </w:r>
          </w:p>
        </w:tc>
        <w:tc>
          <w:tcPr>
            <w:tcW w:w="2126" w:type="dxa"/>
          </w:tcPr>
          <w:p w14:paraId="69EFFF02" w14:textId="77777777" w:rsidR="00222799" w:rsidRPr="00FD35ED" w:rsidRDefault="00222799" w:rsidP="006251C6">
            <w:pPr>
              <w:pStyle w:val="Tabletext"/>
            </w:pPr>
            <w:r w:rsidRPr="00FD35ED">
              <w:t>14.3</w:t>
            </w:r>
            <w:r w:rsidRPr="00FD35ED">
              <w:rPr>
                <w:spacing w:val="-2"/>
              </w:rPr>
              <w:t xml:space="preserve"> </w:t>
            </w:r>
            <w:r w:rsidRPr="00FD35ED">
              <w:t>(10.9,</w:t>
            </w:r>
            <w:r w:rsidRPr="00FD35ED">
              <w:rPr>
                <w:spacing w:val="-3"/>
              </w:rPr>
              <w:t xml:space="preserve"> </w:t>
            </w:r>
            <w:r w:rsidRPr="00FD35ED">
              <w:t>17.0)</w:t>
            </w:r>
          </w:p>
        </w:tc>
      </w:tr>
      <w:tr w:rsidR="00222799" w:rsidRPr="00FD35ED" w14:paraId="05508DE2" w14:textId="77777777" w:rsidTr="00180CDD">
        <w:trPr>
          <w:trHeight w:val="227"/>
        </w:trPr>
        <w:tc>
          <w:tcPr>
            <w:tcW w:w="3959" w:type="dxa"/>
          </w:tcPr>
          <w:p w14:paraId="027E777D" w14:textId="77777777" w:rsidR="00222799" w:rsidRPr="00FD35ED" w:rsidRDefault="00222799" w:rsidP="006251C6">
            <w:pPr>
              <w:pStyle w:val="Tabletext"/>
            </w:pPr>
            <w:r w:rsidRPr="00FD35ED">
              <w:t>Patients with death events, n (%)</w:t>
            </w:r>
          </w:p>
        </w:tc>
        <w:tc>
          <w:tcPr>
            <w:tcW w:w="2127" w:type="dxa"/>
          </w:tcPr>
          <w:p w14:paraId="48BA96DB" w14:textId="77777777" w:rsidR="00222799" w:rsidRPr="00FD35ED" w:rsidRDefault="00222799" w:rsidP="006251C6">
            <w:pPr>
              <w:pStyle w:val="Tabletext"/>
            </w:pPr>
            <w:r w:rsidRPr="00FD35ED">
              <w:t>87</w:t>
            </w:r>
            <w:r w:rsidRPr="00FD35ED">
              <w:rPr>
                <w:spacing w:val="-2"/>
              </w:rPr>
              <w:t xml:space="preserve"> </w:t>
            </w:r>
            <w:r w:rsidRPr="00FD35ED">
              <w:t>(35%)</w:t>
            </w:r>
          </w:p>
        </w:tc>
        <w:tc>
          <w:tcPr>
            <w:tcW w:w="2126" w:type="dxa"/>
          </w:tcPr>
          <w:p w14:paraId="393A1BFD" w14:textId="77777777" w:rsidR="00222799" w:rsidRPr="00FD35ED" w:rsidRDefault="00222799" w:rsidP="006251C6">
            <w:pPr>
              <w:pStyle w:val="Tabletext"/>
            </w:pPr>
            <w:r w:rsidRPr="00FD35ED">
              <w:t>63 (50%)</w:t>
            </w:r>
          </w:p>
        </w:tc>
      </w:tr>
      <w:tr w:rsidR="00222799" w:rsidRPr="00FD35ED" w14:paraId="6B50AE76" w14:textId="77777777" w:rsidTr="00180CDD">
        <w:trPr>
          <w:trHeight w:val="227"/>
        </w:trPr>
        <w:tc>
          <w:tcPr>
            <w:tcW w:w="3959" w:type="dxa"/>
          </w:tcPr>
          <w:p w14:paraId="7E5FC9D3" w14:textId="4CBAB55C" w:rsidR="00222799" w:rsidRPr="00FD35ED" w:rsidRDefault="00222799" w:rsidP="006251C6">
            <w:pPr>
              <w:pStyle w:val="Tabletext"/>
            </w:pPr>
            <w:r w:rsidRPr="00FD35ED">
              <w:t xml:space="preserve">Median </w:t>
            </w:r>
            <w:r w:rsidR="00E90E77" w:rsidRPr="00FD35ED">
              <w:t xml:space="preserve">overall survival </w:t>
            </w:r>
            <w:r w:rsidRPr="00FD35ED">
              <w:t>(95% CI), months</w:t>
            </w:r>
          </w:p>
        </w:tc>
        <w:tc>
          <w:tcPr>
            <w:tcW w:w="2127" w:type="dxa"/>
          </w:tcPr>
          <w:p w14:paraId="3BCEA2BB" w14:textId="77777777" w:rsidR="00222799" w:rsidRPr="00FD35ED" w:rsidRDefault="00222799" w:rsidP="006251C6">
            <w:pPr>
              <w:pStyle w:val="Tabletext"/>
            </w:pPr>
            <w:r w:rsidRPr="00FD35ED">
              <w:t>21.7</w:t>
            </w:r>
            <w:r w:rsidRPr="00FD35ED">
              <w:rPr>
                <w:spacing w:val="-2"/>
              </w:rPr>
              <w:t xml:space="preserve"> </w:t>
            </w:r>
            <w:r w:rsidRPr="00FD35ED">
              <w:t>(18.6,</w:t>
            </w:r>
            <w:r w:rsidRPr="00FD35ED">
              <w:rPr>
                <w:spacing w:val="-3"/>
              </w:rPr>
              <w:t xml:space="preserve"> </w:t>
            </w:r>
            <w:r w:rsidRPr="00FD35ED">
              <w:t>28.6)</w:t>
            </w:r>
          </w:p>
        </w:tc>
        <w:tc>
          <w:tcPr>
            <w:tcW w:w="2126" w:type="dxa"/>
          </w:tcPr>
          <w:p w14:paraId="0145BC2D" w14:textId="77777777" w:rsidR="00222799" w:rsidRPr="00FD35ED" w:rsidRDefault="00222799" w:rsidP="006251C6">
            <w:pPr>
              <w:pStyle w:val="Tabletext"/>
            </w:pPr>
            <w:r w:rsidRPr="00FD35ED">
              <w:t>16.0</w:t>
            </w:r>
            <w:r w:rsidRPr="00FD35ED">
              <w:rPr>
                <w:spacing w:val="-2"/>
              </w:rPr>
              <w:t xml:space="preserve"> </w:t>
            </w:r>
            <w:r w:rsidRPr="00FD35ED">
              <w:t>(9.7,</w:t>
            </w:r>
            <w:r w:rsidRPr="00FD35ED">
              <w:rPr>
                <w:spacing w:val="-2"/>
              </w:rPr>
              <w:t xml:space="preserve"> </w:t>
            </w:r>
            <w:r w:rsidRPr="00FD35ED">
              <w:t>18.4)</w:t>
            </w:r>
          </w:p>
        </w:tc>
      </w:tr>
      <w:tr w:rsidR="00222799" w:rsidRPr="00FD35ED" w14:paraId="39981B1C" w14:textId="77777777" w:rsidTr="00180CDD">
        <w:trPr>
          <w:trHeight w:val="227"/>
        </w:trPr>
        <w:tc>
          <w:tcPr>
            <w:tcW w:w="3959" w:type="dxa"/>
          </w:tcPr>
          <w:p w14:paraId="1141D3D7" w14:textId="17FC5BC7" w:rsidR="00222799" w:rsidRPr="00FD35ED" w:rsidRDefault="00E90E77" w:rsidP="006251C6">
            <w:pPr>
              <w:pStyle w:val="Tabletext"/>
              <w:rPr>
                <w:vertAlign w:val="superscript"/>
              </w:rPr>
            </w:pPr>
            <w:r w:rsidRPr="00FD35ED">
              <w:t xml:space="preserve">Overall survival </w:t>
            </w:r>
            <w:r w:rsidR="00222799" w:rsidRPr="00FD35ED">
              <w:t xml:space="preserve">hazard ratio (95% </w:t>
            </w:r>
            <w:proofErr w:type="gramStart"/>
            <w:r w:rsidR="00222799" w:rsidRPr="00FD35ED">
              <w:t>CI)</w:t>
            </w:r>
            <w:r w:rsidR="00222799" w:rsidRPr="00FD35ED">
              <w:rPr>
                <w:vertAlign w:val="superscript"/>
              </w:rPr>
              <w:t>b</w:t>
            </w:r>
            <w:proofErr w:type="gramEnd"/>
            <w:r w:rsidR="00222799" w:rsidRPr="00FD35ED">
              <w:t xml:space="preserve"> </w:t>
            </w:r>
            <w:r w:rsidR="001C7332" w:rsidRPr="00FD35ED">
              <w:t>(</w:t>
            </w:r>
            <w:r w:rsidR="00222799" w:rsidRPr="00FD35ED">
              <w:t>p-value</w:t>
            </w:r>
            <w:r w:rsidR="001C7332" w:rsidRPr="00FD35ED">
              <w:t>)</w:t>
            </w:r>
            <w:r w:rsidRPr="00FD35ED">
              <w:rPr>
                <w:vertAlign w:val="superscript"/>
              </w:rPr>
              <w:t>c</w:t>
            </w:r>
          </w:p>
        </w:tc>
        <w:tc>
          <w:tcPr>
            <w:tcW w:w="4253" w:type="dxa"/>
            <w:gridSpan w:val="2"/>
          </w:tcPr>
          <w:p w14:paraId="25689E92" w14:textId="2AFB568D" w:rsidR="00222799" w:rsidRPr="00FD35ED" w:rsidRDefault="00222799" w:rsidP="006251C6">
            <w:pPr>
              <w:pStyle w:val="Tabletext"/>
            </w:pPr>
            <w:r w:rsidRPr="00FD35ED">
              <w:t xml:space="preserve">0.51 (0.37, 0.71) </w:t>
            </w:r>
            <w:r w:rsidR="001C7332" w:rsidRPr="00FD35ED">
              <w:t>(</w:t>
            </w:r>
            <w:r w:rsidRPr="00FD35ED">
              <w:t>p</w:t>
            </w:r>
            <w:r w:rsidR="006D7C69" w:rsidRPr="00FD35ED">
              <w:t xml:space="preserve"> </w:t>
            </w:r>
            <w:r w:rsidRPr="00FD35ED">
              <w:t>&lt;</w:t>
            </w:r>
            <w:r w:rsidR="006D7C69" w:rsidRPr="00FD35ED">
              <w:t xml:space="preserve"> </w:t>
            </w:r>
            <w:r w:rsidRPr="00FD35ED">
              <w:t>0.0001</w:t>
            </w:r>
            <w:r w:rsidR="001C7332" w:rsidRPr="00FD35ED">
              <w:t>)</w:t>
            </w:r>
          </w:p>
        </w:tc>
      </w:tr>
      <w:tr w:rsidR="00222799" w:rsidRPr="00FD35ED" w14:paraId="203DA0F5" w14:textId="77777777" w:rsidTr="00180CDD">
        <w:trPr>
          <w:trHeight w:val="227"/>
        </w:trPr>
        <w:tc>
          <w:tcPr>
            <w:tcW w:w="8212" w:type="dxa"/>
            <w:gridSpan w:val="3"/>
          </w:tcPr>
          <w:p w14:paraId="1B54D35F" w14:textId="77777777" w:rsidR="00222799" w:rsidRPr="00FD35ED" w:rsidRDefault="00222799" w:rsidP="006251C6">
            <w:pPr>
              <w:pStyle w:val="Tabletext"/>
              <w:rPr>
                <w:i/>
                <w:iCs/>
              </w:rPr>
            </w:pPr>
            <w:r w:rsidRPr="005A6EF3">
              <w:rPr>
                <w:b/>
                <w:iCs/>
              </w:rPr>
              <w:t>Survival</w:t>
            </w:r>
            <w:r w:rsidRPr="005A6EF3">
              <w:rPr>
                <w:b/>
                <w:iCs/>
                <w:spacing w:val="-5"/>
              </w:rPr>
              <w:t xml:space="preserve"> </w:t>
            </w:r>
            <w:r w:rsidRPr="005A6EF3">
              <w:rPr>
                <w:b/>
                <w:iCs/>
              </w:rPr>
              <w:t>probability</w:t>
            </w:r>
            <w:r w:rsidRPr="00FD35ED">
              <w:rPr>
                <w:i/>
                <w:iCs/>
              </w:rPr>
              <w:t>,</w:t>
            </w:r>
            <w:r w:rsidRPr="00FD35ED">
              <w:rPr>
                <w:i/>
                <w:iCs/>
                <w:spacing w:val="-5"/>
              </w:rPr>
              <w:t xml:space="preserve"> </w:t>
            </w:r>
            <w:r w:rsidRPr="00FD35ED">
              <w:rPr>
                <w:i/>
                <w:iCs/>
              </w:rPr>
              <w:t>%</w:t>
            </w:r>
            <w:r w:rsidRPr="00FD35ED">
              <w:rPr>
                <w:i/>
                <w:iCs/>
                <w:spacing w:val="-4"/>
              </w:rPr>
              <w:t xml:space="preserve"> </w:t>
            </w:r>
            <w:r w:rsidRPr="00FD35ED">
              <w:rPr>
                <w:i/>
                <w:iCs/>
              </w:rPr>
              <w:t>(95%</w:t>
            </w:r>
            <w:r w:rsidRPr="00FD35ED">
              <w:rPr>
                <w:i/>
                <w:iCs/>
                <w:spacing w:val="-5"/>
              </w:rPr>
              <w:t xml:space="preserve"> </w:t>
            </w:r>
            <w:r w:rsidRPr="00FD35ED">
              <w:rPr>
                <w:i/>
                <w:iCs/>
              </w:rPr>
              <w:t>CI)</w:t>
            </w:r>
          </w:p>
        </w:tc>
      </w:tr>
      <w:tr w:rsidR="00222799" w:rsidRPr="00FD35ED" w14:paraId="42120211" w14:textId="77777777" w:rsidTr="00180CDD">
        <w:trPr>
          <w:trHeight w:val="227"/>
        </w:trPr>
        <w:tc>
          <w:tcPr>
            <w:tcW w:w="3959" w:type="dxa"/>
          </w:tcPr>
          <w:p w14:paraId="77548861" w14:textId="77777777" w:rsidR="00222799" w:rsidRPr="005A6EF3" w:rsidRDefault="00222799" w:rsidP="006251C6">
            <w:pPr>
              <w:pStyle w:val="Tabletext"/>
              <w:rPr>
                <w:iCs/>
              </w:rPr>
            </w:pPr>
            <w:r w:rsidRPr="005A6EF3">
              <w:rPr>
                <w:iCs/>
              </w:rPr>
              <w:t>6</w:t>
            </w:r>
            <w:r w:rsidRPr="005A6EF3">
              <w:rPr>
                <w:iCs/>
                <w:spacing w:val="-1"/>
              </w:rPr>
              <w:t xml:space="preserve"> </w:t>
            </w:r>
            <w:r w:rsidRPr="005A6EF3">
              <w:rPr>
                <w:iCs/>
              </w:rPr>
              <w:t>months</w:t>
            </w:r>
          </w:p>
        </w:tc>
        <w:tc>
          <w:tcPr>
            <w:tcW w:w="2127" w:type="dxa"/>
          </w:tcPr>
          <w:p w14:paraId="0100E5FB" w14:textId="77777777" w:rsidR="00222799" w:rsidRPr="005A6EF3" w:rsidRDefault="00222799" w:rsidP="006251C6">
            <w:pPr>
              <w:pStyle w:val="Tabletext"/>
              <w:rPr>
                <w:iCs/>
              </w:rPr>
            </w:pPr>
            <w:r w:rsidRPr="005A6EF3">
              <w:rPr>
                <w:iCs/>
              </w:rPr>
              <w:t>88.8</w:t>
            </w:r>
            <w:r w:rsidRPr="005A6EF3">
              <w:rPr>
                <w:iCs/>
                <w:spacing w:val="-2"/>
              </w:rPr>
              <w:t xml:space="preserve"> </w:t>
            </w:r>
            <w:r w:rsidRPr="005A6EF3">
              <w:rPr>
                <w:iCs/>
              </w:rPr>
              <w:t>(84.1,</w:t>
            </w:r>
            <w:r w:rsidRPr="005A6EF3">
              <w:rPr>
                <w:iCs/>
                <w:spacing w:val="-3"/>
              </w:rPr>
              <w:t xml:space="preserve"> </w:t>
            </w:r>
            <w:r w:rsidRPr="005A6EF3">
              <w:rPr>
                <w:iCs/>
              </w:rPr>
              <w:t>92.2)</w:t>
            </w:r>
          </w:p>
        </w:tc>
        <w:tc>
          <w:tcPr>
            <w:tcW w:w="2126" w:type="dxa"/>
          </w:tcPr>
          <w:p w14:paraId="1A8381A9" w14:textId="77777777" w:rsidR="00222799" w:rsidRPr="005A6EF3" w:rsidRDefault="00222799" w:rsidP="006251C6">
            <w:pPr>
              <w:pStyle w:val="Tabletext"/>
              <w:rPr>
                <w:iCs/>
              </w:rPr>
            </w:pPr>
            <w:r w:rsidRPr="005A6EF3">
              <w:rPr>
                <w:iCs/>
              </w:rPr>
              <w:t>78.1</w:t>
            </w:r>
            <w:r w:rsidRPr="005A6EF3">
              <w:rPr>
                <w:iCs/>
                <w:spacing w:val="-2"/>
              </w:rPr>
              <w:t xml:space="preserve"> </w:t>
            </w:r>
            <w:r w:rsidRPr="005A6EF3">
              <w:rPr>
                <w:iCs/>
              </w:rPr>
              <w:t>(69.6,</w:t>
            </w:r>
            <w:r w:rsidRPr="005A6EF3">
              <w:rPr>
                <w:iCs/>
                <w:spacing w:val="-3"/>
              </w:rPr>
              <w:t xml:space="preserve"> </w:t>
            </w:r>
            <w:r w:rsidRPr="005A6EF3">
              <w:rPr>
                <w:iCs/>
              </w:rPr>
              <w:t>84.6)</w:t>
            </w:r>
          </w:p>
        </w:tc>
      </w:tr>
      <w:tr w:rsidR="00222799" w:rsidRPr="00FD35ED" w14:paraId="77966687" w14:textId="77777777" w:rsidTr="00180CDD">
        <w:trPr>
          <w:trHeight w:val="227"/>
        </w:trPr>
        <w:tc>
          <w:tcPr>
            <w:tcW w:w="3959" w:type="dxa"/>
          </w:tcPr>
          <w:p w14:paraId="47E62B11" w14:textId="77777777" w:rsidR="00222799" w:rsidRPr="005A6EF3" w:rsidRDefault="00222799" w:rsidP="006251C6">
            <w:pPr>
              <w:pStyle w:val="Tabletext"/>
              <w:rPr>
                <w:iCs/>
              </w:rPr>
            </w:pPr>
            <w:r w:rsidRPr="005A6EF3">
              <w:rPr>
                <w:iCs/>
              </w:rPr>
              <w:t>9</w:t>
            </w:r>
            <w:r w:rsidRPr="005A6EF3">
              <w:rPr>
                <w:iCs/>
                <w:spacing w:val="-1"/>
              </w:rPr>
              <w:t xml:space="preserve"> </w:t>
            </w:r>
            <w:r w:rsidRPr="005A6EF3">
              <w:rPr>
                <w:iCs/>
              </w:rPr>
              <w:t>months</w:t>
            </w:r>
          </w:p>
        </w:tc>
        <w:tc>
          <w:tcPr>
            <w:tcW w:w="2127" w:type="dxa"/>
          </w:tcPr>
          <w:p w14:paraId="640F0816" w14:textId="77777777" w:rsidR="00222799" w:rsidRPr="005A6EF3" w:rsidRDefault="00222799" w:rsidP="006251C6">
            <w:pPr>
              <w:pStyle w:val="Tabletext"/>
              <w:rPr>
                <w:iCs/>
              </w:rPr>
            </w:pPr>
            <w:r w:rsidRPr="005A6EF3">
              <w:rPr>
                <w:iCs/>
              </w:rPr>
              <w:t>81.1</w:t>
            </w:r>
            <w:r w:rsidRPr="005A6EF3">
              <w:rPr>
                <w:iCs/>
                <w:spacing w:val="-2"/>
              </w:rPr>
              <w:t xml:space="preserve"> </w:t>
            </w:r>
            <w:r w:rsidRPr="005A6EF3">
              <w:rPr>
                <w:iCs/>
              </w:rPr>
              <w:t>(75.3,</w:t>
            </w:r>
            <w:r w:rsidRPr="005A6EF3">
              <w:rPr>
                <w:iCs/>
                <w:spacing w:val="-3"/>
              </w:rPr>
              <w:t xml:space="preserve"> </w:t>
            </w:r>
            <w:r w:rsidRPr="005A6EF3">
              <w:rPr>
                <w:iCs/>
              </w:rPr>
              <w:t>85.7)</w:t>
            </w:r>
          </w:p>
        </w:tc>
        <w:tc>
          <w:tcPr>
            <w:tcW w:w="2126" w:type="dxa"/>
          </w:tcPr>
          <w:p w14:paraId="2FB616D3" w14:textId="77777777" w:rsidR="00222799" w:rsidRPr="005A6EF3" w:rsidRDefault="00222799" w:rsidP="006251C6">
            <w:pPr>
              <w:pStyle w:val="Tabletext"/>
              <w:rPr>
                <w:iCs/>
              </w:rPr>
            </w:pPr>
            <w:r w:rsidRPr="005A6EF3">
              <w:rPr>
                <w:iCs/>
              </w:rPr>
              <w:t>63.2</w:t>
            </w:r>
            <w:r w:rsidRPr="005A6EF3">
              <w:rPr>
                <w:iCs/>
                <w:spacing w:val="-2"/>
              </w:rPr>
              <w:t xml:space="preserve"> </w:t>
            </w:r>
            <w:r w:rsidRPr="005A6EF3">
              <w:rPr>
                <w:iCs/>
              </w:rPr>
              <w:t>(53.4,</w:t>
            </w:r>
            <w:r w:rsidRPr="005A6EF3">
              <w:rPr>
                <w:iCs/>
                <w:spacing w:val="-3"/>
              </w:rPr>
              <w:t xml:space="preserve"> </w:t>
            </w:r>
            <w:r w:rsidRPr="005A6EF3">
              <w:rPr>
                <w:iCs/>
              </w:rPr>
              <w:t>71.5)</w:t>
            </w:r>
          </w:p>
        </w:tc>
      </w:tr>
      <w:tr w:rsidR="00222799" w:rsidRPr="00FD35ED" w14:paraId="150AF5DD" w14:textId="77777777" w:rsidTr="00180CDD">
        <w:trPr>
          <w:trHeight w:val="227"/>
        </w:trPr>
        <w:tc>
          <w:tcPr>
            <w:tcW w:w="3959" w:type="dxa"/>
          </w:tcPr>
          <w:p w14:paraId="5FE84CFD" w14:textId="77777777" w:rsidR="00222799" w:rsidRPr="005A6EF3" w:rsidRDefault="00222799" w:rsidP="006251C6">
            <w:pPr>
              <w:pStyle w:val="Tabletext"/>
              <w:rPr>
                <w:iCs/>
              </w:rPr>
            </w:pPr>
            <w:r w:rsidRPr="005A6EF3">
              <w:rPr>
                <w:iCs/>
              </w:rPr>
              <w:t>12</w:t>
            </w:r>
            <w:r w:rsidRPr="005A6EF3">
              <w:rPr>
                <w:iCs/>
                <w:spacing w:val="-1"/>
              </w:rPr>
              <w:t xml:space="preserve"> </w:t>
            </w:r>
            <w:r w:rsidRPr="005A6EF3">
              <w:rPr>
                <w:iCs/>
              </w:rPr>
              <w:t>months</w:t>
            </w:r>
          </w:p>
        </w:tc>
        <w:tc>
          <w:tcPr>
            <w:tcW w:w="2127" w:type="dxa"/>
          </w:tcPr>
          <w:p w14:paraId="6DDE812A" w14:textId="77777777" w:rsidR="00222799" w:rsidRPr="005A6EF3" w:rsidRDefault="00222799" w:rsidP="006251C6">
            <w:pPr>
              <w:pStyle w:val="Tabletext"/>
              <w:rPr>
                <w:iCs/>
              </w:rPr>
            </w:pPr>
            <w:r w:rsidRPr="005A6EF3">
              <w:rPr>
                <w:iCs/>
              </w:rPr>
              <w:t>73.2</w:t>
            </w:r>
            <w:r w:rsidRPr="005A6EF3">
              <w:rPr>
                <w:iCs/>
                <w:spacing w:val="-2"/>
              </w:rPr>
              <w:t xml:space="preserve"> </w:t>
            </w:r>
            <w:r w:rsidRPr="005A6EF3">
              <w:rPr>
                <w:iCs/>
              </w:rPr>
              <w:t>(66.4,</w:t>
            </w:r>
            <w:r w:rsidRPr="005A6EF3">
              <w:rPr>
                <w:iCs/>
                <w:spacing w:val="-3"/>
              </w:rPr>
              <w:t xml:space="preserve"> </w:t>
            </w:r>
            <w:r w:rsidRPr="005A6EF3">
              <w:rPr>
                <w:iCs/>
              </w:rPr>
              <w:t>78.8)</w:t>
            </w:r>
          </w:p>
        </w:tc>
        <w:tc>
          <w:tcPr>
            <w:tcW w:w="2126" w:type="dxa"/>
          </w:tcPr>
          <w:p w14:paraId="0C0E20BF" w14:textId="77777777" w:rsidR="00222799" w:rsidRPr="005A6EF3" w:rsidRDefault="00222799" w:rsidP="006251C6">
            <w:pPr>
              <w:pStyle w:val="Tabletext"/>
              <w:rPr>
                <w:iCs/>
              </w:rPr>
            </w:pPr>
            <w:r w:rsidRPr="005A6EF3">
              <w:rPr>
                <w:iCs/>
              </w:rPr>
              <w:t>58.5</w:t>
            </w:r>
            <w:r w:rsidRPr="005A6EF3">
              <w:rPr>
                <w:iCs/>
                <w:spacing w:val="-2"/>
              </w:rPr>
              <w:t xml:space="preserve"> </w:t>
            </w:r>
            <w:r w:rsidRPr="005A6EF3">
              <w:rPr>
                <w:iCs/>
              </w:rPr>
              <w:t>(48.3,</w:t>
            </w:r>
            <w:r w:rsidRPr="005A6EF3">
              <w:rPr>
                <w:iCs/>
                <w:spacing w:val="-3"/>
              </w:rPr>
              <w:t xml:space="preserve"> </w:t>
            </w:r>
            <w:r w:rsidRPr="005A6EF3">
              <w:rPr>
                <w:iCs/>
              </w:rPr>
              <w:t>67.3)</w:t>
            </w:r>
          </w:p>
        </w:tc>
      </w:tr>
      <w:tr w:rsidR="00222799" w:rsidRPr="00FD35ED" w14:paraId="413D26E2" w14:textId="77777777" w:rsidTr="00180CDD">
        <w:trPr>
          <w:trHeight w:val="227"/>
        </w:trPr>
        <w:tc>
          <w:tcPr>
            <w:tcW w:w="3959" w:type="dxa"/>
          </w:tcPr>
          <w:p w14:paraId="6086D4C8" w14:textId="77777777" w:rsidR="00222799" w:rsidRPr="005A6EF3" w:rsidRDefault="00222799" w:rsidP="006251C6">
            <w:pPr>
              <w:pStyle w:val="Tabletext"/>
              <w:rPr>
                <w:iCs/>
              </w:rPr>
            </w:pPr>
            <w:r w:rsidRPr="005A6EF3">
              <w:rPr>
                <w:iCs/>
              </w:rPr>
              <w:t>18</w:t>
            </w:r>
            <w:r w:rsidRPr="005A6EF3">
              <w:rPr>
                <w:iCs/>
                <w:spacing w:val="-1"/>
              </w:rPr>
              <w:t xml:space="preserve"> </w:t>
            </w:r>
            <w:r w:rsidRPr="005A6EF3">
              <w:rPr>
                <w:iCs/>
              </w:rPr>
              <w:t>months</w:t>
            </w:r>
          </w:p>
        </w:tc>
        <w:tc>
          <w:tcPr>
            <w:tcW w:w="2127" w:type="dxa"/>
          </w:tcPr>
          <w:p w14:paraId="2F9DF105" w14:textId="77777777" w:rsidR="00222799" w:rsidRPr="005A6EF3" w:rsidRDefault="00222799" w:rsidP="006251C6">
            <w:pPr>
              <w:pStyle w:val="Tabletext"/>
              <w:rPr>
                <w:iCs/>
              </w:rPr>
            </w:pPr>
            <w:r w:rsidRPr="005A6EF3">
              <w:rPr>
                <w:iCs/>
              </w:rPr>
              <w:t>61.5</w:t>
            </w:r>
            <w:r w:rsidRPr="005A6EF3">
              <w:rPr>
                <w:iCs/>
                <w:spacing w:val="-2"/>
              </w:rPr>
              <w:t xml:space="preserve"> </w:t>
            </w:r>
            <w:r w:rsidRPr="005A6EF3">
              <w:rPr>
                <w:iCs/>
              </w:rPr>
              <w:t>(53.3,</w:t>
            </w:r>
            <w:r w:rsidRPr="005A6EF3">
              <w:rPr>
                <w:iCs/>
                <w:spacing w:val="-3"/>
              </w:rPr>
              <w:t xml:space="preserve"> </w:t>
            </w:r>
            <w:r w:rsidRPr="005A6EF3">
              <w:rPr>
                <w:iCs/>
              </w:rPr>
              <w:t>68.7)</w:t>
            </w:r>
          </w:p>
        </w:tc>
        <w:tc>
          <w:tcPr>
            <w:tcW w:w="2126" w:type="dxa"/>
          </w:tcPr>
          <w:p w14:paraId="59342A07" w14:textId="77777777" w:rsidR="00222799" w:rsidRPr="005A6EF3" w:rsidRDefault="00222799" w:rsidP="006251C6">
            <w:pPr>
              <w:pStyle w:val="Tabletext"/>
              <w:rPr>
                <w:iCs/>
              </w:rPr>
            </w:pPr>
            <w:r w:rsidRPr="005A6EF3">
              <w:rPr>
                <w:iCs/>
              </w:rPr>
              <w:t>42.9</w:t>
            </w:r>
            <w:r w:rsidRPr="005A6EF3">
              <w:rPr>
                <w:iCs/>
                <w:spacing w:val="-2"/>
              </w:rPr>
              <w:t xml:space="preserve"> </w:t>
            </w:r>
            <w:r w:rsidRPr="005A6EF3">
              <w:rPr>
                <w:iCs/>
              </w:rPr>
              <w:t>(31.5,</w:t>
            </w:r>
            <w:r w:rsidRPr="005A6EF3">
              <w:rPr>
                <w:iCs/>
                <w:spacing w:val="-3"/>
              </w:rPr>
              <w:t xml:space="preserve"> </w:t>
            </w:r>
            <w:r w:rsidRPr="005A6EF3">
              <w:rPr>
                <w:iCs/>
              </w:rPr>
              <w:t>53.8)</w:t>
            </w:r>
          </w:p>
        </w:tc>
      </w:tr>
      <w:tr w:rsidR="00222799" w:rsidRPr="00FD35ED" w14:paraId="6730E153" w14:textId="77777777" w:rsidTr="00180CDD">
        <w:trPr>
          <w:trHeight w:val="227"/>
        </w:trPr>
        <w:tc>
          <w:tcPr>
            <w:tcW w:w="3959" w:type="dxa"/>
          </w:tcPr>
          <w:p w14:paraId="62098BDC" w14:textId="77777777" w:rsidR="00222799" w:rsidRPr="005A6EF3" w:rsidRDefault="00222799" w:rsidP="006251C6">
            <w:pPr>
              <w:pStyle w:val="Tabletext"/>
              <w:rPr>
                <w:iCs/>
              </w:rPr>
            </w:pPr>
            <w:r w:rsidRPr="005A6EF3">
              <w:rPr>
                <w:iCs/>
              </w:rPr>
              <w:t>24</w:t>
            </w:r>
            <w:r w:rsidRPr="005A6EF3">
              <w:rPr>
                <w:iCs/>
                <w:spacing w:val="-1"/>
              </w:rPr>
              <w:t xml:space="preserve"> </w:t>
            </w:r>
            <w:r w:rsidRPr="005A6EF3">
              <w:rPr>
                <w:iCs/>
              </w:rPr>
              <w:t>months</w:t>
            </w:r>
          </w:p>
        </w:tc>
        <w:tc>
          <w:tcPr>
            <w:tcW w:w="2127" w:type="dxa"/>
          </w:tcPr>
          <w:p w14:paraId="23475602" w14:textId="77777777" w:rsidR="00222799" w:rsidRPr="005A6EF3" w:rsidRDefault="00222799" w:rsidP="006251C6">
            <w:pPr>
              <w:pStyle w:val="Tabletext"/>
              <w:rPr>
                <w:iCs/>
              </w:rPr>
            </w:pPr>
            <w:r w:rsidRPr="005A6EF3">
              <w:rPr>
                <w:iCs/>
              </w:rPr>
              <w:t>44.8</w:t>
            </w:r>
            <w:r w:rsidRPr="005A6EF3">
              <w:rPr>
                <w:iCs/>
                <w:spacing w:val="-2"/>
              </w:rPr>
              <w:t xml:space="preserve"> </w:t>
            </w:r>
            <w:r w:rsidRPr="005A6EF3">
              <w:rPr>
                <w:iCs/>
              </w:rPr>
              <w:t>(34.9,</w:t>
            </w:r>
            <w:r w:rsidRPr="005A6EF3">
              <w:rPr>
                <w:iCs/>
                <w:spacing w:val="-3"/>
              </w:rPr>
              <w:t xml:space="preserve"> </w:t>
            </w:r>
            <w:r w:rsidRPr="005A6EF3">
              <w:rPr>
                <w:iCs/>
              </w:rPr>
              <w:t>54.2)</w:t>
            </w:r>
          </w:p>
        </w:tc>
        <w:tc>
          <w:tcPr>
            <w:tcW w:w="2126" w:type="dxa"/>
          </w:tcPr>
          <w:p w14:paraId="02BB5177" w14:textId="77777777" w:rsidR="00222799" w:rsidRPr="005A6EF3" w:rsidRDefault="00222799" w:rsidP="006251C6">
            <w:pPr>
              <w:pStyle w:val="Tabletext"/>
              <w:rPr>
                <w:iCs/>
              </w:rPr>
            </w:pPr>
            <w:r w:rsidRPr="005A6EF3">
              <w:rPr>
                <w:iCs/>
              </w:rPr>
              <w:t>20.3</w:t>
            </w:r>
            <w:r w:rsidRPr="005A6EF3">
              <w:rPr>
                <w:iCs/>
                <w:spacing w:val="-2"/>
              </w:rPr>
              <w:t xml:space="preserve"> </w:t>
            </w:r>
            <w:r w:rsidRPr="005A6EF3">
              <w:rPr>
                <w:iCs/>
              </w:rPr>
              <w:t>(9.1,</w:t>
            </w:r>
            <w:r w:rsidRPr="005A6EF3">
              <w:rPr>
                <w:iCs/>
                <w:spacing w:val="-2"/>
              </w:rPr>
              <w:t xml:space="preserve"> </w:t>
            </w:r>
            <w:r w:rsidRPr="005A6EF3">
              <w:rPr>
                <w:iCs/>
              </w:rPr>
              <w:t>34.7)</w:t>
            </w:r>
          </w:p>
        </w:tc>
      </w:tr>
      <w:tr w:rsidR="00222799" w:rsidRPr="00FD35ED" w14:paraId="4ED4E289" w14:textId="77777777" w:rsidTr="00180CDD">
        <w:trPr>
          <w:trHeight w:val="227"/>
        </w:trPr>
        <w:tc>
          <w:tcPr>
            <w:tcW w:w="3959" w:type="dxa"/>
          </w:tcPr>
          <w:p w14:paraId="5941159A" w14:textId="77777777" w:rsidR="00222799" w:rsidRPr="005A6EF3" w:rsidRDefault="00222799" w:rsidP="006251C6">
            <w:pPr>
              <w:pStyle w:val="Tabletext"/>
              <w:rPr>
                <w:iCs/>
              </w:rPr>
            </w:pPr>
            <w:r w:rsidRPr="005A6EF3">
              <w:rPr>
                <w:iCs/>
              </w:rPr>
              <w:t>30</w:t>
            </w:r>
            <w:r w:rsidRPr="005A6EF3">
              <w:rPr>
                <w:iCs/>
                <w:spacing w:val="-1"/>
              </w:rPr>
              <w:t xml:space="preserve"> </w:t>
            </w:r>
            <w:r w:rsidRPr="005A6EF3">
              <w:rPr>
                <w:iCs/>
              </w:rPr>
              <w:t>months</w:t>
            </w:r>
          </w:p>
        </w:tc>
        <w:tc>
          <w:tcPr>
            <w:tcW w:w="2127" w:type="dxa"/>
          </w:tcPr>
          <w:p w14:paraId="30E6ADBB" w14:textId="77777777" w:rsidR="00222799" w:rsidRPr="005A6EF3" w:rsidRDefault="00222799" w:rsidP="006251C6">
            <w:pPr>
              <w:pStyle w:val="Tabletext"/>
              <w:rPr>
                <w:iCs/>
              </w:rPr>
            </w:pPr>
            <w:r w:rsidRPr="005A6EF3">
              <w:rPr>
                <w:iCs/>
              </w:rPr>
              <w:t>33.6</w:t>
            </w:r>
            <w:r w:rsidRPr="005A6EF3">
              <w:rPr>
                <w:iCs/>
                <w:spacing w:val="-2"/>
              </w:rPr>
              <w:t xml:space="preserve"> </w:t>
            </w:r>
            <w:r w:rsidRPr="005A6EF3">
              <w:rPr>
                <w:iCs/>
              </w:rPr>
              <w:t>(20.2,</w:t>
            </w:r>
            <w:r w:rsidRPr="005A6EF3">
              <w:rPr>
                <w:iCs/>
                <w:spacing w:val="-3"/>
              </w:rPr>
              <w:t xml:space="preserve"> </w:t>
            </w:r>
            <w:r w:rsidRPr="005A6EF3">
              <w:rPr>
                <w:iCs/>
              </w:rPr>
              <w:t>47.6)</w:t>
            </w:r>
          </w:p>
        </w:tc>
        <w:tc>
          <w:tcPr>
            <w:tcW w:w="2126" w:type="dxa"/>
          </w:tcPr>
          <w:p w14:paraId="1CA3B148" w14:textId="77777777" w:rsidR="00222799" w:rsidRPr="005A6EF3" w:rsidRDefault="00222799" w:rsidP="006251C6">
            <w:pPr>
              <w:pStyle w:val="Tabletext"/>
              <w:rPr>
                <w:iCs/>
              </w:rPr>
            </w:pPr>
            <w:r w:rsidRPr="005A6EF3">
              <w:rPr>
                <w:iCs/>
              </w:rPr>
              <w:t>10.2</w:t>
            </w:r>
            <w:r w:rsidRPr="005A6EF3">
              <w:rPr>
                <w:iCs/>
                <w:spacing w:val="-2"/>
              </w:rPr>
              <w:t xml:space="preserve"> </w:t>
            </w:r>
            <w:r w:rsidRPr="005A6EF3">
              <w:rPr>
                <w:iCs/>
              </w:rPr>
              <w:t>(1.1,</w:t>
            </w:r>
            <w:r w:rsidRPr="005A6EF3">
              <w:rPr>
                <w:iCs/>
                <w:spacing w:val="-2"/>
              </w:rPr>
              <w:t xml:space="preserve"> </w:t>
            </w:r>
            <w:r w:rsidRPr="005A6EF3">
              <w:rPr>
                <w:iCs/>
              </w:rPr>
              <w:t>31.1)</w:t>
            </w:r>
          </w:p>
        </w:tc>
      </w:tr>
      <w:tr w:rsidR="00222799" w:rsidRPr="00FD35ED" w14:paraId="171D3332" w14:textId="77777777" w:rsidTr="00180CDD">
        <w:trPr>
          <w:trHeight w:val="227"/>
        </w:trPr>
        <w:tc>
          <w:tcPr>
            <w:tcW w:w="8212" w:type="dxa"/>
            <w:gridSpan w:val="3"/>
          </w:tcPr>
          <w:p w14:paraId="58037144" w14:textId="3E1174A6" w:rsidR="00222799" w:rsidRPr="00FD35ED" w:rsidRDefault="00E90E77" w:rsidP="006251C6">
            <w:pPr>
              <w:pStyle w:val="Tabletext"/>
              <w:rPr>
                <w:b/>
              </w:rPr>
            </w:pPr>
            <w:bookmarkStart w:id="77" w:name="_Hlk95836382"/>
            <w:bookmarkEnd w:id="76"/>
            <w:r w:rsidRPr="00FD35ED">
              <w:rPr>
                <w:b/>
              </w:rPr>
              <w:t>Progression</w:t>
            </w:r>
            <w:r w:rsidR="00FB4056">
              <w:rPr>
                <w:b/>
              </w:rPr>
              <w:t xml:space="preserve"> </w:t>
            </w:r>
            <w:r w:rsidRPr="00FD35ED">
              <w:rPr>
                <w:b/>
              </w:rPr>
              <w:t>free survival</w:t>
            </w:r>
          </w:p>
        </w:tc>
      </w:tr>
      <w:tr w:rsidR="00222799" w:rsidRPr="00FD35ED" w14:paraId="0043E358" w14:textId="77777777" w:rsidTr="00180CDD">
        <w:trPr>
          <w:trHeight w:val="227"/>
        </w:trPr>
        <w:tc>
          <w:tcPr>
            <w:tcW w:w="3959" w:type="dxa"/>
          </w:tcPr>
          <w:p w14:paraId="5641B172" w14:textId="5843176E" w:rsidR="00222799" w:rsidRPr="00FD35ED" w:rsidRDefault="00222799" w:rsidP="006251C6">
            <w:pPr>
              <w:pStyle w:val="Tabletext"/>
            </w:pPr>
            <w:r w:rsidRPr="00FD35ED">
              <w:t>Median</w:t>
            </w:r>
            <w:r w:rsidRPr="00FD35ED">
              <w:rPr>
                <w:spacing w:val="-3"/>
              </w:rPr>
              <w:t xml:space="preserve"> </w:t>
            </w:r>
            <w:r w:rsidRPr="00FD35ED">
              <w:t>follow‐up</w:t>
            </w:r>
            <w:r w:rsidRPr="00FD35ED">
              <w:rPr>
                <w:spacing w:val="-1"/>
              </w:rPr>
              <w:t xml:space="preserve"> </w:t>
            </w:r>
            <w:r w:rsidRPr="00FD35ED">
              <w:t xml:space="preserve">time for </w:t>
            </w:r>
            <w:r w:rsidR="00E90E77" w:rsidRPr="00FD35ED">
              <w:t>progression</w:t>
            </w:r>
            <w:r w:rsidR="00180CDD" w:rsidRPr="00FD35ED">
              <w:t xml:space="preserve"> </w:t>
            </w:r>
            <w:r w:rsidR="00E90E77" w:rsidRPr="00FD35ED">
              <w:t>free survival</w:t>
            </w:r>
            <w:r w:rsidRPr="00FD35ED">
              <w:t>,</w:t>
            </w:r>
            <w:r w:rsidRPr="00FD35ED">
              <w:rPr>
                <w:spacing w:val="-2"/>
              </w:rPr>
              <w:t xml:space="preserve"> </w:t>
            </w:r>
            <w:r w:rsidRPr="00FD35ED">
              <w:t>months</w:t>
            </w:r>
            <w:r w:rsidRPr="00FD35ED">
              <w:rPr>
                <w:spacing w:val="-2"/>
              </w:rPr>
              <w:t xml:space="preserve"> </w:t>
            </w:r>
            <w:r w:rsidRPr="00FD35ED">
              <w:t>(95%</w:t>
            </w:r>
            <w:r w:rsidRPr="00FD35ED">
              <w:rPr>
                <w:spacing w:val="-2"/>
              </w:rPr>
              <w:t xml:space="preserve"> </w:t>
            </w:r>
            <w:proofErr w:type="gramStart"/>
            <w:r w:rsidRPr="00FD35ED">
              <w:t>CI)</w:t>
            </w:r>
            <w:r w:rsidRPr="00FD35ED">
              <w:rPr>
                <w:vertAlign w:val="superscript"/>
              </w:rPr>
              <w:t>a</w:t>
            </w:r>
            <w:proofErr w:type="gramEnd"/>
          </w:p>
        </w:tc>
        <w:tc>
          <w:tcPr>
            <w:tcW w:w="2127" w:type="dxa"/>
          </w:tcPr>
          <w:p w14:paraId="314149AB" w14:textId="77777777" w:rsidR="00222799" w:rsidRPr="00FD35ED" w:rsidRDefault="00222799" w:rsidP="006251C6">
            <w:pPr>
              <w:pStyle w:val="Tabletext"/>
            </w:pPr>
            <w:r w:rsidRPr="00FD35ED">
              <w:t>13.8 (10.9, 16.8)</w:t>
            </w:r>
          </w:p>
        </w:tc>
        <w:tc>
          <w:tcPr>
            <w:tcW w:w="2126" w:type="dxa"/>
          </w:tcPr>
          <w:p w14:paraId="30B3E423" w14:textId="77777777" w:rsidR="00222799" w:rsidRPr="00FD35ED" w:rsidRDefault="00222799" w:rsidP="006251C6">
            <w:pPr>
              <w:pStyle w:val="Tabletext"/>
            </w:pPr>
            <w:r w:rsidRPr="00FD35ED">
              <w:t>11.3 (8.3, 16.9)</w:t>
            </w:r>
          </w:p>
        </w:tc>
      </w:tr>
      <w:tr w:rsidR="00222799" w:rsidRPr="00FD35ED" w14:paraId="73AF4FD1" w14:textId="77777777" w:rsidTr="00180CDD">
        <w:trPr>
          <w:trHeight w:val="227"/>
        </w:trPr>
        <w:tc>
          <w:tcPr>
            <w:tcW w:w="3959" w:type="dxa"/>
          </w:tcPr>
          <w:p w14:paraId="4775452A" w14:textId="4D89951A" w:rsidR="00222799" w:rsidRPr="00FD35ED" w:rsidRDefault="00222799" w:rsidP="006251C6">
            <w:pPr>
              <w:pStyle w:val="Tabletext"/>
            </w:pPr>
            <w:r w:rsidRPr="00FD35ED">
              <w:t xml:space="preserve">Combined median </w:t>
            </w:r>
            <w:r w:rsidR="00E90E77" w:rsidRPr="00FD35ED">
              <w:t>progression</w:t>
            </w:r>
            <w:r w:rsidR="00180CDD" w:rsidRPr="00FD35ED">
              <w:t xml:space="preserve"> </w:t>
            </w:r>
            <w:r w:rsidR="00E90E77" w:rsidRPr="00FD35ED">
              <w:t xml:space="preserve">free survival </w:t>
            </w:r>
            <w:r w:rsidRPr="00FD35ED">
              <w:t>follow-up time, months (95%</w:t>
            </w:r>
            <w:r w:rsidRPr="00FD35ED">
              <w:rPr>
                <w:spacing w:val="-2"/>
              </w:rPr>
              <w:t xml:space="preserve"> </w:t>
            </w:r>
            <w:proofErr w:type="gramStart"/>
            <w:r w:rsidRPr="00FD35ED">
              <w:t>CI)</w:t>
            </w:r>
            <w:r w:rsidRPr="00FD35ED">
              <w:rPr>
                <w:vertAlign w:val="superscript"/>
              </w:rPr>
              <w:t>a</w:t>
            </w:r>
            <w:proofErr w:type="gramEnd"/>
          </w:p>
        </w:tc>
        <w:tc>
          <w:tcPr>
            <w:tcW w:w="4253" w:type="dxa"/>
            <w:gridSpan w:val="2"/>
          </w:tcPr>
          <w:p w14:paraId="78EB3DD0" w14:textId="77777777" w:rsidR="00222799" w:rsidRPr="00FD35ED" w:rsidRDefault="00222799" w:rsidP="006251C6">
            <w:pPr>
              <w:pStyle w:val="Tabletext"/>
            </w:pPr>
            <w:r w:rsidRPr="00FD35ED">
              <w:t>11.4 (11.1, 1.6)</w:t>
            </w:r>
          </w:p>
        </w:tc>
      </w:tr>
      <w:tr w:rsidR="00222799" w:rsidRPr="00FD35ED" w14:paraId="342E9274" w14:textId="77777777" w:rsidTr="00180CDD">
        <w:trPr>
          <w:trHeight w:val="227"/>
        </w:trPr>
        <w:tc>
          <w:tcPr>
            <w:tcW w:w="3959" w:type="dxa"/>
          </w:tcPr>
          <w:p w14:paraId="2795FD7D" w14:textId="77777777" w:rsidR="00222799" w:rsidRPr="00FD35ED" w:rsidRDefault="00222799" w:rsidP="006251C6">
            <w:pPr>
              <w:pStyle w:val="Tabletext"/>
            </w:pPr>
            <w:r w:rsidRPr="00FD35ED">
              <w:t>Patients with death or progression events, n (%)</w:t>
            </w:r>
          </w:p>
        </w:tc>
        <w:tc>
          <w:tcPr>
            <w:tcW w:w="2127" w:type="dxa"/>
          </w:tcPr>
          <w:p w14:paraId="402A61ED" w14:textId="77777777" w:rsidR="00222799" w:rsidRPr="00FD35ED" w:rsidRDefault="00222799" w:rsidP="006251C6">
            <w:pPr>
              <w:pStyle w:val="Tabletext"/>
            </w:pPr>
            <w:r w:rsidRPr="00FD35ED">
              <w:t>198 (79%)</w:t>
            </w:r>
          </w:p>
        </w:tc>
        <w:tc>
          <w:tcPr>
            <w:tcW w:w="2126" w:type="dxa"/>
          </w:tcPr>
          <w:p w14:paraId="34FB9FCF" w14:textId="77777777" w:rsidR="00222799" w:rsidRPr="00FD35ED" w:rsidRDefault="00222799" w:rsidP="006251C6">
            <w:pPr>
              <w:pStyle w:val="Tabletext"/>
            </w:pPr>
            <w:r w:rsidRPr="00FD35ED">
              <w:t>97 (77%)</w:t>
            </w:r>
          </w:p>
        </w:tc>
      </w:tr>
      <w:tr w:rsidR="00222799" w:rsidRPr="00FD35ED" w14:paraId="512C81FB" w14:textId="77777777" w:rsidTr="00180CDD">
        <w:trPr>
          <w:trHeight w:val="227"/>
        </w:trPr>
        <w:tc>
          <w:tcPr>
            <w:tcW w:w="3959" w:type="dxa"/>
          </w:tcPr>
          <w:p w14:paraId="79B54634" w14:textId="77777777" w:rsidR="00222799" w:rsidRPr="005A6EF3" w:rsidRDefault="00222799" w:rsidP="006251C6">
            <w:pPr>
              <w:pStyle w:val="Tabletext"/>
              <w:rPr>
                <w:iCs/>
              </w:rPr>
            </w:pPr>
            <w:r w:rsidRPr="005A6EF3">
              <w:rPr>
                <w:iCs/>
              </w:rPr>
              <w:lastRenderedPageBreak/>
              <w:t>Patients with progression events, n (%)</w:t>
            </w:r>
          </w:p>
        </w:tc>
        <w:tc>
          <w:tcPr>
            <w:tcW w:w="2127" w:type="dxa"/>
          </w:tcPr>
          <w:p w14:paraId="3A531F78" w14:textId="77777777" w:rsidR="00222799" w:rsidRPr="005A6EF3" w:rsidRDefault="00222799" w:rsidP="006251C6">
            <w:pPr>
              <w:pStyle w:val="Tabletext"/>
              <w:rPr>
                <w:iCs/>
              </w:rPr>
            </w:pPr>
            <w:r w:rsidRPr="005A6EF3">
              <w:rPr>
                <w:iCs/>
              </w:rPr>
              <w:t>183 (73%)</w:t>
            </w:r>
          </w:p>
        </w:tc>
        <w:tc>
          <w:tcPr>
            <w:tcW w:w="2126" w:type="dxa"/>
          </w:tcPr>
          <w:p w14:paraId="21EB0BB2" w14:textId="77777777" w:rsidR="00222799" w:rsidRPr="005A6EF3" w:rsidRDefault="00222799" w:rsidP="006251C6">
            <w:pPr>
              <w:pStyle w:val="Tabletext"/>
              <w:rPr>
                <w:iCs/>
              </w:rPr>
            </w:pPr>
            <w:r w:rsidRPr="005A6EF3">
              <w:rPr>
                <w:iCs/>
              </w:rPr>
              <w:t>83 (66%)</w:t>
            </w:r>
          </w:p>
        </w:tc>
      </w:tr>
      <w:tr w:rsidR="00222799" w:rsidRPr="00FD35ED" w14:paraId="207CA9AC" w14:textId="77777777" w:rsidTr="00180CDD">
        <w:trPr>
          <w:trHeight w:val="227"/>
        </w:trPr>
        <w:tc>
          <w:tcPr>
            <w:tcW w:w="3959" w:type="dxa"/>
          </w:tcPr>
          <w:p w14:paraId="33835D9D" w14:textId="77777777" w:rsidR="00222799" w:rsidRPr="005A6EF3" w:rsidRDefault="00222799" w:rsidP="006251C6">
            <w:pPr>
              <w:pStyle w:val="Tabletext"/>
              <w:rPr>
                <w:iCs/>
              </w:rPr>
            </w:pPr>
            <w:r w:rsidRPr="005A6EF3">
              <w:rPr>
                <w:iCs/>
              </w:rPr>
              <w:t>Patients who died without progression being recorded, n (%)</w:t>
            </w:r>
          </w:p>
        </w:tc>
        <w:tc>
          <w:tcPr>
            <w:tcW w:w="2127" w:type="dxa"/>
          </w:tcPr>
          <w:p w14:paraId="51AB2B4C" w14:textId="77777777" w:rsidR="00222799" w:rsidRPr="005A6EF3" w:rsidRDefault="00222799" w:rsidP="006251C6">
            <w:pPr>
              <w:pStyle w:val="Tabletext"/>
              <w:rPr>
                <w:iCs/>
              </w:rPr>
            </w:pPr>
            <w:r w:rsidRPr="005A6EF3">
              <w:rPr>
                <w:iCs/>
              </w:rPr>
              <w:t>15 (6%)</w:t>
            </w:r>
          </w:p>
        </w:tc>
        <w:tc>
          <w:tcPr>
            <w:tcW w:w="2126" w:type="dxa"/>
          </w:tcPr>
          <w:p w14:paraId="2EA8E597" w14:textId="77777777" w:rsidR="00222799" w:rsidRPr="005A6EF3" w:rsidRDefault="00222799" w:rsidP="006251C6">
            <w:pPr>
              <w:pStyle w:val="Tabletext"/>
              <w:rPr>
                <w:iCs/>
              </w:rPr>
            </w:pPr>
            <w:r w:rsidRPr="005A6EF3">
              <w:rPr>
                <w:iCs/>
              </w:rPr>
              <w:t>14 (11%)</w:t>
            </w:r>
          </w:p>
        </w:tc>
      </w:tr>
      <w:tr w:rsidR="00222799" w:rsidRPr="00FD35ED" w14:paraId="1B7A620F" w14:textId="77777777" w:rsidTr="00180CDD">
        <w:trPr>
          <w:trHeight w:val="227"/>
        </w:trPr>
        <w:tc>
          <w:tcPr>
            <w:tcW w:w="3959" w:type="dxa"/>
          </w:tcPr>
          <w:p w14:paraId="698600D3" w14:textId="0A660F84" w:rsidR="00222799" w:rsidRPr="00FD35ED" w:rsidRDefault="00222799" w:rsidP="006251C6">
            <w:pPr>
              <w:pStyle w:val="Tabletext"/>
            </w:pPr>
            <w:r w:rsidRPr="00FD35ED">
              <w:t xml:space="preserve">Median </w:t>
            </w:r>
            <w:r w:rsidR="00E90E77" w:rsidRPr="00FD35ED">
              <w:t>progression</w:t>
            </w:r>
            <w:r w:rsidR="00180CDD" w:rsidRPr="00FD35ED">
              <w:t xml:space="preserve"> </w:t>
            </w:r>
            <w:r w:rsidR="00E90E77" w:rsidRPr="00FD35ED">
              <w:t xml:space="preserve">free survival </w:t>
            </w:r>
            <w:r w:rsidRPr="00FD35ED">
              <w:t>(95% CI), months</w:t>
            </w:r>
          </w:p>
        </w:tc>
        <w:tc>
          <w:tcPr>
            <w:tcW w:w="2127" w:type="dxa"/>
          </w:tcPr>
          <w:p w14:paraId="54DA9A95" w14:textId="77777777" w:rsidR="00222799" w:rsidRPr="00FD35ED" w:rsidRDefault="00222799" w:rsidP="006251C6">
            <w:pPr>
              <w:pStyle w:val="Tabletext"/>
            </w:pPr>
            <w:r w:rsidRPr="00FD35ED">
              <w:t>3.3 (3.0, 5.0)</w:t>
            </w:r>
          </w:p>
        </w:tc>
        <w:tc>
          <w:tcPr>
            <w:tcW w:w="2126" w:type="dxa"/>
          </w:tcPr>
          <w:p w14:paraId="6169309A" w14:textId="77777777" w:rsidR="00222799" w:rsidRPr="00FD35ED" w:rsidRDefault="00222799" w:rsidP="006251C6">
            <w:pPr>
              <w:pStyle w:val="Tabletext"/>
            </w:pPr>
            <w:r w:rsidRPr="00FD35ED">
              <w:t>2.9 (2.8, 3.0)</w:t>
            </w:r>
          </w:p>
        </w:tc>
      </w:tr>
      <w:tr w:rsidR="00222799" w:rsidRPr="00FD35ED" w14:paraId="6D7EF415" w14:textId="77777777" w:rsidTr="00180CDD">
        <w:trPr>
          <w:trHeight w:val="227"/>
        </w:trPr>
        <w:tc>
          <w:tcPr>
            <w:tcW w:w="3959" w:type="dxa"/>
          </w:tcPr>
          <w:p w14:paraId="41109252" w14:textId="39C119E0" w:rsidR="00222799" w:rsidRPr="00FD35ED" w:rsidRDefault="00E90E77" w:rsidP="006251C6">
            <w:pPr>
              <w:pStyle w:val="Tabletext"/>
            </w:pPr>
            <w:r w:rsidRPr="00FD35ED">
              <w:t>Progression</w:t>
            </w:r>
            <w:r w:rsidR="00FB4056">
              <w:t xml:space="preserve"> </w:t>
            </w:r>
            <w:r w:rsidRPr="00FD35ED">
              <w:t xml:space="preserve">free survival </w:t>
            </w:r>
            <w:r w:rsidR="00222799" w:rsidRPr="00FD35ED">
              <w:t xml:space="preserve">hazard ratio (95% CI) </w:t>
            </w:r>
            <w:r w:rsidR="001C7332" w:rsidRPr="00FD35ED">
              <w:t>(</w:t>
            </w:r>
            <w:r w:rsidR="00222799" w:rsidRPr="00FD35ED">
              <w:t>p-value</w:t>
            </w:r>
            <w:r w:rsidR="001C7332" w:rsidRPr="00FD35ED">
              <w:t>)</w:t>
            </w:r>
          </w:p>
        </w:tc>
        <w:tc>
          <w:tcPr>
            <w:tcW w:w="4253" w:type="dxa"/>
            <w:gridSpan w:val="2"/>
          </w:tcPr>
          <w:p w14:paraId="33CA2876" w14:textId="14B85A93" w:rsidR="00222799" w:rsidRPr="00FD35ED" w:rsidRDefault="00222799" w:rsidP="006251C6">
            <w:pPr>
              <w:pStyle w:val="Tabletext"/>
            </w:pPr>
            <w:r w:rsidRPr="00FD35ED">
              <w:t xml:space="preserve">0.73 (0.58, 0.94) </w:t>
            </w:r>
            <w:r w:rsidR="001C7332" w:rsidRPr="00FD35ED">
              <w:t>(</w:t>
            </w:r>
            <w:r w:rsidRPr="00FD35ED">
              <w:t>p</w:t>
            </w:r>
            <w:r w:rsidR="00F97E3A" w:rsidRPr="00FD35ED">
              <w:t xml:space="preserve"> </w:t>
            </w:r>
            <w:r w:rsidRPr="00FD35ED">
              <w:t>=</w:t>
            </w:r>
            <w:r w:rsidR="00F97E3A" w:rsidRPr="00FD35ED">
              <w:t xml:space="preserve"> </w:t>
            </w:r>
            <w:r w:rsidRPr="00FD35ED">
              <w:t>0.0139</w:t>
            </w:r>
            <w:r w:rsidR="001C7332" w:rsidRPr="00FD35ED">
              <w:t>)</w:t>
            </w:r>
          </w:p>
        </w:tc>
      </w:tr>
      <w:bookmarkEnd w:id="77"/>
      <w:tr w:rsidR="00222799" w:rsidRPr="00FD35ED" w14:paraId="10E749C2" w14:textId="77777777" w:rsidTr="00180CDD">
        <w:trPr>
          <w:trHeight w:val="227"/>
        </w:trPr>
        <w:tc>
          <w:tcPr>
            <w:tcW w:w="8212" w:type="dxa"/>
            <w:gridSpan w:val="3"/>
          </w:tcPr>
          <w:p w14:paraId="3A66B2D4" w14:textId="6D4CB7FA" w:rsidR="00222799" w:rsidRPr="00FD35ED" w:rsidRDefault="00E90E77" w:rsidP="006251C6">
            <w:pPr>
              <w:pStyle w:val="Tabletext"/>
              <w:rPr>
                <w:b/>
              </w:rPr>
            </w:pPr>
            <w:r w:rsidRPr="00FD35ED">
              <w:rPr>
                <w:b/>
              </w:rPr>
              <w:t>Best overall response</w:t>
            </w:r>
            <w:r w:rsidR="00222799" w:rsidRPr="00FD35ED">
              <w:rPr>
                <w:b/>
              </w:rPr>
              <w:t>/</w:t>
            </w:r>
            <w:r w:rsidRPr="00FD35ED">
              <w:rPr>
                <w:b/>
              </w:rPr>
              <w:t>objective response rate</w:t>
            </w:r>
          </w:p>
        </w:tc>
      </w:tr>
      <w:tr w:rsidR="00222799" w:rsidRPr="00FD35ED" w14:paraId="5BE0FEEB" w14:textId="77777777" w:rsidTr="00180CDD">
        <w:trPr>
          <w:trHeight w:val="227"/>
        </w:trPr>
        <w:tc>
          <w:tcPr>
            <w:tcW w:w="3959" w:type="dxa"/>
          </w:tcPr>
          <w:p w14:paraId="140549AE" w14:textId="3D8818BB" w:rsidR="00222799" w:rsidRPr="00FD35ED" w:rsidRDefault="00E90E77" w:rsidP="006251C6">
            <w:pPr>
              <w:pStyle w:val="Tabletext"/>
            </w:pPr>
            <w:r w:rsidRPr="00FD35ED">
              <w:t xml:space="preserve">Objective response rate </w:t>
            </w:r>
            <w:r w:rsidR="001C7332" w:rsidRPr="00FD35ED">
              <w:t>(</w:t>
            </w:r>
            <w:r w:rsidRPr="00FD35ED">
              <w:t xml:space="preserve">complete response </w:t>
            </w:r>
            <w:r w:rsidR="00222799" w:rsidRPr="00FD35ED">
              <w:t>+</w:t>
            </w:r>
            <w:r w:rsidRPr="00FD35ED">
              <w:t xml:space="preserve"> partial response</w:t>
            </w:r>
            <w:r w:rsidR="001C7332" w:rsidRPr="00FD35ED">
              <w:t>)</w:t>
            </w:r>
            <w:r w:rsidR="00222799" w:rsidRPr="00FD35ED">
              <w:t xml:space="preserve"> (95% CI)</w:t>
            </w:r>
          </w:p>
        </w:tc>
        <w:tc>
          <w:tcPr>
            <w:tcW w:w="2127" w:type="dxa"/>
          </w:tcPr>
          <w:p w14:paraId="29E86683" w14:textId="77777777" w:rsidR="00222799" w:rsidRPr="00FD35ED" w:rsidRDefault="00222799" w:rsidP="006251C6">
            <w:pPr>
              <w:pStyle w:val="Tabletext"/>
            </w:pPr>
            <w:r w:rsidRPr="00FD35ED">
              <w:t>9% (5.9, 13.4)</w:t>
            </w:r>
          </w:p>
        </w:tc>
        <w:tc>
          <w:tcPr>
            <w:tcW w:w="2126" w:type="dxa"/>
          </w:tcPr>
          <w:p w14:paraId="53B1824F" w14:textId="77777777" w:rsidR="00222799" w:rsidRPr="00FD35ED" w:rsidRDefault="00222799" w:rsidP="006251C6">
            <w:pPr>
              <w:pStyle w:val="Tabletext"/>
            </w:pPr>
            <w:r w:rsidRPr="00FD35ED">
              <w:t>5% (1.8, 10.1)</w:t>
            </w:r>
          </w:p>
        </w:tc>
      </w:tr>
      <w:tr w:rsidR="00222799" w:rsidRPr="00FD35ED" w14:paraId="327623BB" w14:textId="77777777" w:rsidTr="00180CDD">
        <w:trPr>
          <w:trHeight w:val="227"/>
        </w:trPr>
        <w:tc>
          <w:tcPr>
            <w:tcW w:w="3959" w:type="dxa"/>
          </w:tcPr>
          <w:p w14:paraId="61A05EA0" w14:textId="2FB25EFC" w:rsidR="00222799" w:rsidRPr="005A6EF3" w:rsidRDefault="00222799" w:rsidP="006251C6">
            <w:pPr>
              <w:pStyle w:val="Tabletext"/>
              <w:rPr>
                <w:iCs/>
              </w:rPr>
            </w:pPr>
            <w:r w:rsidRPr="005A6EF3">
              <w:rPr>
                <w:iCs/>
              </w:rPr>
              <w:t>Complete response, n (%)</w:t>
            </w:r>
          </w:p>
        </w:tc>
        <w:tc>
          <w:tcPr>
            <w:tcW w:w="2127" w:type="dxa"/>
          </w:tcPr>
          <w:p w14:paraId="605B177C" w14:textId="77777777" w:rsidR="00222799" w:rsidRPr="005A6EF3" w:rsidRDefault="00222799" w:rsidP="006251C6">
            <w:pPr>
              <w:pStyle w:val="Tabletext"/>
              <w:rPr>
                <w:iCs/>
              </w:rPr>
            </w:pPr>
            <w:r w:rsidRPr="005A6EF3">
              <w:rPr>
                <w:iCs/>
              </w:rPr>
              <w:t>1 (0.4%)</w:t>
            </w:r>
          </w:p>
        </w:tc>
        <w:tc>
          <w:tcPr>
            <w:tcW w:w="2126" w:type="dxa"/>
          </w:tcPr>
          <w:p w14:paraId="21A0D773" w14:textId="77777777" w:rsidR="00222799" w:rsidRPr="005A6EF3" w:rsidRDefault="00222799" w:rsidP="006251C6">
            <w:pPr>
              <w:pStyle w:val="Tabletext"/>
              <w:rPr>
                <w:iCs/>
              </w:rPr>
            </w:pPr>
            <w:r w:rsidRPr="005A6EF3">
              <w:rPr>
                <w:iCs/>
              </w:rPr>
              <w:t>0</w:t>
            </w:r>
          </w:p>
        </w:tc>
      </w:tr>
      <w:tr w:rsidR="00222799" w:rsidRPr="00FD35ED" w14:paraId="1F13BE2C" w14:textId="77777777" w:rsidTr="00180CDD">
        <w:trPr>
          <w:trHeight w:val="227"/>
        </w:trPr>
        <w:tc>
          <w:tcPr>
            <w:tcW w:w="3959" w:type="dxa"/>
          </w:tcPr>
          <w:p w14:paraId="79458550" w14:textId="01921BF3" w:rsidR="00222799" w:rsidRPr="005A6EF3" w:rsidRDefault="00222799" w:rsidP="006251C6">
            <w:pPr>
              <w:pStyle w:val="Tabletext"/>
              <w:rPr>
                <w:iCs/>
              </w:rPr>
            </w:pPr>
            <w:r w:rsidRPr="005A6EF3">
              <w:rPr>
                <w:iCs/>
              </w:rPr>
              <w:t>Partial response, n (%)</w:t>
            </w:r>
          </w:p>
        </w:tc>
        <w:tc>
          <w:tcPr>
            <w:tcW w:w="2127" w:type="dxa"/>
          </w:tcPr>
          <w:p w14:paraId="7B1839BB" w14:textId="77777777" w:rsidR="00222799" w:rsidRPr="005A6EF3" w:rsidRDefault="00222799" w:rsidP="006251C6">
            <w:pPr>
              <w:pStyle w:val="Tabletext"/>
              <w:rPr>
                <w:iCs/>
              </w:rPr>
            </w:pPr>
            <w:r w:rsidRPr="005A6EF3">
              <w:rPr>
                <w:iCs/>
              </w:rPr>
              <w:t>22 (8%)</w:t>
            </w:r>
          </w:p>
        </w:tc>
        <w:tc>
          <w:tcPr>
            <w:tcW w:w="2126" w:type="dxa"/>
          </w:tcPr>
          <w:p w14:paraId="6B6BBBE2" w14:textId="77777777" w:rsidR="00222799" w:rsidRPr="005A6EF3" w:rsidRDefault="00222799" w:rsidP="006251C6">
            <w:pPr>
              <w:pStyle w:val="Tabletext"/>
              <w:rPr>
                <w:iCs/>
              </w:rPr>
            </w:pPr>
            <w:r w:rsidRPr="005A6EF3">
              <w:rPr>
                <w:iCs/>
              </w:rPr>
              <w:t>6 (5%)</w:t>
            </w:r>
          </w:p>
        </w:tc>
      </w:tr>
      <w:tr w:rsidR="00222799" w:rsidRPr="00FD35ED" w14:paraId="603BAD0B" w14:textId="77777777" w:rsidTr="00180CDD">
        <w:trPr>
          <w:trHeight w:val="227"/>
        </w:trPr>
        <w:tc>
          <w:tcPr>
            <w:tcW w:w="3959" w:type="dxa"/>
          </w:tcPr>
          <w:p w14:paraId="53735535" w14:textId="08D1750A" w:rsidR="00222799" w:rsidRPr="005A6EF3" w:rsidRDefault="00222799" w:rsidP="006251C6">
            <w:pPr>
              <w:pStyle w:val="Tabletext"/>
              <w:rPr>
                <w:iCs/>
              </w:rPr>
            </w:pPr>
            <w:r w:rsidRPr="005A6EF3">
              <w:rPr>
                <w:iCs/>
              </w:rPr>
              <w:t>Stable disease, n (%)</w:t>
            </w:r>
          </w:p>
        </w:tc>
        <w:tc>
          <w:tcPr>
            <w:tcW w:w="2127" w:type="dxa"/>
          </w:tcPr>
          <w:p w14:paraId="0A98A714" w14:textId="77777777" w:rsidR="00222799" w:rsidRPr="005A6EF3" w:rsidRDefault="00222799" w:rsidP="006251C6">
            <w:pPr>
              <w:pStyle w:val="Tabletext"/>
              <w:rPr>
                <w:iCs/>
              </w:rPr>
            </w:pPr>
            <w:r w:rsidRPr="005A6EF3">
              <w:rPr>
                <w:iCs/>
              </w:rPr>
              <w:t>92 (37%)</w:t>
            </w:r>
          </w:p>
        </w:tc>
        <w:tc>
          <w:tcPr>
            <w:tcW w:w="2126" w:type="dxa"/>
          </w:tcPr>
          <w:p w14:paraId="1D4E4F0F" w14:textId="77777777" w:rsidR="00222799" w:rsidRPr="005A6EF3" w:rsidRDefault="00222799" w:rsidP="006251C6">
            <w:pPr>
              <w:pStyle w:val="Tabletext"/>
              <w:rPr>
                <w:iCs/>
              </w:rPr>
            </w:pPr>
            <w:r w:rsidRPr="005A6EF3">
              <w:rPr>
                <w:iCs/>
              </w:rPr>
              <w:t>28 (22%)</w:t>
            </w:r>
          </w:p>
        </w:tc>
      </w:tr>
      <w:tr w:rsidR="00222799" w:rsidRPr="00FD35ED" w14:paraId="12990C3E" w14:textId="77777777" w:rsidTr="00180CDD">
        <w:trPr>
          <w:trHeight w:val="227"/>
        </w:trPr>
        <w:tc>
          <w:tcPr>
            <w:tcW w:w="3959" w:type="dxa"/>
          </w:tcPr>
          <w:p w14:paraId="6C6A5A7B" w14:textId="19AF4466" w:rsidR="00222799" w:rsidRPr="005A6EF3" w:rsidRDefault="00222799" w:rsidP="006251C6">
            <w:pPr>
              <w:pStyle w:val="Tabletext"/>
              <w:rPr>
                <w:iCs/>
              </w:rPr>
            </w:pPr>
            <w:r w:rsidRPr="005A6EF3">
              <w:rPr>
                <w:iCs/>
              </w:rPr>
              <w:t>Progressive disease, n (%)</w:t>
            </w:r>
          </w:p>
        </w:tc>
        <w:tc>
          <w:tcPr>
            <w:tcW w:w="2127" w:type="dxa"/>
          </w:tcPr>
          <w:p w14:paraId="471E1892" w14:textId="77777777" w:rsidR="00222799" w:rsidRPr="005A6EF3" w:rsidRDefault="00222799" w:rsidP="006251C6">
            <w:pPr>
              <w:pStyle w:val="Tabletext"/>
              <w:rPr>
                <w:iCs/>
              </w:rPr>
            </w:pPr>
            <w:r w:rsidRPr="005A6EF3">
              <w:rPr>
                <w:iCs/>
              </w:rPr>
              <w:t>131 (52%)</w:t>
            </w:r>
          </w:p>
        </w:tc>
        <w:tc>
          <w:tcPr>
            <w:tcW w:w="2126" w:type="dxa"/>
          </w:tcPr>
          <w:p w14:paraId="68A1647D" w14:textId="77777777" w:rsidR="00222799" w:rsidRPr="005A6EF3" w:rsidRDefault="00222799" w:rsidP="006251C6">
            <w:pPr>
              <w:pStyle w:val="Tabletext"/>
              <w:rPr>
                <w:iCs/>
              </w:rPr>
            </w:pPr>
            <w:r w:rsidRPr="005A6EF3">
              <w:rPr>
                <w:iCs/>
              </w:rPr>
              <w:t>78 (62%)</w:t>
            </w:r>
          </w:p>
        </w:tc>
      </w:tr>
      <w:tr w:rsidR="00222799" w:rsidRPr="00FD35ED" w14:paraId="346C5D45" w14:textId="77777777" w:rsidTr="00180CDD">
        <w:trPr>
          <w:trHeight w:val="227"/>
        </w:trPr>
        <w:tc>
          <w:tcPr>
            <w:tcW w:w="3959" w:type="dxa"/>
          </w:tcPr>
          <w:p w14:paraId="14777188" w14:textId="5E7414D4" w:rsidR="00222799" w:rsidRPr="005A6EF3" w:rsidRDefault="00222799" w:rsidP="006251C6">
            <w:pPr>
              <w:pStyle w:val="Tabletext"/>
              <w:rPr>
                <w:iCs/>
              </w:rPr>
            </w:pPr>
            <w:r w:rsidRPr="005A6EF3">
              <w:rPr>
                <w:iCs/>
              </w:rPr>
              <w:t>Not evaluable, n (%)</w:t>
            </w:r>
          </w:p>
        </w:tc>
        <w:tc>
          <w:tcPr>
            <w:tcW w:w="2127" w:type="dxa"/>
          </w:tcPr>
          <w:p w14:paraId="454B1B10" w14:textId="77777777" w:rsidR="00222799" w:rsidRPr="005A6EF3" w:rsidRDefault="00222799" w:rsidP="006251C6">
            <w:pPr>
              <w:pStyle w:val="Tabletext"/>
              <w:rPr>
                <w:iCs/>
              </w:rPr>
            </w:pPr>
            <w:r w:rsidRPr="005A6EF3">
              <w:rPr>
                <w:iCs/>
              </w:rPr>
              <w:t>6 (2%)</w:t>
            </w:r>
          </w:p>
        </w:tc>
        <w:tc>
          <w:tcPr>
            <w:tcW w:w="2126" w:type="dxa"/>
          </w:tcPr>
          <w:p w14:paraId="6D5A188A" w14:textId="77777777" w:rsidR="00222799" w:rsidRPr="005A6EF3" w:rsidRDefault="00222799" w:rsidP="006251C6">
            <w:pPr>
              <w:pStyle w:val="Tabletext"/>
              <w:rPr>
                <w:iCs/>
              </w:rPr>
            </w:pPr>
            <w:r w:rsidRPr="005A6EF3">
              <w:rPr>
                <w:iCs/>
              </w:rPr>
              <w:t>14 (11%)</w:t>
            </w:r>
          </w:p>
        </w:tc>
      </w:tr>
    </w:tbl>
    <w:p w14:paraId="6C3D7C86" w14:textId="04595AEF" w:rsidR="00E90E77" w:rsidRPr="00856E21" w:rsidRDefault="00D26203" w:rsidP="00856E21">
      <w:pPr>
        <w:pStyle w:val="TableDescription"/>
      </w:pPr>
      <w:r w:rsidRPr="00856E21">
        <w:t xml:space="preserve">Abbreviations: </w:t>
      </w:r>
      <w:r w:rsidR="00222799" w:rsidRPr="00856E21">
        <w:t>CI = confidence interval</w:t>
      </w:r>
      <w:r w:rsidR="00E90E77" w:rsidRPr="00856E21">
        <w:t>; n = number of subjects in group.</w:t>
      </w:r>
    </w:p>
    <w:p w14:paraId="3C42F2B6" w14:textId="63C8FE46" w:rsidR="00222799" w:rsidRPr="00856E21" w:rsidRDefault="00A45CA3" w:rsidP="00856E21">
      <w:pPr>
        <w:pStyle w:val="TableDescription"/>
      </w:pPr>
      <w:r w:rsidRPr="00856E21">
        <w:t>O</w:t>
      </w:r>
      <w:r w:rsidR="00E90E77" w:rsidRPr="00856E21">
        <w:t xml:space="preserve">bjective response rate per </w:t>
      </w:r>
      <w:r w:rsidR="00D26203" w:rsidRPr="00856E21">
        <w:t xml:space="preserve">Response Evaluation Criteria </w:t>
      </w:r>
      <w:proofErr w:type="gramStart"/>
      <w:r w:rsidR="00D26203" w:rsidRPr="00856E21">
        <w:t>In</w:t>
      </w:r>
      <w:proofErr w:type="gramEnd"/>
      <w:r w:rsidR="00D26203" w:rsidRPr="00856E21">
        <w:t xml:space="preserve"> Solid Tumours (</w:t>
      </w:r>
      <w:r w:rsidR="00222799" w:rsidRPr="00856E21">
        <w:t>RECIST</w:t>
      </w:r>
      <w:r w:rsidR="00D26203" w:rsidRPr="00856E21">
        <w:t>)</w:t>
      </w:r>
      <w:r w:rsidR="00222799" w:rsidRPr="00856E21">
        <w:t xml:space="preserve"> </w:t>
      </w:r>
      <w:r w:rsidR="00D47A02" w:rsidRPr="00856E21">
        <w:t xml:space="preserve">version </w:t>
      </w:r>
      <w:r w:rsidR="00222799" w:rsidRPr="00856E21">
        <w:t>1.1.</w:t>
      </w:r>
    </w:p>
    <w:p w14:paraId="30CFA896" w14:textId="7BDDE944" w:rsidR="001603A6" w:rsidRPr="00856E21" w:rsidRDefault="001603A6" w:rsidP="00856E21">
      <w:pPr>
        <w:pStyle w:val="TableDescription"/>
      </w:pPr>
      <w:r w:rsidRPr="00856E21">
        <w:t>* Investigator’s choice of treatment = pembrolizumab, ipilimumab, or dacarbazine.</w:t>
      </w:r>
    </w:p>
    <w:p w14:paraId="6F66175E" w14:textId="19B9D4D9" w:rsidR="00222799" w:rsidRPr="00856E21" w:rsidRDefault="00222799" w:rsidP="00856E21">
      <w:pPr>
        <w:pStyle w:val="TableDescription"/>
      </w:pPr>
      <w:r w:rsidRPr="00856E21">
        <w:t>a</w:t>
      </w:r>
      <w:r w:rsidR="00E90E77" w:rsidRPr="00856E21">
        <w:t xml:space="preserve"> </w:t>
      </w:r>
      <w:r w:rsidRPr="00856E21">
        <w:t>Reverse Kaplan‐Meier estimate</w:t>
      </w:r>
    </w:p>
    <w:p w14:paraId="3A9B5687" w14:textId="55CC4D2F" w:rsidR="00222799" w:rsidRPr="00856E21" w:rsidRDefault="00222799" w:rsidP="00856E21">
      <w:pPr>
        <w:pStyle w:val="TableDescription"/>
      </w:pPr>
      <w:r w:rsidRPr="00856E21">
        <w:t>b</w:t>
      </w:r>
      <w:r w:rsidR="00E90E77" w:rsidRPr="00856E21">
        <w:t xml:space="preserve"> </w:t>
      </w:r>
      <w:r w:rsidRPr="00856E21">
        <w:t>Cox</w:t>
      </w:r>
      <w:r w:rsidR="00A45CA3" w:rsidRPr="00856E21">
        <w:t>-</w:t>
      </w:r>
      <w:r w:rsidRPr="00856E21">
        <w:t xml:space="preserve">proportional hazards model stratified by </w:t>
      </w:r>
      <w:r w:rsidR="00E90E77" w:rsidRPr="00856E21">
        <w:t xml:space="preserve">lactate dehydrogenase </w:t>
      </w:r>
      <w:r w:rsidRPr="00856E21">
        <w:t>status</w:t>
      </w:r>
    </w:p>
    <w:p w14:paraId="745349BD" w14:textId="35309497" w:rsidR="00222799" w:rsidRPr="00856E21" w:rsidRDefault="00222799" w:rsidP="00856E21">
      <w:pPr>
        <w:pStyle w:val="TableDescription"/>
      </w:pPr>
      <w:r w:rsidRPr="00856E21">
        <w:t>c</w:t>
      </w:r>
      <w:r w:rsidR="00E90E77" w:rsidRPr="00856E21">
        <w:t xml:space="preserve"> </w:t>
      </w:r>
      <w:r w:rsidRPr="00856E21">
        <w:t xml:space="preserve">Log‐rank test stratified by </w:t>
      </w:r>
      <w:r w:rsidR="00E90E77" w:rsidRPr="00856E21">
        <w:t xml:space="preserve">lactate dehydrogenase </w:t>
      </w:r>
      <w:r w:rsidRPr="00856E21">
        <w:t>status</w:t>
      </w:r>
    </w:p>
    <w:p w14:paraId="1A6D9F86" w14:textId="00381400" w:rsidR="00A45CA3" w:rsidRPr="00856E21" w:rsidRDefault="00222799" w:rsidP="00856E21">
      <w:pPr>
        <w:pStyle w:val="FigureTitle"/>
      </w:pPr>
      <w:bookmarkStart w:id="78" w:name="_Ref78203287"/>
      <w:r w:rsidRPr="00856E21">
        <w:lastRenderedPageBreak/>
        <w:t xml:space="preserve">Figure </w:t>
      </w:r>
      <w:fldSimple w:instr=" SEQ Figure \* ARABIC ">
        <w:r w:rsidR="00301C3E">
          <w:rPr>
            <w:noProof/>
          </w:rPr>
          <w:t>3</w:t>
        </w:r>
      </w:fldSimple>
      <w:bookmarkEnd w:id="78"/>
      <w:r w:rsidR="00AE1769" w:rsidRPr="00856E21">
        <w:t>:</w:t>
      </w:r>
      <w:r w:rsidRPr="00856E21">
        <w:t xml:space="preserve"> </w:t>
      </w:r>
      <w:r w:rsidR="00AE1769" w:rsidRPr="00856E21">
        <w:t xml:space="preserve">Study 202 </w:t>
      </w:r>
      <w:r w:rsidRPr="00856E21">
        <w:t xml:space="preserve">Kaplan-Meier estimate of </w:t>
      </w:r>
      <w:r w:rsidR="00AE1769" w:rsidRPr="00856E21">
        <w:t>overall survival</w:t>
      </w:r>
      <w:r w:rsidRPr="00856E21">
        <w:t xml:space="preserve"> (</w:t>
      </w:r>
      <w:r w:rsidR="001C7332" w:rsidRPr="00856E21">
        <w:t>intention-to-treat</w:t>
      </w:r>
      <w:r w:rsidR="00A45CA3" w:rsidRPr="00856E21">
        <w:t xml:space="preserve"> analysis </w:t>
      </w:r>
      <w:r w:rsidR="00D26203" w:rsidRPr="00856E21">
        <w:t>population</w:t>
      </w:r>
      <w:r w:rsidR="00A45CA3" w:rsidRPr="00856E21">
        <w:t xml:space="preserve">; </w:t>
      </w:r>
      <w:r w:rsidR="001C7332" w:rsidRPr="00856E21">
        <w:t>data cut-off date</w:t>
      </w:r>
      <w:r w:rsidR="00AE1769" w:rsidRPr="00856E21">
        <w:t>:</w:t>
      </w:r>
      <w:r w:rsidRPr="00856E21">
        <w:t xml:space="preserve"> 13 Oct</w:t>
      </w:r>
      <w:r w:rsidR="00AE1769" w:rsidRPr="00856E21">
        <w:t>ober</w:t>
      </w:r>
      <w:r w:rsidRPr="00856E21">
        <w:t xml:space="preserve"> 2020</w:t>
      </w:r>
      <w:r w:rsidR="001C7332" w:rsidRPr="00856E21">
        <w:t>)</w:t>
      </w:r>
    </w:p>
    <w:p w14:paraId="628103A8" w14:textId="3609361C" w:rsidR="00222799" w:rsidRPr="00FD35ED" w:rsidRDefault="00222799" w:rsidP="00690F4C">
      <w:r w:rsidRPr="00FD35ED">
        <w:rPr>
          <w:noProof/>
          <w:lang w:val="en-GB" w:eastAsia="en-GB"/>
        </w:rPr>
        <w:drawing>
          <wp:inline distT="0" distB="0" distL="0" distR="0" wp14:anchorId="16706D23" wp14:editId="01690ADE">
            <wp:extent cx="5031921" cy="2449091"/>
            <wp:effectExtent l="95250" t="95250" r="92710" b="104140"/>
            <wp:docPr id="1" name="Picture 1" descr="Figure 3: Study 202 Kaplan-Meier estimate of overall survival (intention-to-treat analysis population; data cut-off date: 13 Octo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 Study 202 Kaplan-Meier estimate of overall survival (intention-to-treat analysis population; data cut-off date: 13 October 2020)"/>
                    <pic:cNvPicPr/>
                  </pic:nvPicPr>
                  <pic:blipFill rotWithShape="1">
                    <a:blip r:embed="rId21"/>
                    <a:srcRect l="1051" b="11489"/>
                    <a:stretch/>
                  </pic:blipFill>
                  <pic:spPr bwMode="auto">
                    <a:xfrm>
                      <a:off x="0" y="0"/>
                      <a:ext cx="5075073" cy="247009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0A763148" w14:textId="0417159B" w:rsidR="00222799" w:rsidRPr="00856E21" w:rsidRDefault="00D26203" w:rsidP="00856E21">
      <w:pPr>
        <w:pStyle w:val="FigureDescription"/>
      </w:pPr>
      <w:r w:rsidRPr="00856E21">
        <w:t xml:space="preserve">Abbreviations: </w:t>
      </w:r>
      <w:r w:rsidR="00222799" w:rsidRPr="00856E21">
        <w:t xml:space="preserve">CI = confidence interval; HR = hazard ratio; IMCgp100 = </w:t>
      </w:r>
      <w:proofErr w:type="spellStart"/>
      <w:r w:rsidR="00222799" w:rsidRPr="00856E21">
        <w:t>tebentafusp</w:t>
      </w:r>
      <w:proofErr w:type="spellEnd"/>
      <w:r w:rsidR="00180CDD" w:rsidRPr="00856E21">
        <w:t>.</w:t>
      </w:r>
    </w:p>
    <w:p w14:paraId="04A47E27" w14:textId="4AE898CB" w:rsidR="001603A6" w:rsidRPr="00856E21" w:rsidRDefault="001603A6" w:rsidP="00856E21">
      <w:pPr>
        <w:pStyle w:val="FigureDescription"/>
      </w:pPr>
      <w:r w:rsidRPr="00856E21">
        <w:t>Investigator’s choice of treatment = pembrolizumab, ipilimumab, or dacarbazine.</w:t>
      </w:r>
    </w:p>
    <w:p w14:paraId="3AD42D79" w14:textId="271FDD9C" w:rsidR="00222799" w:rsidRPr="00875041" w:rsidRDefault="00222799" w:rsidP="00875041">
      <w:pPr>
        <w:pStyle w:val="FigureTitle"/>
      </w:pPr>
      <w:bookmarkStart w:id="79" w:name="_Ref96006181"/>
      <w:bookmarkStart w:id="80" w:name="_Ref96006188"/>
      <w:r w:rsidRPr="00875041">
        <w:t xml:space="preserve">Figure </w:t>
      </w:r>
      <w:fldSimple w:instr=" SEQ Figure \* ARABIC ">
        <w:r w:rsidR="00301C3E">
          <w:rPr>
            <w:noProof/>
          </w:rPr>
          <w:t>4</w:t>
        </w:r>
      </w:fldSimple>
      <w:bookmarkEnd w:id="79"/>
      <w:r w:rsidR="00AE1769" w:rsidRPr="00875041">
        <w:t>: Study 202</w:t>
      </w:r>
      <w:r w:rsidRPr="00875041">
        <w:t xml:space="preserve"> Kaplan-Meier estimate of </w:t>
      </w:r>
      <w:r w:rsidR="00AE1769" w:rsidRPr="00875041">
        <w:t xml:space="preserve">progression free survival </w:t>
      </w:r>
      <w:bookmarkEnd w:id="80"/>
      <w:r w:rsidRPr="00875041">
        <w:t>(</w:t>
      </w:r>
      <w:r w:rsidR="001C7332" w:rsidRPr="00875041">
        <w:t>intention-to-treat</w:t>
      </w:r>
      <w:r w:rsidR="00180CDD" w:rsidRPr="00875041">
        <w:t xml:space="preserve"> analysis </w:t>
      </w:r>
      <w:r w:rsidR="00D26203" w:rsidRPr="00875041">
        <w:t>population</w:t>
      </w:r>
      <w:r w:rsidR="00180CDD" w:rsidRPr="00875041">
        <w:t xml:space="preserve">; </w:t>
      </w:r>
      <w:r w:rsidR="001C7332" w:rsidRPr="00875041">
        <w:t>data cut-off date</w:t>
      </w:r>
      <w:r w:rsidR="00AE1769" w:rsidRPr="00875041">
        <w:t>:</w:t>
      </w:r>
      <w:r w:rsidRPr="00875041">
        <w:t xml:space="preserve"> 13 Oct</w:t>
      </w:r>
      <w:r w:rsidR="00AE1769" w:rsidRPr="00875041">
        <w:t>ober</w:t>
      </w:r>
      <w:r w:rsidRPr="00875041">
        <w:t xml:space="preserve"> 2020</w:t>
      </w:r>
      <w:r w:rsidR="001C7332" w:rsidRPr="00875041">
        <w:t>)</w:t>
      </w:r>
    </w:p>
    <w:p w14:paraId="78E14F66" w14:textId="77777777" w:rsidR="00222799" w:rsidRPr="00FD35ED" w:rsidRDefault="00222799" w:rsidP="00875041">
      <w:r w:rsidRPr="00FD35ED">
        <w:rPr>
          <w:noProof/>
          <w:lang w:val="en-GB" w:eastAsia="en-GB"/>
        </w:rPr>
        <w:drawing>
          <wp:inline distT="0" distB="0" distL="0" distR="0" wp14:anchorId="0B7791A9" wp14:editId="4BC653AC">
            <wp:extent cx="5146221" cy="2451735"/>
            <wp:effectExtent l="95250" t="95250" r="92710" b="100965"/>
            <wp:docPr id="2" name="Picture 2" descr="Figure 4: Study 202 Kaplan-Meier estimate of progression free survival (intention-to-treat analysis population; data cut-off date: 13 Octo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4: Study 202 Kaplan-Meier estimate of progression free survival (intention-to-treat analysis population; data cut-off date: 13 October 2020)"/>
                    <pic:cNvPicPr/>
                  </pic:nvPicPr>
                  <pic:blipFill rotWithShape="1">
                    <a:blip r:embed="rId22"/>
                    <a:srcRect l="2350" b="12621"/>
                    <a:stretch/>
                  </pic:blipFill>
                  <pic:spPr bwMode="auto">
                    <a:xfrm>
                      <a:off x="0" y="0"/>
                      <a:ext cx="5148229" cy="245269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76AFF117" w14:textId="7E1E5608" w:rsidR="00222799" w:rsidRPr="00875041" w:rsidRDefault="00D26203" w:rsidP="00875041">
      <w:pPr>
        <w:pStyle w:val="FigureDescription"/>
      </w:pPr>
      <w:r w:rsidRPr="00875041">
        <w:t xml:space="preserve">Abbreviations: </w:t>
      </w:r>
      <w:r w:rsidR="00222799" w:rsidRPr="00875041">
        <w:t xml:space="preserve">CI = confidence interval; HR = hazard ratio; IMCgp100 = </w:t>
      </w:r>
      <w:proofErr w:type="spellStart"/>
      <w:r w:rsidR="00222799" w:rsidRPr="00875041">
        <w:t>tebentafusp</w:t>
      </w:r>
      <w:proofErr w:type="spellEnd"/>
      <w:r w:rsidR="00180CDD" w:rsidRPr="00875041">
        <w:t>.</w:t>
      </w:r>
    </w:p>
    <w:p w14:paraId="6CD76B56" w14:textId="12ADCF22" w:rsidR="001603A6" w:rsidRPr="00875041" w:rsidRDefault="001603A6" w:rsidP="00875041">
      <w:pPr>
        <w:pStyle w:val="FigureDescription"/>
      </w:pPr>
      <w:r w:rsidRPr="00875041">
        <w:t>Investigator’s choice of treatment = pembrolizumab, ipilimumab, or dacarbazine.</w:t>
      </w:r>
    </w:p>
    <w:p w14:paraId="183BBE55" w14:textId="77777777" w:rsidR="00222799" w:rsidRPr="00FD35ED" w:rsidRDefault="00222799" w:rsidP="00985193">
      <w:pPr>
        <w:pStyle w:val="Heading4"/>
      </w:pPr>
      <w:r w:rsidRPr="00FD35ED">
        <w:t>Safety</w:t>
      </w:r>
    </w:p>
    <w:p w14:paraId="47017EE5" w14:textId="77777777" w:rsidR="00222799" w:rsidRPr="00FD35ED" w:rsidRDefault="00222799" w:rsidP="00985193">
      <w:pPr>
        <w:pStyle w:val="Heading5"/>
      </w:pPr>
      <w:r w:rsidRPr="00FD35ED">
        <w:t>Safety database</w:t>
      </w:r>
    </w:p>
    <w:p w14:paraId="1F6E03FD" w14:textId="7B5ECAF3" w:rsidR="00222799" w:rsidRPr="00FD35ED" w:rsidRDefault="00222799" w:rsidP="00985193">
      <w:r w:rsidRPr="00FD35ED">
        <w:t xml:space="preserve">The </w:t>
      </w:r>
      <w:r w:rsidR="00DD2C64" w:rsidRPr="00FD35ED">
        <w:t>sponsor</w:t>
      </w:r>
      <w:r w:rsidRPr="00FD35ED">
        <w:t xml:space="preserve">’s clinical development program for </w:t>
      </w:r>
      <w:proofErr w:type="spellStart"/>
      <w:r w:rsidRPr="00FD35ED">
        <w:t>tebentafusp</w:t>
      </w:r>
      <w:proofErr w:type="spellEnd"/>
      <w:r w:rsidRPr="00FD35ED">
        <w:t xml:space="preserve"> in melanoma includes two completed studies (Phase </w:t>
      </w:r>
      <w:r w:rsidR="002E2A38" w:rsidRPr="00FD35ED">
        <w:t>I</w:t>
      </w:r>
      <w:r w:rsidRPr="00FD35ED">
        <w:t xml:space="preserve"> Study 01 and Phase</w:t>
      </w:r>
      <w:r w:rsidR="002E2A38" w:rsidRPr="00FD35ED">
        <w:t xml:space="preserve"> II</w:t>
      </w:r>
      <w:r w:rsidRPr="00FD35ED">
        <w:t xml:space="preserve"> rollover Study 401) and three ongoing studies (Phase </w:t>
      </w:r>
      <w:r w:rsidR="002E2A38" w:rsidRPr="00FD35ED">
        <w:t>I</w:t>
      </w:r>
      <w:r w:rsidRPr="00FD35ED">
        <w:t>/</w:t>
      </w:r>
      <w:r w:rsidR="002E2A38" w:rsidRPr="00FD35ED">
        <w:t>II</w:t>
      </w:r>
      <w:r w:rsidRPr="00FD35ED">
        <w:t xml:space="preserve"> Study 102, Phase </w:t>
      </w:r>
      <w:proofErr w:type="spellStart"/>
      <w:r w:rsidR="002E2A38" w:rsidRPr="00FD35ED">
        <w:t>I</w:t>
      </w:r>
      <w:r w:rsidRPr="00FD35ED">
        <w:t>b</w:t>
      </w:r>
      <w:proofErr w:type="spellEnd"/>
      <w:r w:rsidRPr="00FD35ED">
        <w:t>/</w:t>
      </w:r>
      <w:r w:rsidR="002E2A38" w:rsidRPr="00FD35ED">
        <w:t>II</w:t>
      </w:r>
      <w:r w:rsidRPr="00FD35ED">
        <w:t xml:space="preserve"> Study 201, and Phase </w:t>
      </w:r>
      <w:r w:rsidR="002E2A38" w:rsidRPr="00FD35ED">
        <w:t>III</w:t>
      </w:r>
      <w:r w:rsidRPr="00FD35ED">
        <w:t xml:space="preserve"> Study 202). Across these clinical studies, 587 patients with melanoma, including 410 patients with </w:t>
      </w:r>
      <w:r w:rsidR="001212BF" w:rsidRPr="00FD35ED">
        <w:t>uveal melanoma</w:t>
      </w:r>
      <w:r w:rsidRPr="00FD35ED">
        <w:t xml:space="preserve">, have been exposed to </w:t>
      </w:r>
      <w:proofErr w:type="spellStart"/>
      <w:r w:rsidRPr="00FD35ED">
        <w:t>tebentafusp</w:t>
      </w:r>
      <w:proofErr w:type="spellEnd"/>
      <w:r w:rsidRPr="00FD35ED">
        <w:t xml:space="preserve"> (as monotherapy for 505 patients).</w:t>
      </w:r>
    </w:p>
    <w:p w14:paraId="5A9BD0DB" w14:textId="7F4F7C0D" w:rsidR="00222799" w:rsidRPr="00FD35ED" w:rsidRDefault="00222799" w:rsidP="00985193">
      <w:r w:rsidRPr="00FD35ED">
        <w:lastRenderedPageBreak/>
        <w:t>The regulatory safety review focussed primarily on the safety analysis population in Study</w:t>
      </w:r>
      <w:r w:rsidR="002E2A38" w:rsidRPr="00FD35ED">
        <w:t> </w:t>
      </w:r>
      <w:r w:rsidRPr="00FD35ED">
        <w:t xml:space="preserve">202, which consisted of all randomised patients who received at least one dose of study treatment: 245 patients in the </w:t>
      </w:r>
      <w:proofErr w:type="spellStart"/>
      <w:r w:rsidRPr="00FD35ED">
        <w:t>tebentafusp</w:t>
      </w:r>
      <w:proofErr w:type="spellEnd"/>
      <w:r w:rsidRPr="00FD35ED">
        <w:t xml:space="preserve"> arm and 111 in the </w:t>
      </w:r>
      <w:r w:rsidR="001603A6">
        <w:t xml:space="preserve">investigator’s choice of treatment </w:t>
      </w:r>
      <w:r w:rsidRPr="00FD35ED">
        <w:t xml:space="preserve">arm. In addition, safety data from an integrated safety pool (505 patients with </w:t>
      </w:r>
      <w:r w:rsidR="00590B50" w:rsidRPr="00FD35ED">
        <w:t xml:space="preserve">cutaneous or uveal </w:t>
      </w:r>
      <w:r w:rsidRPr="00FD35ED">
        <w:t>melanoma</w:t>
      </w:r>
      <w:r w:rsidR="00590B50" w:rsidRPr="00FD35ED">
        <w:t>,</w:t>
      </w:r>
      <w:r w:rsidRPr="00FD35ED">
        <w:t xml:space="preserve"> who received at least </w:t>
      </w:r>
      <w:r w:rsidR="002E2A38" w:rsidRPr="00FD35ED">
        <w:t>one</w:t>
      </w:r>
      <w:r w:rsidRPr="00FD35ED">
        <w:t xml:space="preserve"> dose of </w:t>
      </w:r>
      <w:proofErr w:type="spellStart"/>
      <w:r w:rsidRPr="00FD35ED">
        <w:t>tebentafusp</w:t>
      </w:r>
      <w:proofErr w:type="spellEnd"/>
      <w:r w:rsidRPr="00FD35ED">
        <w:t xml:space="preserve"> as monotherapy at any dose level across the clinical development program) were included in the submission.</w:t>
      </w:r>
    </w:p>
    <w:p w14:paraId="26A85A7F" w14:textId="711C0BAD" w:rsidR="00222799" w:rsidRPr="00FD35ED" w:rsidRDefault="00222799" w:rsidP="00985193">
      <w:r w:rsidRPr="00FD35ED">
        <w:t xml:space="preserve">The safety database was considered adequate in size and duration of exposure to provide a reasonable estimate of adverse reactions that may be observed with </w:t>
      </w:r>
      <w:proofErr w:type="spellStart"/>
      <w:r w:rsidRPr="00FD35ED">
        <w:t>tebentafusp</w:t>
      </w:r>
      <w:proofErr w:type="spellEnd"/>
      <w:r w:rsidRPr="00FD35ED">
        <w:t xml:space="preserve"> at the proposed dosage in the overall population of patients who are diagnosed with uveal melanoma.</w:t>
      </w:r>
    </w:p>
    <w:p w14:paraId="23A4740F" w14:textId="275709F1" w:rsidR="00222799" w:rsidRPr="00FD35ED" w:rsidRDefault="00222799" w:rsidP="00985193">
      <w:r w:rsidRPr="00FD35ED">
        <w:t xml:space="preserve">Comparisons between the </w:t>
      </w:r>
      <w:proofErr w:type="spellStart"/>
      <w:r w:rsidRPr="00FD35ED">
        <w:t>tebentafusp</w:t>
      </w:r>
      <w:proofErr w:type="spellEnd"/>
      <w:r w:rsidRPr="00FD35ED">
        <w:t xml:space="preserve"> and the </w:t>
      </w:r>
      <w:r w:rsidR="001603A6">
        <w:t xml:space="preserve">investigator’s choice of treatment </w:t>
      </w:r>
      <w:r w:rsidRPr="00FD35ED">
        <w:t xml:space="preserve">arm are </w:t>
      </w:r>
      <w:r w:rsidR="002E2A38" w:rsidRPr="00FD35ED">
        <w:t>exploratory and</w:t>
      </w:r>
      <w:r w:rsidRPr="00FD35ED">
        <w:t xml:space="preserve"> contextualised by a longer (</w:t>
      </w:r>
      <w:r w:rsidR="002E2A38" w:rsidRPr="00FD35ED">
        <w:t xml:space="preserve">approximately </w:t>
      </w:r>
      <w:r w:rsidRPr="00FD35ED">
        <w:t xml:space="preserve">doubled) duration of ‘at-risk’ time and the more frequent opportunities for data collection (due to the more frequent dosing) in the </w:t>
      </w:r>
      <w:proofErr w:type="spellStart"/>
      <w:r w:rsidRPr="00FD35ED">
        <w:t>tebentafusp</w:t>
      </w:r>
      <w:proofErr w:type="spellEnd"/>
      <w:r w:rsidRPr="00FD35ED">
        <w:t xml:space="preserve"> arm, both of which predict a higher volume of safety data.</w:t>
      </w:r>
    </w:p>
    <w:p w14:paraId="77052695" w14:textId="77777777" w:rsidR="00222799" w:rsidRPr="00FD35ED" w:rsidRDefault="00222799" w:rsidP="00985193">
      <w:pPr>
        <w:pStyle w:val="Heading5"/>
      </w:pPr>
      <w:r w:rsidRPr="00FD35ED">
        <w:t>Protocol for dose modification in case of adverse events</w:t>
      </w:r>
    </w:p>
    <w:p w14:paraId="1BA618BE" w14:textId="45B72872" w:rsidR="00222799" w:rsidRPr="00FD35ED" w:rsidRDefault="00222799" w:rsidP="00985193">
      <w:r w:rsidRPr="00FD35ED">
        <w:t xml:space="preserve">The Study 202 protocol specified that the </w:t>
      </w:r>
      <w:proofErr w:type="spellStart"/>
      <w:r w:rsidRPr="00FD35ED">
        <w:t>tebentafusp</w:t>
      </w:r>
      <w:proofErr w:type="spellEnd"/>
      <w:r w:rsidRPr="00FD35ED">
        <w:t xml:space="preserve"> dose should be modified for specific </w:t>
      </w:r>
      <w:r w:rsidR="001603A6">
        <w:t>adverse events (AEs)</w:t>
      </w:r>
      <w:r w:rsidRPr="00FD35ED">
        <w:t xml:space="preserve">, as outlined in </w:t>
      </w:r>
      <w:r w:rsidRPr="00FD35ED">
        <w:fldChar w:fldCharType="begin"/>
      </w:r>
      <w:r w:rsidRPr="00FD35ED">
        <w:instrText xml:space="preserve"> REF _Ref96087905 \h </w:instrText>
      </w:r>
      <w:r w:rsidR="00985193" w:rsidRPr="00FD35ED">
        <w:instrText xml:space="preserve"> \* MERGEFORMAT </w:instrText>
      </w:r>
      <w:r w:rsidRPr="00FD35ED">
        <w:fldChar w:fldCharType="separate"/>
      </w:r>
      <w:r w:rsidR="00301C3E" w:rsidRPr="00875041">
        <w:t xml:space="preserve">Table </w:t>
      </w:r>
      <w:r w:rsidR="00301C3E">
        <w:t>5</w:t>
      </w:r>
      <w:r w:rsidRPr="00FD35ED">
        <w:fldChar w:fldCharType="end"/>
      </w:r>
      <w:r w:rsidR="00117C80" w:rsidRPr="00FD35ED">
        <w:t xml:space="preserve"> below</w:t>
      </w:r>
      <w:r w:rsidRPr="00FD35ED">
        <w:t>.</w:t>
      </w:r>
    </w:p>
    <w:p w14:paraId="4E0FF92E" w14:textId="0F544737" w:rsidR="00222799" w:rsidRPr="00875041" w:rsidRDefault="00222799" w:rsidP="00875041">
      <w:pPr>
        <w:pStyle w:val="TableTitle"/>
      </w:pPr>
      <w:bookmarkStart w:id="81" w:name="_Ref96087905"/>
      <w:r w:rsidRPr="00875041">
        <w:t xml:space="preserve">Table </w:t>
      </w:r>
      <w:fldSimple w:instr=" SEQ Table \* ARABIC ">
        <w:r w:rsidR="00301C3E">
          <w:rPr>
            <w:noProof/>
          </w:rPr>
          <w:t>5</w:t>
        </w:r>
      </w:fldSimple>
      <w:bookmarkEnd w:id="81"/>
      <w:r w:rsidR="00AE1769" w:rsidRPr="00875041">
        <w:t>:</w:t>
      </w:r>
      <w:r w:rsidRPr="00875041">
        <w:t xml:space="preserve"> </w:t>
      </w:r>
      <w:r w:rsidR="00AE1769" w:rsidRPr="00875041">
        <w:t xml:space="preserve">Study 202 </w:t>
      </w:r>
      <w:r w:rsidRPr="00875041">
        <w:t>Dose modifications specified by the protocol (</w:t>
      </w:r>
      <w:r w:rsidR="00AE1769" w:rsidRPr="00875041">
        <w:t xml:space="preserve">version </w:t>
      </w:r>
      <w:r w:rsidRPr="00875041">
        <w:t xml:space="preserve">5) for patients receiving </w:t>
      </w:r>
      <w:proofErr w:type="spellStart"/>
      <w:r w:rsidRPr="00875041">
        <w:t>tebentafusp</w:t>
      </w:r>
      <w:proofErr w:type="spellEnd"/>
    </w:p>
    <w:tbl>
      <w:tblPr>
        <w:tblStyle w:val="TableTGAblue"/>
        <w:tblW w:w="8354" w:type="dxa"/>
        <w:tblLayout w:type="fixed"/>
        <w:tblLook w:val="01E0" w:firstRow="1" w:lastRow="1" w:firstColumn="1" w:lastColumn="1" w:noHBand="0" w:noVBand="0"/>
      </w:tblPr>
      <w:tblGrid>
        <w:gridCol w:w="2542"/>
        <w:gridCol w:w="2126"/>
        <w:gridCol w:w="1985"/>
        <w:gridCol w:w="1701"/>
      </w:tblGrid>
      <w:tr w:rsidR="00222799" w:rsidRPr="00FD35ED" w14:paraId="2B20A1AF" w14:textId="77777777" w:rsidTr="00180CDD">
        <w:trPr>
          <w:cnfStyle w:val="100000000000" w:firstRow="1" w:lastRow="0" w:firstColumn="0" w:lastColumn="0" w:oddVBand="0" w:evenVBand="0" w:oddHBand="0" w:evenHBand="0" w:firstRowFirstColumn="0" w:firstRowLastColumn="0" w:lastRowFirstColumn="0" w:lastRowLastColumn="0"/>
          <w:trHeight w:val="454"/>
        </w:trPr>
        <w:tc>
          <w:tcPr>
            <w:tcW w:w="2542" w:type="dxa"/>
          </w:tcPr>
          <w:p w14:paraId="55D7307A" w14:textId="77777777" w:rsidR="00222799" w:rsidRPr="00FD35ED" w:rsidRDefault="00222799" w:rsidP="00180CDD">
            <w:pPr>
              <w:pStyle w:val="Tabletext"/>
              <w:ind w:left="0" w:right="0"/>
              <w:rPr>
                <w:b w:val="0"/>
              </w:rPr>
            </w:pPr>
            <w:r w:rsidRPr="00FD35ED">
              <w:t>Adverse event</w:t>
            </w:r>
          </w:p>
        </w:tc>
        <w:tc>
          <w:tcPr>
            <w:tcW w:w="2126" w:type="dxa"/>
          </w:tcPr>
          <w:p w14:paraId="3B6B9F33" w14:textId="77777777" w:rsidR="00222799" w:rsidRPr="00FD35ED" w:rsidRDefault="00222799" w:rsidP="00180CDD">
            <w:pPr>
              <w:pStyle w:val="Tabletext"/>
              <w:ind w:left="0" w:right="0"/>
              <w:rPr>
                <w:b w:val="0"/>
              </w:rPr>
            </w:pPr>
            <w:r w:rsidRPr="00FD35ED">
              <w:t>Grade 2</w:t>
            </w:r>
          </w:p>
        </w:tc>
        <w:tc>
          <w:tcPr>
            <w:tcW w:w="1985" w:type="dxa"/>
          </w:tcPr>
          <w:p w14:paraId="2AC72A11" w14:textId="77777777" w:rsidR="00222799" w:rsidRPr="00FD35ED" w:rsidRDefault="00222799" w:rsidP="00180CDD">
            <w:pPr>
              <w:pStyle w:val="Tabletext"/>
              <w:ind w:left="0" w:right="0"/>
              <w:rPr>
                <w:b w:val="0"/>
              </w:rPr>
            </w:pPr>
            <w:r w:rsidRPr="00FD35ED">
              <w:t>Grade 3</w:t>
            </w:r>
          </w:p>
        </w:tc>
        <w:tc>
          <w:tcPr>
            <w:tcW w:w="1701" w:type="dxa"/>
          </w:tcPr>
          <w:p w14:paraId="35A58D0B" w14:textId="77777777" w:rsidR="00222799" w:rsidRPr="00FD35ED" w:rsidRDefault="00222799" w:rsidP="00180CDD">
            <w:pPr>
              <w:pStyle w:val="Tabletext"/>
              <w:ind w:left="0" w:right="0"/>
              <w:rPr>
                <w:b w:val="0"/>
              </w:rPr>
            </w:pPr>
            <w:r w:rsidRPr="00FD35ED">
              <w:t>Grade 4</w:t>
            </w:r>
          </w:p>
        </w:tc>
      </w:tr>
      <w:tr w:rsidR="00222799" w:rsidRPr="00FD35ED" w14:paraId="16055A64" w14:textId="77777777" w:rsidTr="00180CDD">
        <w:trPr>
          <w:trHeight w:val="20"/>
        </w:trPr>
        <w:tc>
          <w:tcPr>
            <w:tcW w:w="2542" w:type="dxa"/>
          </w:tcPr>
          <w:p w14:paraId="1DE78361" w14:textId="77777777" w:rsidR="00222799" w:rsidRPr="005A6EF3" w:rsidRDefault="00222799" w:rsidP="00180CDD">
            <w:pPr>
              <w:pStyle w:val="Tabletext"/>
              <w:ind w:left="0" w:right="0"/>
              <w:rPr>
                <w:b/>
              </w:rPr>
            </w:pPr>
            <w:r w:rsidRPr="005A6EF3">
              <w:rPr>
                <w:b/>
              </w:rPr>
              <w:t>All unspecified</w:t>
            </w:r>
          </w:p>
        </w:tc>
        <w:tc>
          <w:tcPr>
            <w:tcW w:w="2126" w:type="dxa"/>
          </w:tcPr>
          <w:p w14:paraId="55A7DAAE" w14:textId="77777777" w:rsidR="00222799" w:rsidRPr="00FD35ED" w:rsidRDefault="00222799" w:rsidP="00180CDD">
            <w:pPr>
              <w:pStyle w:val="Tabletext"/>
              <w:ind w:left="0" w:right="0"/>
            </w:pPr>
            <w:r w:rsidRPr="00FD35ED">
              <w:t>-</w:t>
            </w:r>
          </w:p>
        </w:tc>
        <w:tc>
          <w:tcPr>
            <w:tcW w:w="3686" w:type="dxa"/>
            <w:gridSpan w:val="2"/>
          </w:tcPr>
          <w:p w14:paraId="237D3921" w14:textId="77777777" w:rsidR="00222799" w:rsidRPr="00FD35ED" w:rsidRDefault="00222799" w:rsidP="00180CDD">
            <w:pPr>
              <w:pStyle w:val="Tabletext"/>
              <w:ind w:left="0" w:right="0"/>
            </w:pPr>
            <w:r w:rsidRPr="00FD35ED">
              <w:t xml:space="preserve">Hold </w:t>
            </w:r>
            <w:proofErr w:type="spellStart"/>
            <w:r w:rsidRPr="00FD35ED">
              <w:t>tebentafusp</w:t>
            </w:r>
            <w:proofErr w:type="spellEnd"/>
            <w:r w:rsidRPr="00FD35ED">
              <w:t xml:space="preserve"> until ≤ Grade 1</w:t>
            </w:r>
          </w:p>
        </w:tc>
      </w:tr>
      <w:tr w:rsidR="00222799" w:rsidRPr="00FD35ED" w14:paraId="6DD8338E" w14:textId="77777777" w:rsidTr="00180CDD">
        <w:trPr>
          <w:trHeight w:val="20"/>
        </w:trPr>
        <w:tc>
          <w:tcPr>
            <w:tcW w:w="2542" w:type="dxa"/>
          </w:tcPr>
          <w:p w14:paraId="66697908" w14:textId="77777777" w:rsidR="00222799" w:rsidRPr="005A6EF3" w:rsidRDefault="00222799" w:rsidP="00180CDD">
            <w:pPr>
              <w:pStyle w:val="Tabletext"/>
              <w:ind w:left="0" w:right="0"/>
              <w:rPr>
                <w:b/>
              </w:rPr>
            </w:pPr>
            <w:r w:rsidRPr="005A6EF3">
              <w:rPr>
                <w:b/>
              </w:rPr>
              <w:t>Pruritis</w:t>
            </w:r>
          </w:p>
        </w:tc>
        <w:tc>
          <w:tcPr>
            <w:tcW w:w="2126" w:type="dxa"/>
          </w:tcPr>
          <w:p w14:paraId="7755056A" w14:textId="77777777" w:rsidR="00222799" w:rsidRPr="00FD35ED" w:rsidRDefault="00222799" w:rsidP="00180CDD">
            <w:pPr>
              <w:pStyle w:val="Tabletext"/>
              <w:ind w:left="0" w:right="0"/>
            </w:pPr>
            <w:r w:rsidRPr="00FD35ED">
              <w:t>-</w:t>
            </w:r>
          </w:p>
        </w:tc>
        <w:tc>
          <w:tcPr>
            <w:tcW w:w="3686" w:type="dxa"/>
            <w:gridSpan w:val="2"/>
          </w:tcPr>
          <w:p w14:paraId="13BDA7BA" w14:textId="77777777" w:rsidR="00222799" w:rsidRPr="00FD35ED" w:rsidRDefault="00222799" w:rsidP="00180CDD">
            <w:pPr>
              <w:pStyle w:val="Tabletext"/>
              <w:ind w:left="0" w:right="0"/>
            </w:pPr>
            <w:r w:rsidRPr="00FD35ED">
              <w:t xml:space="preserve">Hold </w:t>
            </w:r>
            <w:proofErr w:type="spellStart"/>
            <w:r w:rsidRPr="00FD35ED">
              <w:t>tebentafusp</w:t>
            </w:r>
            <w:proofErr w:type="spellEnd"/>
            <w:r w:rsidRPr="00FD35ED">
              <w:t xml:space="preserve"> until ≤ Grade 1</w:t>
            </w:r>
          </w:p>
        </w:tc>
      </w:tr>
      <w:tr w:rsidR="00222799" w:rsidRPr="00FD35ED" w14:paraId="72ECD6C4" w14:textId="77777777" w:rsidTr="00180CDD">
        <w:trPr>
          <w:trHeight w:val="20"/>
        </w:trPr>
        <w:tc>
          <w:tcPr>
            <w:tcW w:w="2542" w:type="dxa"/>
          </w:tcPr>
          <w:p w14:paraId="1A3EB624" w14:textId="77777777" w:rsidR="00222799" w:rsidRPr="005A6EF3" w:rsidRDefault="00222799" w:rsidP="00180CDD">
            <w:pPr>
              <w:pStyle w:val="Tabletext"/>
              <w:ind w:left="0" w:right="0"/>
              <w:rPr>
                <w:b/>
              </w:rPr>
            </w:pPr>
            <w:r w:rsidRPr="005A6EF3">
              <w:rPr>
                <w:b/>
              </w:rPr>
              <w:t>Rash/photosensitivity</w:t>
            </w:r>
          </w:p>
        </w:tc>
        <w:tc>
          <w:tcPr>
            <w:tcW w:w="4111" w:type="dxa"/>
            <w:gridSpan w:val="2"/>
          </w:tcPr>
          <w:p w14:paraId="72DE37C0" w14:textId="77777777" w:rsidR="00222799" w:rsidRPr="00FD35ED" w:rsidRDefault="00222799" w:rsidP="00180CDD">
            <w:pPr>
              <w:pStyle w:val="Tabletext"/>
              <w:ind w:left="0" w:right="0"/>
            </w:pPr>
            <w:r w:rsidRPr="00FD35ED">
              <w:t xml:space="preserve">Hold </w:t>
            </w:r>
            <w:proofErr w:type="spellStart"/>
            <w:r w:rsidRPr="00FD35ED">
              <w:t>tebentafusp</w:t>
            </w:r>
            <w:proofErr w:type="spellEnd"/>
            <w:r w:rsidRPr="00FD35ED">
              <w:t xml:space="preserve"> until ≤ Grade 1</w:t>
            </w:r>
          </w:p>
        </w:tc>
        <w:tc>
          <w:tcPr>
            <w:tcW w:w="1701" w:type="dxa"/>
          </w:tcPr>
          <w:p w14:paraId="520DB530" w14:textId="77777777" w:rsidR="00222799" w:rsidRPr="00FD35ED" w:rsidRDefault="00222799" w:rsidP="00180CDD">
            <w:pPr>
              <w:pStyle w:val="Tabletext"/>
              <w:ind w:left="0" w:right="0"/>
            </w:pPr>
            <w:r w:rsidRPr="00FD35ED">
              <w:t>Permanently discontinue</w:t>
            </w:r>
          </w:p>
        </w:tc>
      </w:tr>
      <w:tr w:rsidR="00222799" w:rsidRPr="00FD35ED" w14:paraId="29D5C636" w14:textId="77777777" w:rsidTr="00180CDD">
        <w:trPr>
          <w:trHeight w:val="20"/>
        </w:trPr>
        <w:tc>
          <w:tcPr>
            <w:tcW w:w="2542" w:type="dxa"/>
          </w:tcPr>
          <w:p w14:paraId="02F7FF5D" w14:textId="77777777" w:rsidR="00222799" w:rsidRPr="005A6EF3" w:rsidRDefault="00222799" w:rsidP="00180CDD">
            <w:pPr>
              <w:pStyle w:val="Tabletext"/>
              <w:ind w:left="0" w:right="0"/>
              <w:rPr>
                <w:b/>
              </w:rPr>
            </w:pPr>
            <w:r w:rsidRPr="005A6EF3">
              <w:rPr>
                <w:b/>
              </w:rPr>
              <w:t>Hypotension</w:t>
            </w:r>
          </w:p>
        </w:tc>
        <w:tc>
          <w:tcPr>
            <w:tcW w:w="2126" w:type="dxa"/>
          </w:tcPr>
          <w:p w14:paraId="7F0C4476" w14:textId="77777777" w:rsidR="00222799" w:rsidRPr="00FD35ED" w:rsidRDefault="00222799" w:rsidP="00180CDD">
            <w:pPr>
              <w:pStyle w:val="Tabletext"/>
              <w:ind w:left="0" w:right="0"/>
            </w:pPr>
            <w:r w:rsidRPr="00FD35ED">
              <w:t>-</w:t>
            </w:r>
          </w:p>
        </w:tc>
        <w:tc>
          <w:tcPr>
            <w:tcW w:w="1985" w:type="dxa"/>
          </w:tcPr>
          <w:p w14:paraId="14AB4D1F" w14:textId="77777777" w:rsidR="00222799" w:rsidRPr="00FD35ED" w:rsidRDefault="00222799" w:rsidP="00180CDD">
            <w:pPr>
              <w:pStyle w:val="Tabletext"/>
              <w:ind w:left="0" w:right="0"/>
            </w:pPr>
            <w:r w:rsidRPr="00FD35ED">
              <w:t>-</w:t>
            </w:r>
          </w:p>
        </w:tc>
        <w:tc>
          <w:tcPr>
            <w:tcW w:w="1701" w:type="dxa"/>
          </w:tcPr>
          <w:p w14:paraId="0ABA582F" w14:textId="77777777" w:rsidR="00222799" w:rsidRPr="00FD35ED" w:rsidRDefault="00222799" w:rsidP="00180CDD">
            <w:pPr>
              <w:pStyle w:val="Tabletext"/>
              <w:ind w:left="0" w:right="0"/>
            </w:pPr>
            <w:proofErr w:type="gramStart"/>
            <w:r w:rsidRPr="00FD35ED">
              <w:t>Dose</w:t>
            </w:r>
            <w:proofErr w:type="gramEnd"/>
            <w:r w:rsidRPr="00FD35ED">
              <w:t xml:space="preserve"> reduce or permanently discontinue</w:t>
            </w:r>
          </w:p>
        </w:tc>
      </w:tr>
      <w:tr w:rsidR="00222799" w:rsidRPr="00FD35ED" w14:paraId="069B00DC" w14:textId="77777777" w:rsidTr="00180CDD">
        <w:trPr>
          <w:trHeight w:val="20"/>
        </w:trPr>
        <w:tc>
          <w:tcPr>
            <w:tcW w:w="2542" w:type="dxa"/>
          </w:tcPr>
          <w:p w14:paraId="0921D5DE" w14:textId="54BE59FF" w:rsidR="00222799" w:rsidRPr="00875041" w:rsidRDefault="00222799" w:rsidP="00180CDD">
            <w:pPr>
              <w:pStyle w:val="Tabletext"/>
              <w:ind w:left="0" w:right="0"/>
              <w:rPr>
                <w:b/>
              </w:rPr>
            </w:pPr>
            <w:r w:rsidRPr="00875041">
              <w:rPr>
                <w:b/>
              </w:rPr>
              <w:t>Infusion‐related reactions during infusion/</w:t>
            </w:r>
            <w:r w:rsidR="00180CDD" w:rsidRPr="00875041">
              <w:rPr>
                <w:b/>
              </w:rPr>
              <w:t>anaphylaxis</w:t>
            </w:r>
          </w:p>
        </w:tc>
        <w:tc>
          <w:tcPr>
            <w:tcW w:w="2126" w:type="dxa"/>
          </w:tcPr>
          <w:p w14:paraId="72166DBA" w14:textId="55BAAF80" w:rsidR="00222799" w:rsidRPr="00FD35ED" w:rsidRDefault="00222799" w:rsidP="00180CDD">
            <w:pPr>
              <w:pStyle w:val="Tabletext"/>
              <w:ind w:left="0" w:right="0"/>
            </w:pPr>
            <w:r w:rsidRPr="00FD35ED">
              <w:t xml:space="preserve">Hold </w:t>
            </w:r>
            <w:proofErr w:type="spellStart"/>
            <w:r w:rsidRPr="00FD35ED">
              <w:t>tebentafusp</w:t>
            </w:r>
            <w:proofErr w:type="spellEnd"/>
            <w:r w:rsidRPr="00FD35ED">
              <w:t xml:space="preserve"> until resolution. May recommence within 4</w:t>
            </w:r>
            <w:r w:rsidR="00180CDD" w:rsidRPr="00FD35ED">
              <w:t> </w:t>
            </w:r>
            <w:r w:rsidRPr="00FD35ED">
              <w:t xml:space="preserve">hours. Recommence at 50% rate. If </w:t>
            </w:r>
            <w:proofErr w:type="gramStart"/>
            <w:r w:rsidRPr="00FD35ED">
              <w:t>recurs:</w:t>
            </w:r>
            <w:proofErr w:type="gramEnd"/>
            <w:r w:rsidRPr="00FD35ED">
              <w:t xml:space="preserve"> permanently discontinue.</w:t>
            </w:r>
          </w:p>
        </w:tc>
        <w:tc>
          <w:tcPr>
            <w:tcW w:w="1985" w:type="dxa"/>
          </w:tcPr>
          <w:p w14:paraId="617C6EBB" w14:textId="77777777" w:rsidR="00222799" w:rsidRPr="00FD35ED" w:rsidRDefault="00222799" w:rsidP="00180CDD">
            <w:pPr>
              <w:pStyle w:val="Tabletext"/>
              <w:ind w:left="0" w:right="0"/>
            </w:pPr>
            <w:r w:rsidRPr="00FD35ED">
              <w:t>If not improved by at least 1 grade within 6 hours with medical management: permanently discontinue</w:t>
            </w:r>
          </w:p>
        </w:tc>
        <w:tc>
          <w:tcPr>
            <w:tcW w:w="1701" w:type="dxa"/>
          </w:tcPr>
          <w:p w14:paraId="7DB0E701" w14:textId="77777777" w:rsidR="00222799" w:rsidRPr="00FD35ED" w:rsidRDefault="00222799" w:rsidP="00180CDD">
            <w:pPr>
              <w:pStyle w:val="Tabletext"/>
              <w:ind w:left="0" w:right="0"/>
            </w:pPr>
            <w:r w:rsidRPr="00FD35ED">
              <w:t>Permanently discontinue</w:t>
            </w:r>
          </w:p>
        </w:tc>
      </w:tr>
      <w:tr w:rsidR="00222799" w:rsidRPr="00FD35ED" w14:paraId="0C4B6C1C" w14:textId="77777777" w:rsidTr="00180CDD">
        <w:trPr>
          <w:trHeight w:val="20"/>
        </w:trPr>
        <w:tc>
          <w:tcPr>
            <w:tcW w:w="2542" w:type="dxa"/>
          </w:tcPr>
          <w:p w14:paraId="037CB631" w14:textId="4C1862F0" w:rsidR="00222799" w:rsidRPr="005A6EF3" w:rsidRDefault="00222799" w:rsidP="00180CDD">
            <w:pPr>
              <w:pStyle w:val="Tabletext"/>
              <w:ind w:left="0" w:right="0"/>
              <w:rPr>
                <w:b/>
              </w:rPr>
            </w:pPr>
            <w:r w:rsidRPr="005A6EF3">
              <w:rPr>
                <w:b/>
              </w:rPr>
              <w:t>Infusion‐related reactions after infusion/</w:t>
            </w:r>
            <w:r w:rsidR="00180CDD" w:rsidRPr="005A6EF3">
              <w:rPr>
                <w:b/>
              </w:rPr>
              <w:t>cytokine release syndrome</w:t>
            </w:r>
            <w:r w:rsidRPr="005A6EF3">
              <w:rPr>
                <w:b/>
              </w:rPr>
              <w:t xml:space="preserve"> (based on Lee </w:t>
            </w:r>
            <w:r w:rsidR="00690F4C" w:rsidRPr="005A6EF3">
              <w:rPr>
                <w:b/>
              </w:rPr>
              <w:t>et al (</w:t>
            </w:r>
            <w:r w:rsidRPr="005A6EF3">
              <w:rPr>
                <w:b/>
              </w:rPr>
              <w:t>2014</w:t>
            </w:r>
            <w:r w:rsidR="00690F4C" w:rsidRPr="005A6EF3">
              <w:rPr>
                <w:b/>
              </w:rPr>
              <w:t>)</w:t>
            </w:r>
            <w:r w:rsidRPr="005A6EF3">
              <w:rPr>
                <w:b/>
              </w:rPr>
              <w:t xml:space="preserve"> grading criteria)</w:t>
            </w:r>
            <w:r w:rsidR="007A4661" w:rsidRPr="005A6EF3">
              <w:rPr>
                <w:rStyle w:val="FootnoteReference"/>
                <w:b/>
              </w:rPr>
              <w:footnoteReference w:id="67"/>
            </w:r>
          </w:p>
        </w:tc>
        <w:tc>
          <w:tcPr>
            <w:tcW w:w="2126" w:type="dxa"/>
          </w:tcPr>
          <w:p w14:paraId="6266271A" w14:textId="77777777" w:rsidR="00222799" w:rsidRPr="00FD35ED" w:rsidRDefault="00222799" w:rsidP="00180CDD">
            <w:pPr>
              <w:pStyle w:val="Tabletext"/>
              <w:ind w:left="0" w:right="0"/>
            </w:pPr>
            <w:r w:rsidRPr="00FD35ED">
              <w:t>-</w:t>
            </w:r>
          </w:p>
        </w:tc>
        <w:tc>
          <w:tcPr>
            <w:tcW w:w="1985" w:type="dxa"/>
          </w:tcPr>
          <w:p w14:paraId="03F6FE38" w14:textId="7A7BEBE7" w:rsidR="00222799" w:rsidRPr="00FD35ED" w:rsidRDefault="00222799" w:rsidP="00180CDD">
            <w:pPr>
              <w:pStyle w:val="Tabletext"/>
              <w:ind w:left="0" w:right="0"/>
            </w:pPr>
            <w:r w:rsidRPr="00FD35ED">
              <w:t xml:space="preserve">Hold </w:t>
            </w:r>
            <w:proofErr w:type="spellStart"/>
            <w:r w:rsidRPr="00FD35ED">
              <w:t>tebentafusp</w:t>
            </w:r>
            <w:proofErr w:type="spellEnd"/>
            <w:r w:rsidRPr="00FD35ED">
              <w:t xml:space="preserve"> until resolution of symptoms and restart after discussion and written approval of </w:t>
            </w:r>
            <w:r w:rsidR="00DD2C64" w:rsidRPr="00FD35ED">
              <w:t>sponsor</w:t>
            </w:r>
            <w:r w:rsidRPr="00FD35ED">
              <w:t>’s Medical Monitor</w:t>
            </w:r>
          </w:p>
        </w:tc>
        <w:tc>
          <w:tcPr>
            <w:tcW w:w="1701" w:type="dxa"/>
          </w:tcPr>
          <w:p w14:paraId="358361CB" w14:textId="77777777" w:rsidR="00222799" w:rsidRPr="00FD35ED" w:rsidRDefault="00222799" w:rsidP="00180CDD">
            <w:pPr>
              <w:pStyle w:val="Tabletext"/>
              <w:ind w:left="0" w:right="0"/>
            </w:pPr>
            <w:r w:rsidRPr="00FD35ED">
              <w:t>Permanently discontinue</w:t>
            </w:r>
          </w:p>
        </w:tc>
      </w:tr>
      <w:tr w:rsidR="00222799" w:rsidRPr="00FD35ED" w14:paraId="74C7E275" w14:textId="77777777" w:rsidTr="00180CDD">
        <w:trPr>
          <w:trHeight w:val="20"/>
        </w:trPr>
        <w:tc>
          <w:tcPr>
            <w:tcW w:w="2542" w:type="dxa"/>
          </w:tcPr>
          <w:p w14:paraId="447F2CF6" w14:textId="77777777" w:rsidR="00222799" w:rsidRPr="005A6EF3" w:rsidRDefault="00222799" w:rsidP="00180CDD">
            <w:pPr>
              <w:pStyle w:val="Tabletext"/>
              <w:ind w:left="0" w:right="0"/>
              <w:rPr>
                <w:b/>
              </w:rPr>
            </w:pPr>
            <w:r w:rsidRPr="005A6EF3">
              <w:rPr>
                <w:b/>
              </w:rPr>
              <w:lastRenderedPageBreak/>
              <w:t>Hepatic function abnormalities</w:t>
            </w:r>
          </w:p>
        </w:tc>
        <w:tc>
          <w:tcPr>
            <w:tcW w:w="2126" w:type="dxa"/>
          </w:tcPr>
          <w:p w14:paraId="5DECBB72" w14:textId="77777777" w:rsidR="00222799" w:rsidRPr="00FD35ED" w:rsidRDefault="00222799" w:rsidP="00180CDD">
            <w:pPr>
              <w:pStyle w:val="Tabletext"/>
              <w:ind w:left="0" w:right="0"/>
            </w:pPr>
            <w:r w:rsidRPr="00FD35ED">
              <w:t>-</w:t>
            </w:r>
          </w:p>
        </w:tc>
        <w:tc>
          <w:tcPr>
            <w:tcW w:w="3686" w:type="dxa"/>
            <w:gridSpan w:val="2"/>
          </w:tcPr>
          <w:p w14:paraId="5DDFFBB3" w14:textId="77777777" w:rsidR="00222799" w:rsidRPr="00FD35ED" w:rsidRDefault="00222799" w:rsidP="00180CDD">
            <w:pPr>
              <w:pStyle w:val="Tabletext"/>
              <w:ind w:left="0" w:right="0"/>
            </w:pPr>
            <w:r w:rsidRPr="00FD35ED">
              <w:t xml:space="preserve">Hold </w:t>
            </w:r>
            <w:proofErr w:type="spellStart"/>
            <w:r w:rsidRPr="00FD35ED">
              <w:t>tebentafusp</w:t>
            </w:r>
            <w:proofErr w:type="spellEnd"/>
            <w:r w:rsidRPr="00FD35ED">
              <w:t xml:space="preserve"> until ≤ Grade 1</w:t>
            </w:r>
          </w:p>
        </w:tc>
      </w:tr>
      <w:tr w:rsidR="00222799" w:rsidRPr="00FD35ED" w14:paraId="3F8BFD31" w14:textId="77777777" w:rsidTr="00180CDD">
        <w:trPr>
          <w:trHeight w:val="20"/>
        </w:trPr>
        <w:tc>
          <w:tcPr>
            <w:tcW w:w="2542" w:type="dxa"/>
          </w:tcPr>
          <w:p w14:paraId="334799F1" w14:textId="77777777" w:rsidR="00222799" w:rsidRPr="005A6EF3" w:rsidRDefault="00222799" w:rsidP="00180CDD">
            <w:pPr>
              <w:pStyle w:val="Tabletext"/>
              <w:ind w:left="0" w:right="0"/>
              <w:rPr>
                <w:b/>
              </w:rPr>
            </w:pPr>
            <w:r w:rsidRPr="005A6EF3">
              <w:rPr>
                <w:b/>
              </w:rPr>
              <w:t>Vomiting</w:t>
            </w:r>
          </w:p>
        </w:tc>
        <w:tc>
          <w:tcPr>
            <w:tcW w:w="2126" w:type="dxa"/>
          </w:tcPr>
          <w:p w14:paraId="5CE97AB5" w14:textId="77777777" w:rsidR="00222799" w:rsidRPr="00FD35ED" w:rsidRDefault="00222799" w:rsidP="00180CDD">
            <w:pPr>
              <w:pStyle w:val="Tabletext"/>
              <w:ind w:left="0" w:right="0"/>
            </w:pPr>
            <w:r w:rsidRPr="00FD35ED">
              <w:t>-</w:t>
            </w:r>
          </w:p>
        </w:tc>
        <w:tc>
          <w:tcPr>
            <w:tcW w:w="3686" w:type="dxa"/>
            <w:gridSpan w:val="2"/>
          </w:tcPr>
          <w:p w14:paraId="04154886" w14:textId="77777777" w:rsidR="00222799" w:rsidRPr="00FD35ED" w:rsidRDefault="00222799" w:rsidP="00180CDD">
            <w:pPr>
              <w:pStyle w:val="Tabletext"/>
              <w:ind w:left="0" w:right="0"/>
            </w:pPr>
            <w:r w:rsidRPr="00FD35ED">
              <w:t xml:space="preserve">Hold </w:t>
            </w:r>
            <w:proofErr w:type="spellStart"/>
            <w:r w:rsidRPr="00FD35ED">
              <w:t>tebentafusp</w:t>
            </w:r>
            <w:proofErr w:type="spellEnd"/>
            <w:r w:rsidRPr="00FD35ED">
              <w:t xml:space="preserve"> until ≤ Grade 1</w:t>
            </w:r>
          </w:p>
        </w:tc>
      </w:tr>
    </w:tbl>
    <w:p w14:paraId="787D29B3" w14:textId="76930B54" w:rsidR="00222799" w:rsidRPr="00FD35ED" w:rsidRDefault="00222799" w:rsidP="00985193">
      <w:r w:rsidRPr="00FD35ED">
        <w:t>The protocol also specified the following dose reduction schedule:</w:t>
      </w:r>
    </w:p>
    <w:p w14:paraId="74B59D41" w14:textId="5F0A98DD" w:rsidR="00222799" w:rsidRPr="00FD35ED" w:rsidRDefault="00222799" w:rsidP="00985193">
      <w:pPr>
        <w:pStyle w:val="ListBullet"/>
      </w:pPr>
      <w:r w:rsidRPr="00FD35ED">
        <w:t xml:space="preserve">From a starting </w:t>
      </w:r>
      <w:proofErr w:type="spellStart"/>
      <w:r w:rsidRPr="00FD35ED">
        <w:t>tebentafusp</w:t>
      </w:r>
      <w:proofErr w:type="spellEnd"/>
      <w:r w:rsidRPr="00FD35ED">
        <w:t xml:space="preserve"> dose of 68 </w:t>
      </w:r>
      <w:r w:rsidR="00DD2C64" w:rsidRPr="00FD35ED">
        <w:t>µg</w:t>
      </w:r>
      <w:r w:rsidRPr="00FD35ED">
        <w:t xml:space="preserve">, the dose will be reduced to 54 </w:t>
      </w:r>
      <w:r w:rsidR="00DD2C64" w:rsidRPr="00FD35ED">
        <w:t>µg</w:t>
      </w:r>
      <w:r w:rsidRPr="00FD35ED">
        <w:t xml:space="preserve"> for any toxicity requiring dose reduction.</w:t>
      </w:r>
    </w:p>
    <w:p w14:paraId="765EAFBC" w14:textId="2A3D2959" w:rsidR="00222799" w:rsidRPr="00FD35ED" w:rsidRDefault="00222799" w:rsidP="00985193">
      <w:pPr>
        <w:pStyle w:val="ListBullet"/>
      </w:pPr>
      <w:r w:rsidRPr="00FD35ED">
        <w:t xml:space="preserve">The dose may be reduced further to 50 </w:t>
      </w:r>
      <w:r w:rsidR="00DD2C64" w:rsidRPr="00FD35ED">
        <w:t>µg</w:t>
      </w:r>
      <w:r w:rsidRPr="00FD35ED">
        <w:t xml:space="preserve"> for recurrent toxicity.</w:t>
      </w:r>
    </w:p>
    <w:p w14:paraId="2988B982" w14:textId="77777777" w:rsidR="00222799" w:rsidRPr="00FD35ED" w:rsidRDefault="00222799" w:rsidP="00985193">
      <w:pPr>
        <w:pStyle w:val="ListBullet"/>
      </w:pPr>
      <w:r w:rsidRPr="00FD35ED">
        <w:t xml:space="preserve">Patients who require more than 2 dose reductions of </w:t>
      </w:r>
      <w:proofErr w:type="spellStart"/>
      <w:r w:rsidRPr="00FD35ED">
        <w:t>tebentafusp</w:t>
      </w:r>
      <w:proofErr w:type="spellEnd"/>
      <w:r w:rsidRPr="00FD35ED">
        <w:t xml:space="preserve"> should discontinue treatment.</w:t>
      </w:r>
    </w:p>
    <w:p w14:paraId="7D416D97" w14:textId="77777777" w:rsidR="00222799" w:rsidRPr="00FD35ED" w:rsidRDefault="00222799" w:rsidP="00985193">
      <w:pPr>
        <w:pStyle w:val="Heading5"/>
      </w:pPr>
      <w:r w:rsidRPr="00FD35ED">
        <w:t>Exposure</w:t>
      </w:r>
    </w:p>
    <w:p w14:paraId="521630FE" w14:textId="0B0D6E6B" w:rsidR="00222799" w:rsidRPr="00FD35ED" w:rsidRDefault="00222799" w:rsidP="00985193">
      <w:r w:rsidRPr="00FD35ED">
        <w:t xml:space="preserve">Exposure to study treatment for the safety analysis population at the primary </w:t>
      </w:r>
      <w:r w:rsidR="001C7332" w:rsidRPr="00FD35ED">
        <w:t>data cut</w:t>
      </w:r>
      <w:r w:rsidR="00117C80" w:rsidRPr="00FD35ED">
        <w:noBreakHyphen/>
      </w:r>
      <w:r w:rsidR="001C7332" w:rsidRPr="00FD35ED">
        <w:t>off</w:t>
      </w:r>
      <w:r w:rsidRPr="00FD35ED">
        <w:t xml:space="preserve"> for the </w:t>
      </w:r>
      <w:r w:rsidR="001E10CF">
        <w:t>clinical study report</w:t>
      </w:r>
      <w:r w:rsidR="001E10CF" w:rsidRPr="00FD35ED">
        <w:t xml:space="preserve"> </w:t>
      </w:r>
      <w:r w:rsidRPr="00FD35ED">
        <w:t>(13 Oct</w:t>
      </w:r>
      <w:r w:rsidR="001603A6">
        <w:t>ober</w:t>
      </w:r>
      <w:r w:rsidRPr="00FD35ED">
        <w:t xml:space="preserve"> 2020) is summarised in </w:t>
      </w:r>
      <w:r w:rsidRPr="00FD35ED">
        <w:fldChar w:fldCharType="begin"/>
      </w:r>
      <w:r w:rsidRPr="00FD35ED">
        <w:instrText xml:space="preserve"> REF _Ref77939934 \h  \* MERGEFORMAT </w:instrText>
      </w:r>
      <w:r w:rsidRPr="00FD35ED">
        <w:fldChar w:fldCharType="separate"/>
      </w:r>
      <w:r w:rsidR="00301C3E" w:rsidRPr="00875041">
        <w:t xml:space="preserve">Table </w:t>
      </w:r>
      <w:r w:rsidR="00301C3E">
        <w:t>6</w:t>
      </w:r>
      <w:r w:rsidRPr="00FD35ED">
        <w:fldChar w:fldCharType="end"/>
      </w:r>
      <w:r w:rsidR="00117C80" w:rsidRPr="00FD35ED">
        <w:t xml:space="preserve"> below</w:t>
      </w:r>
      <w:r w:rsidRPr="00FD35ED">
        <w:t>.</w:t>
      </w:r>
    </w:p>
    <w:p w14:paraId="386252EC" w14:textId="51E0FEAE" w:rsidR="00222799" w:rsidRPr="00FD35ED" w:rsidRDefault="00222799" w:rsidP="00985193">
      <w:r w:rsidRPr="00FD35ED">
        <w:t>The median duration of exposure was 163 days (around 5.3 months, range 0.3 to 33</w:t>
      </w:r>
      <w:r w:rsidR="00117C80" w:rsidRPr="00FD35ED">
        <w:t> </w:t>
      </w:r>
      <w:r w:rsidRPr="00FD35ED">
        <w:t xml:space="preserve">months) in patients receiving </w:t>
      </w:r>
      <w:proofErr w:type="spellStart"/>
      <w:r w:rsidRPr="00FD35ED">
        <w:t>tebentafusp</w:t>
      </w:r>
      <w:proofErr w:type="spellEnd"/>
      <w:r w:rsidRPr="00FD35ED">
        <w:t xml:space="preserve">. A higher rate of dose interruptions </w:t>
      </w:r>
      <w:r w:rsidR="00117C80" w:rsidRPr="00FD35ED">
        <w:t>was</w:t>
      </w:r>
      <w:r w:rsidRPr="00FD35ED">
        <w:t xml:space="preserve"> noted in the </w:t>
      </w:r>
      <w:proofErr w:type="spellStart"/>
      <w:r w:rsidRPr="00FD35ED">
        <w:t>tebentafusp</w:t>
      </w:r>
      <w:proofErr w:type="spellEnd"/>
      <w:r w:rsidRPr="00FD35ED">
        <w:t xml:space="preserve"> arm, consistent with the three times more frequent dosing regimen, interruptions in response to </w:t>
      </w:r>
      <w:r w:rsidR="009710DB" w:rsidRPr="00FD35ED">
        <w:t>AE</w:t>
      </w:r>
      <w:r w:rsidRPr="00FD35ED">
        <w:t>s (predominantly CRS</w:t>
      </w:r>
      <w:r w:rsidR="00DB43A5" w:rsidRPr="00FD35ED">
        <w:t>, see Section</w:t>
      </w:r>
      <w:r w:rsidR="001603A6">
        <w:t>:</w:t>
      </w:r>
      <w:r w:rsidR="00DB43A5" w:rsidRPr="00FD35ED">
        <w:t xml:space="preserve"> </w:t>
      </w:r>
      <w:r w:rsidR="00DB43A5" w:rsidRPr="005A6EF3">
        <w:rPr>
          <w:i/>
        </w:rPr>
        <w:t>Cytokine release syndrome</w:t>
      </w:r>
      <w:r w:rsidRPr="00FD35ED">
        <w:t>), and a longer duration of treatment exposure.</w:t>
      </w:r>
    </w:p>
    <w:p w14:paraId="2F13E8A0" w14:textId="51B13B80" w:rsidR="00222799" w:rsidRPr="00875041" w:rsidRDefault="00222799" w:rsidP="00875041">
      <w:pPr>
        <w:pStyle w:val="TableTitle"/>
      </w:pPr>
      <w:bookmarkStart w:id="82" w:name="_Ref77939934"/>
      <w:r w:rsidRPr="00875041">
        <w:t xml:space="preserve">Table </w:t>
      </w:r>
      <w:fldSimple w:instr=" SEQ Table \* ARABIC ">
        <w:r w:rsidR="00301C3E">
          <w:rPr>
            <w:noProof/>
          </w:rPr>
          <w:t>6</w:t>
        </w:r>
      </w:fldSimple>
      <w:bookmarkEnd w:id="82"/>
      <w:r w:rsidR="00AE1769" w:rsidRPr="00875041">
        <w:t>: Study 202</w:t>
      </w:r>
      <w:r w:rsidRPr="00875041">
        <w:t xml:space="preserve"> </w:t>
      </w:r>
      <w:bookmarkStart w:id="83" w:name="_Hlk101448970"/>
      <w:r w:rsidRPr="00875041">
        <w:t xml:space="preserve">Exposure (safety analysis </w:t>
      </w:r>
      <w:r w:rsidR="00D26203" w:rsidRPr="00875041">
        <w:t>population</w:t>
      </w:r>
      <w:r w:rsidR="00180CDD" w:rsidRPr="00875041">
        <w:t xml:space="preserve">; </w:t>
      </w:r>
      <w:r w:rsidR="001C7332" w:rsidRPr="00875041">
        <w:t>data cut-off date</w:t>
      </w:r>
      <w:r w:rsidR="00180CDD" w:rsidRPr="00875041">
        <w:t>:</w:t>
      </w:r>
      <w:r w:rsidRPr="00875041">
        <w:t xml:space="preserve"> 13</w:t>
      </w:r>
      <w:r w:rsidR="00180CDD" w:rsidRPr="00875041">
        <w:t> </w:t>
      </w:r>
      <w:r w:rsidRPr="00875041">
        <w:t>Oct</w:t>
      </w:r>
      <w:r w:rsidR="00AE1769" w:rsidRPr="00875041">
        <w:t>ober</w:t>
      </w:r>
      <w:r w:rsidR="00180CDD" w:rsidRPr="00875041">
        <w:t> </w:t>
      </w:r>
      <w:r w:rsidRPr="00875041">
        <w:t>2020</w:t>
      </w:r>
      <w:r w:rsidR="001C7332" w:rsidRPr="00875041">
        <w:t>)</w:t>
      </w:r>
      <w:bookmarkEnd w:id="83"/>
    </w:p>
    <w:tbl>
      <w:tblPr>
        <w:tblStyle w:val="TableTGAblue"/>
        <w:tblW w:w="8354" w:type="dxa"/>
        <w:tblLayout w:type="fixed"/>
        <w:tblLook w:val="01E0" w:firstRow="1" w:lastRow="1" w:firstColumn="1" w:lastColumn="1" w:noHBand="0" w:noVBand="0"/>
      </w:tblPr>
      <w:tblGrid>
        <w:gridCol w:w="4760"/>
        <w:gridCol w:w="1620"/>
        <w:gridCol w:w="1974"/>
      </w:tblGrid>
      <w:tr w:rsidR="00222799" w:rsidRPr="00FD35ED" w14:paraId="5BEE5640" w14:textId="77777777" w:rsidTr="005A6EF3">
        <w:trPr>
          <w:cnfStyle w:val="100000000000" w:firstRow="1" w:lastRow="0" w:firstColumn="0" w:lastColumn="0" w:oddVBand="0" w:evenVBand="0" w:oddHBand="0" w:evenHBand="0" w:firstRowFirstColumn="0" w:firstRowLastColumn="0" w:lastRowFirstColumn="0" w:lastRowLastColumn="0"/>
          <w:trHeight w:val="454"/>
        </w:trPr>
        <w:tc>
          <w:tcPr>
            <w:tcW w:w="4760" w:type="dxa"/>
          </w:tcPr>
          <w:p w14:paraId="29D00124" w14:textId="77777777" w:rsidR="00222799" w:rsidRPr="00FD35ED" w:rsidRDefault="00222799" w:rsidP="00180CDD">
            <w:pPr>
              <w:pStyle w:val="Tabletext"/>
              <w:ind w:left="0" w:right="0"/>
            </w:pPr>
            <w:bookmarkStart w:id="84" w:name="_Hlk96096522"/>
            <w:bookmarkStart w:id="85" w:name="_Hlk95923868"/>
          </w:p>
        </w:tc>
        <w:tc>
          <w:tcPr>
            <w:tcW w:w="1620" w:type="dxa"/>
          </w:tcPr>
          <w:p w14:paraId="697046DF" w14:textId="77777777" w:rsidR="00F97E3A" w:rsidRPr="00FD35ED" w:rsidRDefault="00222799" w:rsidP="00180CDD">
            <w:pPr>
              <w:pStyle w:val="Tabletext"/>
              <w:ind w:left="0" w:right="0"/>
            </w:pPr>
            <w:proofErr w:type="spellStart"/>
            <w:r w:rsidRPr="00FD35ED">
              <w:t>Tebentafusp</w:t>
            </w:r>
            <w:proofErr w:type="spellEnd"/>
          </w:p>
          <w:p w14:paraId="2BC892B4" w14:textId="49EB783B" w:rsidR="00222799" w:rsidRPr="00FD35ED" w:rsidRDefault="00222799" w:rsidP="00180CDD">
            <w:pPr>
              <w:pStyle w:val="Tabletext"/>
              <w:ind w:left="0" w:right="0"/>
            </w:pPr>
            <w:r w:rsidRPr="00FD35ED">
              <w:t>(n</w:t>
            </w:r>
            <w:r w:rsidR="00F97E3A" w:rsidRPr="00FD35ED">
              <w:t xml:space="preserve"> </w:t>
            </w:r>
            <w:r w:rsidRPr="00FD35ED">
              <w:t>=</w:t>
            </w:r>
            <w:r w:rsidR="00F97E3A" w:rsidRPr="00FD35ED">
              <w:t xml:space="preserve"> </w:t>
            </w:r>
            <w:r w:rsidRPr="00FD35ED">
              <w:t>245)</w:t>
            </w:r>
          </w:p>
        </w:tc>
        <w:tc>
          <w:tcPr>
            <w:tcW w:w="1974" w:type="dxa"/>
          </w:tcPr>
          <w:p w14:paraId="40F396D6" w14:textId="3A77C60D" w:rsidR="00222799" w:rsidRPr="00FD35ED" w:rsidRDefault="001603A6" w:rsidP="00180CDD">
            <w:pPr>
              <w:pStyle w:val="Tabletext"/>
              <w:ind w:left="0" w:right="0"/>
            </w:pPr>
            <w:r>
              <w:t>Investigator’s choice of treatment</w:t>
            </w:r>
            <w:r w:rsidRPr="00FD35ED" w:rsidDel="001603A6">
              <w:t xml:space="preserve"> </w:t>
            </w:r>
            <w:proofErr w:type="spellStart"/>
            <w:r>
              <w:t>arm</w:t>
            </w:r>
            <w:r>
              <w:rPr>
                <w:vertAlign w:val="superscript"/>
              </w:rPr>
              <w:t>a</w:t>
            </w:r>
            <w:proofErr w:type="spellEnd"/>
            <w:r>
              <w:t xml:space="preserve"> </w:t>
            </w:r>
            <w:r w:rsidR="00222799" w:rsidRPr="00FD35ED">
              <w:t>(n</w:t>
            </w:r>
            <w:r w:rsidR="00F97E3A" w:rsidRPr="00FD35ED">
              <w:t xml:space="preserve"> </w:t>
            </w:r>
            <w:r w:rsidR="00222799" w:rsidRPr="00FD35ED">
              <w:t>=</w:t>
            </w:r>
            <w:r w:rsidR="00F97E3A" w:rsidRPr="00FD35ED">
              <w:t xml:space="preserve"> </w:t>
            </w:r>
            <w:r w:rsidR="00222799" w:rsidRPr="00FD35ED">
              <w:t>111)</w:t>
            </w:r>
          </w:p>
        </w:tc>
      </w:tr>
      <w:bookmarkEnd w:id="84"/>
      <w:tr w:rsidR="00222799" w:rsidRPr="00FD35ED" w14:paraId="142CBC13" w14:textId="77777777" w:rsidTr="00180CDD">
        <w:trPr>
          <w:trHeight w:val="20"/>
        </w:trPr>
        <w:tc>
          <w:tcPr>
            <w:tcW w:w="8354" w:type="dxa"/>
            <w:gridSpan w:val="3"/>
          </w:tcPr>
          <w:p w14:paraId="616FAC2A" w14:textId="77777777" w:rsidR="00222799" w:rsidRPr="00FD35ED" w:rsidRDefault="00222799" w:rsidP="00180CDD">
            <w:pPr>
              <w:pStyle w:val="Tabletext"/>
              <w:ind w:left="0" w:right="0"/>
              <w:rPr>
                <w:b/>
                <w:bCs/>
              </w:rPr>
            </w:pPr>
            <w:r w:rsidRPr="00FD35ED">
              <w:rPr>
                <w:b/>
                <w:bCs/>
              </w:rPr>
              <w:t>Exposure</w:t>
            </w:r>
          </w:p>
        </w:tc>
      </w:tr>
      <w:bookmarkEnd w:id="85"/>
      <w:tr w:rsidR="00222799" w:rsidRPr="00FD35ED" w14:paraId="6763BFF2" w14:textId="77777777" w:rsidTr="005A6EF3">
        <w:trPr>
          <w:trHeight w:val="20"/>
        </w:trPr>
        <w:tc>
          <w:tcPr>
            <w:tcW w:w="4760" w:type="dxa"/>
          </w:tcPr>
          <w:p w14:paraId="1337DF33" w14:textId="77777777" w:rsidR="00222799" w:rsidRPr="00FD35ED" w:rsidRDefault="00222799" w:rsidP="00180CDD">
            <w:pPr>
              <w:pStyle w:val="Tabletext"/>
              <w:ind w:left="0" w:right="0"/>
            </w:pPr>
            <w:r w:rsidRPr="00FD35ED">
              <w:t>Median treatment duration, days (range)</w:t>
            </w:r>
          </w:p>
        </w:tc>
        <w:tc>
          <w:tcPr>
            <w:tcW w:w="1620" w:type="dxa"/>
          </w:tcPr>
          <w:p w14:paraId="617A6724" w14:textId="77777777" w:rsidR="00222799" w:rsidRPr="00FD35ED" w:rsidRDefault="00222799" w:rsidP="00180CDD">
            <w:pPr>
              <w:pStyle w:val="Tabletext"/>
              <w:ind w:left="0" w:right="0"/>
            </w:pPr>
            <w:r w:rsidRPr="00FD35ED">
              <w:t>163 (1, 1016)</w:t>
            </w:r>
          </w:p>
        </w:tc>
        <w:tc>
          <w:tcPr>
            <w:tcW w:w="1974" w:type="dxa"/>
          </w:tcPr>
          <w:p w14:paraId="2FD3B216" w14:textId="77777777" w:rsidR="00222799" w:rsidRPr="00FD35ED" w:rsidRDefault="00222799" w:rsidP="00180CDD">
            <w:pPr>
              <w:pStyle w:val="Tabletext"/>
              <w:ind w:left="0" w:right="0"/>
            </w:pPr>
            <w:r w:rsidRPr="00FD35ED">
              <w:t>65 (1, 658)</w:t>
            </w:r>
          </w:p>
        </w:tc>
      </w:tr>
      <w:tr w:rsidR="00222799" w:rsidRPr="00FD35ED" w14:paraId="1160343D" w14:textId="77777777" w:rsidTr="005A6EF3">
        <w:trPr>
          <w:trHeight w:val="20"/>
        </w:trPr>
        <w:tc>
          <w:tcPr>
            <w:tcW w:w="4760" w:type="dxa"/>
          </w:tcPr>
          <w:p w14:paraId="78C78B77" w14:textId="77777777" w:rsidR="00222799" w:rsidRPr="00FD35ED" w:rsidRDefault="00222799" w:rsidP="00180CDD">
            <w:pPr>
              <w:pStyle w:val="Tabletext"/>
              <w:ind w:left="0" w:right="0"/>
            </w:pPr>
            <w:r w:rsidRPr="00FD35ED">
              <w:t>Mean treatment duration, days (standard deviation)</w:t>
            </w:r>
          </w:p>
        </w:tc>
        <w:tc>
          <w:tcPr>
            <w:tcW w:w="1620" w:type="dxa"/>
          </w:tcPr>
          <w:p w14:paraId="1A3E4B4B" w14:textId="77777777" w:rsidR="00222799" w:rsidRPr="00FD35ED" w:rsidRDefault="00222799" w:rsidP="00180CDD">
            <w:pPr>
              <w:pStyle w:val="Tabletext"/>
              <w:ind w:left="0" w:right="0"/>
            </w:pPr>
            <w:r w:rsidRPr="00FD35ED">
              <w:t>220 (192)</w:t>
            </w:r>
          </w:p>
        </w:tc>
        <w:tc>
          <w:tcPr>
            <w:tcW w:w="1974" w:type="dxa"/>
          </w:tcPr>
          <w:p w14:paraId="62DB47D9" w14:textId="77777777" w:rsidR="00222799" w:rsidRPr="00FD35ED" w:rsidRDefault="00222799" w:rsidP="00180CDD">
            <w:pPr>
              <w:pStyle w:val="Tabletext"/>
              <w:ind w:left="0" w:right="0"/>
            </w:pPr>
            <w:r w:rsidRPr="00FD35ED">
              <w:t>119 (130)</w:t>
            </w:r>
          </w:p>
        </w:tc>
      </w:tr>
      <w:tr w:rsidR="00222799" w:rsidRPr="00FD35ED" w14:paraId="52B12726" w14:textId="77777777" w:rsidTr="005A6EF3">
        <w:trPr>
          <w:trHeight w:val="20"/>
        </w:trPr>
        <w:tc>
          <w:tcPr>
            <w:tcW w:w="4760" w:type="dxa"/>
          </w:tcPr>
          <w:p w14:paraId="32C0CAEC" w14:textId="77777777" w:rsidR="00222799" w:rsidRPr="00FD35ED" w:rsidRDefault="00222799" w:rsidP="00180CDD">
            <w:pPr>
              <w:pStyle w:val="Tabletext"/>
              <w:ind w:left="0" w:right="0"/>
            </w:pPr>
            <w:r w:rsidRPr="00FD35ED">
              <w:t>Mean relative dose intensity, % (standard deviation)</w:t>
            </w:r>
          </w:p>
        </w:tc>
        <w:tc>
          <w:tcPr>
            <w:tcW w:w="1620" w:type="dxa"/>
          </w:tcPr>
          <w:p w14:paraId="29359382" w14:textId="77777777" w:rsidR="00222799" w:rsidRPr="00FD35ED" w:rsidRDefault="00222799" w:rsidP="00180CDD">
            <w:pPr>
              <w:pStyle w:val="Tabletext"/>
              <w:ind w:left="0" w:right="0"/>
            </w:pPr>
            <w:r w:rsidRPr="00FD35ED">
              <w:t>99.9 (0.4)</w:t>
            </w:r>
          </w:p>
        </w:tc>
        <w:tc>
          <w:tcPr>
            <w:tcW w:w="1974" w:type="dxa"/>
          </w:tcPr>
          <w:p w14:paraId="0768988E" w14:textId="77777777" w:rsidR="00222799" w:rsidRPr="00FD35ED" w:rsidRDefault="00222799" w:rsidP="00180CDD">
            <w:pPr>
              <w:pStyle w:val="Tabletext"/>
              <w:ind w:left="0" w:right="0"/>
            </w:pPr>
            <w:r w:rsidRPr="00FD35ED">
              <w:t>100 (0)</w:t>
            </w:r>
          </w:p>
        </w:tc>
      </w:tr>
    </w:tbl>
    <w:p w14:paraId="58FB17E8" w14:textId="029334C7" w:rsidR="001603A6" w:rsidRPr="00875041" w:rsidRDefault="001603A6" w:rsidP="00875041">
      <w:pPr>
        <w:pStyle w:val="TableDescription"/>
      </w:pPr>
      <w:proofErr w:type="spellStart"/>
      <w:proofErr w:type="gramStart"/>
      <w:r w:rsidRPr="00875041">
        <w:t>a</w:t>
      </w:r>
      <w:proofErr w:type="spellEnd"/>
      <w:proofErr w:type="gramEnd"/>
      <w:r w:rsidRPr="00875041">
        <w:t> Investigator’s choice of treatment = pembrolizumab, ipilimumab, or dacarbazine.</w:t>
      </w:r>
    </w:p>
    <w:p w14:paraId="00DCAFD3" w14:textId="753A4F24" w:rsidR="00222799" w:rsidRPr="00FD35ED" w:rsidRDefault="00222799" w:rsidP="00985193">
      <w:pPr>
        <w:pStyle w:val="Heading5"/>
      </w:pPr>
      <w:r w:rsidRPr="00FD35ED">
        <w:t>Deaths</w:t>
      </w:r>
    </w:p>
    <w:p w14:paraId="2D51EAD3" w14:textId="76C2A92E" w:rsidR="00222799" w:rsidRPr="00FD35ED" w:rsidRDefault="00222799" w:rsidP="00985193">
      <w:r w:rsidRPr="00FD35ED">
        <w:t xml:space="preserve">Deaths in the safety analysis population at the primary </w:t>
      </w:r>
      <w:r w:rsidR="001C7332" w:rsidRPr="00FD35ED">
        <w:t>data cut-off</w:t>
      </w:r>
      <w:r w:rsidRPr="00FD35ED">
        <w:t xml:space="preserve"> for the </w:t>
      </w:r>
      <w:r w:rsidR="005A6EF3" w:rsidRPr="005A6EF3">
        <w:t>clinical study report</w:t>
      </w:r>
      <w:r w:rsidRPr="00FD35ED">
        <w:t xml:space="preserve"> (13</w:t>
      </w:r>
      <w:r w:rsidR="00117C80" w:rsidRPr="00FD35ED">
        <w:t> </w:t>
      </w:r>
      <w:r w:rsidRPr="00FD35ED">
        <w:t>Oct</w:t>
      </w:r>
      <w:r w:rsidR="00117C80" w:rsidRPr="00FD35ED">
        <w:t>ober </w:t>
      </w:r>
      <w:r w:rsidRPr="00FD35ED">
        <w:t xml:space="preserve">2020) are summarised in </w:t>
      </w:r>
      <w:r w:rsidRPr="00FD35ED">
        <w:fldChar w:fldCharType="begin"/>
      </w:r>
      <w:r w:rsidRPr="00FD35ED">
        <w:instrText xml:space="preserve"> REF _Ref96438365 \h </w:instrText>
      </w:r>
      <w:r w:rsidR="00985193" w:rsidRPr="00FD35ED">
        <w:instrText xml:space="preserve"> \* MERGEFORMAT </w:instrText>
      </w:r>
      <w:r w:rsidRPr="00FD35ED">
        <w:fldChar w:fldCharType="separate"/>
      </w:r>
      <w:r w:rsidR="00301C3E" w:rsidRPr="00875041">
        <w:t xml:space="preserve">Table </w:t>
      </w:r>
      <w:r w:rsidR="00301C3E">
        <w:t>7</w:t>
      </w:r>
      <w:r w:rsidRPr="00FD35ED">
        <w:fldChar w:fldCharType="end"/>
      </w:r>
      <w:r w:rsidR="00117C80" w:rsidRPr="00FD35ED">
        <w:t xml:space="preserve"> below</w:t>
      </w:r>
      <w:r w:rsidRPr="00FD35ED">
        <w:t>.</w:t>
      </w:r>
    </w:p>
    <w:p w14:paraId="3AAA6AD5" w14:textId="512528E8" w:rsidR="00222799" w:rsidRPr="00FD35ED" w:rsidRDefault="00222799" w:rsidP="00985193">
      <w:r w:rsidRPr="00FD35ED">
        <w:t xml:space="preserve">There were two fatal </w:t>
      </w:r>
      <w:r w:rsidR="009710DB" w:rsidRPr="00FD35ED">
        <w:t>AE</w:t>
      </w:r>
      <w:r w:rsidRPr="00FD35ED">
        <w:t xml:space="preserve">s in the </w:t>
      </w:r>
      <w:proofErr w:type="spellStart"/>
      <w:r w:rsidRPr="00FD35ED">
        <w:t>tebentafusp</w:t>
      </w:r>
      <w:proofErr w:type="spellEnd"/>
      <w:r w:rsidRPr="00FD35ED">
        <w:t xml:space="preserve"> arm in Study 202 (pneumonia</w:t>
      </w:r>
      <w:r w:rsidR="00117C80" w:rsidRPr="00FD35ED">
        <w:t xml:space="preserve"> and </w:t>
      </w:r>
      <w:r w:rsidRPr="00FD35ED">
        <w:t xml:space="preserve">pulmonary embolism), however, clinical review of the provided case narratives does not indicate that these were likely to be related to </w:t>
      </w:r>
      <w:proofErr w:type="spellStart"/>
      <w:r w:rsidRPr="00FD35ED">
        <w:t>tebentafusp</w:t>
      </w:r>
      <w:proofErr w:type="spellEnd"/>
      <w:r w:rsidRPr="00FD35ED">
        <w:t xml:space="preserve"> treatment. There were three fatal </w:t>
      </w:r>
      <w:r w:rsidR="009710DB" w:rsidRPr="00FD35ED">
        <w:t>AE</w:t>
      </w:r>
      <w:r w:rsidRPr="00FD35ED">
        <w:t xml:space="preserve">s in the </w:t>
      </w:r>
      <w:r w:rsidR="001603A6">
        <w:t xml:space="preserve">investigator’s choice of treatment </w:t>
      </w:r>
      <w:r w:rsidRPr="00FD35ED">
        <w:t>arm (pulmonary embolism, sepsis</w:t>
      </w:r>
      <w:r w:rsidR="00117C80" w:rsidRPr="00FD35ED">
        <w:t xml:space="preserve"> and</w:t>
      </w:r>
      <w:r w:rsidRPr="00FD35ED">
        <w:t xml:space="preserve"> left ventricular dysfunction).</w:t>
      </w:r>
    </w:p>
    <w:p w14:paraId="36D14BFA" w14:textId="60DD9EEE" w:rsidR="00222799" w:rsidRPr="00875041" w:rsidRDefault="00222799" w:rsidP="00875041">
      <w:pPr>
        <w:pStyle w:val="TableTitle"/>
      </w:pPr>
      <w:bookmarkStart w:id="86" w:name="_Ref96438365"/>
      <w:r w:rsidRPr="00875041">
        <w:lastRenderedPageBreak/>
        <w:t xml:space="preserve">Table </w:t>
      </w:r>
      <w:fldSimple w:instr=" SEQ Table \* ARABIC ">
        <w:r w:rsidR="00301C3E">
          <w:rPr>
            <w:noProof/>
          </w:rPr>
          <w:t>7</w:t>
        </w:r>
      </w:fldSimple>
      <w:bookmarkEnd w:id="86"/>
      <w:r w:rsidR="00AE1769" w:rsidRPr="00875041">
        <w:t>: Study 202</w:t>
      </w:r>
      <w:r w:rsidRPr="00875041">
        <w:t xml:space="preserve"> Deaths (safety analysis </w:t>
      </w:r>
      <w:r w:rsidR="00D26203" w:rsidRPr="00875041">
        <w:t>population</w:t>
      </w:r>
      <w:r w:rsidR="00180CDD" w:rsidRPr="00875041">
        <w:t xml:space="preserve">; </w:t>
      </w:r>
      <w:r w:rsidR="001C7332" w:rsidRPr="00875041">
        <w:t>data cut-off date</w:t>
      </w:r>
      <w:r w:rsidR="00AE1769" w:rsidRPr="00875041">
        <w:t>:</w:t>
      </w:r>
      <w:r w:rsidRPr="00875041">
        <w:t xml:space="preserve"> 13</w:t>
      </w:r>
      <w:r w:rsidR="00D26203" w:rsidRPr="00875041">
        <w:t> </w:t>
      </w:r>
      <w:r w:rsidRPr="00875041">
        <w:t>Oct</w:t>
      </w:r>
      <w:r w:rsidR="00AE1769" w:rsidRPr="00875041">
        <w:t>ober</w:t>
      </w:r>
      <w:r w:rsidR="00D26203" w:rsidRPr="00875041">
        <w:t> </w:t>
      </w:r>
      <w:r w:rsidRPr="00875041">
        <w:t>2020</w:t>
      </w:r>
      <w:r w:rsidR="001C7332" w:rsidRPr="00875041">
        <w:t>)</w:t>
      </w:r>
    </w:p>
    <w:tbl>
      <w:tblPr>
        <w:tblStyle w:val="TableTGAblue"/>
        <w:tblW w:w="8495" w:type="dxa"/>
        <w:tblLayout w:type="fixed"/>
        <w:tblLook w:val="01E0" w:firstRow="1" w:lastRow="1" w:firstColumn="1" w:lastColumn="1" w:noHBand="0" w:noVBand="0"/>
      </w:tblPr>
      <w:tblGrid>
        <w:gridCol w:w="4536"/>
        <w:gridCol w:w="1691"/>
        <w:gridCol w:w="2268"/>
      </w:tblGrid>
      <w:tr w:rsidR="00222799" w:rsidRPr="00FD35ED" w14:paraId="662BC7D5" w14:textId="77777777" w:rsidTr="00D26203">
        <w:trPr>
          <w:cnfStyle w:val="100000000000" w:firstRow="1" w:lastRow="0" w:firstColumn="0" w:lastColumn="0" w:oddVBand="0" w:evenVBand="0" w:oddHBand="0" w:evenHBand="0" w:firstRowFirstColumn="0" w:firstRowLastColumn="0" w:lastRowFirstColumn="0" w:lastRowLastColumn="0"/>
          <w:trHeight w:val="454"/>
        </w:trPr>
        <w:tc>
          <w:tcPr>
            <w:tcW w:w="4536" w:type="dxa"/>
          </w:tcPr>
          <w:p w14:paraId="165C88D8" w14:textId="77777777" w:rsidR="00222799" w:rsidRPr="00FD35ED" w:rsidRDefault="00222799" w:rsidP="00180CDD">
            <w:pPr>
              <w:pStyle w:val="Tabletext"/>
              <w:ind w:left="0" w:right="0"/>
            </w:pPr>
          </w:p>
        </w:tc>
        <w:tc>
          <w:tcPr>
            <w:tcW w:w="1691" w:type="dxa"/>
          </w:tcPr>
          <w:p w14:paraId="76EAD5CD" w14:textId="434A1B22" w:rsidR="00F97E3A" w:rsidRPr="00FD35ED" w:rsidRDefault="00222799" w:rsidP="00180CDD">
            <w:pPr>
              <w:pStyle w:val="Tabletext"/>
              <w:ind w:left="0" w:right="0"/>
            </w:pPr>
            <w:proofErr w:type="spellStart"/>
            <w:r w:rsidRPr="00FD35ED">
              <w:t>Tebentafusp</w:t>
            </w:r>
            <w:proofErr w:type="spellEnd"/>
            <w:r w:rsidR="001603A6">
              <w:t xml:space="preserve"> arm</w:t>
            </w:r>
          </w:p>
          <w:p w14:paraId="76FA83D5" w14:textId="6A205F09" w:rsidR="00222799" w:rsidRPr="00FD35ED" w:rsidRDefault="00222799" w:rsidP="00180CDD">
            <w:pPr>
              <w:pStyle w:val="Tabletext"/>
              <w:ind w:left="0" w:right="0"/>
            </w:pPr>
            <w:r w:rsidRPr="00FD35ED">
              <w:t>(n</w:t>
            </w:r>
            <w:r w:rsidR="00F97E3A" w:rsidRPr="00FD35ED">
              <w:t xml:space="preserve"> </w:t>
            </w:r>
            <w:r w:rsidRPr="00FD35ED">
              <w:t>=</w:t>
            </w:r>
            <w:r w:rsidR="00F97E3A" w:rsidRPr="00FD35ED">
              <w:t xml:space="preserve"> </w:t>
            </w:r>
            <w:r w:rsidRPr="00FD35ED">
              <w:t>245)</w:t>
            </w:r>
          </w:p>
        </w:tc>
        <w:tc>
          <w:tcPr>
            <w:tcW w:w="2268" w:type="dxa"/>
          </w:tcPr>
          <w:p w14:paraId="03A07985" w14:textId="7C848266" w:rsidR="00222799" w:rsidRPr="009E35BB" w:rsidRDefault="00431E29" w:rsidP="00180CDD">
            <w:pPr>
              <w:pStyle w:val="Tabletext"/>
              <w:ind w:left="0" w:right="0"/>
              <w:rPr>
                <w:vertAlign w:val="superscript"/>
              </w:rPr>
            </w:pPr>
            <w:r w:rsidRPr="00FD35ED">
              <w:t>Investigator’s choice</w:t>
            </w:r>
            <w:r w:rsidR="001603A6">
              <w:t xml:space="preserve"> of treatment </w:t>
            </w:r>
            <w:proofErr w:type="spellStart"/>
            <w:r w:rsidR="001603A6">
              <w:t>arm</w:t>
            </w:r>
            <w:r w:rsidR="001603A6">
              <w:rPr>
                <w:vertAlign w:val="superscript"/>
              </w:rPr>
              <w:t>a</w:t>
            </w:r>
            <w:proofErr w:type="spellEnd"/>
          </w:p>
          <w:p w14:paraId="3E628F99" w14:textId="1DCD2CB0" w:rsidR="00222799" w:rsidRPr="00FD35ED" w:rsidRDefault="00222799" w:rsidP="00180CDD">
            <w:pPr>
              <w:pStyle w:val="Tabletext"/>
              <w:ind w:left="0" w:right="0"/>
            </w:pPr>
            <w:r w:rsidRPr="00FD35ED">
              <w:t>(n</w:t>
            </w:r>
            <w:r w:rsidR="00F97E3A" w:rsidRPr="00FD35ED">
              <w:t xml:space="preserve"> </w:t>
            </w:r>
            <w:r w:rsidRPr="00FD35ED">
              <w:t>=</w:t>
            </w:r>
            <w:r w:rsidR="00F97E3A" w:rsidRPr="00FD35ED">
              <w:t xml:space="preserve"> </w:t>
            </w:r>
            <w:r w:rsidRPr="00FD35ED">
              <w:t>111)</w:t>
            </w:r>
          </w:p>
        </w:tc>
      </w:tr>
      <w:tr w:rsidR="00222799" w:rsidRPr="00FD35ED" w14:paraId="249BB21A" w14:textId="77777777" w:rsidTr="00D26203">
        <w:trPr>
          <w:trHeight w:val="20"/>
        </w:trPr>
        <w:tc>
          <w:tcPr>
            <w:tcW w:w="8495" w:type="dxa"/>
            <w:gridSpan w:val="3"/>
          </w:tcPr>
          <w:p w14:paraId="389E1BC2" w14:textId="77777777" w:rsidR="00222799" w:rsidRPr="00FD35ED" w:rsidRDefault="00222799" w:rsidP="00180CDD">
            <w:pPr>
              <w:pStyle w:val="Tabletext"/>
              <w:ind w:left="0" w:right="0"/>
              <w:rPr>
                <w:b/>
                <w:bCs/>
              </w:rPr>
            </w:pPr>
            <w:r w:rsidRPr="00FD35ED">
              <w:rPr>
                <w:b/>
                <w:bCs/>
              </w:rPr>
              <w:t>Deaths</w:t>
            </w:r>
          </w:p>
        </w:tc>
      </w:tr>
      <w:tr w:rsidR="00222799" w:rsidRPr="00FD35ED" w14:paraId="272E5871" w14:textId="77777777" w:rsidTr="00D26203">
        <w:trPr>
          <w:trHeight w:val="20"/>
        </w:trPr>
        <w:tc>
          <w:tcPr>
            <w:tcW w:w="4536" w:type="dxa"/>
          </w:tcPr>
          <w:p w14:paraId="040C5402" w14:textId="77777777" w:rsidR="00222799" w:rsidRPr="009E35BB" w:rsidRDefault="00222799" w:rsidP="00180CDD">
            <w:pPr>
              <w:pStyle w:val="Tabletext"/>
              <w:ind w:left="0" w:right="0"/>
              <w:rPr>
                <w:b/>
              </w:rPr>
            </w:pPr>
            <w:r w:rsidRPr="009E35BB">
              <w:rPr>
                <w:b/>
              </w:rPr>
              <w:t>Total, n (%)</w:t>
            </w:r>
          </w:p>
        </w:tc>
        <w:tc>
          <w:tcPr>
            <w:tcW w:w="1691" w:type="dxa"/>
          </w:tcPr>
          <w:p w14:paraId="67FF8BEB" w14:textId="77777777" w:rsidR="00222799" w:rsidRPr="009E35BB" w:rsidRDefault="00222799" w:rsidP="00180CDD">
            <w:pPr>
              <w:pStyle w:val="Tabletext"/>
              <w:ind w:left="0" w:right="0"/>
              <w:rPr>
                <w:b/>
              </w:rPr>
            </w:pPr>
            <w:r w:rsidRPr="009E35BB">
              <w:rPr>
                <w:b/>
              </w:rPr>
              <w:t>84 (43)</w:t>
            </w:r>
          </w:p>
        </w:tc>
        <w:tc>
          <w:tcPr>
            <w:tcW w:w="2268" w:type="dxa"/>
          </w:tcPr>
          <w:p w14:paraId="51A7A33E" w14:textId="77777777" w:rsidR="00222799" w:rsidRPr="009E35BB" w:rsidRDefault="00222799" w:rsidP="00180CDD">
            <w:pPr>
              <w:pStyle w:val="Tabletext"/>
              <w:ind w:left="0" w:right="0"/>
              <w:rPr>
                <w:b/>
              </w:rPr>
            </w:pPr>
            <w:r w:rsidRPr="009E35BB">
              <w:rPr>
                <w:b/>
              </w:rPr>
              <w:t>57 (51)</w:t>
            </w:r>
          </w:p>
        </w:tc>
      </w:tr>
      <w:tr w:rsidR="00222799" w:rsidRPr="00FD35ED" w14:paraId="138E813D" w14:textId="77777777" w:rsidTr="00D26203">
        <w:trPr>
          <w:trHeight w:val="20"/>
        </w:trPr>
        <w:tc>
          <w:tcPr>
            <w:tcW w:w="4536" w:type="dxa"/>
          </w:tcPr>
          <w:p w14:paraId="3803B580" w14:textId="22D0D347" w:rsidR="00222799" w:rsidRPr="009E35BB" w:rsidRDefault="00222799" w:rsidP="009E35BB">
            <w:pPr>
              <w:rPr>
                <w:szCs w:val="19"/>
              </w:rPr>
            </w:pPr>
            <w:r w:rsidRPr="009E35BB">
              <w:rPr>
                <w:sz w:val="19"/>
                <w:szCs w:val="19"/>
              </w:rPr>
              <w:t>Within 30 days of last dose of study treatment, n (%)</w:t>
            </w:r>
          </w:p>
        </w:tc>
        <w:tc>
          <w:tcPr>
            <w:tcW w:w="1691" w:type="dxa"/>
          </w:tcPr>
          <w:p w14:paraId="0156D029" w14:textId="77777777" w:rsidR="00222799" w:rsidRPr="00FD35ED" w:rsidRDefault="00222799" w:rsidP="00180CDD">
            <w:pPr>
              <w:pStyle w:val="Tabletext"/>
              <w:ind w:left="0" w:right="0"/>
            </w:pPr>
            <w:r w:rsidRPr="00FD35ED">
              <w:t>5 (2.0)</w:t>
            </w:r>
          </w:p>
        </w:tc>
        <w:tc>
          <w:tcPr>
            <w:tcW w:w="2268" w:type="dxa"/>
          </w:tcPr>
          <w:p w14:paraId="7A7C7481" w14:textId="77777777" w:rsidR="00222799" w:rsidRPr="00FD35ED" w:rsidRDefault="00222799" w:rsidP="00180CDD">
            <w:pPr>
              <w:pStyle w:val="Tabletext"/>
              <w:ind w:left="0" w:right="0"/>
            </w:pPr>
            <w:r w:rsidRPr="00FD35ED">
              <w:t>5 (4.5)</w:t>
            </w:r>
          </w:p>
        </w:tc>
      </w:tr>
      <w:tr w:rsidR="00222799" w:rsidRPr="00FD35ED" w14:paraId="7B5EEF18" w14:textId="77777777" w:rsidTr="00D26203">
        <w:trPr>
          <w:trHeight w:val="20"/>
        </w:trPr>
        <w:tc>
          <w:tcPr>
            <w:tcW w:w="4536" w:type="dxa"/>
          </w:tcPr>
          <w:p w14:paraId="5D00B04A" w14:textId="77777777" w:rsidR="00222799" w:rsidRPr="009E35BB" w:rsidRDefault="00222799" w:rsidP="009E35BB">
            <w:pPr>
              <w:rPr>
                <w:szCs w:val="19"/>
              </w:rPr>
            </w:pPr>
            <w:r w:rsidRPr="009E35BB">
              <w:rPr>
                <w:sz w:val="19"/>
                <w:szCs w:val="19"/>
              </w:rPr>
              <w:t>Due to disease progression, n (%)</w:t>
            </w:r>
          </w:p>
        </w:tc>
        <w:tc>
          <w:tcPr>
            <w:tcW w:w="1691" w:type="dxa"/>
          </w:tcPr>
          <w:p w14:paraId="7E77EA62" w14:textId="77777777" w:rsidR="00222799" w:rsidRPr="00FD35ED" w:rsidRDefault="00222799" w:rsidP="00180CDD">
            <w:pPr>
              <w:pStyle w:val="Tabletext"/>
              <w:ind w:left="0" w:right="0"/>
            </w:pPr>
            <w:r w:rsidRPr="00FD35ED">
              <w:t>80 (33)</w:t>
            </w:r>
          </w:p>
        </w:tc>
        <w:tc>
          <w:tcPr>
            <w:tcW w:w="2268" w:type="dxa"/>
          </w:tcPr>
          <w:p w14:paraId="5967BA32" w14:textId="77777777" w:rsidR="00222799" w:rsidRPr="00FD35ED" w:rsidRDefault="00222799" w:rsidP="00180CDD">
            <w:pPr>
              <w:pStyle w:val="Tabletext"/>
              <w:ind w:left="0" w:right="0"/>
            </w:pPr>
            <w:r w:rsidRPr="00FD35ED">
              <w:t>52 (47)</w:t>
            </w:r>
          </w:p>
        </w:tc>
      </w:tr>
      <w:tr w:rsidR="00222799" w:rsidRPr="00FD35ED" w14:paraId="00DDC964" w14:textId="77777777" w:rsidTr="00D26203">
        <w:trPr>
          <w:trHeight w:val="20"/>
        </w:trPr>
        <w:tc>
          <w:tcPr>
            <w:tcW w:w="4536" w:type="dxa"/>
          </w:tcPr>
          <w:p w14:paraId="0407713F" w14:textId="77777777" w:rsidR="00222799" w:rsidRPr="009E35BB" w:rsidRDefault="00222799" w:rsidP="009E35BB">
            <w:pPr>
              <w:rPr>
                <w:szCs w:val="19"/>
              </w:rPr>
            </w:pPr>
            <w:r w:rsidRPr="009E35BB">
              <w:rPr>
                <w:sz w:val="19"/>
                <w:szCs w:val="19"/>
              </w:rPr>
              <w:t>Due to adverse events, n (%)</w:t>
            </w:r>
          </w:p>
        </w:tc>
        <w:tc>
          <w:tcPr>
            <w:tcW w:w="1691" w:type="dxa"/>
          </w:tcPr>
          <w:p w14:paraId="2C902560" w14:textId="77777777" w:rsidR="00222799" w:rsidRPr="00FD35ED" w:rsidRDefault="00222799" w:rsidP="00180CDD">
            <w:pPr>
              <w:pStyle w:val="Tabletext"/>
              <w:ind w:left="0" w:right="0"/>
            </w:pPr>
            <w:r w:rsidRPr="00FD35ED">
              <w:t>2 (0.8)</w:t>
            </w:r>
          </w:p>
        </w:tc>
        <w:tc>
          <w:tcPr>
            <w:tcW w:w="2268" w:type="dxa"/>
          </w:tcPr>
          <w:p w14:paraId="30F6A326" w14:textId="77777777" w:rsidR="00222799" w:rsidRPr="00FD35ED" w:rsidRDefault="00222799" w:rsidP="00180CDD">
            <w:pPr>
              <w:pStyle w:val="Tabletext"/>
              <w:ind w:left="0" w:right="0"/>
            </w:pPr>
            <w:r w:rsidRPr="00FD35ED">
              <w:t>3 (2.7)</w:t>
            </w:r>
          </w:p>
        </w:tc>
      </w:tr>
      <w:tr w:rsidR="00222799" w:rsidRPr="00FD35ED" w14:paraId="04141DE8" w14:textId="77777777" w:rsidTr="00D26203">
        <w:trPr>
          <w:trHeight w:val="20"/>
        </w:trPr>
        <w:tc>
          <w:tcPr>
            <w:tcW w:w="4536" w:type="dxa"/>
          </w:tcPr>
          <w:p w14:paraId="5783B9F9" w14:textId="77777777" w:rsidR="00222799" w:rsidRPr="009E35BB" w:rsidRDefault="00222799" w:rsidP="009E35BB">
            <w:pPr>
              <w:rPr>
                <w:szCs w:val="19"/>
              </w:rPr>
            </w:pPr>
            <w:r w:rsidRPr="009E35BB">
              <w:rPr>
                <w:sz w:val="19"/>
                <w:szCs w:val="19"/>
              </w:rPr>
              <w:t>Unknown, n (%)</w:t>
            </w:r>
          </w:p>
        </w:tc>
        <w:tc>
          <w:tcPr>
            <w:tcW w:w="1691" w:type="dxa"/>
          </w:tcPr>
          <w:p w14:paraId="73826B95" w14:textId="77777777" w:rsidR="00222799" w:rsidRPr="00FD35ED" w:rsidRDefault="00222799" w:rsidP="00180CDD">
            <w:pPr>
              <w:pStyle w:val="Tabletext"/>
              <w:ind w:left="0" w:right="0"/>
            </w:pPr>
            <w:r w:rsidRPr="00FD35ED">
              <w:t>2 (0.8)</w:t>
            </w:r>
          </w:p>
        </w:tc>
        <w:tc>
          <w:tcPr>
            <w:tcW w:w="2268" w:type="dxa"/>
          </w:tcPr>
          <w:p w14:paraId="6D662E89" w14:textId="77777777" w:rsidR="00222799" w:rsidRPr="00FD35ED" w:rsidRDefault="00222799" w:rsidP="00180CDD">
            <w:pPr>
              <w:pStyle w:val="Tabletext"/>
              <w:ind w:left="0" w:right="0"/>
            </w:pPr>
            <w:r w:rsidRPr="00FD35ED">
              <w:t>1 (0.9)</w:t>
            </w:r>
          </w:p>
        </w:tc>
      </w:tr>
      <w:tr w:rsidR="00222799" w:rsidRPr="00FD35ED" w14:paraId="1BCE5442" w14:textId="77777777" w:rsidTr="00D26203">
        <w:trPr>
          <w:trHeight w:val="20"/>
        </w:trPr>
        <w:tc>
          <w:tcPr>
            <w:tcW w:w="4536" w:type="dxa"/>
          </w:tcPr>
          <w:p w14:paraId="12CC028F" w14:textId="2348B9CF" w:rsidR="00222799" w:rsidRPr="009E35BB" w:rsidRDefault="006D7C69" w:rsidP="009E35BB">
            <w:pPr>
              <w:rPr>
                <w:szCs w:val="19"/>
              </w:rPr>
            </w:pPr>
            <w:r w:rsidRPr="009E35BB">
              <w:rPr>
                <w:sz w:val="19"/>
                <w:szCs w:val="19"/>
              </w:rPr>
              <w:t>‘</w:t>
            </w:r>
            <w:r w:rsidR="00222799" w:rsidRPr="009E35BB">
              <w:rPr>
                <w:sz w:val="19"/>
                <w:szCs w:val="19"/>
              </w:rPr>
              <w:t>Other: subdural haematoma</w:t>
            </w:r>
            <w:r w:rsidRPr="009E35BB">
              <w:rPr>
                <w:sz w:val="19"/>
                <w:szCs w:val="19"/>
              </w:rPr>
              <w:t>’</w:t>
            </w:r>
            <w:r w:rsidR="00222799" w:rsidRPr="009E35BB">
              <w:rPr>
                <w:sz w:val="19"/>
                <w:szCs w:val="19"/>
              </w:rPr>
              <w:t>, n (%)</w:t>
            </w:r>
          </w:p>
        </w:tc>
        <w:tc>
          <w:tcPr>
            <w:tcW w:w="1691" w:type="dxa"/>
          </w:tcPr>
          <w:p w14:paraId="378AE10C" w14:textId="77777777" w:rsidR="00222799" w:rsidRPr="00FD35ED" w:rsidRDefault="00222799" w:rsidP="00180CDD">
            <w:pPr>
              <w:pStyle w:val="Tabletext"/>
              <w:ind w:left="0" w:right="0"/>
            </w:pPr>
            <w:r w:rsidRPr="00FD35ED">
              <w:t>0</w:t>
            </w:r>
          </w:p>
        </w:tc>
        <w:tc>
          <w:tcPr>
            <w:tcW w:w="2268" w:type="dxa"/>
          </w:tcPr>
          <w:p w14:paraId="65E84C91" w14:textId="77777777" w:rsidR="00222799" w:rsidRPr="00FD35ED" w:rsidRDefault="00222799" w:rsidP="00180CDD">
            <w:pPr>
              <w:pStyle w:val="Tabletext"/>
              <w:ind w:left="0" w:right="0"/>
            </w:pPr>
            <w:r w:rsidRPr="00FD35ED">
              <w:t>1 (0.9)</w:t>
            </w:r>
          </w:p>
        </w:tc>
      </w:tr>
    </w:tbl>
    <w:p w14:paraId="55832BEF" w14:textId="0A3E174E" w:rsidR="00222799" w:rsidRPr="00875041" w:rsidRDefault="00D26203" w:rsidP="00875041">
      <w:pPr>
        <w:pStyle w:val="TableDescription"/>
      </w:pPr>
      <w:r w:rsidRPr="00875041">
        <w:t xml:space="preserve">Abbreviation: </w:t>
      </w:r>
      <w:r w:rsidR="00180CDD" w:rsidRPr="00875041">
        <w:t>n = number of subjects in group.</w:t>
      </w:r>
    </w:p>
    <w:p w14:paraId="0B10C4E2" w14:textId="645C7B26" w:rsidR="001603A6" w:rsidRPr="00875041" w:rsidRDefault="001603A6" w:rsidP="00875041">
      <w:pPr>
        <w:pStyle w:val="TableDescription"/>
      </w:pPr>
      <w:proofErr w:type="spellStart"/>
      <w:proofErr w:type="gramStart"/>
      <w:r w:rsidRPr="00875041">
        <w:t>a</w:t>
      </w:r>
      <w:proofErr w:type="spellEnd"/>
      <w:proofErr w:type="gramEnd"/>
      <w:r w:rsidRPr="00875041">
        <w:t> Investigator’s choice of treatment = pembrolizumab, ipilimumab, or dacarbazine.</w:t>
      </w:r>
    </w:p>
    <w:p w14:paraId="2439665D" w14:textId="77777777" w:rsidR="00222799" w:rsidRPr="00FD35ED" w:rsidRDefault="00222799" w:rsidP="00985193">
      <w:pPr>
        <w:pStyle w:val="Heading5"/>
      </w:pPr>
      <w:r w:rsidRPr="00FD35ED">
        <w:t>Dose modifications and permanent discontinuations</w:t>
      </w:r>
    </w:p>
    <w:p w14:paraId="4918BEE6" w14:textId="16837F07" w:rsidR="00222799" w:rsidRPr="00FD35ED" w:rsidRDefault="00222799" w:rsidP="00985193">
      <w:r w:rsidRPr="00FD35ED">
        <w:t xml:space="preserve">Dose modifications and permanent discontinuations for the safety analysis population at the primary </w:t>
      </w:r>
      <w:r w:rsidR="001C7332" w:rsidRPr="00FD35ED">
        <w:t>data cut-off</w:t>
      </w:r>
      <w:r w:rsidRPr="00FD35ED">
        <w:t xml:space="preserve"> for the </w:t>
      </w:r>
      <w:r w:rsidR="005A6EF3" w:rsidRPr="005A6EF3">
        <w:t>clinical study report</w:t>
      </w:r>
      <w:r w:rsidRPr="00FD35ED">
        <w:t xml:space="preserve"> (13 Oct</w:t>
      </w:r>
      <w:r w:rsidR="00117C80" w:rsidRPr="00FD35ED">
        <w:t>ober</w:t>
      </w:r>
      <w:r w:rsidRPr="00FD35ED">
        <w:t xml:space="preserve"> 2020) are summarised in </w:t>
      </w:r>
      <w:r w:rsidRPr="00FD35ED">
        <w:fldChar w:fldCharType="begin"/>
      </w:r>
      <w:r w:rsidRPr="00FD35ED">
        <w:instrText xml:space="preserve"> REF _Ref96438341 \h </w:instrText>
      </w:r>
      <w:r w:rsidR="00985193" w:rsidRPr="00FD35ED">
        <w:instrText xml:space="preserve"> \* MERGEFORMAT </w:instrText>
      </w:r>
      <w:r w:rsidRPr="00FD35ED">
        <w:fldChar w:fldCharType="separate"/>
      </w:r>
      <w:r w:rsidR="00301C3E" w:rsidRPr="00875041">
        <w:t xml:space="preserve">Table </w:t>
      </w:r>
      <w:r w:rsidR="00301C3E">
        <w:t>8</w:t>
      </w:r>
      <w:r w:rsidRPr="00FD35ED">
        <w:fldChar w:fldCharType="end"/>
      </w:r>
      <w:r w:rsidR="00117C80" w:rsidRPr="00FD35ED">
        <w:t xml:space="preserve"> below</w:t>
      </w:r>
      <w:r w:rsidRPr="00FD35ED">
        <w:t>.</w:t>
      </w:r>
    </w:p>
    <w:p w14:paraId="55605179" w14:textId="63F956D4" w:rsidR="00222799" w:rsidRPr="00FD35ED" w:rsidRDefault="00222799" w:rsidP="00985193">
      <w:r w:rsidRPr="00FD35ED">
        <w:t>Adverse events</w:t>
      </w:r>
      <w:r w:rsidR="00117C80" w:rsidRPr="00FD35ED">
        <w:t xml:space="preserve"> (AEs)</w:t>
      </w:r>
      <w:r w:rsidRPr="00FD35ED">
        <w:t xml:space="preserve"> for which </w:t>
      </w:r>
      <w:proofErr w:type="spellStart"/>
      <w:r w:rsidRPr="00FD35ED">
        <w:t>tebentafusp</w:t>
      </w:r>
      <w:proofErr w:type="spellEnd"/>
      <w:r w:rsidRPr="00FD35ED">
        <w:t xml:space="preserve"> causality could not be excluded led to permanent discontinuation in 3.3% of patients. These were events of anaphylactic reaction, brain oedema, cytokine release syndrome, fatigue, hepatotoxicity, hypotension, and nausea (one patient each).</w:t>
      </w:r>
    </w:p>
    <w:p w14:paraId="6B227994" w14:textId="4BE68E10" w:rsidR="00222799" w:rsidRPr="00FD35ED" w:rsidRDefault="00222799" w:rsidP="00985193">
      <w:r w:rsidRPr="00FD35ED">
        <w:t xml:space="preserve">Adverse events leading to dose interruption occurred in 25% of </w:t>
      </w:r>
      <w:proofErr w:type="spellStart"/>
      <w:r w:rsidRPr="00FD35ED">
        <w:t>tebentafusp</w:t>
      </w:r>
      <w:proofErr w:type="spellEnd"/>
      <w:r w:rsidR="00117C80" w:rsidRPr="00FD35ED">
        <w:t xml:space="preserve"> </w:t>
      </w:r>
      <w:r w:rsidRPr="00FD35ED">
        <w:t>treated patients. Most commonly (≥</w:t>
      </w:r>
      <w:r w:rsidR="006D7C69" w:rsidRPr="00FD35ED">
        <w:t xml:space="preserve"> </w:t>
      </w:r>
      <w:r w:rsidRPr="00FD35ED">
        <w:t>2% of patients) these were fatigue (3.7%), lipase increased (2.9%), pyrexia (2.4%), alanine aminotransferase increase (2%) or aspartate aminotransferase increase (2%).</w:t>
      </w:r>
    </w:p>
    <w:p w14:paraId="249F0ED0" w14:textId="024F76A1" w:rsidR="00222799" w:rsidRDefault="00222799" w:rsidP="00985193">
      <w:r w:rsidRPr="00FD35ED">
        <w:t xml:space="preserve">Adverse events leading to dose reduction occurred in 5% of patients who received </w:t>
      </w:r>
      <w:proofErr w:type="spellStart"/>
      <w:r w:rsidRPr="00FD35ED">
        <w:t>tebentafusp</w:t>
      </w:r>
      <w:proofErr w:type="spellEnd"/>
      <w:r w:rsidRPr="00FD35ED">
        <w:t>. Most commonly (≥</w:t>
      </w:r>
      <w:r w:rsidR="006D7C69" w:rsidRPr="00FD35ED">
        <w:t xml:space="preserve"> </w:t>
      </w:r>
      <w:r w:rsidRPr="00FD35ED">
        <w:t>2% of patients) these were cytokine release syndrome (2.4%) or rashes (2%).</w:t>
      </w:r>
    </w:p>
    <w:p w14:paraId="6B8C58C3" w14:textId="0F519A46" w:rsidR="00F10F6D" w:rsidRPr="00FD35ED" w:rsidRDefault="00F10F6D" w:rsidP="00985193">
      <w:r>
        <w:br w:type="page"/>
      </w:r>
    </w:p>
    <w:p w14:paraId="050818B5" w14:textId="3475BD09" w:rsidR="00222799" w:rsidRPr="00875041" w:rsidRDefault="00222799" w:rsidP="00875041">
      <w:pPr>
        <w:pStyle w:val="TableTitle"/>
      </w:pPr>
      <w:bookmarkStart w:id="87" w:name="_Ref96438341"/>
      <w:r w:rsidRPr="00875041">
        <w:lastRenderedPageBreak/>
        <w:t xml:space="preserve">Table </w:t>
      </w:r>
      <w:fldSimple w:instr=" SEQ Table \* ARABIC ">
        <w:r w:rsidR="00301C3E">
          <w:rPr>
            <w:noProof/>
          </w:rPr>
          <w:t>8</w:t>
        </w:r>
      </w:fldSimple>
      <w:bookmarkEnd w:id="87"/>
      <w:r w:rsidR="00AE1769" w:rsidRPr="00875041">
        <w:t>:</w:t>
      </w:r>
      <w:r w:rsidRPr="00875041">
        <w:t xml:space="preserve"> </w:t>
      </w:r>
      <w:r w:rsidR="00AE1769" w:rsidRPr="00875041">
        <w:t xml:space="preserve">Study 202 </w:t>
      </w:r>
      <w:r w:rsidRPr="00875041">
        <w:t xml:space="preserve">Dose modifications and permanent discontinuations according to the </w:t>
      </w:r>
      <w:r w:rsidR="00AE1769" w:rsidRPr="00875041">
        <w:t>clinical study report</w:t>
      </w:r>
      <w:r w:rsidRPr="00875041">
        <w:t xml:space="preserve"> (safety analysis </w:t>
      </w:r>
      <w:r w:rsidR="00D26203" w:rsidRPr="00875041">
        <w:t>population</w:t>
      </w:r>
      <w:r w:rsidR="00180CDD" w:rsidRPr="00875041">
        <w:t xml:space="preserve">; </w:t>
      </w:r>
      <w:r w:rsidR="001C7332" w:rsidRPr="00875041">
        <w:t>data cut-off</w:t>
      </w:r>
      <w:r w:rsidRPr="00875041">
        <w:t xml:space="preserve"> </w:t>
      </w:r>
      <w:r w:rsidR="00AE1769" w:rsidRPr="00875041">
        <w:t>date:</w:t>
      </w:r>
      <w:r w:rsidR="000B0ECB" w:rsidRPr="00875041">
        <w:t> </w:t>
      </w:r>
      <w:r w:rsidRPr="00875041">
        <w:t>13</w:t>
      </w:r>
      <w:r w:rsidR="00F10F6D" w:rsidRPr="00875041">
        <w:t> </w:t>
      </w:r>
      <w:r w:rsidRPr="00875041">
        <w:t>Oct</w:t>
      </w:r>
      <w:r w:rsidR="00AE1769" w:rsidRPr="00875041">
        <w:t>obe</w:t>
      </w:r>
      <w:r w:rsidR="000B0ECB" w:rsidRPr="00875041">
        <w:t>r </w:t>
      </w:r>
      <w:r w:rsidRPr="00875041">
        <w:t>2020</w:t>
      </w:r>
      <w:r w:rsidR="001C7332" w:rsidRPr="00875041">
        <w:t>)</w:t>
      </w:r>
    </w:p>
    <w:tbl>
      <w:tblPr>
        <w:tblStyle w:val="TableTGAblue"/>
        <w:tblW w:w="8354" w:type="dxa"/>
        <w:tblLayout w:type="fixed"/>
        <w:tblLook w:val="01E0" w:firstRow="1" w:lastRow="1" w:firstColumn="1" w:lastColumn="1" w:noHBand="0" w:noVBand="0"/>
      </w:tblPr>
      <w:tblGrid>
        <w:gridCol w:w="1691"/>
        <w:gridCol w:w="3119"/>
        <w:gridCol w:w="1701"/>
        <w:gridCol w:w="1843"/>
      </w:tblGrid>
      <w:tr w:rsidR="00222799" w:rsidRPr="00FD35ED" w14:paraId="129D8EBB" w14:textId="77777777" w:rsidTr="00D26203">
        <w:trPr>
          <w:cnfStyle w:val="100000000000" w:firstRow="1" w:lastRow="0" w:firstColumn="0" w:lastColumn="0" w:oddVBand="0" w:evenVBand="0" w:oddHBand="0" w:evenHBand="0" w:firstRowFirstColumn="0" w:firstRowLastColumn="0" w:lastRowFirstColumn="0" w:lastRowLastColumn="0"/>
          <w:trHeight w:val="454"/>
        </w:trPr>
        <w:tc>
          <w:tcPr>
            <w:tcW w:w="4810" w:type="dxa"/>
            <w:gridSpan w:val="2"/>
          </w:tcPr>
          <w:p w14:paraId="22A894BF" w14:textId="77777777" w:rsidR="00222799" w:rsidRPr="00FD35ED" w:rsidRDefault="00222799" w:rsidP="00180CDD">
            <w:pPr>
              <w:pStyle w:val="Tabletext"/>
              <w:ind w:left="0" w:right="0"/>
            </w:pPr>
          </w:p>
        </w:tc>
        <w:tc>
          <w:tcPr>
            <w:tcW w:w="1701" w:type="dxa"/>
          </w:tcPr>
          <w:p w14:paraId="62B67ED2" w14:textId="77777777" w:rsidR="00F97E3A" w:rsidRPr="00FD35ED" w:rsidRDefault="00222799" w:rsidP="00180CDD">
            <w:pPr>
              <w:pStyle w:val="Tabletext"/>
              <w:ind w:left="0" w:right="0"/>
            </w:pPr>
            <w:proofErr w:type="spellStart"/>
            <w:r w:rsidRPr="00FD35ED">
              <w:t>Tebentafusp</w:t>
            </w:r>
            <w:proofErr w:type="spellEnd"/>
          </w:p>
          <w:p w14:paraId="385F37AF" w14:textId="4F2BE9D5" w:rsidR="00222799" w:rsidRPr="00FD35ED" w:rsidRDefault="00222799" w:rsidP="00180CDD">
            <w:pPr>
              <w:pStyle w:val="Tabletext"/>
              <w:ind w:left="0" w:right="0"/>
            </w:pPr>
            <w:r w:rsidRPr="00FD35ED">
              <w:t>(n</w:t>
            </w:r>
            <w:r w:rsidR="00F97E3A" w:rsidRPr="00FD35ED">
              <w:t xml:space="preserve"> </w:t>
            </w:r>
            <w:r w:rsidRPr="00FD35ED">
              <w:t>=</w:t>
            </w:r>
            <w:r w:rsidR="00F97E3A" w:rsidRPr="00FD35ED">
              <w:t xml:space="preserve"> </w:t>
            </w:r>
            <w:r w:rsidRPr="00FD35ED">
              <w:t>245)</w:t>
            </w:r>
          </w:p>
        </w:tc>
        <w:tc>
          <w:tcPr>
            <w:tcW w:w="1843" w:type="dxa"/>
          </w:tcPr>
          <w:p w14:paraId="37E7F550" w14:textId="7A0687F4" w:rsidR="00222799" w:rsidRPr="00362C15" w:rsidRDefault="00431E29" w:rsidP="00180CDD">
            <w:pPr>
              <w:pStyle w:val="Tabletext"/>
              <w:ind w:left="0" w:right="0"/>
              <w:rPr>
                <w:vertAlign w:val="superscript"/>
              </w:rPr>
            </w:pPr>
            <w:r w:rsidRPr="00FD35ED">
              <w:t>Investigator’s choice</w:t>
            </w:r>
            <w:r w:rsidR="00F10F6D">
              <w:t xml:space="preserve"> of treatment arm</w:t>
            </w:r>
            <w:r w:rsidR="00F10F6D">
              <w:rPr>
                <w:vertAlign w:val="superscript"/>
              </w:rPr>
              <w:t>*</w:t>
            </w:r>
          </w:p>
          <w:p w14:paraId="58BAD581" w14:textId="50E50AC6" w:rsidR="00222799" w:rsidRPr="00FD35ED" w:rsidRDefault="00222799" w:rsidP="00180CDD">
            <w:pPr>
              <w:pStyle w:val="Tabletext"/>
              <w:ind w:left="0" w:right="0"/>
            </w:pPr>
            <w:r w:rsidRPr="00FD35ED">
              <w:t>(n</w:t>
            </w:r>
            <w:r w:rsidR="00F97E3A" w:rsidRPr="00FD35ED">
              <w:t xml:space="preserve"> </w:t>
            </w:r>
            <w:r w:rsidRPr="00FD35ED">
              <w:t>=</w:t>
            </w:r>
            <w:r w:rsidR="00F97E3A" w:rsidRPr="00FD35ED">
              <w:t xml:space="preserve"> </w:t>
            </w:r>
            <w:r w:rsidRPr="00FD35ED">
              <w:t>111)</w:t>
            </w:r>
          </w:p>
        </w:tc>
      </w:tr>
      <w:tr w:rsidR="00222799" w:rsidRPr="00FD35ED" w14:paraId="685AE49F" w14:textId="77777777" w:rsidTr="00D26203">
        <w:trPr>
          <w:trHeight w:val="20"/>
        </w:trPr>
        <w:tc>
          <w:tcPr>
            <w:tcW w:w="8354" w:type="dxa"/>
            <w:gridSpan w:val="4"/>
          </w:tcPr>
          <w:p w14:paraId="41795FBE" w14:textId="77777777" w:rsidR="00222799" w:rsidRPr="00FD35ED" w:rsidRDefault="00222799" w:rsidP="00180CDD">
            <w:pPr>
              <w:pStyle w:val="Tabletext"/>
              <w:ind w:left="0" w:right="0"/>
              <w:rPr>
                <w:b/>
              </w:rPr>
            </w:pPr>
            <w:r w:rsidRPr="00FD35ED">
              <w:rPr>
                <w:b/>
              </w:rPr>
              <w:t>Dose modifications</w:t>
            </w:r>
          </w:p>
        </w:tc>
      </w:tr>
      <w:tr w:rsidR="00222799" w:rsidRPr="00FD35ED" w14:paraId="5A6EA5D1" w14:textId="77777777" w:rsidTr="00D26203">
        <w:trPr>
          <w:trHeight w:val="20"/>
        </w:trPr>
        <w:tc>
          <w:tcPr>
            <w:tcW w:w="4810" w:type="dxa"/>
            <w:gridSpan w:val="2"/>
          </w:tcPr>
          <w:p w14:paraId="0201977C" w14:textId="77777777" w:rsidR="00222799" w:rsidRPr="00FD35ED" w:rsidRDefault="00222799" w:rsidP="00180CDD">
            <w:pPr>
              <w:pStyle w:val="Tabletext"/>
              <w:ind w:left="0" w:right="0"/>
            </w:pPr>
            <w:r w:rsidRPr="00362C15">
              <w:rPr>
                <w:b/>
              </w:rPr>
              <w:t>Patients with least one dose interruption</w:t>
            </w:r>
            <w:r w:rsidRPr="00FD35ED">
              <w:t>, n (%)</w:t>
            </w:r>
          </w:p>
        </w:tc>
        <w:tc>
          <w:tcPr>
            <w:tcW w:w="1701" w:type="dxa"/>
          </w:tcPr>
          <w:p w14:paraId="121D1CDB" w14:textId="77777777" w:rsidR="00222799" w:rsidRPr="00FD35ED" w:rsidRDefault="00222799" w:rsidP="00180CDD">
            <w:pPr>
              <w:pStyle w:val="Tabletext"/>
              <w:ind w:left="0" w:right="0"/>
            </w:pPr>
            <w:r w:rsidRPr="00FD35ED">
              <w:t>104 (42)</w:t>
            </w:r>
          </w:p>
        </w:tc>
        <w:tc>
          <w:tcPr>
            <w:tcW w:w="1843" w:type="dxa"/>
          </w:tcPr>
          <w:p w14:paraId="01E8C8DE" w14:textId="77777777" w:rsidR="00222799" w:rsidRPr="00FD35ED" w:rsidRDefault="00222799" w:rsidP="00180CDD">
            <w:pPr>
              <w:pStyle w:val="Tabletext"/>
              <w:ind w:left="0" w:right="0"/>
            </w:pPr>
            <w:r w:rsidRPr="00FD35ED">
              <w:t>15 (14)</w:t>
            </w:r>
          </w:p>
        </w:tc>
      </w:tr>
      <w:tr w:rsidR="00222799" w:rsidRPr="00FD35ED" w14:paraId="3BFDBDEB" w14:textId="77777777" w:rsidTr="00D26203">
        <w:trPr>
          <w:trHeight w:val="20"/>
        </w:trPr>
        <w:tc>
          <w:tcPr>
            <w:tcW w:w="1691" w:type="dxa"/>
            <w:vMerge w:val="restart"/>
          </w:tcPr>
          <w:p w14:paraId="61DC3378" w14:textId="77777777" w:rsidR="00222799" w:rsidRPr="00FD35ED" w:rsidRDefault="00222799" w:rsidP="00180CDD">
            <w:pPr>
              <w:pStyle w:val="Tabletext"/>
              <w:ind w:left="0" w:right="0"/>
              <w:rPr>
                <w:i/>
                <w:iCs/>
              </w:rPr>
            </w:pPr>
            <w:r w:rsidRPr="00362C15">
              <w:rPr>
                <w:iCs/>
              </w:rPr>
              <w:t>Reason for interruption</w:t>
            </w:r>
            <w:r w:rsidRPr="00FD35ED">
              <w:rPr>
                <w:i/>
                <w:iCs/>
              </w:rPr>
              <w:t xml:space="preserve">, </w:t>
            </w:r>
            <w:r w:rsidRPr="00362C15">
              <w:rPr>
                <w:iCs/>
              </w:rPr>
              <w:t>n</w:t>
            </w:r>
          </w:p>
        </w:tc>
        <w:tc>
          <w:tcPr>
            <w:tcW w:w="3119" w:type="dxa"/>
          </w:tcPr>
          <w:p w14:paraId="57AF6CB1" w14:textId="02335879" w:rsidR="00222799" w:rsidRPr="00362C15" w:rsidRDefault="006D7C69" w:rsidP="00180CDD">
            <w:pPr>
              <w:pStyle w:val="Tabletext"/>
              <w:ind w:left="0" w:right="0"/>
              <w:rPr>
                <w:iCs/>
              </w:rPr>
            </w:pPr>
            <w:r w:rsidRPr="00362C15">
              <w:rPr>
                <w:iCs/>
              </w:rPr>
              <w:t>‘</w:t>
            </w:r>
            <w:r w:rsidR="00222799" w:rsidRPr="00362C15">
              <w:rPr>
                <w:iCs/>
              </w:rPr>
              <w:t>Missed visit,</w:t>
            </w:r>
            <w:r w:rsidRPr="00362C15">
              <w:rPr>
                <w:iCs/>
              </w:rPr>
              <w:t>’</w:t>
            </w:r>
            <w:r w:rsidR="00222799" w:rsidRPr="00362C15">
              <w:rPr>
                <w:iCs/>
              </w:rPr>
              <w:t xml:space="preserve"> </w:t>
            </w:r>
            <w:r w:rsidRPr="00362C15">
              <w:rPr>
                <w:iCs/>
              </w:rPr>
              <w:t>‘</w:t>
            </w:r>
            <w:r w:rsidR="00222799" w:rsidRPr="00362C15">
              <w:rPr>
                <w:iCs/>
              </w:rPr>
              <w:t>delayed administration</w:t>
            </w:r>
            <w:r w:rsidRPr="00362C15">
              <w:rPr>
                <w:iCs/>
              </w:rPr>
              <w:t>’</w:t>
            </w:r>
            <w:r w:rsidR="00222799" w:rsidRPr="00362C15">
              <w:rPr>
                <w:iCs/>
              </w:rPr>
              <w:t xml:space="preserve"> or </w:t>
            </w:r>
            <w:r w:rsidRPr="00362C15">
              <w:rPr>
                <w:iCs/>
              </w:rPr>
              <w:t>‘</w:t>
            </w:r>
            <w:r w:rsidR="00222799" w:rsidRPr="00362C15">
              <w:rPr>
                <w:iCs/>
              </w:rPr>
              <w:t>scheduled visit not done</w:t>
            </w:r>
            <w:r w:rsidRPr="00362C15">
              <w:rPr>
                <w:iCs/>
              </w:rPr>
              <w:t>’</w:t>
            </w:r>
          </w:p>
        </w:tc>
        <w:tc>
          <w:tcPr>
            <w:tcW w:w="1701" w:type="dxa"/>
          </w:tcPr>
          <w:p w14:paraId="7FE9A3EE" w14:textId="77777777" w:rsidR="00222799" w:rsidRPr="00362C15" w:rsidRDefault="00222799" w:rsidP="00180CDD">
            <w:pPr>
              <w:pStyle w:val="Tabletext"/>
              <w:ind w:left="0" w:right="0"/>
              <w:rPr>
                <w:iCs/>
              </w:rPr>
            </w:pPr>
            <w:r w:rsidRPr="00362C15">
              <w:rPr>
                <w:iCs/>
              </w:rPr>
              <w:t>135 (61% of interruptions)</w:t>
            </w:r>
          </w:p>
        </w:tc>
        <w:tc>
          <w:tcPr>
            <w:tcW w:w="1843" w:type="dxa"/>
          </w:tcPr>
          <w:p w14:paraId="4142D54D" w14:textId="77777777" w:rsidR="00222799" w:rsidRPr="00362C15" w:rsidRDefault="00222799" w:rsidP="00180CDD">
            <w:pPr>
              <w:pStyle w:val="Tabletext"/>
              <w:ind w:left="0" w:right="0"/>
              <w:rPr>
                <w:iCs/>
              </w:rPr>
            </w:pPr>
            <w:r w:rsidRPr="00362C15">
              <w:rPr>
                <w:iCs/>
              </w:rPr>
              <w:t>3 (20% of interruptions)</w:t>
            </w:r>
          </w:p>
        </w:tc>
      </w:tr>
      <w:tr w:rsidR="00222799" w:rsidRPr="00FD35ED" w14:paraId="5473DE2C" w14:textId="77777777" w:rsidTr="00D26203">
        <w:trPr>
          <w:trHeight w:val="20"/>
        </w:trPr>
        <w:tc>
          <w:tcPr>
            <w:tcW w:w="1691" w:type="dxa"/>
            <w:vMerge/>
          </w:tcPr>
          <w:p w14:paraId="106BBD23" w14:textId="77777777" w:rsidR="00222799" w:rsidRPr="00FD35ED" w:rsidRDefault="00222799" w:rsidP="00180CDD">
            <w:pPr>
              <w:pStyle w:val="Tabletext"/>
              <w:ind w:left="0" w:right="0"/>
              <w:rPr>
                <w:i/>
                <w:iCs/>
              </w:rPr>
            </w:pPr>
          </w:p>
        </w:tc>
        <w:tc>
          <w:tcPr>
            <w:tcW w:w="3119" w:type="dxa"/>
          </w:tcPr>
          <w:p w14:paraId="10439640" w14:textId="0D9F6404" w:rsidR="00222799" w:rsidRPr="00362C15" w:rsidRDefault="006D7C69" w:rsidP="00180CDD">
            <w:pPr>
              <w:pStyle w:val="Tabletext"/>
              <w:ind w:left="0" w:right="0"/>
              <w:rPr>
                <w:iCs/>
              </w:rPr>
            </w:pPr>
            <w:r w:rsidRPr="00362C15">
              <w:rPr>
                <w:iCs/>
              </w:rPr>
              <w:t>‘</w:t>
            </w:r>
            <w:r w:rsidR="00222799" w:rsidRPr="00362C15">
              <w:rPr>
                <w:iCs/>
              </w:rPr>
              <w:t>Adverse event</w:t>
            </w:r>
            <w:r w:rsidRPr="00362C15">
              <w:rPr>
                <w:iCs/>
              </w:rPr>
              <w:t>’</w:t>
            </w:r>
          </w:p>
        </w:tc>
        <w:tc>
          <w:tcPr>
            <w:tcW w:w="1701" w:type="dxa"/>
          </w:tcPr>
          <w:p w14:paraId="0BE7C103" w14:textId="77777777" w:rsidR="00222799" w:rsidRPr="00362C15" w:rsidRDefault="00222799" w:rsidP="00180CDD">
            <w:pPr>
              <w:pStyle w:val="Tabletext"/>
              <w:ind w:left="0" w:right="0"/>
              <w:rPr>
                <w:iCs/>
              </w:rPr>
            </w:pPr>
            <w:r w:rsidRPr="00362C15">
              <w:rPr>
                <w:iCs/>
              </w:rPr>
              <w:t>50 (23% of interruptions)</w:t>
            </w:r>
          </w:p>
        </w:tc>
        <w:tc>
          <w:tcPr>
            <w:tcW w:w="1843" w:type="dxa"/>
          </w:tcPr>
          <w:p w14:paraId="54E44690" w14:textId="77777777" w:rsidR="00222799" w:rsidRPr="00362C15" w:rsidRDefault="00222799" w:rsidP="00180CDD">
            <w:pPr>
              <w:pStyle w:val="Tabletext"/>
              <w:ind w:left="0" w:right="0"/>
              <w:rPr>
                <w:iCs/>
              </w:rPr>
            </w:pPr>
            <w:r w:rsidRPr="00362C15">
              <w:rPr>
                <w:iCs/>
              </w:rPr>
              <w:t>12 (80% of interruptions)</w:t>
            </w:r>
          </w:p>
        </w:tc>
      </w:tr>
      <w:tr w:rsidR="00222799" w:rsidRPr="00FD35ED" w14:paraId="4E967795" w14:textId="77777777" w:rsidTr="00D26203">
        <w:trPr>
          <w:trHeight w:val="20"/>
        </w:trPr>
        <w:tc>
          <w:tcPr>
            <w:tcW w:w="1691" w:type="dxa"/>
            <w:vMerge/>
          </w:tcPr>
          <w:p w14:paraId="7C1F3258" w14:textId="77777777" w:rsidR="00222799" w:rsidRPr="00FD35ED" w:rsidRDefault="00222799" w:rsidP="00180CDD">
            <w:pPr>
              <w:pStyle w:val="Tabletext"/>
              <w:ind w:left="0" w:right="0"/>
              <w:rPr>
                <w:i/>
                <w:iCs/>
              </w:rPr>
            </w:pPr>
          </w:p>
        </w:tc>
        <w:tc>
          <w:tcPr>
            <w:tcW w:w="3119" w:type="dxa"/>
          </w:tcPr>
          <w:p w14:paraId="53DB5D8B" w14:textId="508DC9EF" w:rsidR="00222799" w:rsidRPr="00362C15" w:rsidRDefault="006D7C69" w:rsidP="00180CDD">
            <w:pPr>
              <w:pStyle w:val="Tabletext"/>
              <w:ind w:left="0" w:right="0"/>
              <w:rPr>
                <w:iCs/>
              </w:rPr>
            </w:pPr>
            <w:r w:rsidRPr="00362C15">
              <w:rPr>
                <w:iCs/>
              </w:rPr>
              <w:t>‘</w:t>
            </w:r>
            <w:r w:rsidR="00222799" w:rsidRPr="00362C15">
              <w:rPr>
                <w:iCs/>
              </w:rPr>
              <w:t>Other,</w:t>
            </w:r>
            <w:r w:rsidRPr="00362C15">
              <w:rPr>
                <w:iCs/>
              </w:rPr>
              <w:t>’</w:t>
            </w:r>
            <w:r w:rsidR="00222799" w:rsidRPr="00362C15">
              <w:rPr>
                <w:iCs/>
              </w:rPr>
              <w:t xml:space="preserve"> </w:t>
            </w:r>
            <w:r w:rsidRPr="00362C15">
              <w:rPr>
                <w:iCs/>
              </w:rPr>
              <w:t>‘</w:t>
            </w:r>
            <w:r w:rsidR="00222799" w:rsidRPr="00362C15">
              <w:rPr>
                <w:iCs/>
              </w:rPr>
              <w:t>unknown</w:t>
            </w:r>
            <w:r w:rsidRPr="00362C15">
              <w:rPr>
                <w:iCs/>
              </w:rPr>
              <w:t>’</w:t>
            </w:r>
            <w:r w:rsidR="00222799" w:rsidRPr="00362C15">
              <w:rPr>
                <w:iCs/>
              </w:rPr>
              <w:t xml:space="preserve"> or </w:t>
            </w:r>
            <w:r w:rsidRPr="00362C15">
              <w:rPr>
                <w:iCs/>
              </w:rPr>
              <w:t>‘</w:t>
            </w:r>
            <w:r w:rsidR="00222799" w:rsidRPr="00362C15">
              <w:rPr>
                <w:iCs/>
              </w:rPr>
              <w:t>missing</w:t>
            </w:r>
            <w:r w:rsidRPr="00362C15">
              <w:rPr>
                <w:iCs/>
              </w:rPr>
              <w:t>’</w:t>
            </w:r>
          </w:p>
        </w:tc>
        <w:tc>
          <w:tcPr>
            <w:tcW w:w="1701" w:type="dxa"/>
          </w:tcPr>
          <w:p w14:paraId="21A075D7" w14:textId="77777777" w:rsidR="00222799" w:rsidRPr="00362C15" w:rsidRDefault="00222799" w:rsidP="00180CDD">
            <w:pPr>
              <w:pStyle w:val="Tabletext"/>
              <w:ind w:left="0" w:right="0"/>
              <w:rPr>
                <w:iCs/>
              </w:rPr>
            </w:pPr>
            <w:r w:rsidRPr="00362C15">
              <w:rPr>
                <w:iCs/>
              </w:rPr>
              <w:t>37 (17% of interruptions)</w:t>
            </w:r>
          </w:p>
        </w:tc>
        <w:tc>
          <w:tcPr>
            <w:tcW w:w="1843" w:type="dxa"/>
          </w:tcPr>
          <w:p w14:paraId="23D57281" w14:textId="77777777" w:rsidR="00222799" w:rsidRPr="00362C15" w:rsidRDefault="00222799" w:rsidP="00180CDD">
            <w:pPr>
              <w:pStyle w:val="Tabletext"/>
              <w:ind w:left="0" w:right="0"/>
              <w:rPr>
                <w:iCs/>
              </w:rPr>
            </w:pPr>
            <w:r w:rsidRPr="00362C15">
              <w:rPr>
                <w:iCs/>
              </w:rPr>
              <w:t>0</w:t>
            </w:r>
          </w:p>
        </w:tc>
      </w:tr>
      <w:tr w:rsidR="00222799" w:rsidRPr="00FD35ED" w14:paraId="3F866C6D" w14:textId="77777777" w:rsidTr="00D26203">
        <w:trPr>
          <w:trHeight w:val="20"/>
        </w:trPr>
        <w:tc>
          <w:tcPr>
            <w:tcW w:w="4810" w:type="dxa"/>
            <w:gridSpan w:val="2"/>
          </w:tcPr>
          <w:p w14:paraId="7D767C39" w14:textId="77777777" w:rsidR="00222799" w:rsidRPr="00FD35ED" w:rsidRDefault="00222799" w:rsidP="00180CDD">
            <w:pPr>
              <w:pStyle w:val="Tabletext"/>
              <w:ind w:left="0" w:right="0"/>
            </w:pPr>
            <w:r w:rsidRPr="00362C15">
              <w:rPr>
                <w:b/>
              </w:rPr>
              <w:t>Patients with at least one dose reduction</w:t>
            </w:r>
            <w:r w:rsidRPr="00FD35ED">
              <w:t>, n (%)</w:t>
            </w:r>
          </w:p>
        </w:tc>
        <w:tc>
          <w:tcPr>
            <w:tcW w:w="1701" w:type="dxa"/>
          </w:tcPr>
          <w:p w14:paraId="45888287" w14:textId="77777777" w:rsidR="00222799" w:rsidRPr="00FD35ED" w:rsidRDefault="00222799" w:rsidP="00180CDD">
            <w:pPr>
              <w:pStyle w:val="Tabletext"/>
              <w:ind w:left="0" w:right="0"/>
            </w:pPr>
            <w:r w:rsidRPr="00FD35ED">
              <w:t>18 (7)</w:t>
            </w:r>
          </w:p>
        </w:tc>
        <w:tc>
          <w:tcPr>
            <w:tcW w:w="1843" w:type="dxa"/>
          </w:tcPr>
          <w:p w14:paraId="21045D92" w14:textId="77777777" w:rsidR="00222799" w:rsidRPr="00FD35ED" w:rsidRDefault="00222799" w:rsidP="00180CDD">
            <w:pPr>
              <w:pStyle w:val="Tabletext"/>
              <w:ind w:left="0" w:right="0"/>
            </w:pPr>
            <w:r w:rsidRPr="00FD35ED">
              <w:t>2 (2)</w:t>
            </w:r>
          </w:p>
        </w:tc>
      </w:tr>
      <w:tr w:rsidR="00222799" w:rsidRPr="00FD35ED" w14:paraId="062E2DF9" w14:textId="77777777" w:rsidTr="00D26203">
        <w:trPr>
          <w:trHeight w:val="20"/>
        </w:trPr>
        <w:tc>
          <w:tcPr>
            <w:tcW w:w="4810" w:type="dxa"/>
            <w:gridSpan w:val="2"/>
          </w:tcPr>
          <w:p w14:paraId="22FA68E4" w14:textId="780C58BC" w:rsidR="00222799" w:rsidRPr="00362C15" w:rsidRDefault="00222799" w:rsidP="00180CDD">
            <w:pPr>
              <w:pStyle w:val="Tabletext"/>
              <w:ind w:left="0" w:right="0"/>
              <w:rPr>
                <w:iCs/>
              </w:rPr>
            </w:pPr>
            <w:r w:rsidRPr="00362C15">
              <w:rPr>
                <w:b/>
                <w:iCs/>
              </w:rPr>
              <w:t xml:space="preserve">More than </w:t>
            </w:r>
            <w:r w:rsidR="00F10F6D" w:rsidRPr="00362C15">
              <w:rPr>
                <w:b/>
                <w:iCs/>
              </w:rPr>
              <w:t>one</w:t>
            </w:r>
            <w:r w:rsidRPr="00362C15">
              <w:rPr>
                <w:b/>
                <w:iCs/>
              </w:rPr>
              <w:t xml:space="preserve"> dose reduction required,</w:t>
            </w:r>
            <w:r w:rsidRPr="00362C15">
              <w:rPr>
                <w:iCs/>
              </w:rPr>
              <w:t xml:space="preserve"> n (%)</w:t>
            </w:r>
          </w:p>
        </w:tc>
        <w:tc>
          <w:tcPr>
            <w:tcW w:w="1701" w:type="dxa"/>
          </w:tcPr>
          <w:p w14:paraId="7B96BDC1" w14:textId="77777777" w:rsidR="00222799" w:rsidRPr="00362C15" w:rsidRDefault="00222799" w:rsidP="00180CDD">
            <w:pPr>
              <w:pStyle w:val="Tabletext"/>
              <w:ind w:left="0" w:right="0"/>
              <w:rPr>
                <w:iCs/>
              </w:rPr>
            </w:pPr>
            <w:r w:rsidRPr="00362C15">
              <w:rPr>
                <w:iCs/>
              </w:rPr>
              <w:t>2 (0.8)</w:t>
            </w:r>
          </w:p>
        </w:tc>
        <w:tc>
          <w:tcPr>
            <w:tcW w:w="1843" w:type="dxa"/>
          </w:tcPr>
          <w:p w14:paraId="60FA8787" w14:textId="77777777" w:rsidR="00222799" w:rsidRPr="00362C15" w:rsidRDefault="00222799" w:rsidP="00180CDD">
            <w:pPr>
              <w:pStyle w:val="Tabletext"/>
              <w:ind w:left="0" w:right="0"/>
              <w:rPr>
                <w:iCs/>
              </w:rPr>
            </w:pPr>
            <w:r w:rsidRPr="00362C15">
              <w:rPr>
                <w:iCs/>
              </w:rPr>
              <w:t>1 (0.9)</w:t>
            </w:r>
          </w:p>
        </w:tc>
      </w:tr>
      <w:tr w:rsidR="00222799" w:rsidRPr="00FD35ED" w14:paraId="2E2E93A5" w14:textId="77777777" w:rsidTr="00D26203">
        <w:trPr>
          <w:trHeight w:val="20"/>
        </w:trPr>
        <w:tc>
          <w:tcPr>
            <w:tcW w:w="1691" w:type="dxa"/>
            <w:vMerge w:val="restart"/>
          </w:tcPr>
          <w:p w14:paraId="34A65A76" w14:textId="77777777" w:rsidR="00222799" w:rsidRPr="00F10F6D" w:rsidRDefault="00222799" w:rsidP="00180CDD">
            <w:pPr>
              <w:pStyle w:val="Tabletext"/>
              <w:ind w:left="0" w:right="0"/>
            </w:pPr>
            <w:r w:rsidRPr="00362C15">
              <w:rPr>
                <w:iCs/>
              </w:rPr>
              <w:t>Reason for dose reduction, n</w:t>
            </w:r>
          </w:p>
        </w:tc>
        <w:tc>
          <w:tcPr>
            <w:tcW w:w="3119" w:type="dxa"/>
          </w:tcPr>
          <w:p w14:paraId="6CE932C3" w14:textId="77777777" w:rsidR="00222799" w:rsidRPr="00F10F6D" w:rsidRDefault="00222799" w:rsidP="00180CDD">
            <w:pPr>
              <w:pStyle w:val="Tabletext"/>
              <w:ind w:left="0" w:right="0"/>
            </w:pPr>
            <w:r w:rsidRPr="00362C15">
              <w:rPr>
                <w:iCs/>
              </w:rPr>
              <w:t>Adverse event</w:t>
            </w:r>
          </w:p>
        </w:tc>
        <w:tc>
          <w:tcPr>
            <w:tcW w:w="1701" w:type="dxa"/>
          </w:tcPr>
          <w:p w14:paraId="494D5122" w14:textId="77777777" w:rsidR="00222799" w:rsidRPr="00362C15" w:rsidRDefault="00222799" w:rsidP="00180CDD">
            <w:pPr>
              <w:pStyle w:val="Tabletext"/>
              <w:ind w:left="0" w:right="0"/>
              <w:rPr>
                <w:iCs/>
              </w:rPr>
            </w:pPr>
            <w:r w:rsidRPr="00362C15">
              <w:rPr>
                <w:iCs/>
              </w:rPr>
              <w:t>85% of reductions</w:t>
            </w:r>
          </w:p>
        </w:tc>
        <w:tc>
          <w:tcPr>
            <w:tcW w:w="1843" w:type="dxa"/>
          </w:tcPr>
          <w:p w14:paraId="362E6D94" w14:textId="77777777" w:rsidR="00222799" w:rsidRPr="00362C15" w:rsidRDefault="00222799" w:rsidP="00180CDD">
            <w:pPr>
              <w:pStyle w:val="Tabletext"/>
              <w:ind w:left="0" w:right="0"/>
              <w:rPr>
                <w:iCs/>
              </w:rPr>
            </w:pPr>
            <w:r w:rsidRPr="00362C15">
              <w:rPr>
                <w:iCs/>
              </w:rPr>
              <w:t>100% of reductions</w:t>
            </w:r>
          </w:p>
        </w:tc>
      </w:tr>
      <w:tr w:rsidR="00222799" w:rsidRPr="00FD35ED" w14:paraId="73B741AF" w14:textId="77777777" w:rsidTr="00D26203">
        <w:trPr>
          <w:trHeight w:val="20"/>
        </w:trPr>
        <w:tc>
          <w:tcPr>
            <w:tcW w:w="1691" w:type="dxa"/>
            <w:vMerge/>
          </w:tcPr>
          <w:p w14:paraId="4BE2E25A" w14:textId="77777777" w:rsidR="00222799" w:rsidRPr="00362C15" w:rsidRDefault="00222799" w:rsidP="00180CDD">
            <w:pPr>
              <w:pStyle w:val="Tabletext"/>
              <w:ind w:left="0" w:right="0"/>
              <w:rPr>
                <w:iCs/>
              </w:rPr>
            </w:pPr>
          </w:p>
        </w:tc>
        <w:tc>
          <w:tcPr>
            <w:tcW w:w="3119" w:type="dxa"/>
          </w:tcPr>
          <w:p w14:paraId="5A12867D" w14:textId="77777777" w:rsidR="00222799" w:rsidRPr="00362C15" w:rsidRDefault="00222799" w:rsidP="00180CDD">
            <w:pPr>
              <w:pStyle w:val="Tabletext"/>
              <w:ind w:left="0" w:right="0"/>
              <w:rPr>
                <w:iCs/>
              </w:rPr>
            </w:pPr>
            <w:r w:rsidRPr="00362C15">
              <w:rPr>
                <w:iCs/>
              </w:rPr>
              <w:t>Other</w:t>
            </w:r>
          </w:p>
        </w:tc>
        <w:tc>
          <w:tcPr>
            <w:tcW w:w="1701" w:type="dxa"/>
          </w:tcPr>
          <w:p w14:paraId="13BE438D" w14:textId="77777777" w:rsidR="00222799" w:rsidRPr="00362C15" w:rsidRDefault="00222799" w:rsidP="00180CDD">
            <w:pPr>
              <w:pStyle w:val="Tabletext"/>
              <w:ind w:left="0" w:right="0"/>
              <w:rPr>
                <w:iCs/>
              </w:rPr>
            </w:pPr>
            <w:r w:rsidRPr="00362C15">
              <w:rPr>
                <w:iCs/>
              </w:rPr>
              <w:t>15% of reductions</w:t>
            </w:r>
          </w:p>
        </w:tc>
        <w:tc>
          <w:tcPr>
            <w:tcW w:w="1843" w:type="dxa"/>
          </w:tcPr>
          <w:p w14:paraId="05323F69" w14:textId="77777777" w:rsidR="00222799" w:rsidRPr="00362C15" w:rsidRDefault="00222799" w:rsidP="00180CDD">
            <w:pPr>
              <w:pStyle w:val="Tabletext"/>
              <w:ind w:left="0" w:right="0"/>
              <w:rPr>
                <w:iCs/>
              </w:rPr>
            </w:pPr>
            <w:r w:rsidRPr="00362C15">
              <w:rPr>
                <w:iCs/>
              </w:rPr>
              <w:t>0</w:t>
            </w:r>
          </w:p>
        </w:tc>
      </w:tr>
      <w:tr w:rsidR="00222799" w:rsidRPr="00FD35ED" w14:paraId="0C9E9A44" w14:textId="77777777" w:rsidTr="00D26203">
        <w:trPr>
          <w:trHeight w:val="20"/>
        </w:trPr>
        <w:tc>
          <w:tcPr>
            <w:tcW w:w="4810" w:type="dxa"/>
            <w:gridSpan w:val="2"/>
          </w:tcPr>
          <w:p w14:paraId="585FCCA9" w14:textId="77777777" w:rsidR="00222799" w:rsidRPr="00FD35ED" w:rsidRDefault="00222799" w:rsidP="00180CDD">
            <w:pPr>
              <w:pStyle w:val="Tabletext"/>
              <w:ind w:left="0" w:right="0"/>
              <w:rPr>
                <w:i/>
                <w:iCs/>
              </w:rPr>
            </w:pPr>
            <w:r w:rsidRPr="00362C15">
              <w:rPr>
                <w:b/>
              </w:rPr>
              <w:t>Patients who permanently discontinued treatment</w:t>
            </w:r>
            <w:r w:rsidRPr="00FD35ED">
              <w:t>, n (%)</w:t>
            </w:r>
          </w:p>
        </w:tc>
        <w:tc>
          <w:tcPr>
            <w:tcW w:w="1701" w:type="dxa"/>
          </w:tcPr>
          <w:p w14:paraId="6E3B536C" w14:textId="77777777" w:rsidR="00222799" w:rsidRPr="00FD35ED" w:rsidRDefault="00222799" w:rsidP="00180CDD">
            <w:pPr>
              <w:pStyle w:val="Tabletext"/>
              <w:ind w:left="0" w:right="0"/>
              <w:rPr>
                <w:i/>
                <w:iCs/>
              </w:rPr>
            </w:pPr>
            <w:r w:rsidRPr="00FD35ED">
              <w:t>172 (70)</w:t>
            </w:r>
          </w:p>
        </w:tc>
        <w:tc>
          <w:tcPr>
            <w:tcW w:w="1843" w:type="dxa"/>
          </w:tcPr>
          <w:p w14:paraId="74FC42E1" w14:textId="77777777" w:rsidR="00222799" w:rsidRPr="00FD35ED" w:rsidRDefault="00222799" w:rsidP="00180CDD">
            <w:pPr>
              <w:pStyle w:val="Tabletext"/>
              <w:ind w:left="0" w:right="0"/>
              <w:rPr>
                <w:i/>
                <w:iCs/>
              </w:rPr>
            </w:pPr>
            <w:r w:rsidRPr="00FD35ED">
              <w:t>100 (90)</w:t>
            </w:r>
          </w:p>
        </w:tc>
      </w:tr>
      <w:tr w:rsidR="00222799" w:rsidRPr="00FD35ED" w14:paraId="6227EE0D" w14:textId="77777777" w:rsidTr="00D26203">
        <w:trPr>
          <w:trHeight w:val="20"/>
        </w:trPr>
        <w:tc>
          <w:tcPr>
            <w:tcW w:w="1691" w:type="dxa"/>
            <w:vMerge w:val="restart"/>
          </w:tcPr>
          <w:p w14:paraId="3B90E52A" w14:textId="77777777" w:rsidR="00222799" w:rsidRPr="00F10F6D" w:rsidRDefault="00222799" w:rsidP="00180CDD">
            <w:pPr>
              <w:pStyle w:val="Tabletext"/>
              <w:ind w:left="0" w:right="0"/>
            </w:pPr>
            <w:r w:rsidRPr="00362C15">
              <w:rPr>
                <w:iCs/>
              </w:rPr>
              <w:t>Reason for discontinuation, n (%)</w:t>
            </w:r>
          </w:p>
        </w:tc>
        <w:tc>
          <w:tcPr>
            <w:tcW w:w="3119" w:type="dxa"/>
          </w:tcPr>
          <w:p w14:paraId="40B45A85" w14:textId="77777777" w:rsidR="00222799" w:rsidRPr="00F10F6D" w:rsidRDefault="00222799" w:rsidP="00180CDD">
            <w:pPr>
              <w:pStyle w:val="Tabletext"/>
              <w:ind w:left="0" w:right="0"/>
            </w:pPr>
            <w:r w:rsidRPr="00362C15">
              <w:rPr>
                <w:iCs/>
              </w:rPr>
              <w:t>Adverse event</w:t>
            </w:r>
          </w:p>
        </w:tc>
        <w:tc>
          <w:tcPr>
            <w:tcW w:w="1701" w:type="dxa"/>
          </w:tcPr>
          <w:p w14:paraId="6201671F" w14:textId="77777777" w:rsidR="00222799" w:rsidRPr="00362C15" w:rsidRDefault="00222799" w:rsidP="00180CDD">
            <w:pPr>
              <w:pStyle w:val="Tabletext"/>
              <w:ind w:left="0" w:right="0"/>
              <w:rPr>
                <w:iCs/>
              </w:rPr>
            </w:pPr>
            <w:r w:rsidRPr="00362C15">
              <w:rPr>
                <w:iCs/>
              </w:rPr>
              <w:t>6 (2.4)</w:t>
            </w:r>
          </w:p>
        </w:tc>
        <w:tc>
          <w:tcPr>
            <w:tcW w:w="1843" w:type="dxa"/>
          </w:tcPr>
          <w:p w14:paraId="6ADE030D" w14:textId="77777777" w:rsidR="00222799" w:rsidRPr="00362C15" w:rsidRDefault="00222799" w:rsidP="00180CDD">
            <w:pPr>
              <w:pStyle w:val="Tabletext"/>
              <w:ind w:left="0" w:right="0"/>
              <w:rPr>
                <w:iCs/>
              </w:rPr>
            </w:pPr>
            <w:r w:rsidRPr="00362C15">
              <w:rPr>
                <w:iCs/>
              </w:rPr>
              <w:t>5 (4.5)</w:t>
            </w:r>
          </w:p>
        </w:tc>
      </w:tr>
      <w:tr w:rsidR="00222799" w:rsidRPr="00FD35ED" w14:paraId="61D4CF96" w14:textId="77777777" w:rsidTr="00D26203">
        <w:trPr>
          <w:trHeight w:val="20"/>
        </w:trPr>
        <w:tc>
          <w:tcPr>
            <w:tcW w:w="1691" w:type="dxa"/>
            <w:vMerge/>
          </w:tcPr>
          <w:p w14:paraId="30E44AF4" w14:textId="77777777" w:rsidR="00222799" w:rsidRPr="00362C15" w:rsidRDefault="00222799" w:rsidP="00180CDD">
            <w:pPr>
              <w:pStyle w:val="Tabletext"/>
              <w:ind w:left="0" w:right="0"/>
              <w:rPr>
                <w:iCs/>
              </w:rPr>
            </w:pPr>
          </w:p>
        </w:tc>
        <w:tc>
          <w:tcPr>
            <w:tcW w:w="3119" w:type="dxa"/>
          </w:tcPr>
          <w:p w14:paraId="411C5180" w14:textId="77777777" w:rsidR="00222799" w:rsidRPr="00362C15" w:rsidRDefault="00222799" w:rsidP="00180CDD">
            <w:pPr>
              <w:pStyle w:val="Tabletext"/>
              <w:ind w:left="0" w:right="0"/>
              <w:rPr>
                <w:iCs/>
              </w:rPr>
            </w:pPr>
            <w:r w:rsidRPr="00362C15">
              <w:rPr>
                <w:iCs/>
              </w:rPr>
              <w:t>Disease progression</w:t>
            </w:r>
          </w:p>
        </w:tc>
        <w:tc>
          <w:tcPr>
            <w:tcW w:w="1701" w:type="dxa"/>
          </w:tcPr>
          <w:p w14:paraId="766F73B0" w14:textId="77777777" w:rsidR="00222799" w:rsidRPr="00362C15" w:rsidRDefault="00222799" w:rsidP="00180CDD">
            <w:pPr>
              <w:pStyle w:val="Tabletext"/>
              <w:ind w:left="0" w:right="0"/>
              <w:rPr>
                <w:iCs/>
              </w:rPr>
            </w:pPr>
            <w:r w:rsidRPr="00362C15">
              <w:rPr>
                <w:iCs/>
              </w:rPr>
              <w:t>154 (63)</w:t>
            </w:r>
          </w:p>
        </w:tc>
        <w:tc>
          <w:tcPr>
            <w:tcW w:w="1843" w:type="dxa"/>
          </w:tcPr>
          <w:p w14:paraId="2CB61F20" w14:textId="77777777" w:rsidR="00222799" w:rsidRPr="00362C15" w:rsidRDefault="00222799" w:rsidP="00180CDD">
            <w:pPr>
              <w:pStyle w:val="Tabletext"/>
              <w:ind w:left="0" w:right="0"/>
              <w:rPr>
                <w:iCs/>
              </w:rPr>
            </w:pPr>
            <w:r w:rsidRPr="00362C15">
              <w:rPr>
                <w:iCs/>
              </w:rPr>
              <w:t>78 (70)</w:t>
            </w:r>
          </w:p>
        </w:tc>
      </w:tr>
    </w:tbl>
    <w:p w14:paraId="60DE2E04" w14:textId="2B1A703C" w:rsidR="00180CDD" w:rsidRPr="00875041" w:rsidRDefault="00D26203" w:rsidP="00875041">
      <w:pPr>
        <w:pStyle w:val="TableDescription"/>
      </w:pPr>
      <w:r w:rsidRPr="00875041">
        <w:t xml:space="preserve">Abbreviation: </w:t>
      </w:r>
      <w:r w:rsidR="00180CDD" w:rsidRPr="00875041">
        <w:t>n = number of subjects in group.</w:t>
      </w:r>
    </w:p>
    <w:p w14:paraId="305075BB" w14:textId="4AED5E3D" w:rsidR="00F10F6D" w:rsidRPr="00875041" w:rsidRDefault="00F10F6D" w:rsidP="00875041">
      <w:pPr>
        <w:pStyle w:val="TableDescription"/>
      </w:pPr>
      <w:proofErr w:type="spellStart"/>
      <w:proofErr w:type="gramStart"/>
      <w:r w:rsidRPr="00875041">
        <w:t>a</w:t>
      </w:r>
      <w:proofErr w:type="spellEnd"/>
      <w:proofErr w:type="gramEnd"/>
      <w:r w:rsidRPr="00875041">
        <w:t> Investigator’s choice of treatment = pembrolizumab, ipilimumab, or dacarbazine.</w:t>
      </w:r>
    </w:p>
    <w:p w14:paraId="7C0FBA9A" w14:textId="3941DE19" w:rsidR="00222799" w:rsidRPr="00FD35ED" w:rsidRDefault="00222799" w:rsidP="00985193">
      <w:pPr>
        <w:pStyle w:val="Heading5"/>
      </w:pPr>
      <w:r w:rsidRPr="00FD35ED">
        <w:t>Common and high-grade adverse events</w:t>
      </w:r>
    </w:p>
    <w:p w14:paraId="0276AA59" w14:textId="0CB5131F" w:rsidR="00222799" w:rsidRPr="00FD35ED" w:rsidRDefault="00222799" w:rsidP="00985193">
      <w:r w:rsidRPr="00FD35ED">
        <w:t xml:space="preserve">The FDA label </w:t>
      </w:r>
      <w:r w:rsidR="00F10F6D">
        <w:t xml:space="preserve">approved at the time of this submission </w:t>
      </w:r>
      <w:r w:rsidRPr="00FD35ED">
        <w:t xml:space="preserve">contains the following description of common </w:t>
      </w:r>
      <w:r w:rsidR="009710DB" w:rsidRPr="00FD35ED">
        <w:t>AE</w:t>
      </w:r>
      <w:r w:rsidRPr="00FD35ED">
        <w:t xml:space="preserve">s and laboratory abnormalities with </w:t>
      </w:r>
      <w:proofErr w:type="spellStart"/>
      <w:r w:rsidRPr="00FD35ED">
        <w:t>tebentafusp</w:t>
      </w:r>
      <w:proofErr w:type="spellEnd"/>
      <w:r w:rsidRPr="00FD35ED">
        <w:t xml:space="preserve"> in Study 202:</w:t>
      </w:r>
    </w:p>
    <w:p w14:paraId="1D71CA50" w14:textId="5C190A31" w:rsidR="00222799" w:rsidRPr="00362C15" w:rsidRDefault="00514497" w:rsidP="00362C15">
      <w:pPr>
        <w:ind w:left="720"/>
        <w:rPr>
          <w:iCs/>
        </w:rPr>
      </w:pPr>
      <w:r w:rsidRPr="00F10F6D">
        <w:t>‘</w:t>
      </w:r>
      <w:r w:rsidR="00222799" w:rsidRPr="00362C15">
        <w:rPr>
          <w:iCs/>
        </w:rPr>
        <w:t>The most common adverse events (≥</w:t>
      </w:r>
      <w:r w:rsidR="006D7C69" w:rsidRPr="00362C15">
        <w:rPr>
          <w:iCs/>
        </w:rPr>
        <w:t xml:space="preserve"> </w:t>
      </w:r>
      <w:r w:rsidR="00222799" w:rsidRPr="00362C15">
        <w:rPr>
          <w:iCs/>
        </w:rPr>
        <w:t xml:space="preserve">30%) in patients who received </w:t>
      </w:r>
      <w:proofErr w:type="spellStart"/>
      <w:r w:rsidR="001C7332" w:rsidRPr="00362C15">
        <w:rPr>
          <w:iCs/>
        </w:rPr>
        <w:t>Kimmtrak</w:t>
      </w:r>
      <w:proofErr w:type="spellEnd"/>
      <w:r w:rsidR="00222799" w:rsidRPr="00362C15">
        <w:rPr>
          <w:iCs/>
        </w:rPr>
        <w:t xml:space="preserve"> were cytokine release syndrome, rash, pyrexia, pruritus, fatigue, nausea, chills, abdominal pain, </w:t>
      </w:r>
      <w:proofErr w:type="spellStart"/>
      <w:r w:rsidR="00222799" w:rsidRPr="00362C15">
        <w:rPr>
          <w:iCs/>
        </w:rPr>
        <w:t>edema</w:t>
      </w:r>
      <w:proofErr w:type="spellEnd"/>
      <w:r w:rsidR="00222799" w:rsidRPr="00362C15">
        <w:rPr>
          <w:iCs/>
        </w:rPr>
        <w:t xml:space="preserve">, hypotension, dry skin, headache, and vomiting. Clinically relevant adverse reactions occurring in &lt; 20% of patients who received </w:t>
      </w:r>
      <w:proofErr w:type="spellStart"/>
      <w:r w:rsidR="001C7332" w:rsidRPr="00362C15">
        <w:rPr>
          <w:iCs/>
        </w:rPr>
        <w:t>Kimmtrak</w:t>
      </w:r>
      <w:proofErr w:type="spellEnd"/>
      <w:r w:rsidR="00222799" w:rsidRPr="00362C15">
        <w:rPr>
          <w:iCs/>
        </w:rPr>
        <w:t xml:space="preserve"> included back pain, decreased appetite, constipation, hypertension, tachycardia or sinus tachycardia, </w:t>
      </w:r>
      <w:proofErr w:type="spellStart"/>
      <w:r w:rsidR="00222799" w:rsidRPr="00362C15">
        <w:rPr>
          <w:iCs/>
        </w:rPr>
        <w:t>dyspnea</w:t>
      </w:r>
      <w:proofErr w:type="spellEnd"/>
      <w:r w:rsidR="00222799" w:rsidRPr="00362C15">
        <w:rPr>
          <w:iCs/>
        </w:rPr>
        <w:t xml:space="preserve">, </w:t>
      </w:r>
      <w:proofErr w:type="spellStart"/>
      <w:r w:rsidR="00222799" w:rsidRPr="00362C15">
        <w:rPr>
          <w:iCs/>
        </w:rPr>
        <w:t>paresthesia</w:t>
      </w:r>
      <w:proofErr w:type="spellEnd"/>
      <w:r w:rsidR="00222799" w:rsidRPr="00362C15">
        <w:rPr>
          <w:iCs/>
        </w:rPr>
        <w:t xml:space="preserve">, dizziness, flushing, muscle spasms, myalgia, pain in extremity, alopecia, skin hyperpigmentation, influenza-like illness, oropharyngeal </w:t>
      </w:r>
      <w:proofErr w:type="gramStart"/>
      <w:r w:rsidR="00222799" w:rsidRPr="00362C15">
        <w:rPr>
          <w:iCs/>
        </w:rPr>
        <w:t>pain</w:t>
      </w:r>
      <w:proofErr w:type="gramEnd"/>
      <w:r w:rsidR="00222799" w:rsidRPr="00362C15">
        <w:rPr>
          <w:iCs/>
        </w:rPr>
        <w:t xml:space="preserve"> and night sweats.</w:t>
      </w:r>
    </w:p>
    <w:p w14:paraId="316B1876" w14:textId="569B7426" w:rsidR="00222799" w:rsidRPr="00F10F6D" w:rsidRDefault="00222799" w:rsidP="00362C15">
      <w:pPr>
        <w:ind w:left="720"/>
      </w:pPr>
      <w:r w:rsidRPr="00362C15">
        <w:rPr>
          <w:iCs/>
        </w:rPr>
        <w:lastRenderedPageBreak/>
        <w:t>The most common (≥</w:t>
      </w:r>
      <w:r w:rsidR="006D7C69" w:rsidRPr="00362C15">
        <w:rPr>
          <w:iCs/>
        </w:rPr>
        <w:t xml:space="preserve"> </w:t>
      </w:r>
      <w:r w:rsidRPr="00362C15">
        <w:rPr>
          <w:iCs/>
        </w:rPr>
        <w:t xml:space="preserve">50%) laboratory abnormalities in patient who received </w:t>
      </w:r>
      <w:proofErr w:type="spellStart"/>
      <w:r w:rsidR="001C7332" w:rsidRPr="00362C15">
        <w:rPr>
          <w:iCs/>
        </w:rPr>
        <w:t>Kimmtrak</w:t>
      </w:r>
      <w:proofErr w:type="spellEnd"/>
      <w:r w:rsidRPr="00362C15">
        <w:rPr>
          <w:iCs/>
        </w:rPr>
        <w:t xml:space="preserve"> were decreased lymphocyte count, increased creatinine, increased glucose, increased AST, increased ALT, decreased </w:t>
      </w:r>
      <w:proofErr w:type="spellStart"/>
      <w:r w:rsidRPr="00362C15">
        <w:rPr>
          <w:iCs/>
        </w:rPr>
        <w:t>hemoglobin</w:t>
      </w:r>
      <w:proofErr w:type="spellEnd"/>
      <w:r w:rsidRPr="00362C15">
        <w:rPr>
          <w:iCs/>
        </w:rPr>
        <w:t>, and decreased phosphate</w:t>
      </w:r>
      <w:r w:rsidRPr="00F10F6D">
        <w:t>.</w:t>
      </w:r>
      <w:r w:rsidR="00514497" w:rsidRPr="00F10F6D">
        <w:t>’</w:t>
      </w:r>
    </w:p>
    <w:p w14:paraId="74963697" w14:textId="7D9217A4" w:rsidR="00222799" w:rsidRPr="00FD35ED" w:rsidRDefault="00222799" w:rsidP="00985193">
      <w:r w:rsidRPr="00FD35ED">
        <w:t xml:space="preserve">An overview of the most common </w:t>
      </w:r>
      <w:r w:rsidR="00F10F6D">
        <w:t>treatment-emergent adverse events (</w:t>
      </w:r>
      <w:r w:rsidRPr="00FD35ED">
        <w:t>TEAEs</w:t>
      </w:r>
      <w:r w:rsidR="00F10F6D">
        <w:t>)</w:t>
      </w:r>
      <w:r w:rsidRPr="00FD35ED">
        <w:t xml:space="preserve"> and </w:t>
      </w:r>
      <w:r w:rsidR="006D7C69" w:rsidRPr="00FD35ED">
        <w:t>Grade</w:t>
      </w:r>
      <w:r w:rsidR="00F10F6D">
        <w:t> </w:t>
      </w:r>
      <w:r w:rsidRPr="00FD35ED">
        <w:t>3</w:t>
      </w:r>
      <w:r w:rsidR="006D7C69" w:rsidRPr="00FD35ED">
        <w:t xml:space="preserve"> to </w:t>
      </w:r>
      <w:r w:rsidRPr="00FD35ED">
        <w:t xml:space="preserve">4 TEAEs in Study 202 is provided in </w:t>
      </w:r>
      <w:r w:rsidRPr="00FD35ED">
        <w:fldChar w:fldCharType="begin"/>
      </w:r>
      <w:r w:rsidRPr="00FD35ED">
        <w:instrText xml:space="preserve"> REF _Ref96096468 \h  \* MERGEFORMAT </w:instrText>
      </w:r>
      <w:r w:rsidRPr="00FD35ED">
        <w:fldChar w:fldCharType="separate"/>
      </w:r>
      <w:r w:rsidR="00301C3E" w:rsidRPr="00875041">
        <w:t xml:space="preserve">Table </w:t>
      </w:r>
      <w:r w:rsidR="00301C3E">
        <w:t>9</w:t>
      </w:r>
      <w:r w:rsidRPr="00FD35ED">
        <w:fldChar w:fldCharType="end"/>
      </w:r>
      <w:r w:rsidR="00117C80" w:rsidRPr="00FD35ED">
        <w:t xml:space="preserve"> below</w:t>
      </w:r>
      <w:r w:rsidRPr="00FD35ED">
        <w:t xml:space="preserve">, using clinically rational groupings of </w:t>
      </w:r>
      <w:r w:rsidR="009710DB" w:rsidRPr="00FD35ED">
        <w:t>Medical Dictionary for Regulatory Activities (MedDRA)</w:t>
      </w:r>
      <w:r w:rsidR="009710DB" w:rsidRPr="00FD35ED">
        <w:rPr>
          <w:rStyle w:val="FootnoteReference"/>
        </w:rPr>
        <w:footnoteReference w:id="68"/>
      </w:r>
      <w:r w:rsidRPr="00FD35ED">
        <w:t xml:space="preserve"> Preferred Terms defined as </w:t>
      </w:r>
      <w:r w:rsidR="00117C80" w:rsidRPr="00FD35ED">
        <w:t>Grouped Terms</w:t>
      </w:r>
      <w:r w:rsidRPr="00FD35ED">
        <w:t xml:space="preserve"> </w:t>
      </w:r>
      <w:r w:rsidR="001E10CF">
        <w:t>in</w:t>
      </w:r>
      <w:r w:rsidR="001E10CF" w:rsidRPr="00FD35ED">
        <w:t xml:space="preserve"> </w:t>
      </w:r>
      <w:r w:rsidRPr="00FD35ED">
        <w:t xml:space="preserve">the </w:t>
      </w:r>
      <w:r w:rsidR="001E10CF">
        <w:t xml:space="preserve">TGA’s </w:t>
      </w:r>
      <w:r w:rsidRPr="00FD35ED">
        <w:t>clinical evaluat</w:t>
      </w:r>
      <w:r w:rsidR="001E10CF">
        <w:t>ion</w:t>
      </w:r>
      <w:r w:rsidRPr="00FD35ED">
        <w:t xml:space="preserve">. While laboratory abnormalities were common in patients who received </w:t>
      </w:r>
      <w:proofErr w:type="spellStart"/>
      <w:r w:rsidRPr="00FD35ED">
        <w:t>tebentafusp</w:t>
      </w:r>
      <w:proofErr w:type="spellEnd"/>
      <w:r w:rsidR="00534E23" w:rsidRPr="00FD35ED">
        <w:t>,</w:t>
      </w:r>
      <w:r w:rsidRPr="00FD35ED">
        <w:t xml:space="preserve"> most of these were Grade</w:t>
      </w:r>
      <w:r w:rsidR="00117C80" w:rsidRPr="00FD35ED">
        <w:t> </w:t>
      </w:r>
      <w:r w:rsidRPr="00FD35ED">
        <w:t>1 or 2, and many were abnormalities associated with CRS.</w:t>
      </w:r>
    </w:p>
    <w:p w14:paraId="767C24D2" w14:textId="017B6D94" w:rsidR="00222799" w:rsidRPr="00875041" w:rsidRDefault="00222799" w:rsidP="00875041">
      <w:pPr>
        <w:pStyle w:val="TableTitle"/>
      </w:pPr>
      <w:bookmarkStart w:id="88" w:name="_Ref96096468"/>
      <w:r w:rsidRPr="00875041">
        <w:t xml:space="preserve">Table </w:t>
      </w:r>
      <w:fldSimple w:instr=" SEQ Table \* ARABIC ">
        <w:r w:rsidR="00301C3E">
          <w:rPr>
            <w:noProof/>
          </w:rPr>
          <w:t>9</w:t>
        </w:r>
      </w:fldSimple>
      <w:bookmarkEnd w:id="88"/>
      <w:r w:rsidR="00AE1769" w:rsidRPr="00875041">
        <w:t>: Study 202</w:t>
      </w:r>
      <w:r w:rsidRPr="00875041">
        <w:t xml:space="preserve"> The most common treatment-emergent adverse events</w:t>
      </w:r>
      <w:r w:rsidR="000F64C7" w:rsidRPr="00875041">
        <w:t xml:space="preserve"> </w:t>
      </w:r>
      <w:r w:rsidRPr="00875041">
        <w:t xml:space="preserve">(safety </w:t>
      </w:r>
      <w:r w:rsidR="00D26203" w:rsidRPr="00875041">
        <w:t>population</w:t>
      </w:r>
      <w:r w:rsidR="00180CDD" w:rsidRPr="00875041">
        <w:t xml:space="preserve">; </w:t>
      </w:r>
      <w:r w:rsidR="001C7332" w:rsidRPr="00875041">
        <w:t>data cut-off</w:t>
      </w:r>
      <w:r w:rsidRPr="00875041">
        <w:t xml:space="preserve"> </w:t>
      </w:r>
      <w:r w:rsidR="00AE1769" w:rsidRPr="00875041">
        <w:t xml:space="preserve">date: </w:t>
      </w:r>
      <w:r w:rsidRPr="00875041">
        <w:t>13 Oct</w:t>
      </w:r>
      <w:r w:rsidR="00AE1769" w:rsidRPr="00875041">
        <w:t>ober</w:t>
      </w:r>
      <w:r w:rsidRPr="00875041">
        <w:t xml:space="preserve"> 2020</w:t>
      </w:r>
      <w:r w:rsidR="000F64C7" w:rsidRPr="00875041">
        <w:t>)</w:t>
      </w:r>
    </w:p>
    <w:tbl>
      <w:tblPr>
        <w:tblStyle w:val="TableTGAblue"/>
        <w:tblW w:w="8354" w:type="dxa"/>
        <w:tblLayout w:type="fixed"/>
        <w:tblLook w:val="01E0" w:firstRow="1" w:lastRow="1" w:firstColumn="1" w:lastColumn="1" w:noHBand="0" w:noVBand="0"/>
      </w:tblPr>
      <w:tblGrid>
        <w:gridCol w:w="1701"/>
        <w:gridCol w:w="2117"/>
        <w:gridCol w:w="1134"/>
        <w:gridCol w:w="1134"/>
        <w:gridCol w:w="1134"/>
        <w:gridCol w:w="1134"/>
      </w:tblGrid>
      <w:tr w:rsidR="00222799" w:rsidRPr="00FD35ED" w14:paraId="7857C038" w14:textId="77777777" w:rsidTr="000B0ECB">
        <w:trPr>
          <w:cnfStyle w:val="100000000000" w:firstRow="1" w:lastRow="0" w:firstColumn="0" w:lastColumn="0" w:oddVBand="0" w:evenVBand="0" w:oddHBand="0" w:evenHBand="0" w:firstRowFirstColumn="0" w:firstRowLastColumn="0" w:lastRowFirstColumn="0" w:lastRowLastColumn="0"/>
          <w:trHeight w:val="454"/>
        </w:trPr>
        <w:tc>
          <w:tcPr>
            <w:tcW w:w="3818" w:type="dxa"/>
            <w:gridSpan w:val="2"/>
          </w:tcPr>
          <w:p w14:paraId="139D7BA3" w14:textId="77777777" w:rsidR="00222799" w:rsidRPr="00FD35ED" w:rsidRDefault="00222799" w:rsidP="000F64C7">
            <w:pPr>
              <w:pStyle w:val="Tabletext"/>
              <w:ind w:left="0" w:right="0"/>
            </w:pPr>
            <w:bookmarkStart w:id="89" w:name="_Hlk96339385"/>
          </w:p>
        </w:tc>
        <w:tc>
          <w:tcPr>
            <w:tcW w:w="2268" w:type="dxa"/>
            <w:gridSpan w:val="2"/>
          </w:tcPr>
          <w:p w14:paraId="647D72E5" w14:textId="26037CDD" w:rsidR="00690F4C" w:rsidRPr="00FD35ED" w:rsidRDefault="00222799" w:rsidP="000F64C7">
            <w:pPr>
              <w:pStyle w:val="Tabletext"/>
              <w:ind w:left="0" w:right="0"/>
              <w:rPr>
                <w:b w:val="0"/>
              </w:rPr>
            </w:pPr>
            <w:proofErr w:type="spellStart"/>
            <w:r w:rsidRPr="00FD35ED">
              <w:t>Tebentafusp</w:t>
            </w:r>
            <w:proofErr w:type="spellEnd"/>
            <w:r w:rsidR="00F10F6D">
              <w:t xml:space="preserve"> arm</w:t>
            </w:r>
          </w:p>
          <w:p w14:paraId="1B9CCCB2" w14:textId="1B77F84D" w:rsidR="00222799" w:rsidRPr="00FD35ED" w:rsidRDefault="00222799" w:rsidP="000F64C7">
            <w:pPr>
              <w:pStyle w:val="Tabletext"/>
              <w:ind w:left="0" w:right="0"/>
            </w:pPr>
            <w:r w:rsidRPr="00FD35ED">
              <w:t>(n</w:t>
            </w:r>
            <w:r w:rsidR="00F97E3A" w:rsidRPr="00FD35ED">
              <w:t xml:space="preserve"> </w:t>
            </w:r>
            <w:r w:rsidRPr="00FD35ED">
              <w:t>=</w:t>
            </w:r>
            <w:r w:rsidR="00F97E3A" w:rsidRPr="00FD35ED">
              <w:t xml:space="preserve"> </w:t>
            </w:r>
            <w:r w:rsidRPr="00FD35ED">
              <w:t>245)</w:t>
            </w:r>
          </w:p>
        </w:tc>
        <w:tc>
          <w:tcPr>
            <w:tcW w:w="2268" w:type="dxa"/>
            <w:gridSpan w:val="2"/>
          </w:tcPr>
          <w:p w14:paraId="23582726" w14:textId="4C1DB1E4" w:rsidR="00690F4C" w:rsidRPr="00362C15" w:rsidRDefault="00690F4C" w:rsidP="000F64C7">
            <w:pPr>
              <w:pStyle w:val="Tabletext"/>
              <w:ind w:left="0" w:right="0"/>
              <w:rPr>
                <w:b w:val="0"/>
                <w:vertAlign w:val="superscript"/>
              </w:rPr>
            </w:pPr>
            <w:r w:rsidRPr="00FD35ED">
              <w:t>Investigator’s choice</w:t>
            </w:r>
            <w:r w:rsidR="00F10F6D">
              <w:t xml:space="preserve"> of treatment arm</w:t>
            </w:r>
            <w:r w:rsidR="00F10F6D">
              <w:rPr>
                <w:vertAlign w:val="superscript"/>
              </w:rPr>
              <w:t>*</w:t>
            </w:r>
          </w:p>
          <w:p w14:paraId="69659025" w14:textId="63F4045C" w:rsidR="00222799" w:rsidRPr="00FD35ED" w:rsidRDefault="00222799" w:rsidP="000F64C7">
            <w:pPr>
              <w:pStyle w:val="Tabletext"/>
              <w:ind w:left="0" w:right="0"/>
            </w:pPr>
            <w:r w:rsidRPr="00FD35ED">
              <w:t>(n</w:t>
            </w:r>
            <w:r w:rsidR="00F97E3A" w:rsidRPr="00FD35ED">
              <w:t xml:space="preserve"> </w:t>
            </w:r>
            <w:r w:rsidRPr="00FD35ED">
              <w:t>=</w:t>
            </w:r>
            <w:r w:rsidR="00F97E3A" w:rsidRPr="00FD35ED">
              <w:t xml:space="preserve"> </w:t>
            </w:r>
            <w:r w:rsidRPr="00FD35ED">
              <w:t>111)</w:t>
            </w:r>
          </w:p>
        </w:tc>
      </w:tr>
      <w:tr w:rsidR="00222799" w:rsidRPr="00FD35ED" w14:paraId="614B7A5B" w14:textId="77777777" w:rsidTr="000B0ECB">
        <w:trPr>
          <w:trHeight w:val="20"/>
        </w:trPr>
        <w:tc>
          <w:tcPr>
            <w:tcW w:w="3818" w:type="dxa"/>
            <w:gridSpan w:val="2"/>
          </w:tcPr>
          <w:p w14:paraId="597609F2" w14:textId="16436F95" w:rsidR="00222799" w:rsidRPr="00FD35ED" w:rsidRDefault="00222799" w:rsidP="000F64C7">
            <w:pPr>
              <w:pStyle w:val="Tabletext"/>
              <w:ind w:left="0" w:right="0"/>
              <w:rPr>
                <w:b/>
              </w:rPr>
            </w:pPr>
            <w:r w:rsidRPr="00FD35ED">
              <w:rPr>
                <w:b/>
              </w:rPr>
              <w:t>CTCAE Grade</w:t>
            </w:r>
            <w:r w:rsidR="000F64C7" w:rsidRPr="00FD35ED">
              <w:rPr>
                <w:b/>
              </w:rPr>
              <w:t>;</w:t>
            </w:r>
            <w:r w:rsidR="000F64C7" w:rsidRPr="00FD35ED">
              <w:rPr>
                <w:rStyle w:val="FootnoteReference"/>
              </w:rPr>
              <w:footnoteReference w:id="69"/>
            </w:r>
          </w:p>
        </w:tc>
        <w:tc>
          <w:tcPr>
            <w:tcW w:w="1134" w:type="dxa"/>
          </w:tcPr>
          <w:p w14:paraId="6161C39C" w14:textId="37FA6D40" w:rsidR="00222799" w:rsidRPr="00FD35ED" w:rsidRDefault="00222799" w:rsidP="007F517C">
            <w:pPr>
              <w:pStyle w:val="Tabletext"/>
              <w:ind w:left="0" w:right="0"/>
              <w:rPr>
                <w:b/>
              </w:rPr>
            </w:pPr>
            <w:r w:rsidRPr="00FD35ED">
              <w:rPr>
                <w:b/>
              </w:rPr>
              <w:t>All grades</w:t>
            </w:r>
            <w:r w:rsidR="007F517C">
              <w:rPr>
                <w:b/>
              </w:rPr>
              <w:t xml:space="preserve"> </w:t>
            </w:r>
            <w:r w:rsidRPr="00FD35ED">
              <w:rPr>
                <w:b/>
              </w:rPr>
              <w:t>(%)</w:t>
            </w:r>
          </w:p>
        </w:tc>
        <w:tc>
          <w:tcPr>
            <w:tcW w:w="1134" w:type="dxa"/>
          </w:tcPr>
          <w:p w14:paraId="78F1D100" w14:textId="78EA3237" w:rsidR="00222799" w:rsidRPr="00FD35ED" w:rsidRDefault="00222799" w:rsidP="007F517C">
            <w:pPr>
              <w:pStyle w:val="Tabletext"/>
              <w:ind w:left="0" w:right="0"/>
              <w:rPr>
                <w:b/>
              </w:rPr>
            </w:pPr>
            <w:r w:rsidRPr="00FD35ED">
              <w:rPr>
                <w:b/>
              </w:rPr>
              <w:t xml:space="preserve">Grade </w:t>
            </w:r>
            <w:r w:rsidR="007F517C">
              <w:rPr>
                <w:b/>
              </w:rPr>
              <w:t xml:space="preserve">¾ </w:t>
            </w:r>
            <w:r w:rsidRPr="00FD35ED">
              <w:rPr>
                <w:b/>
              </w:rPr>
              <w:t>(%)</w:t>
            </w:r>
          </w:p>
        </w:tc>
        <w:tc>
          <w:tcPr>
            <w:tcW w:w="1134" w:type="dxa"/>
          </w:tcPr>
          <w:p w14:paraId="4503E329" w14:textId="39D9B224" w:rsidR="00222799" w:rsidRPr="00FD35ED" w:rsidRDefault="00222799" w:rsidP="007F517C">
            <w:pPr>
              <w:pStyle w:val="Tabletext"/>
              <w:ind w:left="0" w:right="0"/>
              <w:rPr>
                <w:b/>
              </w:rPr>
            </w:pPr>
            <w:r w:rsidRPr="00FD35ED">
              <w:rPr>
                <w:b/>
              </w:rPr>
              <w:t>All grades</w:t>
            </w:r>
            <w:r w:rsidR="007F517C">
              <w:rPr>
                <w:b/>
              </w:rPr>
              <w:t xml:space="preserve"> </w:t>
            </w:r>
            <w:r w:rsidRPr="00FD35ED">
              <w:rPr>
                <w:b/>
              </w:rPr>
              <w:t>(%)</w:t>
            </w:r>
          </w:p>
        </w:tc>
        <w:tc>
          <w:tcPr>
            <w:tcW w:w="1134" w:type="dxa"/>
          </w:tcPr>
          <w:p w14:paraId="2E508001" w14:textId="09EF103B" w:rsidR="00222799" w:rsidRPr="00FD35ED" w:rsidRDefault="00222799" w:rsidP="007F517C">
            <w:pPr>
              <w:pStyle w:val="Tabletext"/>
              <w:ind w:left="0" w:right="0"/>
              <w:rPr>
                <w:b/>
                <w:i/>
                <w:iCs/>
              </w:rPr>
            </w:pPr>
            <w:r w:rsidRPr="00FD35ED">
              <w:rPr>
                <w:b/>
              </w:rPr>
              <w:t xml:space="preserve">Grade </w:t>
            </w:r>
            <w:r w:rsidR="007F517C">
              <w:rPr>
                <w:b/>
              </w:rPr>
              <w:t xml:space="preserve">¾ </w:t>
            </w:r>
            <w:r w:rsidRPr="00FD35ED">
              <w:rPr>
                <w:b/>
              </w:rPr>
              <w:t>(%)</w:t>
            </w:r>
          </w:p>
        </w:tc>
      </w:tr>
      <w:bookmarkEnd w:id="89"/>
      <w:tr w:rsidR="00222799" w:rsidRPr="00FD35ED" w14:paraId="0F0E4148" w14:textId="77777777" w:rsidTr="000B0ECB">
        <w:trPr>
          <w:trHeight w:val="20"/>
        </w:trPr>
        <w:tc>
          <w:tcPr>
            <w:tcW w:w="3818" w:type="dxa"/>
            <w:gridSpan w:val="2"/>
          </w:tcPr>
          <w:p w14:paraId="27A1E6A7" w14:textId="4CF10C5A" w:rsidR="00222799" w:rsidRPr="00FD35ED" w:rsidRDefault="00222799" w:rsidP="000F64C7">
            <w:pPr>
              <w:pStyle w:val="Tabletext"/>
              <w:ind w:left="0" w:right="0"/>
              <w:rPr>
                <w:b/>
                <w:bCs/>
              </w:rPr>
            </w:pPr>
            <w:r w:rsidRPr="00FD35ED">
              <w:rPr>
                <w:b/>
                <w:bCs/>
              </w:rPr>
              <w:t xml:space="preserve">Patients with at least </w:t>
            </w:r>
            <w:r w:rsidR="000F64C7" w:rsidRPr="00FD35ED">
              <w:rPr>
                <w:b/>
                <w:bCs/>
              </w:rPr>
              <w:t>one</w:t>
            </w:r>
            <w:r w:rsidRPr="00FD35ED">
              <w:rPr>
                <w:b/>
                <w:bCs/>
              </w:rPr>
              <w:t xml:space="preserve"> TEAE, %</w:t>
            </w:r>
          </w:p>
        </w:tc>
        <w:tc>
          <w:tcPr>
            <w:tcW w:w="1134" w:type="dxa"/>
          </w:tcPr>
          <w:p w14:paraId="091A563C" w14:textId="77777777" w:rsidR="00222799" w:rsidRPr="00FD35ED" w:rsidRDefault="00222799" w:rsidP="000F64C7">
            <w:pPr>
              <w:pStyle w:val="Tabletext"/>
              <w:ind w:left="0" w:right="0"/>
            </w:pPr>
            <w:r w:rsidRPr="00FD35ED">
              <w:t>100</w:t>
            </w:r>
          </w:p>
        </w:tc>
        <w:tc>
          <w:tcPr>
            <w:tcW w:w="1134" w:type="dxa"/>
          </w:tcPr>
          <w:p w14:paraId="526AECCD" w14:textId="77777777" w:rsidR="00222799" w:rsidRPr="00FD35ED" w:rsidRDefault="00222799" w:rsidP="000F64C7">
            <w:pPr>
              <w:pStyle w:val="Tabletext"/>
              <w:ind w:left="0" w:right="0"/>
            </w:pPr>
            <w:r w:rsidRPr="00FD35ED">
              <w:t>54</w:t>
            </w:r>
          </w:p>
        </w:tc>
        <w:tc>
          <w:tcPr>
            <w:tcW w:w="1134" w:type="dxa"/>
          </w:tcPr>
          <w:p w14:paraId="6B0B465E" w14:textId="77777777" w:rsidR="00222799" w:rsidRPr="00FD35ED" w:rsidRDefault="00222799" w:rsidP="000F64C7">
            <w:pPr>
              <w:pStyle w:val="Tabletext"/>
              <w:ind w:left="0" w:right="0"/>
              <w:rPr>
                <w:i/>
                <w:iCs/>
              </w:rPr>
            </w:pPr>
            <w:r w:rsidRPr="00FD35ED">
              <w:t>95</w:t>
            </w:r>
          </w:p>
        </w:tc>
        <w:tc>
          <w:tcPr>
            <w:tcW w:w="1134" w:type="dxa"/>
          </w:tcPr>
          <w:p w14:paraId="2A977272" w14:textId="77777777" w:rsidR="00222799" w:rsidRPr="00FD35ED" w:rsidRDefault="00222799" w:rsidP="000F64C7">
            <w:pPr>
              <w:pStyle w:val="Tabletext"/>
              <w:ind w:left="0" w:right="0"/>
              <w:rPr>
                <w:i/>
                <w:iCs/>
              </w:rPr>
            </w:pPr>
            <w:r w:rsidRPr="00FD35ED">
              <w:rPr>
                <w:i/>
                <w:iCs/>
              </w:rPr>
              <w:t>34</w:t>
            </w:r>
          </w:p>
        </w:tc>
      </w:tr>
      <w:tr w:rsidR="00222799" w:rsidRPr="00FD35ED" w14:paraId="39906759" w14:textId="77777777" w:rsidTr="000B0ECB">
        <w:trPr>
          <w:trHeight w:val="20"/>
        </w:trPr>
        <w:tc>
          <w:tcPr>
            <w:tcW w:w="1701" w:type="dxa"/>
            <w:vMerge w:val="restart"/>
          </w:tcPr>
          <w:p w14:paraId="30EB0DAC" w14:textId="69679973" w:rsidR="00222799" w:rsidRPr="00362C15" w:rsidRDefault="00222799" w:rsidP="000F64C7">
            <w:pPr>
              <w:pStyle w:val="Tabletext"/>
              <w:ind w:left="0" w:right="0"/>
              <w:rPr>
                <w:iCs/>
              </w:rPr>
            </w:pPr>
            <w:r w:rsidRPr="00362C15">
              <w:rPr>
                <w:iCs/>
              </w:rPr>
              <w:t>Most common TEAEs (any grade incidence ≥</w:t>
            </w:r>
            <w:r w:rsidR="006D7C69" w:rsidRPr="00362C15">
              <w:rPr>
                <w:iCs/>
              </w:rPr>
              <w:t xml:space="preserve"> </w:t>
            </w:r>
            <w:r w:rsidRPr="00362C15">
              <w:rPr>
                <w:iCs/>
              </w:rPr>
              <w:t xml:space="preserve">15% in the </w:t>
            </w:r>
            <w:proofErr w:type="spellStart"/>
            <w:r w:rsidRPr="00362C15">
              <w:rPr>
                <w:iCs/>
              </w:rPr>
              <w:t>tebentafusp</w:t>
            </w:r>
            <w:proofErr w:type="spellEnd"/>
            <w:r w:rsidRPr="00362C15">
              <w:rPr>
                <w:iCs/>
              </w:rPr>
              <w:t xml:space="preserve"> arm), %</w:t>
            </w:r>
          </w:p>
        </w:tc>
        <w:tc>
          <w:tcPr>
            <w:tcW w:w="2117" w:type="dxa"/>
          </w:tcPr>
          <w:p w14:paraId="447840E6" w14:textId="77777777" w:rsidR="00222799" w:rsidRPr="00362C15" w:rsidRDefault="00222799" w:rsidP="000F64C7">
            <w:pPr>
              <w:pStyle w:val="Tabletext"/>
              <w:ind w:left="0" w:right="0"/>
              <w:rPr>
                <w:iCs/>
              </w:rPr>
            </w:pPr>
            <w:r w:rsidRPr="00362C15">
              <w:rPr>
                <w:iCs/>
              </w:rPr>
              <w:t>Pyrexia (GT)</w:t>
            </w:r>
            <w:r w:rsidRPr="00362C15">
              <w:rPr>
                <w:iCs/>
                <w:vertAlign w:val="superscript"/>
              </w:rPr>
              <w:t>2</w:t>
            </w:r>
          </w:p>
        </w:tc>
        <w:tc>
          <w:tcPr>
            <w:tcW w:w="1134" w:type="dxa"/>
          </w:tcPr>
          <w:p w14:paraId="545E80FC" w14:textId="77777777" w:rsidR="00222799" w:rsidRPr="00362C15" w:rsidRDefault="00222799" w:rsidP="000F64C7">
            <w:pPr>
              <w:pStyle w:val="Tabletext"/>
              <w:ind w:left="0" w:right="0"/>
              <w:rPr>
                <w:iCs/>
              </w:rPr>
            </w:pPr>
            <w:r w:rsidRPr="00362C15">
              <w:rPr>
                <w:iCs/>
              </w:rPr>
              <w:t>78</w:t>
            </w:r>
          </w:p>
        </w:tc>
        <w:tc>
          <w:tcPr>
            <w:tcW w:w="1134" w:type="dxa"/>
            <w:shd w:val="clear" w:color="auto" w:fill="ECECEC"/>
          </w:tcPr>
          <w:p w14:paraId="48871DAF" w14:textId="77777777" w:rsidR="00222799" w:rsidRPr="00362C15" w:rsidRDefault="00222799" w:rsidP="000F64C7">
            <w:pPr>
              <w:pStyle w:val="Tabletext"/>
              <w:ind w:left="0" w:right="0"/>
              <w:rPr>
                <w:iCs/>
              </w:rPr>
            </w:pPr>
            <w:r w:rsidRPr="00362C15">
              <w:rPr>
                <w:iCs/>
                <w:color w:val="000000"/>
              </w:rPr>
              <w:t>4</w:t>
            </w:r>
          </w:p>
        </w:tc>
        <w:tc>
          <w:tcPr>
            <w:tcW w:w="1134" w:type="dxa"/>
          </w:tcPr>
          <w:p w14:paraId="028AB020" w14:textId="77777777" w:rsidR="00222799" w:rsidRPr="00362C15" w:rsidRDefault="00222799" w:rsidP="000F64C7">
            <w:pPr>
              <w:pStyle w:val="Tabletext"/>
              <w:ind w:left="0" w:right="0"/>
              <w:rPr>
                <w:iCs/>
              </w:rPr>
            </w:pPr>
            <w:r w:rsidRPr="00362C15">
              <w:rPr>
                <w:iCs/>
              </w:rPr>
              <w:t>7</w:t>
            </w:r>
          </w:p>
        </w:tc>
        <w:tc>
          <w:tcPr>
            <w:tcW w:w="1134" w:type="dxa"/>
          </w:tcPr>
          <w:p w14:paraId="1D935E2B" w14:textId="77777777" w:rsidR="00222799" w:rsidRPr="00362C15" w:rsidRDefault="00222799" w:rsidP="000F64C7">
            <w:pPr>
              <w:pStyle w:val="Tabletext"/>
              <w:ind w:left="0" w:right="0"/>
              <w:rPr>
                <w:iCs/>
              </w:rPr>
            </w:pPr>
            <w:r w:rsidRPr="00362C15">
              <w:rPr>
                <w:iCs/>
              </w:rPr>
              <w:t>0.9</w:t>
            </w:r>
          </w:p>
        </w:tc>
      </w:tr>
      <w:tr w:rsidR="00222799" w:rsidRPr="00FD35ED" w14:paraId="55584C75" w14:textId="77777777" w:rsidTr="000B0ECB">
        <w:trPr>
          <w:trHeight w:val="20"/>
        </w:trPr>
        <w:tc>
          <w:tcPr>
            <w:tcW w:w="1701" w:type="dxa"/>
            <w:vMerge/>
          </w:tcPr>
          <w:p w14:paraId="73D99600" w14:textId="77777777" w:rsidR="00222799" w:rsidRPr="00F10F6D" w:rsidRDefault="00222799" w:rsidP="000F64C7">
            <w:pPr>
              <w:pStyle w:val="Tabletext"/>
              <w:ind w:left="0" w:right="0"/>
            </w:pPr>
          </w:p>
        </w:tc>
        <w:tc>
          <w:tcPr>
            <w:tcW w:w="2117" w:type="dxa"/>
          </w:tcPr>
          <w:p w14:paraId="7D5C6194" w14:textId="77777777" w:rsidR="00222799" w:rsidRPr="00362C15" w:rsidRDefault="00222799" w:rsidP="000F64C7">
            <w:pPr>
              <w:pStyle w:val="Tabletext"/>
              <w:ind w:left="0" w:right="0"/>
              <w:rPr>
                <w:iCs/>
              </w:rPr>
            </w:pPr>
            <w:r w:rsidRPr="00362C15">
              <w:rPr>
                <w:iCs/>
              </w:rPr>
              <w:t>Fatigue (GT)</w:t>
            </w:r>
          </w:p>
        </w:tc>
        <w:tc>
          <w:tcPr>
            <w:tcW w:w="1134" w:type="dxa"/>
          </w:tcPr>
          <w:p w14:paraId="5C18540A" w14:textId="77777777" w:rsidR="00222799" w:rsidRPr="00362C15" w:rsidRDefault="00222799" w:rsidP="000F64C7">
            <w:pPr>
              <w:pStyle w:val="Tabletext"/>
              <w:ind w:left="0" w:right="0"/>
              <w:rPr>
                <w:iCs/>
              </w:rPr>
            </w:pPr>
            <w:r w:rsidRPr="00362C15">
              <w:rPr>
                <w:iCs/>
              </w:rPr>
              <w:t>64</w:t>
            </w:r>
          </w:p>
        </w:tc>
        <w:tc>
          <w:tcPr>
            <w:tcW w:w="1134" w:type="dxa"/>
            <w:shd w:val="clear" w:color="auto" w:fill="E2E2E2"/>
          </w:tcPr>
          <w:p w14:paraId="2C5CE56A" w14:textId="77777777" w:rsidR="00222799" w:rsidRPr="00362C15" w:rsidRDefault="00222799" w:rsidP="000F64C7">
            <w:pPr>
              <w:pStyle w:val="Tabletext"/>
              <w:ind w:left="0" w:right="0"/>
              <w:rPr>
                <w:iCs/>
              </w:rPr>
            </w:pPr>
            <w:r w:rsidRPr="00362C15">
              <w:rPr>
                <w:iCs/>
                <w:color w:val="000000"/>
              </w:rPr>
              <w:t>6</w:t>
            </w:r>
          </w:p>
        </w:tc>
        <w:tc>
          <w:tcPr>
            <w:tcW w:w="1134" w:type="dxa"/>
          </w:tcPr>
          <w:p w14:paraId="02D9EEED" w14:textId="77777777" w:rsidR="00222799" w:rsidRPr="00362C15" w:rsidRDefault="00222799" w:rsidP="000F64C7">
            <w:pPr>
              <w:pStyle w:val="Tabletext"/>
              <w:ind w:left="0" w:right="0"/>
              <w:rPr>
                <w:iCs/>
              </w:rPr>
            </w:pPr>
            <w:r w:rsidRPr="00362C15">
              <w:rPr>
                <w:iCs/>
              </w:rPr>
              <w:t>42</w:t>
            </w:r>
          </w:p>
        </w:tc>
        <w:tc>
          <w:tcPr>
            <w:tcW w:w="1134" w:type="dxa"/>
          </w:tcPr>
          <w:p w14:paraId="7DAF9E49" w14:textId="77777777" w:rsidR="00222799" w:rsidRPr="00362C15" w:rsidRDefault="00222799" w:rsidP="000F64C7">
            <w:pPr>
              <w:pStyle w:val="Tabletext"/>
              <w:ind w:left="0" w:right="0"/>
              <w:rPr>
                <w:iCs/>
              </w:rPr>
            </w:pPr>
            <w:r w:rsidRPr="00362C15">
              <w:rPr>
                <w:iCs/>
              </w:rPr>
              <w:t>0.9</w:t>
            </w:r>
          </w:p>
        </w:tc>
      </w:tr>
      <w:tr w:rsidR="00222799" w:rsidRPr="00FD35ED" w14:paraId="040606B1" w14:textId="77777777" w:rsidTr="000B0ECB">
        <w:trPr>
          <w:trHeight w:val="20"/>
        </w:trPr>
        <w:tc>
          <w:tcPr>
            <w:tcW w:w="1701" w:type="dxa"/>
            <w:vMerge/>
          </w:tcPr>
          <w:p w14:paraId="377A11AD" w14:textId="77777777" w:rsidR="00222799" w:rsidRPr="00F10F6D" w:rsidRDefault="00222799" w:rsidP="000F64C7">
            <w:pPr>
              <w:pStyle w:val="Tabletext"/>
              <w:ind w:left="0" w:right="0"/>
            </w:pPr>
          </w:p>
        </w:tc>
        <w:tc>
          <w:tcPr>
            <w:tcW w:w="2117" w:type="dxa"/>
          </w:tcPr>
          <w:p w14:paraId="6104E646" w14:textId="77777777" w:rsidR="00222799" w:rsidRPr="00362C15" w:rsidRDefault="00222799" w:rsidP="000F64C7">
            <w:pPr>
              <w:pStyle w:val="Tabletext"/>
              <w:ind w:left="0" w:right="0"/>
              <w:rPr>
                <w:iCs/>
              </w:rPr>
            </w:pPr>
            <w:r w:rsidRPr="00362C15">
              <w:rPr>
                <w:iCs/>
              </w:rPr>
              <w:t>Chills</w:t>
            </w:r>
          </w:p>
        </w:tc>
        <w:tc>
          <w:tcPr>
            <w:tcW w:w="1134" w:type="dxa"/>
          </w:tcPr>
          <w:p w14:paraId="1402EFC3" w14:textId="77777777" w:rsidR="00222799" w:rsidRPr="00362C15" w:rsidRDefault="00222799" w:rsidP="000F64C7">
            <w:pPr>
              <w:pStyle w:val="Tabletext"/>
              <w:ind w:left="0" w:right="0"/>
              <w:rPr>
                <w:iCs/>
              </w:rPr>
            </w:pPr>
            <w:r w:rsidRPr="00362C15">
              <w:rPr>
                <w:iCs/>
              </w:rPr>
              <w:t>48</w:t>
            </w:r>
          </w:p>
        </w:tc>
        <w:tc>
          <w:tcPr>
            <w:tcW w:w="1134" w:type="dxa"/>
          </w:tcPr>
          <w:p w14:paraId="4FB4C7A2" w14:textId="77777777" w:rsidR="00222799" w:rsidRPr="00362C15" w:rsidRDefault="00222799" w:rsidP="000F64C7">
            <w:pPr>
              <w:pStyle w:val="Tabletext"/>
              <w:ind w:left="0" w:right="0"/>
              <w:rPr>
                <w:iCs/>
              </w:rPr>
            </w:pPr>
            <w:r w:rsidRPr="00362C15">
              <w:rPr>
                <w:iCs/>
                <w:color w:val="000000"/>
              </w:rPr>
              <w:t>0.4</w:t>
            </w:r>
          </w:p>
        </w:tc>
        <w:tc>
          <w:tcPr>
            <w:tcW w:w="1134" w:type="dxa"/>
          </w:tcPr>
          <w:p w14:paraId="655B69BE" w14:textId="77777777" w:rsidR="00222799" w:rsidRPr="00362C15" w:rsidRDefault="00222799" w:rsidP="000F64C7">
            <w:pPr>
              <w:pStyle w:val="Tabletext"/>
              <w:ind w:left="0" w:right="0"/>
              <w:rPr>
                <w:iCs/>
              </w:rPr>
            </w:pPr>
            <w:r w:rsidRPr="00362C15">
              <w:rPr>
                <w:iCs/>
              </w:rPr>
              <w:t>4</w:t>
            </w:r>
          </w:p>
        </w:tc>
        <w:tc>
          <w:tcPr>
            <w:tcW w:w="1134" w:type="dxa"/>
          </w:tcPr>
          <w:p w14:paraId="7EF47A55" w14:textId="77777777" w:rsidR="00222799" w:rsidRPr="00362C15" w:rsidRDefault="00222799" w:rsidP="000F64C7">
            <w:pPr>
              <w:pStyle w:val="Tabletext"/>
              <w:ind w:left="0" w:right="0"/>
              <w:rPr>
                <w:iCs/>
              </w:rPr>
            </w:pPr>
            <w:r w:rsidRPr="00362C15">
              <w:rPr>
                <w:iCs/>
              </w:rPr>
              <w:t>0</w:t>
            </w:r>
          </w:p>
        </w:tc>
      </w:tr>
      <w:tr w:rsidR="00222799" w:rsidRPr="00FD35ED" w14:paraId="2611ACA3" w14:textId="77777777" w:rsidTr="000B0ECB">
        <w:trPr>
          <w:trHeight w:val="20"/>
        </w:trPr>
        <w:tc>
          <w:tcPr>
            <w:tcW w:w="1701" w:type="dxa"/>
            <w:vMerge/>
          </w:tcPr>
          <w:p w14:paraId="763B78DB" w14:textId="77777777" w:rsidR="00222799" w:rsidRPr="00F10F6D" w:rsidRDefault="00222799" w:rsidP="000F64C7">
            <w:pPr>
              <w:pStyle w:val="Tabletext"/>
              <w:ind w:left="0" w:right="0"/>
            </w:pPr>
          </w:p>
        </w:tc>
        <w:tc>
          <w:tcPr>
            <w:tcW w:w="2117" w:type="dxa"/>
          </w:tcPr>
          <w:p w14:paraId="6298717A" w14:textId="77777777" w:rsidR="00222799" w:rsidRPr="00362C15" w:rsidRDefault="00222799" w:rsidP="000F64C7">
            <w:pPr>
              <w:pStyle w:val="Tabletext"/>
              <w:ind w:left="0" w:right="0"/>
              <w:rPr>
                <w:iCs/>
              </w:rPr>
            </w:pPr>
            <w:r w:rsidRPr="00362C15">
              <w:rPr>
                <w:iCs/>
              </w:rPr>
              <w:t>Oedema (GT)</w:t>
            </w:r>
          </w:p>
        </w:tc>
        <w:tc>
          <w:tcPr>
            <w:tcW w:w="1134" w:type="dxa"/>
          </w:tcPr>
          <w:p w14:paraId="0D464258" w14:textId="77777777" w:rsidR="00222799" w:rsidRPr="00362C15" w:rsidRDefault="00222799" w:rsidP="000F64C7">
            <w:pPr>
              <w:pStyle w:val="Tabletext"/>
              <w:ind w:left="0" w:right="0"/>
              <w:rPr>
                <w:iCs/>
              </w:rPr>
            </w:pPr>
            <w:r w:rsidRPr="00362C15">
              <w:rPr>
                <w:iCs/>
              </w:rPr>
              <w:t>40</w:t>
            </w:r>
          </w:p>
        </w:tc>
        <w:tc>
          <w:tcPr>
            <w:tcW w:w="1134" w:type="dxa"/>
          </w:tcPr>
          <w:p w14:paraId="5B6BE875" w14:textId="77777777" w:rsidR="00222799" w:rsidRPr="00362C15" w:rsidRDefault="00222799" w:rsidP="000F64C7">
            <w:pPr>
              <w:pStyle w:val="Tabletext"/>
              <w:ind w:left="0" w:right="0"/>
              <w:rPr>
                <w:iCs/>
              </w:rPr>
            </w:pPr>
            <w:r w:rsidRPr="00362C15">
              <w:rPr>
                <w:iCs/>
                <w:color w:val="000000"/>
              </w:rPr>
              <w:t>0</w:t>
            </w:r>
          </w:p>
        </w:tc>
        <w:tc>
          <w:tcPr>
            <w:tcW w:w="1134" w:type="dxa"/>
          </w:tcPr>
          <w:p w14:paraId="55C1BD13" w14:textId="77777777" w:rsidR="00222799" w:rsidRPr="00362C15" w:rsidRDefault="00222799" w:rsidP="000F64C7">
            <w:pPr>
              <w:pStyle w:val="Tabletext"/>
              <w:ind w:left="0" w:right="0"/>
              <w:rPr>
                <w:iCs/>
              </w:rPr>
            </w:pPr>
            <w:r w:rsidRPr="00362C15">
              <w:rPr>
                <w:iCs/>
              </w:rPr>
              <w:t>7</w:t>
            </w:r>
          </w:p>
        </w:tc>
        <w:tc>
          <w:tcPr>
            <w:tcW w:w="1134" w:type="dxa"/>
          </w:tcPr>
          <w:p w14:paraId="047F6350" w14:textId="77777777" w:rsidR="00222799" w:rsidRPr="00362C15" w:rsidRDefault="00222799" w:rsidP="000F64C7">
            <w:pPr>
              <w:pStyle w:val="Tabletext"/>
              <w:ind w:left="0" w:right="0"/>
              <w:rPr>
                <w:iCs/>
              </w:rPr>
            </w:pPr>
            <w:r w:rsidRPr="00362C15">
              <w:rPr>
                <w:iCs/>
              </w:rPr>
              <w:t>0</w:t>
            </w:r>
          </w:p>
        </w:tc>
      </w:tr>
      <w:tr w:rsidR="00222799" w:rsidRPr="00FD35ED" w14:paraId="3B40707F" w14:textId="77777777" w:rsidTr="000B0ECB">
        <w:trPr>
          <w:trHeight w:val="20"/>
        </w:trPr>
        <w:tc>
          <w:tcPr>
            <w:tcW w:w="1701" w:type="dxa"/>
            <w:vMerge/>
          </w:tcPr>
          <w:p w14:paraId="0F18A204" w14:textId="77777777" w:rsidR="00222799" w:rsidRPr="00F10F6D" w:rsidRDefault="00222799" w:rsidP="000F64C7">
            <w:pPr>
              <w:pStyle w:val="Tabletext"/>
              <w:ind w:left="0" w:right="0"/>
            </w:pPr>
          </w:p>
        </w:tc>
        <w:tc>
          <w:tcPr>
            <w:tcW w:w="2117" w:type="dxa"/>
          </w:tcPr>
          <w:p w14:paraId="3F0C1ACA" w14:textId="77777777" w:rsidR="00222799" w:rsidRPr="00362C15" w:rsidRDefault="00222799" w:rsidP="000F64C7">
            <w:pPr>
              <w:pStyle w:val="Tabletext"/>
              <w:ind w:left="0" w:right="0"/>
              <w:rPr>
                <w:iCs/>
              </w:rPr>
            </w:pPr>
            <w:r w:rsidRPr="00362C15">
              <w:rPr>
                <w:iCs/>
              </w:rPr>
              <w:t>Rash (GT)</w:t>
            </w:r>
          </w:p>
        </w:tc>
        <w:tc>
          <w:tcPr>
            <w:tcW w:w="1134" w:type="dxa"/>
          </w:tcPr>
          <w:p w14:paraId="4E6C9F15" w14:textId="77777777" w:rsidR="00222799" w:rsidRPr="00362C15" w:rsidRDefault="00222799" w:rsidP="000F64C7">
            <w:pPr>
              <w:pStyle w:val="Tabletext"/>
              <w:ind w:left="0" w:right="0"/>
              <w:rPr>
                <w:iCs/>
              </w:rPr>
            </w:pPr>
            <w:r w:rsidRPr="00362C15">
              <w:rPr>
                <w:iCs/>
              </w:rPr>
              <w:t>82</w:t>
            </w:r>
          </w:p>
        </w:tc>
        <w:tc>
          <w:tcPr>
            <w:tcW w:w="1134" w:type="dxa"/>
            <w:shd w:val="clear" w:color="auto" w:fill="A6A6A6"/>
          </w:tcPr>
          <w:p w14:paraId="381FD174" w14:textId="77777777" w:rsidR="00222799" w:rsidRPr="00362C15" w:rsidRDefault="00222799" w:rsidP="000F64C7">
            <w:pPr>
              <w:pStyle w:val="Tabletext"/>
              <w:ind w:left="0" w:right="0"/>
              <w:rPr>
                <w:iCs/>
              </w:rPr>
            </w:pPr>
            <w:r w:rsidRPr="00362C15">
              <w:rPr>
                <w:iCs/>
                <w:color w:val="000000"/>
              </w:rPr>
              <w:t>18</w:t>
            </w:r>
          </w:p>
        </w:tc>
        <w:tc>
          <w:tcPr>
            <w:tcW w:w="1134" w:type="dxa"/>
          </w:tcPr>
          <w:p w14:paraId="37B32D67" w14:textId="77777777" w:rsidR="00222799" w:rsidRPr="00362C15" w:rsidRDefault="00222799" w:rsidP="000F64C7">
            <w:pPr>
              <w:pStyle w:val="Tabletext"/>
              <w:ind w:left="0" w:right="0"/>
              <w:rPr>
                <w:iCs/>
              </w:rPr>
            </w:pPr>
            <w:r w:rsidRPr="00362C15">
              <w:rPr>
                <w:iCs/>
              </w:rPr>
              <w:t>28</w:t>
            </w:r>
          </w:p>
        </w:tc>
        <w:tc>
          <w:tcPr>
            <w:tcW w:w="1134" w:type="dxa"/>
          </w:tcPr>
          <w:p w14:paraId="6FE18F39" w14:textId="77777777" w:rsidR="00222799" w:rsidRPr="00362C15" w:rsidRDefault="00222799" w:rsidP="000F64C7">
            <w:pPr>
              <w:pStyle w:val="Tabletext"/>
              <w:ind w:left="0" w:right="0"/>
              <w:rPr>
                <w:iCs/>
              </w:rPr>
            </w:pPr>
            <w:r w:rsidRPr="00362C15">
              <w:rPr>
                <w:iCs/>
              </w:rPr>
              <w:t>0</w:t>
            </w:r>
          </w:p>
        </w:tc>
      </w:tr>
      <w:tr w:rsidR="00222799" w:rsidRPr="00FD35ED" w14:paraId="669F7F48" w14:textId="77777777" w:rsidTr="000B0ECB">
        <w:trPr>
          <w:trHeight w:val="20"/>
        </w:trPr>
        <w:tc>
          <w:tcPr>
            <w:tcW w:w="1701" w:type="dxa"/>
            <w:vMerge/>
          </w:tcPr>
          <w:p w14:paraId="32289C78" w14:textId="77777777" w:rsidR="00222799" w:rsidRPr="00F10F6D" w:rsidRDefault="00222799" w:rsidP="000F64C7">
            <w:pPr>
              <w:pStyle w:val="Tabletext"/>
              <w:ind w:left="0" w:right="0"/>
            </w:pPr>
          </w:p>
        </w:tc>
        <w:tc>
          <w:tcPr>
            <w:tcW w:w="2117" w:type="dxa"/>
          </w:tcPr>
          <w:p w14:paraId="5B076363" w14:textId="77777777" w:rsidR="00222799" w:rsidRPr="00362C15" w:rsidRDefault="00222799" w:rsidP="000F64C7">
            <w:pPr>
              <w:pStyle w:val="Tabletext"/>
              <w:ind w:left="0" w:right="0"/>
              <w:rPr>
                <w:iCs/>
              </w:rPr>
            </w:pPr>
            <w:r w:rsidRPr="00362C15">
              <w:rPr>
                <w:iCs/>
              </w:rPr>
              <w:t>Pruritus</w:t>
            </w:r>
          </w:p>
        </w:tc>
        <w:tc>
          <w:tcPr>
            <w:tcW w:w="1134" w:type="dxa"/>
          </w:tcPr>
          <w:p w14:paraId="457CA4DB" w14:textId="77777777" w:rsidR="00222799" w:rsidRPr="00362C15" w:rsidRDefault="00222799" w:rsidP="000F64C7">
            <w:pPr>
              <w:pStyle w:val="Tabletext"/>
              <w:ind w:left="0" w:right="0"/>
              <w:rPr>
                <w:iCs/>
              </w:rPr>
            </w:pPr>
            <w:r w:rsidRPr="00362C15">
              <w:rPr>
                <w:iCs/>
              </w:rPr>
              <w:t>69</w:t>
            </w:r>
          </w:p>
        </w:tc>
        <w:tc>
          <w:tcPr>
            <w:tcW w:w="1134" w:type="dxa"/>
            <w:shd w:val="clear" w:color="auto" w:fill="ECECEC"/>
          </w:tcPr>
          <w:p w14:paraId="59CD41DE" w14:textId="77777777" w:rsidR="00222799" w:rsidRPr="00362C15" w:rsidRDefault="00222799" w:rsidP="000F64C7">
            <w:pPr>
              <w:pStyle w:val="Tabletext"/>
              <w:ind w:left="0" w:right="0"/>
              <w:rPr>
                <w:iCs/>
              </w:rPr>
            </w:pPr>
            <w:r w:rsidRPr="00362C15">
              <w:rPr>
                <w:iCs/>
                <w:color w:val="000000"/>
              </w:rPr>
              <w:t>4</w:t>
            </w:r>
          </w:p>
        </w:tc>
        <w:tc>
          <w:tcPr>
            <w:tcW w:w="1134" w:type="dxa"/>
          </w:tcPr>
          <w:p w14:paraId="3264D976" w14:textId="77777777" w:rsidR="00222799" w:rsidRPr="00362C15" w:rsidRDefault="00222799" w:rsidP="000F64C7">
            <w:pPr>
              <w:pStyle w:val="Tabletext"/>
              <w:ind w:left="0" w:right="0"/>
              <w:rPr>
                <w:iCs/>
              </w:rPr>
            </w:pPr>
            <w:r w:rsidRPr="00362C15">
              <w:rPr>
                <w:iCs/>
              </w:rPr>
              <w:t>23</w:t>
            </w:r>
          </w:p>
        </w:tc>
        <w:tc>
          <w:tcPr>
            <w:tcW w:w="1134" w:type="dxa"/>
          </w:tcPr>
          <w:p w14:paraId="61F7485A" w14:textId="77777777" w:rsidR="00222799" w:rsidRPr="00362C15" w:rsidRDefault="00222799" w:rsidP="000F64C7">
            <w:pPr>
              <w:pStyle w:val="Tabletext"/>
              <w:ind w:left="0" w:right="0"/>
              <w:rPr>
                <w:iCs/>
              </w:rPr>
            </w:pPr>
            <w:r w:rsidRPr="00362C15">
              <w:rPr>
                <w:iCs/>
              </w:rPr>
              <w:t>0</w:t>
            </w:r>
          </w:p>
        </w:tc>
      </w:tr>
      <w:tr w:rsidR="00222799" w:rsidRPr="00FD35ED" w14:paraId="212E96E1" w14:textId="77777777" w:rsidTr="000B0ECB">
        <w:trPr>
          <w:trHeight w:val="20"/>
        </w:trPr>
        <w:tc>
          <w:tcPr>
            <w:tcW w:w="1701" w:type="dxa"/>
            <w:vMerge/>
          </w:tcPr>
          <w:p w14:paraId="0FE2DE27" w14:textId="77777777" w:rsidR="00222799" w:rsidRPr="00F10F6D" w:rsidRDefault="00222799" w:rsidP="000F64C7">
            <w:pPr>
              <w:pStyle w:val="Tabletext"/>
              <w:ind w:left="0" w:right="0"/>
            </w:pPr>
          </w:p>
        </w:tc>
        <w:tc>
          <w:tcPr>
            <w:tcW w:w="2117" w:type="dxa"/>
          </w:tcPr>
          <w:p w14:paraId="0D712E5A" w14:textId="77777777" w:rsidR="00222799" w:rsidRPr="00362C15" w:rsidRDefault="00222799" w:rsidP="000F64C7">
            <w:pPr>
              <w:pStyle w:val="Tabletext"/>
              <w:ind w:left="0" w:right="0"/>
              <w:rPr>
                <w:iCs/>
              </w:rPr>
            </w:pPr>
            <w:r w:rsidRPr="00362C15">
              <w:rPr>
                <w:iCs/>
              </w:rPr>
              <w:t>Dry skin</w:t>
            </w:r>
          </w:p>
        </w:tc>
        <w:tc>
          <w:tcPr>
            <w:tcW w:w="1134" w:type="dxa"/>
          </w:tcPr>
          <w:p w14:paraId="4A0BDE4E" w14:textId="77777777" w:rsidR="00222799" w:rsidRPr="00362C15" w:rsidRDefault="00222799" w:rsidP="000F64C7">
            <w:pPr>
              <w:pStyle w:val="Tabletext"/>
              <w:ind w:left="0" w:right="0"/>
              <w:rPr>
                <w:iCs/>
              </w:rPr>
            </w:pPr>
            <w:r w:rsidRPr="00362C15">
              <w:rPr>
                <w:iCs/>
              </w:rPr>
              <w:t>31</w:t>
            </w:r>
          </w:p>
        </w:tc>
        <w:tc>
          <w:tcPr>
            <w:tcW w:w="1134" w:type="dxa"/>
          </w:tcPr>
          <w:p w14:paraId="445C253C" w14:textId="77777777" w:rsidR="00222799" w:rsidRPr="00362C15" w:rsidRDefault="00222799" w:rsidP="000F64C7">
            <w:pPr>
              <w:pStyle w:val="Tabletext"/>
              <w:ind w:left="0" w:right="0"/>
              <w:rPr>
                <w:iCs/>
              </w:rPr>
            </w:pPr>
            <w:r w:rsidRPr="00362C15">
              <w:rPr>
                <w:iCs/>
                <w:color w:val="000000"/>
              </w:rPr>
              <w:t>0</w:t>
            </w:r>
          </w:p>
        </w:tc>
        <w:tc>
          <w:tcPr>
            <w:tcW w:w="1134" w:type="dxa"/>
          </w:tcPr>
          <w:p w14:paraId="1E0D52E7" w14:textId="77777777" w:rsidR="00222799" w:rsidRPr="00362C15" w:rsidRDefault="00222799" w:rsidP="000F64C7">
            <w:pPr>
              <w:pStyle w:val="Tabletext"/>
              <w:ind w:left="0" w:right="0"/>
              <w:rPr>
                <w:iCs/>
              </w:rPr>
            </w:pPr>
            <w:r w:rsidRPr="00362C15">
              <w:rPr>
                <w:iCs/>
              </w:rPr>
              <w:t>4</w:t>
            </w:r>
          </w:p>
        </w:tc>
        <w:tc>
          <w:tcPr>
            <w:tcW w:w="1134" w:type="dxa"/>
          </w:tcPr>
          <w:p w14:paraId="0032352C" w14:textId="77777777" w:rsidR="00222799" w:rsidRPr="00362C15" w:rsidRDefault="00222799" w:rsidP="000F64C7">
            <w:pPr>
              <w:pStyle w:val="Tabletext"/>
              <w:ind w:left="0" w:right="0"/>
              <w:rPr>
                <w:iCs/>
              </w:rPr>
            </w:pPr>
            <w:r w:rsidRPr="00362C15">
              <w:rPr>
                <w:iCs/>
              </w:rPr>
              <w:t>0</w:t>
            </w:r>
          </w:p>
        </w:tc>
      </w:tr>
      <w:tr w:rsidR="00222799" w:rsidRPr="00FD35ED" w14:paraId="7BDC035D" w14:textId="77777777" w:rsidTr="000B0ECB">
        <w:trPr>
          <w:trHeight w:val="20"/>
        </w:trPr>
        <w:tc>
          <w:tcPr>
            <w:tcW w:w="1701" w:type="dxa"/>
            <w:vMerge/>
          </w:tcPr>
          <w:p w14:paraId="135EEA91" w14:textId="77777777" w:rsidR="00222799" w:rsidRPr="00F10F6D" w:rsidRDefault="00222799" w:rsidP="000F64C7">
            <w:pPr>
              <w:pStyle w:val="Tabletext"/>
              <w:ind w:left="0" w:right="0"/>
            </w:pPr>
          </w:p>
        </w:tc>
        <w:tc>
          <w:tcPr>
            <w:tcW w:w="2117" w:type="dxa"/>
          </w:tcPr>
          <w:p w14:paraId="3B5980B6" w14:textId="77777777" w:rsidR="00222799" w:rsidRPr="00362C15" w:rsidRDefault="00222799" w:rsidP="000F64C7">
            <w:pPr>
              <w:pStyle w:val="Tabletext"/>
              <w:ind w:left="0" w:right="0"/>
              <w:rPr>
                <w:iCs/>
              </w:rPr>
            </w:pPr>
            <w:r w:rsidRPr="00362C15">
              <w:rPr>
                <w:iCs/>
              </w:rPr>
              <w:t>Erythema</w:t>
            </w:r>
          </w:p>
        </w:tc>
        <w:tc>
          <w:tcPr>
            <w:tcW w:w="1134" w:type="dxa"/>
          </w:tcPr>
          <w:p w14:paraId="73AB9D42" w14:textId="77777777" w:rsidR="00222799" w:rsidRPr="00362C15" w:rsidRDefault="00222799" w:rsidP="000F64C7">
            <w:pPr>
              <w:pStyle w:val="Tabletext"/>
              <w:ind w:left="0" w:right="0"/>
              <w:rPr>
                <w:iCs/>
              </w:rPr>
            </w:pPr>
            <w:r w:rsidRPr="00362C15">
              <w:rPr>
                <w:iCs/>
              </w:rPr>
              <w:t>24</w:t>
            </w:r>
          </w:p>
        </w:tc>
        <w:tc>
          <w:tcPr>
            <w:tcW w:w="1134" w:type="dxa"/>
          </w:tcPr>
          <w:p w14:paraId="19BCD056" w14:textId="77777777" w:rsidR="00222799" w:rsidRPr="00362C15" w:rsidRDefault="00222799" w:rsidP="000F64C7">
            <w:pPr>
              <w:pStyle w:val="Tabletext"/>
              <w:ind w:left="0" w:right="0"/>
              <w:rPr>
                <w:iCs/>
              </w:rPr>
            </w:pPr>
            <w:r w:rsidRPr="00362C15">
              <w:rPr>
                <w:iCs/>
                <w:color w:val="000000"/>
              </w:rPr>
              <w:t>0</w:t>
            </w:r>
          </w:p>
        </w:tc>
        <w:tc>
          <w:tcPr>
            <w:tcW w:w="1134" w:type="dxa"/>
          </w:tcPr>
          <w:p w14:paraId="7B912152" w14:textId="77777777" w:rsidR="00222799" w:rsidRPr="00362C15" w:rsidRDefault="00222799" w:rsidP="000F64C7">
            <w:pPr>
              <w:pStyle w:val="Tabletext"/>
              <w:ind w:left="0" w:right="0"/>
              <w:rPr>
                <w:iCs/>
              </w:rPr>
            </w:pPr>
            <w:r w:rsidRPr="00362C15">
              <w:rPr>
                <w:iCs/>
              </w:rPr>
              <w:t>1</w:t>
            </w:r>
          </w:p>
        </w:tc>
        <w:tc>
          <w:tcPr>
            <w:tcW w:w="1134" w:type="dxa"/>
          </w:tcPr>
          <w:p w14:paraId="09B83BD5" w14:textId="77777777" w:rsidR="00222799" w:rsidRPr="00362C15" w:rsidRDefault="00222799" w:rsidP="000F64C7">
            <w:pPr>
              <w:pStyle w:val="Tabletext"/>
              <w:ind w:left="0" w:right="0"/>
              <w:rPr>
                <w:iCs/>
              </w:rPr>
            </w:pPr>
            <w:r w:rsidRPr="00362C15">
              <w:rPr>
                <w:iCs/>
              </w:rPr>
              <w:t>0</w:t>
            </w:r>
          </w:p>
        </w:tc>
      </w:tr>
      <w:tr w:rsidR="00222799" w:rsidRPr="00FD35ED" w14:paraId="6FFDD9F2" w14:textId="77777777" w:rsidTr="000B0ECB">
        <w:trPr>
          <w:trHeight w:val="20"/>
        </w:trPr>
        <w:tc>
          <w:tcPr>
            <w:tcW w:w="1701" w:type="dxa"/>
            <w:vMerge/>
          </w:tcPr>
          <w:p w14:paraId="4279EE56" w14:textId="77777777" w:rsidR="00222799" w:rsidRPr="00F10F6D" w:rsidRDefault="00222799" w:rsidP="000F64C7">
            <w:pPr>
              <w:pStyle w:val="Tabletext"/>
              <w:ind w:left="0" w:right="0"/>
            </w:pPr>
          </w:p>
        </w:tc>
        <w:tc>
          <w:tcPr>
            <w:tcW w:w="2117" w:type="dxa"/>
          </w:tcPr>
          <w:p w14:paraId="5AB93447" w14:textId="77777777" w:rsidR="00222799" w:rsidRPr="00362C15" w:rsidRDefault="00222799" w:rsidP="000F64C7">
            <w:pPr>
              <w:pStyle w:val="Tabletext"/>
              <w:ind w:left="0" w:right="0"/>
              <w:rPr>
                <w:iCs/>
              </w:rPr>
            </w:pPr>
            <w:r w:rsidRPr="00362C15">
              <w:rPr>
                <w:iCs/>
              </w:rPr>
              <w:t>Hair colour changes</w:t>
            </w:r>
          </w:p>
        </w:tc>
        <w:tc>
          <w:tcPr>
            <w:tcW w:w="1134" w:type="dxa"/>
          </w:tcPr>
          <w:p w14:paraId="0E177C3C" w14:textId="77777777" w:rsidR="00222799" w:rsidRPr="00362C15" w:rsidRDefault="00222799" w:rsidP="000F64C7">
            <w:pPr>
              <w:pStyle w:val="Tabletext"/>
              <w:ind w:left="0" w:right="0"/>
              <w:rPr>
                <w:iCs/>
              </w:rPr>
            </w:pPr>
            <w:r w:rsidRPr="00362C15">
              <w:rPr>
                <w:iCs/>
              </w:rPr>
              <w:t>20</w:t>
            </w:r>
          </w:p>
        </w:tc>
        <w:tc>
          <w:tcPr>
            <w:tcW w:w="1134" w:type="dxa"/>
          </w:tcPr>
          <w:p w14:paraId="3605C79D" w14:textId="77777777" w:rsidR="00222799" w:rsidRPr="00362C15" w:rsidRDefault="00222799" w:rsidP="000F64C7">
            <w:pPr>
              <w:pStyle w:val="Tabletext"/>
              <w:ind w:left="0" w:right="0"/>
              <w:rPr>
                <w:iCs/>
              </w:rPr>
            </w:pPr>
            <w:r w:rsidRPr="00362C15">
              <w:rPr>
                <w:iCs/>
                <w:color w:val="000000"/>
              </w:rPr>
              <w:t>0.4</w:t>
            </w:r>
          </w:p>
        </w:tc>
        <w:tc>
          <w:tcPr>
            <w:tcW w:w="1134" w:type="dxa"/>
          </w:tcPr>
          <w:p w14:paraId="16C7A642" w14:textId="77777777" w:rsidR="00222799" w:rsidRPr="00362C15" w:rsidRDefault="00222799" w:rsidP="000F64C7">
            <w:pPr>
              <w:pStyle w:val="Tabletext"/>
              <w:ind w:left="0" w:right="0"/>
              <w:rPr>
                <w:iCs/>
              </w:rPr>
            </w:pPr>
            <w:r w:rsidRPr="00362C15">
              <w:rPr>
                <w:iCs/>
              </w:rPr>
              <w:t>0</w:t>
            </w:r>
          </w:p>
        </w:tc>
        <w:tc>
          <w:tcPr>
            <w:tcW w:w="1134" w:type="dxa"/>
          </w:tcPr>
          <w:p w14:paraId="0441EBC0" w14:textId="77777777" w:rsidR="00222799" w:rsidRPr="00362C15" w:rsidRDefault="00222799" w:rsidP="000F64C7">
            <w:pPr>
              <w:pStyle w:val="Tabletext"/>
              <w:ind w:left="0" w:right="0"/>
              <w:rPr>
                <w:iCs/>
              </w:rPr>
            </w:pPr>
            <w:r w:rsidRPr="00362C15">
              <w:rPr>
                <w:iCs/>
              </w:rPr>
              <w:t>0</w:t>
            </w:r>
          </w:p>
        </w:tc>
      </w:tr>
      <w:tr w:rsidR="00222799" w:rsidRPr="00FD35ED" w14:paraId="53EC73AB" w14:textId="77777777" w:rsidTr="000B0ECB">
        <w:trPr>
          <w:trHeight w:val="20"/>
        </w:trPr>
        <w:tc>
          <w:tcPr>
            <w:tcW w:w="1701" w:type="dxa"/>
            <w:vMerge/>
          </w:tcPr>
          <w:p w14:paraId="789F17C4" w14:textId="77777777" w:rsidR="00222799" w:rsidRPr="00F10F6D" w:rsidRDefault="00222799" w:rsidP="000F64C7">
            <w:pPr>
              <w:pStyle w:val="Tabletext"/>
              <w:ind w:left="0" w:right="0"/>
            </w:pPr>
          </w:p>
        </w:tc>
        <w:tc>
          <w:tcPr>
            <w:tcW w:w="2117" w:type="dxa"/>
          </w:tcPr>
          <w:p w14:paraId="0A5FA7FA" w14:textId="77777777" w:rsidR="00222799" w:rsidRPr="00362C15" w:rsidRDefault="00222799" w:rsidP="000F64C7">
            <w:pPr>
              <w:pStyle w:val="Tabletext"/>
              <w:ind w:left="0" w:right="0"/>
              <w:rPr>
                <w:iCs/>
              </w:rPr>
            </w:pPr>
            <w:r w:rsidRPr="00362C15">
              <w:rPr>
                <w:iCs/>
              </w:rPr>
              <w:t>Vitiligo</w:t>
            </w:r>
          </w:p>
        </w:tc>
        <w:tc>
          <w:tcPr>
            <w:tcW w:w="1134" w:type="dxa"/>
          </w:tcPr>
          <w:p w14:paraId="12BBD958" w14:textId="77777777" w:rsidR="00222799" w:rsidRPr="00362C15" w:rsidRDefault="00222799" w:rsidP="000F64C7">
            <w:pPr>
              <w:pStyle w:val="Tabletext"/>
              <w:ind w:left="0" w:right="0"/>
              <w:rPr>
                <w:iCs/>
              </w:rPr>
            </w:pPr>
            <w:r w:rsidRPr="00362C15">
              <w:rPr>
                <w:iCs/>
              </w:rPr>
              <w:t>16</w:t>
            </w:r>
          </w:p>
        </w:tc>
        <w:tc>
          <w:tcPr>
            <w:tcW w:w="1134" w:type="dxa"/>
          </w:tcPr>
          <w:p w14:paraId="4B8DCF4C" w14:textId="77777777" w:rsidR="00222799" w:rsidRPr="00362C15" w:rsidRDefault="00222799" w:rsidP="000F64C7">
            <w:pPr>
              <w:pStyle w:val="Tabletext"/>
              <w:ind w:left="0" w:right="0"/>
              <w:rPr>
                <w:iCs/>
              </w:rPr>
            </w:pPr>
            <w:r w:rsidRPr="00362C15">
              <w:rPr>
                <w:iCs/>
                <w:color w:val="000000"/>
              </w:rPr>
              <w:t>0</w:t>
            </w:r>
          </w:p>
        </w:tc>
        <w:tc>
          <w:tcPr>
            <w:tcW w:w="1134" w:type="dxa"/>
          </w:tcPr>
          <w:p w14:paraId="1A5677A5" w14:textId="77777777" w:rsidR="00222799" w:rsidRPr="00362C15" w:rsidRDefault="00222799" w:rsidP="000F64C7">
            <w:pPr>
              <w:pStyle w:val="Tabletext"/>
              <w:ind w:left="0" w:right="0"/>
              <w:rPr>
                <w:iCs/>
              </w:rPr>
            </w:pPr>
            <w:r w:rsidRPr="00362C15">
              <w:rPr>
                <w:iCs/>
              </w:rPr>
              <w:t>4</w:t>
            </w:r>
          </w:p>
        </w:tc>
        <w:tc>
          <w:tcPr>
            <w:tcW w:w="1134" w:type="dxa"/>
          </w:tcPr>
          <w:p w14:paraId="0238B10A" w14:textId="77777777" w:rsidR="00222799" w:rsidRPr="00362C15" w:rsidRDefault="00222799" w:rsidP="000F64C7">
            <w:pPr>
              <w:pStyle w:val="Tabletext"/>
              <w:ind w:left="0" w:right="0"/>
              <w:rPr>
                <w:iCs/>
              </w:rPr>
            </w:pPr>
            <w:r w:rsidRPr="00362C15">
              <w:rPr>
                <w:iCs/>
              </w:rPr>
              <w:t>0</w:t>
            </w:r>
          </w:p>
        </w:tc>
      </w:tr>
      <w:tr w:rsidR="00222799" w:rsidRPr="00FD35ED" w14:paraId="6BA3BF05" w14:textId="77777777" w:rsidTr="000B0ECB">
        <w:trPr>
          <w:trHeight w:val="20"/>
        </w:trPr>
        <w:tc>
          <w:tcPr>
            <w:tcW w:w="1701" w:type="dxa"/>
            <w:vMerge/>
          </w:tcPr>
          <w:p w14:paraId="311E5951" w14:textId="77777777" w:rsidR="00222799" w:rsidRPr="00F10F6D" w:rsidRDefault="00222799" w:rsidP="000F64C7">
            <w:pPr>
              <w:pStyle w:val="Tabletext"/>
              <w:ind w:left="0" w:right="0"/>
            </w:pPr>
          </w:p>
        </w:tc>
        <w:tc>
          <w:tcPr>
            <w:tcW w:w="2117" w:type="dxa"/>
          </w:tcPr>
          <w:p w14:paraId="74553C02" w14:textId="77777777" w:rsidR="00222799" w:rsidRPr="00362C15" w:rsidRDefault="00222799" w:rsidP="000F64C7">
            <w:pPr>
              <w:pStyle w:val="Tabletext"/>
              <w:ind w:left="0" w:right="0"/>
              <w:rPr>
                <w:iCs/>
              </w:rPr>
            </w:pPr>
            <w:r w:rsidRPr="00362C15">
              <w:rPr>
                <w:iCs/>
              </w:rPr>
              <w:t>Nausea</w:t>
            </w:r>
          </w:p>
        </w:tc>
        <w:tc>
          <w:tcPr>
            <w:tcW w:w="1134" w:type="dxa"/>
          </w:tcPr>
          <w:p w14:paraId="04EC12CA" w14:textId="77777777" w:rsidR="00222799" w:rsidRPr="00362C15" w:rsidRDefault="00222799" w:rsidP="000F64C7">
            <w:pPr>
              <w:pStyle w:val="Tabletext"/>
              <w:ind w:left="0" w:right="0"/>
              <w:rPr>
                <w:iCs/>
              </w:rPr>
            </w:pPr>
            <w:r w:rsidRPr="00362C15">
              <w:rPr>
                <w:iCs/>
              </w:rPr>
              <w:t>49</w:t>
            </w:r>
          </w:p>
        </w:tc>
        <w:tc>
          <w:tcPr>
            <w:tcW w:w="1134" w:type="dxa"/>
            <w:shd w:val="clear" w:color="auto" w:fill="F6F6F6"/>
          </w:tcPr>
          <w:p w14:paraId="6F997ECF" w14:textId="77777777" w:rsidR="00222799" w:rsidRPr="00362C15" w:rsidRDefault="00222799" w:rsidP="000F64C7">
            <w:pPr>
              <w:pStyle w:val="Tabletext"/>
              <w:ind w:left="0" w:right="0"/>
              <w:rPr>
                <w:iCs/>
              </w:rPr>
            </w:pPr>
            <w:r w:rsidRPr="00362C15">
              <w:rPr>
                <w:iCs/>
                <w:color w:val="000000"/>
              </w:rPr>
              <w:t>2</w:t>
            </w:r>
          </w:p>
        </w:tc>
        <w:tc>
          <w:tcPr>
            <w:tcW w:w="1134" w:type="dxa"/>
          </w:tcPr>
          <w:p w14:paraId="6EA2CA93" w14:textId="77777777" w:rsidR="00222799" w:rsidRPr="00362C15" w:rsidRDefault="00222799" w:rsidP="000F64C7">
            <w:pPr>
              <w:pStyle w:val="Tabletext"/>
              <w:ind w:left="0" w:right="0"/>
              <w:rPr>
                <w:iCs/>
              </w:rPr>
            </w:pPr>
            <w:r w:rsidRPr="00362C15">
              <w:rPr>
                <w:iCs/>
              </w:rPr>
              <w:t>26</w:t>
            </w:r>
          </w:p>
        </w:tc>
        <w:tc>
          <w:tcPr>
            <w:tcW w:w="1134" w:type="dxa"/>
          </w:tcPr>
          <w:p w14:paraId="76426182" w14:textId="77777777" w:rsidR="00222799" w:rsidRPr="00362C15" w:rsidRDefault="00222799" w:rsidP="000F64C7">
            <w:pPr>
              <w:pStyle w:val="Tabletext"/>
              <w:ind w:left="0" w:right="0"/>
              <w:rPr>
                <w:iCs/>
              </w:rPr>
            </w:pPr>
            <w:r w:rsidRPr="00362C15">
              <w:rPr>
                <w:iCs/>
              </w:rPr>
              <w:t>0.9</w:t>
            </w:r>
          </w:p>
        </w:tc>
      </w:tr>
      <w:tr w:rsidR="00222799" w:rsidRPr="00FD35ED" w14:paraId="1A26B4CD" w14:textId="77777777" w:rsidTr="000B0ECB">
        <w:trPr>
          <w:trHeight w:val="20"/>
        </w:trPr>
        <w:tc>
          <w:tcPr>
            <w:tcW w:w="1701" w:type="dxa"/>
            <w:vMerge/>
          </w:tcPr>
          <w:p w14:paraId="03E41A55" w14:textId="77777777" w:rsidR="00222799" w:rsidRPr="00FD35ED" w:rsidRDefault="00222799" w:rsidP="000F64C7">
            <w:pPr>
              <w:pStyle w:val="Tabletext"/>
              <w:ind w:left="0" w:right="0"/>
            </w:pPr>
          </w:p>
        </w:tc>
        <w:tc>
          <w:tcPr>
            <w:tcW w:w="2117" w:type="dxa"/>
          </w:tcPr>
          <w:p w14:paraId="60D2D790" w14:textId="77777777" w:rsidR="00222799" w:rsidRPr="00362C15" w:rsidRDefault="00222799" w:rsidP="000F64C7">
            <w:pPr>
              <w:pStyle w:val="Tabletext"/>
              <w:ind w:left="0" w:right="0"/>
              <w:rPr>
                <w:iCs/>
              </w:rPr>
            </w:pPr>
            <w:r w:rsidRPr="00362C15">
              <w:rPr>
                <w:iCs/>
              </w:rPr>
              <w:t>Abdominal pain (GT)</w:t>
            </w:r>
          </w:p>
        </w:tc>
        <w:tc>
          <w:tcPr>
            <w:tcW w:w="1134" w:type="dxa"/>
          </w:tcPr>
          <w:p w14:paraId="13A4A15B" w14:textId="77777777" w:rsidR="00222799" w:rsidRPr="00362C15" w:rsidRDefault="00222799" w:rsidP="000F64C7">
            <w:pPr>
              <w:pStyle w:val="Tabletext"/>
              <w:ind w:left="0" w:right="0"/>
              <w:rPr>
                <w:iCs/>
              </w:rPr>
            </w:pPr>
            <w:r w:rsidRPr="00362C15">
              <w:rPr>
                <w:iCs/>
              </w:rPr>
              <w:t>42</w:t>
            </w:r>
          </w:p>
        </w:tc>
        <w:tc>
          <w:tcPr>
            <w:tcW w:w="1134" w:type="dxa"/>
            <w:shd w:val="clear" w:color="auto" w:fill="F1F1F1"/>
          </w:tcPr>
          <w:p w14:paraId="2DCEE512" w14:textId="77777777" w:rsidR="00222799" w:rsidRPr="00362C15" w:rsidRDefault="00222799" w:rsidP="000F64C7">
            <w:pPr>
              <w:pStyle w:val="Tabletext"/>
              <w:ind w:left="0" w:right="0"/>
              <w:rPr>
                <w:iCs/>
              </w:rPr>
            </w:pPr>
            <w:r w:rsidRPr="00362C15">
              <w:rPr>
                <w:iCs/>
                <w:color w:val="000000"/>
              </w:rPr>
              <w:t>3</w:t>
            </w:r>
          </w:p>
        </w:tc>
        <w:tc>
          <w:tcPr>
            <w:tcW w:w="1134" w:type="dxa"/>
          </w:tcPr>
          <w:p w14:paraId="7536A22D" w14:textId="77777777" w:rsidR="00222799" w:rsidRPr="00362C15" w:rsidRDefault="00222799" w:rsidP="000F64C7">
            <w:pPr>
              <w:pStyle w:val="Tabletext"/>
              <w:ind w:left="0" w:right="0"/>
              <w:rPr>
                <w:iCs/>
              </w:rPr>
            </w:pPr>
            <w:r w:rsidRPr="00362C15">
              <w:rPr>
                <w:iCs/>
              </w:rPr>
              <w:t>32</w:t>
            </w:r>
          </w:p>
        </w:tc>
        <w:tc>
          <w:tcPr>
            <w:tcW w:w="1134" w:type="dxa"/>
          </w:tcPr>
          <w:p w14:paraId="4BF892DB" w14:textId="77777777" w:rsidR="00222799" w:rsidRPr="00362C15" w:rsidRDefault="00222799" w:rsidP="000F64C7">
            <w:pPr>
              <w:pStyle w:val="Tabletext"/>
              <w:ind w:left="0" w:right="0"/>
              <w:rPr>
                <w:iCs/>
              </w:rPr>
            </w:pPr>
            <w:r w:rsidRPr="00362C15">
              <w:rPr>
                <w:iCs/>
              </w:rPr>
              <w:t>4</w:t>
            </w:r>
          </w:p>
        </w:tc>
      </w:tr>
      <w:tr w:rsidR="00222799" w:rsidRPr="00FD35ED" w14:paraId="219A2177" w14:textId="77777777" w:rsidTr="000B0ECB">
        <w:trPr>
          <w:trHeight w:val="20"/>
        </w:trPr>
        <w:tc>
          <w:tcPr>
            <w:tcW w:w="1701" w:type="dxa"/>
            <w:vMerge/>
          </w:tcPr>
          <w:p w14:paraId="59F2DCC3" w14:textId="77777777" w:rsidR="00222799" w:rsidRPr="00FD35ED" w:rsidRDefault="00222799" w:rsidP="000F64C7">
            <w:pPr>
              <w:pStyle w:val="Tabletext"/>
              <w:ind w:left="0" w:right="0"/>
            </w:pPr>
          </w:p>
        </w:tc>
        <w:tc>
          <w:tcPr>
            <w:tcW w:w="2117" w:type="dxa"/>
          </w:tcPr>
          <w:p w14:paraId="550BF8D5" w14:textId="77777777" w:rsidR="00222799" w:rsidRPr="00362C15" w:rsidRDefault="00222799" w:rsidP="000F64C7">
            <w:pPr>
              <w:pStyle w:val="Tabletext"/>
              <w:ind w:left="0" w:right="0"/>
              <w:rPr>
                <w:iCs/>
              </w:rPr>
            </w:pPr>
            <w:r w:rsidRPr="00362C15">
              <w:rPr>
                <w:iCs/>
              </w:rPr>
              <w:t>Vomiting (GT)</w:t>
            </w:r>
          </w:p>
        </w:tc>
        <w:tc>
          <w:tcPr>
            <w:tcW w:w="1134" w:type="dxa"/>
          </w:tcPr>
          <w:p w14:paraId="4755F4F8" w14:textId="77777777" w:rsidR="00222799" w:rsidRPr="00362C15" w:rsidRDefault="00222799" w:rsidP="000F64C7">
            <w:pPr>
              <w:pStyle w:val="Tabletext"/>
              <w:ind w:left="0" w:right="0"/>
              <w:rPr>
                <w:iCs/>
              </w:rPr>
            </w:pPr>
            <w:r w:rsidRPr="00362C15">
              <w:rPr>
                <w:iCs/>
              </w:rPr>
              <w:t>30</w:t>
            </w:r>
          </w:p>
        </w:tc>
        <w:tc>
          <w:tcPr>
            <w:tcW w:w="1134" w:type="dxa"/>
            <w:shd w:val="clear" w:color="auto" w:fill="FBFBFB"/>
          </w:tcPr>
          <w:p w14:paraId="47A3B605" w14:textId="77777777" w:rsidR="00222799" w:rsidRPr="00362C15" w:rsidRDefault="00222799" w:rsidP="000F64C7">
            <w:pPr>
              <w:pStyle w:val="Tabletext"/>
              <w:ind w:left="0" w:right="0"/>
              <w:rPr>
                <w:iCs/>
              </w:rPr>
            </w:pPr>
            <w:r w:rsidRPr="00362C15">
              <w:rPr>
                <w:iCs/>
                <w:color w:val="000000"/>
              </w:rPr>
              <w:t>1</w:t>
            </w:r>
          </w:p>
        </w:tc>
        <w:tc>
          <w:tcPr>
            <w:tcW w:w="1134" w:type="dxa"/>
          </w:tcPr>
          <w:p w14:paraId="6E8AB52E" w14:textId="77777777" w:rsidR="00222799" w:rsidRPr="00362C15" w:rsidRDefault="00222799" w:rsidP="000F64C7">
            <w:pPr>
              <w:pStyle w:val="Tabletext"/>
              <w:ind w:left="0" w:right="0"/>
              <w:rPr>
                <w:iCs/>
              </w:rPr>
            </w:pPr>
            <w:r w:rsidRPr="00362C15">
              <w:rPr>
                <w:iCs/>
              </w:rPr>
              <w:t>9</w:t>
            </w:r>
          </w:p>
        </w:tc>
        <w:tc>
          <w:tcPr>
            <w:tcW w:w="1134" w:type="dxa"/>
          </w:tcPr>
          <w:p w14:paraId="5A559DF8" w14:textId="77777777" w:rsidR="00222799" w:rsidRPr="00362C15" w:rsidRDefault="00222799" w:rsidP="000F64C7">
            <w:pPr>
              <w:pStyle w:val="Tabletext"/>
              <w:ind w:left="0" w:right="0"/>
              <w:rPr>
                <w:iCs/>
              </w:rPr>
            </w:pPr>
            <w:r w:rsidRPr="00362C15">
              <w:rPr>
                <w:iCs/>
              </w:rPr>
              <w:t>0</w:t>
            </w:r>
          </w:p>
        </w:tc>
      </w:tr>
      <w:tr w:rsidR="00222799" w:rsidRPr="00FD35ED" w14:paraId="3AD812F1" w14:textId="77777777" w:rsidTr="000B0ECB">
        <w:trPr>
          <w:trHeight w:val="20"/>
        </w:trPr>
        <w:tc>
          <w:tcPr>
            <w:tcW w:w="1701" w:type="dxa"/>
            <w:vMerge/>
          </w:tcPr>
          <w:p w14:paraId="31029B10" w14:textId="77777777" w:rsidR="00222799" w:rsidRPr="00FD35ED" w:rsidRDefault="00222799" w:rsidP="000F64C7">
            <w:pPr>
              <w:pStyle w:val="Tabletext"/>
              <w:ind w:left="0" w:right="0"/>
            </w:pPr>
          </w:p>
        </w:tc>
        <w:tc>
          <w:tcPr>
            <w:tcW w:w="2117" w:type="dxa"/>
          </w:tcPr>
          <w:p w14:paraId="4C037D91" w14:textId="77777777" w:rsidR="00222799" w:rsidRPr="00362C15" w:rsidRDefault="00222799" w:rsidP="000F64C7">
            <w:pPr>
              <w:pStyle w:val="Tabletext"/>
              <w:ind w:left="0" w:right="0"/>
              <w:rPr>
                <w:iCs/>
              </w:rPr>
            </w:pPr>
            <w:r w:rsidRPr="00362C15">
              <w:rPr>
                <w:iCs/>
              </w:rPr>
              <w:t>Diarrhoea (GT)</w:t>
            </w:r>
          </w:p>
        </w:tc>
        <w:tc>
          <w:tcPr>
            <w:tcW w:w="1134" w:type="dxa"/>
          </w:tcPr>
          <w:p w14:paraId="3CF50BD4" w14:textId="77777777" w:rsidR="00222799" w:rsidRPr="00362C15" w:rsidRDefault="00222799" w:rsidP="000F64C7">
            <w:pPr>
              <w:pStyle w:val="Tabletext"/>
              <w:ind w:left="0" w:right="0"/>
              <w:rPr>
                <w:iCs/>
              </w:rPr>
            </w:pPr>
            <w:r w:rsidRPr="00362C15">
              <w:rPr>
                <w:iCs/>
              </w:rPr>
              <w:t>25</w:t>
            </w:r>
          </w:p>
        </w:tc>
        <w:tc>
          <w:tcPr>
            <w:tcW w:w="1134" w:type="dxa"/>
            <w:shd w:val="clear" w:color="auto" w:fill="FBFBFB"/>
          </w:tcPr>
          <w:p w14:paraId="1FD389ED" w14:textId="77777777" w:rsidR="00222799" w:rsidRPr="00362C15" w:rsidRDefault="00222799" w:rsidP="000F64C7">
            <w:pPr>
              <w:pStyle w:val="Tabletext"/>
              <w:ind w:left="0" w:right="0"/>
              <w:rPr>
                <w:iCs/>
              </w:rPr>
            </w:pPr>
            <w:r w:rsidRPr="00362C15">
              <w:rPr>
                <w:iCs/>
                <w:color w:val="000000"/>
              </w:rPr>
              <w:t>1</w:t>
            </w:r>
          </w:p>
        </w:tc>
        <w:tc>
          <w:tcPr>
            <w:tcW w:w="1134" w:type="dxa"/>
          </w:tcPr>
          <w:p w14:paraId="115F0EA2" w14:textId="77777777" w:rsidR="00222799" w:rsidRPr="00362C15" w:rsidRDefault="00222799" w:rsidP="000F64C7">
            <w:pPr>
              <w:pStyle w:val="Tabletext"/>
              <w:ind w:left="0" w:right="0"/>
              <w:rPr>
                <w:iCs/>
              </w:rPr>
            </w:pPr>
            <w:r w:rsidRPr="00362C15">
              <w:rPr>
                <w:iCs/>
              </w:rPr>
              <w:t>20</w:t>
            </w:r>
          </w:p>
        </w:tc>
        <w:tc>
          <w:tcPr>
            <w:tcW w:w="1134" w:type="dxa"/>
          </w:tcPr>
          <w:p w14:paraId="06C125E9" w14:textId="77777777" w:rsidR="00222799" w:rsidRPr="00362C15" w:rsidRDefault="00222799" w:rsidP="000F64C7">
            <w:pPr>
              <w:pStyle w:val="Tabletext"/>
              <w:ind w:left="0" w:right="0"/>
              <w:rPr>
                <w:iCs/>
              </w:rPr>
            </w:pPr>
            <w:r w:rsidRPr="00362C15">
              <w:rPr>
                <w:iCs/>
              </w:rPr>
              <w:t>5</w:t>
            </w:r>
          </w:p>
        </w:tc>
      </w:tr>
      <w:tr w:rsidR="00222799" w:rsidRPr="00FD35ED" w14:paraId="54F36F07" w14:textId="77777777" w:rsidTr="000B0ECB">
        <w:trPr>
          <w:trHeight w:val="20"/>
        </w:trPr>
        <w:tc>
          <w:tcPr>
            <w:tcW w:w="1701" w:type="dxa"/>
            <w:vMerge/>
          </w:tcPr>
          <w:p w14:paraId="0E5B8357" w14:textId="77777777" w:rsidR="00222799" w:rsidRPr="00FD35ED" w:rsidRDefault="00222799" w:rsidP="000F64C7">
            <w:pPr>
              <w:pStyle w:val="Tabletext"/>
              <w:ind w:left="0" w:right="0"/>
            </w:pPr>
          </w:p>
        </w:tc>
        <w:tc>
          <w:tcPr>
            <w:tcW w:w="2117" w:type="dxa"/>
          </w:tcPr>
          <w:p w14:paraId="67CA67A3" w14:textId="77777777" w:rsidR="00222799" w:rsidRPr="00362C15" w:rsidRDefault="00222799" w:rsidP="000F64C7">
            <w:pPr>
              <w:pStyle w:val="Tabletext"/>
              <w:ind w:left="0" w:right="0"/>
              <w:rPr>
                <w:iCs/>
              </w:rPr>
            </w:pPr>
            <w:r w:rsidRPr="00362C15">
              <w:rPr>
                <w:iCs/>
              </w:rPr>
              <w:t>Constipation</w:t>
            </w:r>
          </w:p>
        </w:tc>
        <w:tc>
          <w:tcPr>
            <w:tcW w:w="1134" w:type="dxa"/>
          </w:tcPr>
          <w:p w14:paraId="5AF6B98C" w14:textId="77777777" w:rsidR="00222799" w:rsidRPr="00362C15" w:rsidRDefault="00222799" w:rsidP="000F64C7">
            <w:pPr>
              <w:pStyle w:val="Tabletext"/>
              <w:ind w:left="0" w:right="0"/>
              <w:rPr>
                <w:iCs/>
              </w:rPr>
            </w:pPr>
            <w:r w:rsidRPr="00362C15">
              <w:rPr>
                <w:iCs/>
              </w:rPr>
              <w:t>18</w:t>
            </w:r>
          </w:p>
        </w:tc>
        <w:tc>
          <w:tcPr>
            <w:tcW w:w="1134" w:type="dxa"/>
          </w:tcPr>
          <w:p w14:paraId="463907D3" w14:textId="77777777" w:rsidR="00222799" w:rsidRPr="00362C15" w:rsidRDefault="00222799" w:rsidP="000F64C7">
            <w:pPr>
              <w:pStyle w:val="Tabletext"/>
              <w:ind w:left="0" w:right="0"/>
              <w:rPr>
                <w:iCs/>
              </w:rPr>
            </w:pPr>
            <w:r w:rsidRPr="00362C15">
              <w:rPr>
                <w:iCs/>
                <w:color w:val="000000"/>
              </w:rPr>
              <w:t>0</w:t>
            </w:r>
          </w:p>
        </w:tc>
        <w:tc>
          <w:tcPr>
            <w:tcW w:w="1134" w:type="dxa"/>
          </w:tcPr>
          <w:p w14:paraId="14EE0CEF" w14:textId="77777777" w:rsidR="00222799" w:rsidRPr="00362C15" w:rsidRDefault="00222799" w:rsidP="000F64C7">
            <w:pPr>
              <w:pStyle w:val="Tabletext"/>
              <w:ind w:left="0" w:right="0"/>
              <w:rPr>
                <w:iCs/>
              </w:rPr>
            </w:pPr>
            <w:r w:rsidRPr="00362C15">
              <w:rPr>
                <w:iCs/>
              </w:rPr>
              <w:t>12</w:t>
            </w:r>
          </w:p>
        </w:tc>
        <w:tc>
          <w:tcPr>
            <w:tcW w:w="1134" w:type="dxa"/>
          </w:tcPr>
          <w:p w14:paraId="0B72FA27" w14:textId="77777777" w:rsidR="00222799" w:rsidRPr="00362C15" w:rsidRDefault="00222799" w:rsidP="000F64C7">
            <w:pPr>
              <w:pStyle w:val="Tabletext"/>
              <w:ind w:left="0" w:right="0"/>
              <w:rPr>
                <w:iCs/>
              </w:rPr>
            </w:pPr>
            <w:r w:rsidRPr="00362C15">
              <w:rPr>
                <w:iCs/>
              </w:rPr>
              <w:t>0</w:t>
            </w:r>
          </w:p>
        </w:tc>
      </w:tr>
      <w:tr w:rsidR="00222799" w:rsidRPr="00FD35ED" w14:paraId="31817D1A" w14:textId="77777777" w:rsidTr="000B0ECB">
        <w:trPr>
          <w:trHeight w:val="20"/>
        </w:trPr>
        <w:tc>
          <w:tcPr>
            <w:tcW w:w="1701" w:type="dxa"/>
            <w:vMerge/>
          </w:tcPr>
          <w:p w14:paraId="19F7369D" w14:textId="77777777" w:rsidR="00222799" w:rsidRPr="00FD35ED" w:rsidRDefault="00222799" w:rsidP="000F64C7">
            <w:pPr>
              <w:pStyle w:val="Tabletext"/>
              <w:ind w:left="0" w:right="0"/>
            </w:pPr>
          </w:p>
        </w:tc>
        <w:tc>
          <w:tcPr>
            <w:tcW w:w="2117" w:type="dxa"/>
          </w:tcPr>
          <w:p w14:paraId="3BF6DB0F" w14:textId="77777777" w:rsidR="00222799" w:rsidRPr="00362C15" w:rsidRDefault="00222799" w:rsidP="000F64C7">
            <w:pPr>
              <w:pStyle w:val="Tabletext"/>
              <w:ind w:left="0" w:right="0"/>
              <w:rPr>
                <w:iCs/>
              </w:rPr>
            </w:pPr>
            <w:r w:rsidRPr="00362C15">
              <w:rPr>
                <w:iCs/>
              </w:rPr>
              <w:t>Hypotension (GT)</w:t>
            </w:r>
          </w:p>
        </w:tc>
        <w:tc>
          <w:tcPr>
            <w:tcW w:w="1134" w:type="dxa"/>
          </w:tcPr>
          <w:p w14:paraId="083EA6DE" w14:textId="77777777" w:rsidR="00222799" w:rsidRPr="00362C15" w:rsidRDefault="00222799" w:rsidP="000F64C7">
            <w:pPr>
              <w:pStyle w:val="Tabletext"/>
              <w:ind w:left="0" w:right="0"/>
              <w:rPr>
                <w:iCs/>
              </w:rPr>
            </w:pPr>
            <w:r w:rsidRPr="00362C15">
              <w:rPr>
                <w:iCs/>
              </w:rPr>
              <w:t>40</w:t>
            </w:r>
          </w:p>
        </w:tc>
        <w:tc>
          <w:tcPr>
            <w:tcW w:w="1134" w:type="dxa"/>
            <w:shd w:val="clear" w:color="auto" w:fill="ECECEC"/>
          </w:tcPr>
          <w:p w14:paraId="66945303" w14:textId="77777777" w:rsidR="00222799" w:rsidRPr="00362C15" w:rsidRDefault="00222799" w:rsidP="000F64C7">
            <w:pPr>
              <w:pStyle w:val="Tabletext"/>
              <w:ind w:left="0" w:right="0"/>
              <w:rPr>
                <w:iCs/>
              </w:rPr>
            </w:pPr>
            <w:r w:rsidRPr="00362C15">
              <w:rPr>
                <w:iCs/>
                <w:color w:val="000000"/>
              </w:rPr>
              <w:t>4</w:t>
            </w:r>
          </w:p>
        </w:tc>
        <w:tc>
          <w:tcPr>
            <w:tcW w:w="1134" w:type="dxa"/>
          </w:tcPr>
          <w:p w14:paraId="6341750D" w14:textId="77777777" w:rsidR="00222799" w:rsidRPr="00362C15" w:rsidRDefault="00222799" w:rsidP="000F64C7">
            <w:pPr>
              <w:pStyle w:val="Tabletext"/>
              <w:ind w:left="0" w:right="0"/>
              <w:rPr>
                <w:iCs/>
              </w:rPr>
            </w:pPr>
            <w:r w:rsidRPr="00362C15">
              <w:rPr>
                <w:iCs/>
              </w:rPr>
              <w:t>3</w:t>
            </w:r>
          </w:p>
        </w:tc>
        <w:tc>
          <w:tcPr>
            <w:tcW w:w="1134" w:type="dxa"/>
          </w:tcPr>
          <w:p w14:paraId="61346131" w14:textId="77777777" w:rsidR="00222799" w:rsidRPr="00362C15" w:rsidRDefault="00222799" w:rsidP="000F64C7">
            <w:pPr>
              <w:pStyle w:val="Tabletext"/>
              <w:ind w:left="0" w:right="0"/>
              <w:rPr>
                <w:iCs/>
              </w:rPr>
            </w:pPr>
            <w:r w:rsidRPr="00362C15">
              <w:rPr>
                <w:iCs/>
              </w:rPr>
              <w:t>0</w:t>
            </w:r>
          </w:p>
        </w:tc>
      </w:tr>
      <w:tr w:rsidR="00222799" w:rsidRPr="00FD35ED" w14:paraId="07843B06" w14:textId="77777777" w:rsidTr="000B0ECB">
        <w:trPr>
          <w:trHeight w:val="20"/>
        </w:trPr>
        <w:tc>
          <w:tcPr>
            <w:tcW w:w="1701" w:type="dxa"/>
            <w:vMerge/>
          </w:tcPr>
          <w:p w14:paraId="4FA9224A" w14:textId="77777777" w:rsidR="00222799" w:rsidRPr="00FD35ED" w:rsidRDefault="00222799" w:rsidP="000F64C7">
            <w:pPr>
              <w:pStyle w:val="Tabletext"/>
              <w:ind w:left="0" w:right="0"/>
            </w:pPr>
          </w:p>
        </w:tc>
        <w:tc>
          <w:tcPr>
            <w:tcW w:w="2117" w:type="dxa"/>
          </w:tcPr>
          <w:p w14:paraId="2695548A" w14:textId="77777777" w:rsidR="00222799" w:rsidRPr="00362C15" w:rsidRDefault="00222799" w:rsidP="000F64C7">
            <w:pPr>
              <w:pStyle w:val="Tabletext"/>
              <w:ind w:left="0" w:right="0"/>
              <w:rPr>
                <w:iCs/>
              </w:rPr>
            </w:pPr>
            <w:r w:rsidRPr="00362C15">
              <w:rPr>
                <w:iCs/>
              </w:rPr>
              <w:t>Hypertension (GT)</w:t>
            </w:r>
          </w:p>
        </w:tc>
        <w:tc>
          <w:tcPr>
            <w:tcW w:w="1134" w:type="dxa"/>
          </w:tcPr>
          <w:p w14:paraId="49D8FBF0" w14:textId="77777777" w:rsidR="00222799" w:rsidRPr="00362C15" w:rsidRDefault="00222799" w:rsidP="000F64C7">
            <w:pPr>
              <w:pStyle w:val="Tabletext"/>
              <w:ind w:left="0" w:right="0"/>
              <w:rPr>
                <w:iCs/>
              </w:rPr>
            </w:pPr>
            <w:r w:rsidRPr="00362C15">
              <w:rPr>
                <w:iCs/>
              </w:rPr>
              <w:t>16</w:t>
            </w:r>
          </w:p>
        </w:tc>
        <w:tc>
          <w:tcPr>
            <w:tcW w:w="1134" w:type="dxa"/>
            <w:shd w:val="clear" w:color="auto" w:fill="D3D3D3"/>
          </w:tcPr>
          <w:p w14:paraId="2445FCCE" w14:textId="77777777" w:rsidR="00222799" w:rsidRPr="00362C15" w:rsidRDefault="00222799" w:rsidP="000F64C7">
            <w:pPr>
              <w:pStyle w:val="Tabletext"/>
              <w:ind w:left="0" w:right="0"/>
              <w:rPr>
                <w:iCs/>
              </w:rPr>
            </w:pPr>
            <w:r w:rsidRPr="00362C15">
              <w:rPr>
                <w:iCs/>
                <w:color w:val="000000"/>
              </w:rPr>
              <w:t>9</w:t>
            </w:r>
          </w:p>
        </w:tc>
        <w:tc>
          <w:tcPr>
            <w:tcW w:w="1134" w:type="dxa"/>
          </w:tcPr>
          <w:p w14:paraId="2C0043C7" w14:textId="77777777" w:rsidR="00222799" w:rsidRPr="00362C15" w:rsidRDefault="00222799" w:rsidP="000F64C7">
            <w:pPr>
              <w:pStyle w:val="Tabletext"/>
              <w:ind w:left="0" w:right="0"/>
              <w:rPr>
                <w:iCs/>
              </w:rPr>
            </w:pPr>
            <w:r w:rsidRPr="00362C15">
              <w:rPr>
                <w:iCs/>
              </w:rPr>
              <w:t>7</w:t>
            </w:r>
          </w:p>
        </w:tc>
        <w:tc>
          <w:tcPr>
            <w:tcW w:w="1134" w:type="dxa"/>
          </w:tcPr>
          <w:p w14:paraId="2134F413" w14:textId="77777777" w:rsidR="00222799" w:rsidRPr="00362C15" w:rsidRDefault="00222799" w:rsidP="000F64C7">
            <w:pPr>
              <w:pStyle w:val="Tabletext"/>
              <w:ind w:left="0" w:right="0"/>
              <w:rPr>
                <w:iCs/>
              </w:rPr>
            </w:pPr>
            <w:r w:rsidRPr="00362C15">
              <w:rPr>
                <w:iCs/>
              </w:rPr>
              <w:t>3</w:t>
            </w:r>
          </w:p>
        </w:tc>
      </w:tr>
      <w:tr w:rsidR="00222799" w:rsidRPr="00FD35ED" w14:paraId="2C4A7F30" w14:textId="77777777" w:rsidTr="000B0ECB">
        <w:trPr>
          <w:trHeight w:val="20"/>
        </w:trPr>
        <w:tc>
          <w:tcPr>
            <w:tcW w:w="1701" w:type="dxa"/>
            <w:vMerge/>
          </w:tcPr>
          <w:p w14:paraId="76D8F88B" w14:textId="77777777" w:rsidR="00222799" w:rsidRPr="00FD35ED" w:rsidRDefault="00222799" w:rsidP="000F64C7">
            <w:pPr>
              <w:pStyle w:val="Tabletext"/>
              <w:ind w:left="0" w:right="0"/>
            </w:pPr>
          </w:p>
        </w:tc>
        <w:tc>
          <w:tcPr>
            <w:tcW w:w="2117" w:type="dxa"/>
          </w:tcPr>
          <w:p w14:paraId="7CC3E281" w14:textId="77777777" w:rsidR="00222799" w:rsidRPr="00362C15" w:rsidRDefault="00222799" w:rsidP="000F64C7">
            <w:pPr>
              <w:pStyle w:val="Tabletext"/>
              <w:ind w:left="0" w:right="0"/>
              <w:rPr>
                <w:iCs/>
              </w:rPr>
            </w:pPr>
            <w:r w:rsidRPr="00362C15">
              <w:rPr>
                <w:iCs/>
              </w:rPr>
              <w:t>Headache (GT)</w:t>
            </w:r>
          </w:p>
        </w:tc>
        <w:tc>
          <w:tcPr>
            <w:tcW w:w="1134" w:type="dxa"/>
          </w:tcPr>
          <w:p w14:paraId="01D5725E" w14:textId="77777777" w:rsidR="00222799" w:rsidRPr="00362C15" w:rsidRDefault="00222799" w:rsidP="000F64C7">
            <w:pPr>
              <w:pStyle w:val="Tabletext"/>
              <w:ind w:left="0" w:right="0"/>
              <w:rPr>
                <w:iCs/>
              </w:rPr>
            </w:pPr>
            <w:r w:rsidRPr="00362C15">
              <w:rPr>
                <w:iCs/>
              </w:rPr>
              <w:t>32</w:t>
            </w:r>
          </w:p>
        </w:tc>
        <w:tc>
          <w:tcPr>
            <w:tcW w:w="1134" w:type="dxa"/>
          </w:tcPr>
          <w:p w14:paraId="74912B3B" w14:textId="77777777" w:rsidR="00222799" w:rsidRPr="00362C15" w:rsidRDefault="00222799" w:rsidP="000F64C7">
            <w:pPr>
              <w:pStyle w:val="Tabletext"/>
              <w:ind w:left="0" w:right="0"/>
              <w:rPr>
                <w:iCs/>
              </w:rPr>
            </w:pPr>
            <w:r w:rsidRPr="00362C15">
              <w:rPr>
                <w:iCs/>
                <w:color w:val="000000"/>
              </w:rPr>
              <w:t>0.4</w:t>
            </w:r>
          </w:p>
        </w:tc>
        <w:tc>
          <w:tcPr>
            <w:tcW w:w="1134" w:type="dxa"/>
          </w:tcPr>
          <w:p w14:paraId="0034614A" w14:textId="77777777" w:rsidR="00222799" w:rsidRPr="00362C15" w:rsidRDefault="00222799" w:rsidP="000F64C7">
            <w:pPr>
              <w:pStyle w:val="Tabletext"/>
              <w:ind w:left="0" w:right="0"/>
              <w:rPr>
                <w:iCs/>
              </w:rPr>
            </w:pPr>
            <w:r w:rsidRPr="00362C15">
              <w:rPr>
                <w:iCs/>
              </w:rPr>
              <w:t>10</w:t>
            </w:r>
          </w:p>
        </w:tc>
        <w:tc>
          <w:tcPr>
            <w:tcW w:w="1134" w:type="dxa"/>
          </w:tcPr>
          <w:p w14:paraId="7484F8D2" w14:textId="77777777" w:rsidR="00222799" w:rsidRPr="00362C15" w:rsidRDefault="00222799" w:rsidP="000F64C7">
            <w:pPr>
              <w:pStyle w:val="Tabletext"/>
              <w:ind w:left="0" w:right="0"/>
              <w:rPr>
                <w:iCs/>
              </w:rPr>
            </w:pPr>
            <w:r w:rsidRPr="00362C15">
              <w:rPr>
                <w:iCs/>
              </w:rPr>
              <w:t>0.9</w:t>
            </w:r>
          </w:p>
        </w:tc>
      </w:tr>
      <w:tr w:rsidR="00222799" w:rsidRPr="00FD35ED" w14:paraId="035C4E71" w14:textId="77777777" w:rsidTr="000B0ECB">
        <w:trPr>
          <w:trHeight w:val="20"/>
        </w:trPr>
        <w:tc>
          <w:tcPr>
            <w:tcW w:w="1701" w:type="dxa"/>
            <w:vMerge/>
          </w:tcPr>
          <w:p w14:paraId="40FE0FB5" w14:textId="77777777" w:rsidR="00222799" w:rsidRPr="00FD35ED" w:rsidRDefault="00222799" w:rsidP="000F64C7">
            <w:pPr>
              <w:pStyle w:val="Tabletext"/>
              <w:ind w:left="0" w:right="0"/>
            </w:pPr>
          </w:p>
        </w:tc>
        <w:tc>
          <w:tcPr>
            <w:tcW w:w="2117" w:type="dxa"/>
          </w:tcPr>
          <w:p w14:paraId="6DAD603A" w14:textId="77777777" w:rsidR="00222799" w:rsidRPr="00362C15" w:rsidRDefault="00222799" w:rsidP="000F64C7">
            <w:pPr>
              <w:pStyle w:val="Tabletext"/>
              <w:ind w:left="0" w:right="0"/>
              <w:rPr>
                <w:iCs/>
              </w:rPr>
            </w:pPr>
            <w:r w:rsidRPr="00362C15">
              <w:rPr>
                <w:iCs/>
              </w:rPr>
              <w:t>Musculoskeletal pain (GT)</w:t>
            </w:r>
          </w:p>
        </w:tc>
        <w:tc>
          <w:tcPr>
            <w:tcW w:w="1134" w:type="dxa"/>
          </w:tcPr>
          <w:p w14:paraId="2F518A3B" w14:textId="77777777" w:rsidR="00222799" w:rsidRPr="00362C15" w:rsidRDefault="00222799" w:rsidP="000F64C7">
            <w:pPr>
              <w:pStyle w:val="Tabletext"/>
              <w:ind w:left="0" w:right="0"/>
              <w:rPr>
                <w:iCs/>
              </w:rPr>
            </w:pPr>
            <w:r w:rsidRPr="00362C15">
              <w:rPr>
                <w:iCs/>
              </w:rPr>
              <w:t>43</w:t>
            </w:r>
          </w:p>
        </w:tc>
        <w:tc>
          <w:tcPr>
            <w:tcW w:w="1134" w:type="dxa"/>
          </w:tcPr>
          <w:p w14:paraId="6630C855" w14:textId="77777777" w:rsidR="00222799" w:rsidRPr="00362C15" w:rsidRDefault="00222799" w:rsidP="000F64C7">
            <w:pPr>
              <w:pStyle w:val="Tabletext"/>
              <w:ind w:left="0" w:right="0"/>
              <w:rPr>
                <w:iCs/>
                <w:color w:val="000000"/>
              </w:rPr>
            </w:pPr>
            <w:r w:rsidRPr="00362C15">
              <w:rPr>
                <w:iCs/>
                <w:color w:val="000000"/>
              </w:rPr>
              <w:t>1</w:t>
            </w:r>
          </w:p>
        </w:tc>
        <w:tc>
          <w:tcPr>
            <w:tcW w:w="1134" w:type="dxa"/>
          </w:tcPr>
          <w:p w14:paraId="788248FB" w14:textId="77777777" w:rsidR="00222799" w:rsidRPr="00362C15" w:rsidRDefault="00222799" w:rsidP="000F64C7">
            <w:pPr>
              <w:pStyle w:val="Tabletext"/>
              <w:ind w:left="0" w:right="0"/>
              <w:rPr>
                <w:iCs/>
              </w:rPr>
            </w:pPr>
            <w:r w:rsidRPr="00362C15">
              <w:rPr>
                <w:iCs/>
              </w:rPr>
              <w:t>31</w:t>
            </w:r>
          </w:p>
        </w:tc>
        <w:tc>
          <w:tcPr>
            <w:tcW w:w="1134" w:type="dxa"/>
          </w:tcPr>
          <w:p w14:paraId="3936B8CC" w14:textId="77777777" w:rsidR="00222799" w:rsidRPr="00362C15" w:rsidRDefault="00222799" w:rsidP="000F64C7">
            <w:pPr>
              <w:pStyle w:val="Tabletext"/>
              <w:ind w:left="0" w:right="0"/>
              <w:rPr>
                <w:iCs/>
              </w:rPr>
            </w:pPr>
            <w:r w:rsidRPr="00362C15">
              <w:rPr>
                <w:iCs/>
              </w:rPr>
              <w:t>0.9</w:t>
            </w:r>
          </w:p>
        </w:tc>
      </w:tr>
      <w:tr w:rsidR="00222799" w:rsidRPr="00FD35ED" w14:paraId="0A8C4E94" w14:textId="77777777" w:rsidTr="000B0ECB">
        <w:trPr>
          <w:trHeight w:val="20"/>
        </w:trPr>
        <w:tc>
          <w:tcPr>
            <w:tcW w:w="1701" w:type="dxa"/>
            <w:vMerge/>
          </w:tcPr>
          <w:p w14:paraId="073A00D9" w14:textId="77777777" w:rsidR="00222799" w:rsidRPr="00FD35ED" w:rsidRDefault="00222799" w:rsidP="000F64C7">
            <w:pPr>
              <w:pStyle w:val="Tabletext"/>
              <w:ind w:left="0" w:right="0"/>
            </w:pPr>
          </w:p>
        </w:tc>
        <w:tc>
          <w:tcPr>
            <w:tcW w:w="2117" w:type="dxa"/>
          </w:tcPr>
          <w:p w14:paraId="573F365C" w14:textId="77777777" w:rsidR="00222799" w:rsidRPr="00362C15" w:rsidRDefault="00222799" w:rsidP="000F64C7">
            <w:pPr>
              <w:pStyle w:val="Tabletext"/>
              <w:ind w:left="0" w:right="0"/>
              <w:rPr>
                <w:iCs/>
              </w:rPr>
            </w:pPr>
            <w:r w:rsidRPr="00362C15">
              <w:rPr>
                <w:iCs/>
              </w:rPr>
              <w:t>Decreased appetite</w:t>
            </w:r>
          </w:p>
        </w:tc>
        <w:tc>
          <w:tcPr>
            <w:tcW w:w="1134" w:type="dxa"/>
          </w:tcPr>
          <w:p w14:paraId="2F1543BC" w14:textId="77777777" w:rsidR="00222799" w:rsidRPr="00362C15" w:rsidRDefault="00222799" w:rsidP="000F64C7">
            <w:pPr>
              <w:pStyle w:val="Tabletext"/>
              <w:ind w:left="0" w:right="0"/>
              <w:rPr>
                <w:iCs/>
              </w:rPr>
            </w:pPr>
            <w:r w:rsidRPr="00362C15">
              <w:rPr>
                <w:iCs/>
              </w:rPr>
              <w:t>18</w:t>
            </w:r>
          </w:p>
        </w:tc>
        <w:tc>
          <w:tcPr>
            <w:tcW w:w="1134" w:type="dxa"/>
          </w:tcPr>
          <w:p w14:paraId="5DD454BE" w14:textId="77777777" w:rsidR="00222799" w:rsidRPr="00362C15" w:rsidRDefault="00222799" w:rsidP="000F64C7">
            <w:pPr>
              <w:pStyle w:val="Tabletext"/>
              <w:ind w:left="0" w:right="0"/>
              <w:rPr>
                <w:iCs/>
                <w:color w:val="000000"/>
              </w:rPr>
            </w:pPr>
            <w:r w:rsidRPr="00362C15">
              <w:rPr>
                <w:iCs/>
                <w:color w:val="000000"/>
              </w:rPr>
              <w:t>0.8</w:t>
            </w:r>
          </w:p>
        </w:tc>
        <w:tc>
          <w:tcPr>
            <w:tcW w:w="1134" w:type="dxa"/>
          </w:tcPr>
          <w:p w14:paraId="35C3E7DF" w14:textId="77777777" w:rsidR="00222799" w:rsidRPr="00362C15" w:rsidRDefault="00222799" w:rsidP="000F64C7">
            <w:pPr>
              <w:pStyle w:val="Tabletext"/>
              <w:ind w:left="0" w:right="0"/>
              <w:rPr>
                <w:iCs/>
              </w:rPr>
            </w:pPr>
            <w:r w:rsidRPr="00362C15">
              <w:rPr>
                <w:iCs/>
              </w:rPr>
              <w:t>14</w:t>
            </w:r>
          </w:p>
        </w:tc>
        <w:tc>
          <w:tcPr>
            <w:tcW w:w="1134" w:type="dxa"/>
          </w:tcPr>
          <w:p w14:paraId="37A3309A" w14:textId="77777777" w:rsidR="00222799" w:rsidRPr="00362C15" w:rsidRDefault="00222799" w:rsidP="000F64C7">
            <w:pPr>
              <w:pStyle w:val="Tabletext"/>
              <w:ind w:left="0" w:right="0"/>
              <w:rPr>
                <w:iCs/>
              </w:rPr>
            </w:pPr>
            <w:r w:rsidRPr="00362C15">
              <w:rPr>
                <w:iCs/>
              </w:rPr>
              <w:t>0</w:t>
            </w:r>
          </w:p>
        </w:tc>
      </w:tr>
      <w:tr w:rsidR="00222799" w:rsidRPr="00FD35ED" w14:paraId="1876C682" w14:textId="77777777" w:rsidTr="000B0ECB">
        <w:trPr>
          <w:trHeight w:val="20"/>
        </w:trPr>
        <w:tc>
          <w:tcPr>
            <w:tcW w:w="1701" w:type="dxa"/>
            <w:vMerge/>
          </w:tcPr>
          <w:p w14:paraId="43AF33F2" w14:textId="77777777" w:rsidR="00222799" w:rsidRPr="00FD35ED" w:rsidRDefault="00222799" w:rsidP="000F64C7">
            <w:pPr>
              <w:pStyle w:val="Tabletext"/>
              <w:ind w:left="0" w:right="0"/>
            </w:pPr>
          </w:p>
        </w:tc>
        <w:tc>
          <w:tcPr>
            <w:tcW w:w="2117" w:type="dxa"/>
          </w:tcPr>
          <w:p w14:paraId="33689CE3" w14:textId="77777777" w:rsidR="00222799" w:rsidRPr="00362C15" w:rsidRDefault="00222799" w:rsidP="000F64C7">
            <w:pPr>
              <w:pStyle w:val="Tabletext"/>
              <w:ind w:left="0" w:right="0"/>
              <w:rPr>
                <w:iCs/>
              </w:rPr>
            </w:pPr>
            <w:r w:rsidRPr="00362C15">
              <w:rPr>
                <w:iCs/>
              </w:rPr>
              <w:t>Cough (GT)</w:t>
            </w:r>
          </w:p>
        </w:tc>
        <w:tc>
          <w:tcPr>
            <w:tcW w:w="1134" w:type="dxa"/>
          </w:tcPr>
          <w:p w14:paraId="4F577F5D" w14:textId="77777777" w:rsidR="00222799" w:rsidRPr="00362C15" w:rsidRDefault="00222799" w:rsidP="000F64C7">
            <w:pPr>
              <w:pStyle w:val="Tabletext"/>
              <w:ind w:left="0" w:right="0"/>
              <w:rPr>
                <w:iCs/>
              </w:rPr>
            </w:pPr>
            <w:r w:rsidRPr="00362C15">
              <w:rPr>
                <w:iCs/>
              </w:rPr>
              <w:t>19</w:t>
            </w:r>
          </w:p>
        </w:tc>
        <w:tc>
          <w:tcPr>
            <w:tcW w:w="1134" w:type="dxa"/>
          </w:tcPr>
          <w:p w14:paraId="6ABDF6E3" w14:textId="77777777" w:rsidR="00222799" w:rsidRPr="00362C15" w:rsidRDefault="00222799" w:rsidP="000F64C7">
            <w:pPr>
              <w:pStyle w:val="Tabletext"/>
              <w:ind w:left="0" w:right="0"/>
              <w:rPr>
                <w:iCs/>
                <w:color w:val="000000"/>
              </w:rPr>
            </w:pPr>
            <w:r w:rsidRPr="00362C15">
              <w:rPr>
                <w:iCs/>
                <w:color w:val="000000"/>
              </w:rPr>
              <w:t>0.4</w:t>
            </w:r>
          </w:p>
        </w:tc>
        <w:tc>
          <w:tcPr>
            <w:tcW w:w="1134" w:type="dxa"/>
          </w:tcPr>
          <w:p w14:paraId="14B55615" w14:textId="77777777" w:rsidR="00222799" w:rsidRPr="00362C15" w:rsidRDefault="00222799" w:rsidP="000F64C7">
            <w:pPr>
              <w:pStyle w:val="Tabletext"/>
              <w:ind w:left="0" w:right="0"/>
              <w:rPr>
                <w:iCs/>
              </w:rPr>
            </w:pPr>
            <w:r w:rsidRPr="00362C15">
              <w:rPr>
                <w:iCs/>
              </w:rPr>
              <w:t>11</w:t>
            </w:r>
          </w:p>
        </w:tc>
        <w:tc>
          <w:tcPr>
            <w:tcW w:w="1134" w:type="dxa"/>
          </w:tcPr>
          <w:p w14:paraId="0BB42186" w14:textId="77777777" w:rsidR="00222799" w:rsidRPr="00362C15" w:rsidRDefault="00222799" w:rsidP="000F64C7">
            <w:pPr>
              <w:pStyle w:val="Tabletext"/>
              <w:ind w:left="0" w:right="0"/>
              <w:rPr>
                <w:iCs/>
              </w:rPr>
            </w:pPr>
            <w:r w:rsidRPr="00362C15">
              <w:rPr>
                <w:iCs/>
              </w:rPr>
              <w:t>0.9</w:t>
            </w:r>
          </w:p>
        </w:tc>
      </w:tr>
      <w:tr w:rsidR="00222799" w:rsidRPr="00FD35ED" w14:paraId="459FDA61" w14:textId="77777777" w:rsidTr="000B0ECB">
        <w:trPr>
          <w:trHeight w:val="20"/>
        </w:trPr>
        <w:tc>
          <w:tcPr>
            <w:tcW w:w="1701" w:type="dxa"/>
            <w:vMerge/>
          </w:tcPr>
          <w:p w14:paraId="1FAA1EE1" w14:textId="77777777" w:rsidR="00222799" w:rsidRPr="00FD35ED" w:rsidRDefault="00222799" w:rsidP="000F64C7">
            <w:pPr>
              <w:pStyle w:val="Tabletext"/>
              <w:ind w:left="0" w:right="0"/>
            </w:pPr>
          </w:p>
        </w:tc>
        <w:tc>
          <w:tcPr>
            <w:tcW w:w="2117" w:type="dxa"/>
          </w:tcPr>
          <w:p w14:paraId="5C6F5350" w14:textId="77777777" w:rsidR="00222799" w:rsidRPr="00362C15" w:rsidRDefault="00222799" w:rsidP="000F64C7">
            <w:pPr>
              <w:pStyle w:val="Tabletext"/>
              <w:ind w:left="0" w:right="0"/>
              <w:rPr>
                <w:iCs/>
              </w:rPr>
            </w:pPr>
            <w:r w:rsidRPr="00362C15">
              <w:rPr>
                <w:iCs/>
              </w:rPr>
              <w:t>Cytokine release syndrome</w:t>
            </w:r>
            <w:r w:rsidRPr="00362C15">
              <w:rPr>
                <w:iCs/>
                <w:vertAlign w:val="superscript"/>
              </w:rPr>
              <w:t>3</w:t>
            </w:r>
          </w:p>
        </w:tc>
        <w:tc>
          <w:tcPr>
            <w:tcW w:w="1134" w:type="dxa"/>
          </w:tcPr>
          <w:p w14:paraId="35DBF908" w14:textId="77777777" w:rsidR="00222799" w:rsidRPr="00362C15" w:rsidRDefault="00222799" w:rsidP="000F64C7">
            <w:pPr>
              <w:pStyle w:val="Tabletext"/>
              <w:ind w:left="0" w:right="0"/>
              <w:rPr>
                <w:iCs/>
              </w:rPr>
            </w:pPr>
            <w:r w:rsidRPr="00362C15">
              <w:rPr>
                <w:iCs/>
              </w:rPr>
              <w:t>21</w:t>
            </w:r>
          </w:p>
        </w:tc>
        <w:tc>
          <w:tcPr>
            <w:tcW w:w="1134" w:type="dxa"/>
          </w:tcPr>
          <w:p w14:paraId="52ED80FF" w14:textId="77777777" w:rsidR="00222799" w:rsidRPr="00362C15" w:rsidRDefault="00222799" w:rsidP="000F64C7">
            <w:pPr>
              <w:pStyle w:val="Tabletext"/>
              <w:ind w:left="0" w:right="0"/>
              <w:rPr>
                <w:iCs/>
                <w:color w:val="000000"/>
              </w:rPr>
            </w:pPr>
            <w:r w:rsidRPr="00362C15">
              <w:rPr>
                <w:iCs/>
                <w:color w:val="000000"/>
              </w:rPr>
              <w:t>0.8</w:t>
            </w:r>
          </w:p>
        </w:tc>
        <w:tc>
          <w:tcPr>
            <w:tcW w:w="1134" w:type="dxa"/>
          </w:tcPr>
          <w:p w14:paraId="7C7A8F59" w14:textId="77777777" w:rsidR="00222799" w:rsidRPr="00362C15" w:rsidRDefault="00222799" w:rsidP="000F64C7">
            <w:pPr>
              <w:pStyle w:val="Tabletext"/>
              <w:ind w:left="0" w:right="0"/>
              <w:rPr>
                <w:iCs/>
              </w:rPr>
            </w:pPr>
            <w:r w:rsidRPr="00362C15">
              <w:rPr>
                <w:iCs/>
              </w:rPr>
              <w:t>0</w:t>
            </w:r>
          </w:p>
        </w:tc>
        <w:tc>
          <w:tcPr>
            <w:tcW w:w="1134" w:type="dxa"/>
          </w:tcPr>
          <w:p w14:paraId="04DA4BF0" w14:textId="77777777" w:rsidR="00222799" w:rsidRPr="00362C15" w:rsidRDefault="00222799" w:rsidP="000F64C7">
            <w:pPr>
              <w:pStyle w:val="Tabletext"/>
              <w:ind w:left="0" w:right="0"/>
              <w:rPr>
                <w:iCs/>
              </w:rPr>
            </w:pPr>
            <w:r w:rsidRPr="00362C15">
              <w:rPr>
                <w:iCs/>
              </w:rPr>
              <w:t>0</w:t>
            </w:r>
          </w:p>
        </w:tc>
      </w:tr>
    </w:tbl>
    <w:p w14:paraId="69C27E46" w14:textId="1A57DF51" w:rsidR="000F64C7" w:rsidRPr="00875041" w:rsidRDefault="00D26203" w:rsidP="00875041">
      <w:pPr>
        <w:pStyle w:val="TableDescription"/>
      </w:pPr>
      <w:r w:rsidRPr="00875041">
        <w:t xml:space="preserve">Abbreviations: </w:t>
      </w:r>
      <w:r w:rsidR="00222799" w:rsidRPr="00875041">
        <w:t xml:space="preserve">CTCAE = Common Terminology Criteria for Adverse Events </w:t>
      </w:r>
      <w:r w:rsidR="000F64C7" w:rsidRPr="00875041">
        <w:t xml:space="preserve">Version </w:t>
      </w:r>
      <w:r w:rsidR="00222799" w:rsidRPr="00875041">
        <w:t xml:space="preserve">4.03; GT = </w:t>
      </w:r>
      <w:r w:rsidR="000F64C7" w:rsidRPr="00875041">
        <w:t xml:space="preserve">Grouped </w:t>
      </w:r>
      <w:r w:rsidR="00690F4C" w:rsidRPr="00875041">
        <w:t>Medical Dictionary for Regulatory Activities (</w:t>
      </w:r>
      <w:r w:rsidR="00222799" w:rsidRPr="00875041">
        <w:t>MedDRA</w:t>
      </w:r>
      <w:r w:rsidR="00690F4C" w:rsidRPr="00875041">
        <w:t>)</w:t>
      </w:r>
      <w:r w:rsidR="00222799" w:rsidRPr="00875041">
        <w:t xml:space="preserve"> </w:t>
      </w:r>
      <w:r w:rsidR="000F64C7" w:rsidRPr="00875041">
        <w:t>Terms</w:t>
      </w:r>
      <w:r w:rsidR="00222799" w:rsidRPr="00875041">
        <w:t>;</w:t>
      </w:r>
      <w:r w:rsidR="000F64C7" w:rsidRPr="00875041">
        <w:t xml:space="preserve"> n = number of subjects in group; </w:t>
      </w:r>
      <w:r w:rsidR="00222799" w:rsidRPr="00875041">
        <w:t>TEAE = treatment-emergent adverse event.</w:t>
      </w:r>
    </w:p>
    <w:p w14:paraId="77CF61BD" w14:textId="1591D64C" w:rsidR="000F64C7" w:rsidRPr="00875041" w:rsidRDefault="000F64C7" w:rsidP="00875041">
      <w:pPr>
        <w:pStyle w:val="TableDescription"/>
      </w:pPr>
      <w:r w:rsidRPr="00875041">
        <w:t xml:space="preserve">Grey shading proportionally indicates the most common Grade 3 to 4 </w:t>
      </w:r>
      <w:r w:rsidR="00690F4C" w:rsidRPr="00875041">
        <w:t>TEAE</w:t>
      </w:r>
      <w:r w:rsidRPr="00875041">
        <w:t xml:space="preserve">s, in the </w:t>
      </w:r>
      <w:proofErr w:type="spellStart"/>
      <w:r w:rsidRPr="00875041">
        <w:t>tebentafusp</w:t>
      </w:r>
      <w:proofErr w:type="spellEnd"/>
      <w:r w:rsidRPr="00875041">
        <w:t xml:space="preserve"> arm only (darker shade = higher frequency).</w:t>
      </w:r>
    </w:p>
    <w:p w14:paraId="0C5835D0" w14:textId="267325EA" w:rsidR="000F64C7" w:rsidRPr="00875041" w:rsidRDefault="00222799" w:rsidP="00875041">
      <w:pPr>
        <w:pStyle w:val="TableDescription"/>
      </w:pPr>
      <w:r w:rsidRPr="00875041">
        <w:t xml:space="preserve">Percentages below </w:t>
      </w:r>
      <w:r w:rsidR="00690F4C" w:rsidRPr="00875041">
        <w:t>one</w:t>
      </w:r>
      <w:r w:rsidRPr="00875041">
        <w:t xml:space="preserve"> </w:t>
      </w:r>
      <w:proofErr w:type="gramStart"/>
      <w:r w:rsidRPr="00875041">
        <w:t>are</w:t>
      </w:r>
      <w:proofErr w:type="gramEnd"/>
      <w:r w:rsidRPr="00875041">
        <w:t xml:space="preserve"> given to </w:t>
      </w:r>
      <w:r w:rsidR="00690F4C" w:rsidRPr="00875041">
        <w:t>one</w:t>
      </w:r>
      <w:r w:rsidRPr="00875041">
        <w:t xml:space="preserve"> decimal place.</w:t>
      </w:r>
    </w:p>
    <w:p w14:paraId="2A82515C" w14:textId="32835CA6" w:rsidR="00F10F6D" w:rsidRPr="00875041" w:rsidRDefault="00F10F6D" w:rsidP="00875041">
      <w:pPr>
        <w:pStyle w:val="TableDescription"/>
      </w:pPr>
      <w:r w:rsidRPr="00875041">
        <w:t>* Investigator’s choice of treatment = pembrolizumab, ipilimumab, or dacarbazine.</w:t>
      </w:r>
    </w:p>
    <w:p w14:paraId="404F6CEF" w14:textId="48B4E4DF" w:rsidR="00690F4C" w:rsidRPr="00875041" w:rsidRDefault="00222799" w:rsidP="00875041">
      <w:pPr>
        <w:pStyle w:val="TableDescription"/>
      </w:pPr>
      <w:r w:rsidRPr="00875041">
        <w:t>1 Does not include investigator reported laboratory abnormalities</w:t>
      </w:r>
    </w:p>
    <w:p w14:paraId="20898AD0" w14:textId="57ADFC4C" w:rsidR="00222799" w:rsidRPr="00875041" w:rsidRDefault="00222799" w:rsidP="00875041">
      <w:pPr>
        <w:pStyle w:val="TableDescription"/>
      </w:pPr>
      <w:r w:rsidRPr="00875041">
        <w:t>2 Grouped MedDRA Preferred Terms</w:t>
      </w:r>
    </w:p>
    <w:p w14:paraId="579F23A7" w14:textId="27272245" w:rsidR="00222799" w:rsidRPr="00875041" w:rsidRDefault="00222799" w:rsidP="00875041">
      <w:pPr>
        <w:pStyle w:val="TableDescription"/>
      </w:pPr>
      <w:r w:rsidRPr="00875041">
        <w:t xml:space="preserve">3 Based on investigator assessment using Lee </w:t>
      </w:r>
      <w:r w:rsidR="00690F4C" w:rsidRPr="00875041">
        <w:t>et al. (</w:t>
      </w:r>
      <w:r w:rsidRPr="00875041">
        <w:t>2014</w:t>
      </w:r>
      <w:r w:rsidR="00690F4C" w:rsidRPr="00875041">
        <w:t>)</w:t>
      </w:r>
      <w:r w:rsidRPr="00875041">
        <w:t xml:space="preserve"> criteria,</w:t>
      </w:r>
      <w:r w:rsidR="00534E23" w:rsidRPr="00875041">
        <w:rPr>
          <w:vertAlign w:val="superscript"/>
        </w:rPr>
        <w:fldChar w:fldCharType="begin"/>
      </w:r>
      <w:r w:rsidR="00534E23" w:rsidRPr="00875041">
        <w:rPr>
          <w:vertAlign w:val="superscript"/>
        </w:rPr>
        <w:instrText xml:space="preserve"> NOTEREF _Ref113283969 \h  \* MERGEFORMAT </w:instrText>
      </w:r>
      <w:r w:rsidR="00534E23" w:rsidRPr="00875041">
        <w:rPr>
          <w:vertAlign w:val="superscript"/>
        </w:rPr>
      </w:r>
      <w:r w:rsidR="00534E23" w:rsidRPr="00875041">
        <w:rPr>
          <w:vertAlign w:val="superscript"/>
        </w:rPr>
        <w:fldChar w:fldCharType="separate"/>
      </w:r>
      <w:r w:rsidR="00301C3E">
        <w:rPr>
          <w:vertAlign w:val="superscript"/>
        </w:rPr>
        <w:t>59</w:t>
      </w:r>
      <w:r w:rsidR="00534E23" w:rsidRPr="00875041">
        <w:rPr>
          <w:vertAlign w:val="superscript"/>
        </w:rPr>
        <w:fldChar w:fldCharType="end"/>
      </w:r>
      <w:r w:rsidRPr="00875041">
        <w:t xml:space="preserve"> see</w:t>
      </w:r>
      <w:r w:rsidR="00DB43A5" w:rsidRPr="00875041">
        <w:t xml:space="preserve"> Section Cytokine release syndrome</w:t>
      </w:r>
    </w:p>
    <w:p w14:paraId="00F9D937" w14:textId="77777777" w:rsidR="00222799" w:rsidRPr="00FD35ED" w:rsidRDefault="00222799" w:rsidP="00985193">
      <w:pPr>
        <w:pStyle w:val="Heading5"/>
      </w:pPr>
      <w:bookmarkStart w:id="90" w:name="_Ref96441858"/>
      <w:r w:rsidRPr="00FD35ED">
        <w:t>Serious adverse events</w:t>
      </w:r>
      <w:bookmarkEnd w:id="90"/>
    </w:p>
    <w:p w14:paraId="0C0ECE7A" w14:textId="0A9FD34E" w:rsidR="00222799" w:rsidRPr="00FD35ED" w:rsidRDefault="00F2721B" w:rsidP="00985193">
      <w:r>
        <w:t xml:space="preserve">A </w:t>
      </w:r>
      <w:proofErr w:type="gramStart"/>
      <w:r>
        <w:t>s</w:t>
      </w:r>
      <w:r w:rsidR="00222799" w:rsidRPr="00FD35ED">
        <w:t>erious adverse events (SAE)</w:t>
      </w:r>
      <w:proofErr w:type="gramEnd"/>
      <w:r w:rsidR="00222799" w:rsidRPr="00FD35ED">
        <w:t xml:space="preserve"> w</w:t>
      </w:r>
      <w:r>
        <w:t>as</w:t>
      </w:r>
      <w:r w:rsidR="00222799" w:rsidRPr="00FD35ED">
        <w:t xml:space="preserve"> defined in the protocol as </w:t>
      </w:r>
      <w:r>
        <w:t>being any adverse event that:</w:t>
      </w:r>
    </w:p>
    <w:p w14:paraId="2F13DA57" w14:textId="16A609E2" w:rsidR="00222799" w:rsidRPr="00FD35ED" w:rsidRDefault="00117C80" w:rsidP="00985193">
      <w:pPr>
        <w:pStyle w:val="ListBullet"/>
      </w:pPr>
      <w:r w:rsidRPr="00FD35ED">
        <w:t>i</w:t>
      </w:r>
      <w:r w:rsidR="00222799" w:rsidRPr="00FD35ED">
        <w:t>s fatal or life</w:t>
      </w:r>
      <w:r w:rsidR="00604924" w:rsidRPr="00FD35ED">
        <w:t>-</w:t>
      </w:r>
      <w:r w:rsidR="00222799" w:rsidRPr="00FD35ED">
        <w:t>threatening</w:t>
      </w:r>
    </w:p>
    <w:p w14:paraId="27AC0D8B" w14:textId="736C6783" w:rsidR="00222799" w:rsidRPr="00FD35ED" w:rsidRDefault="00117C80" w:rsidP="00985193">
      <w:pPr>
        <w:pStyle w:val="ListBullet"/>
      </w:pPr>
      <w:r w:rsidRPr="00FD35ED">
        <w:t>r</w:t>
      </w:r>
      <w:r w:rsidR="00222799" w:rsidRPr="00FD35ED">
        <w:t>esults in persistent or significant disability or incapacity</w:t>
      </w:r>
    </w:p>
    <w:p w14:paraId="0E9045BC" w14:textId="578EE3F4" w:rsidR="00222799" w:rsidRPr="00FD35ED" w:rsidRDefault="00117C80" w:rsidP="00985193">
      <w:pPr>
        <w:pStyle w:val="ListBullet"/>
      </w:pPr>
      <w:r w:rsidRPr="00FD35ED">
        <w:t>c</w:t>
      </w:r>
      <w:r w:rsidR="00222799" w:rsidRPr="00FD35ED">
        <w:t>onstitutes a congenital anomaly</w:t>
      </w:r>
      <w:r w:rsidRPr="00FD35ED">
        <w:t xml:space="preserve"> or </w:t>
      </w:r>
      <w:r w:rsidR="00222799" w:rsidRPr="00FD35ED">
        <w:t>birth defect</w:t>
      </w:r>
    </w:p>
    <w:p w14:paraId="4FCFE9EB" w14:textId="7EAE6C74" w:rsidR="00222799" w:rsidRPr="00FD35ED" w:rsidRDefault="00117C80" w:rsidP="00985193">
      <w:pPr>
        <w:pStyle w:val="ListBullet"/>
      </w:pPr>
      <w:r w:rsidRPr="00FD35ED">
        <w:t>i</w:t>
      </w:r>
      <w:r w:rsidR="00222799" w:rsidRPr="00FD35ED">
        <w:t>s medically significant, defined as an event that jeopardises the patient or may require medical or surgical intervention to prevent one of the outcomes listed above</w:t>
      </w:r>
    </w:p>
    <w:p w14:paraId="764DA96F" w14:textId="6AA7BB36" w:rsidR="00222799" w:rsidRPr="00FD35ED" w:rsidRDefault="00117C80" w:rsidP="00985193">
      <w:pPr>
        <w:pStyle w:val="ListBullet"/>
      </w:pPr>
      <w:r w:rsidRPr="00FD35ED">
        <w:t>r</w:t>
      </w:r>
      <w:r w:rsidR="00222799" w:rsidRPr="00FD35ED">
        <w:t>equires inpatient hospitalisation or prolongation of existing hospitalisation, unless hospitalisation is for:</w:t>
      </w:r>
    </w:p>
    <w:p w14:paraId="1C69ED61" w14:textId="2A066337" w:rsidR="00222799" w:rsidRPr="00FD35ED" w:rsidRDefault="00117C80" w:rsidP="00985193">
      <w:pPr>
        <w:pStyle w:val="ListBullet2"/>
      </w:pPr>
      <w:r w:rsidRPr="00FD35ED">
        <w:lastRenderedPageBreak/>
        <w:t>r</w:t>
      </w:r>
      <w:r w:rsidR="00222799" w:rsidRPr="00FD35ED">
        <w:t>outine treatment or monitoring of the studied indication, not associated with any deterioration in condition</w:t>
      </w:r>
    </w:p>
    <w:p w14:paraId="26C46500" w14:textId="2EADC08F" w:rsidR="00222799" w:rsidRPr="00FD35ED" w:rsidRDefault="00117C80" w:rsidP="00985193">
      <w:pPr>
        <w:pStyle w:val="ListBullet2"/>
      </w:pPr>
      <w:r w:rsidRPr="00FD35ED">
        <w:t>e</w:t>
      </w:r>
      <w:r w:rsidR="00222799" w:rsidRPr="00FD35ED">
        <w:t>lective or pre-planned treatment for a pre-existing condition that is unrelated to the indication under study and has not worsened since signing the informed consent</w:t>
      </w:r>
    </w:p>
    <w:p w14:paraId="576384C5" w14:textId="39F5C653" w:rsidR="00222799" w:rsidRPr="00FD35ED" w:rsidRDefault="00117C80" w:rsidP="00985193">
      <w:pPr>
        <w:pStyle w:val="ListBullet2"/>
      </w:pPr>
      <w:r w:rsidRPr="00FD35ED">
        <w:t>t</w:t>
      </w:r>
      <w:r w:rsidR="00222799" w:rsidRPr="00FD35ED">
        <w:t>reatment on an emergency outpatient basis for an event not fulfilling any of the definitions of an SAE given above and not resulting in hospital admission</w:t>
      </w:r>
    </w:p>
    <w:p w14:paraId="1FE95641" w14:textId="60AFDBDA" w:rsidR="00222799" w:rsidRPr="00FD35ED" w:rsidRDefault="00117C80" w:rsidP="00985193">
      <w:pPr>
        <w:pStyle w:val="ListBullet2"/>
      </w:pPr>
      <w:r w:rsidRPr="00FD35ED">
        <w:t>s</w:t>
      </w:r>
      <w:r w:rsidR="00222799" w:rsidRPr="00FD35ED">
        <w:t>ocial reasons and respite care in the absence of any deterioration in the patient’s general condition</w:t>
      </w:r>
    </w:p>
    <w:p w14:paraId="559EC98A" w14:textId="2DEAA31F" w:rsidR="00222799" w:rsidRPr="00FD35ED" w:rsidRDefault="00117C80" w:rsidP="00985193">
      <w:pPr>
        <w:pStyle w:val="ListBullet"/>
      </w:pPr>
      <w:r w:rsidRPr="00FD35ED">
        <w:t xml:space="preserve">death </w:t>
      </w:r>
      <w:r w:rsidR="00222799" w:rsidRPr="00FD35ED">
        <w:t xml:space="preserve">due to </w:t>
      </w:r>
      <w:r w:rsidR="00D47A02" w:rsidRPr="00FD35ED">
        <w:t>progressive disease</w:t>
      </w:r>
      <w:r w:rsidR="00222799" w:rsidRPr="00FD35ED">
        <w:t xml:space="preserve"> of malignancy should not be reported as an SAE, if documented by use of appropriate method (</w:t>
      </w:r>
      <w:r w:rsidRPr="00FD35ED">
        <w:t>for example</w:t>
      </w:r>
      <w:r w:rsidR="00222799" w:rsidRPr="00FD35ED">
        <w:t xml:space="preserve">, as per RECIST </w:t>
      </w:r>
      <w:r w:rsidR="00D47A02" w:rsidRPr="00FD35ED">
        <w:t xml:space="preserve">version </w:t>
      </w:r>
      <w:r w:rsidR="00222799" w:rsidRPr="00FD35ED">
        <w:t xml:space="preserve">1.1). Any AE that occurred </w:t>
      </w:r>
      <w:proofErr w:type="gramStart"/>
      <w:r w:rsidR="00222799" w:rsidRPr="00FD35ED">
        <w:t>as a result of</w:t>
      </w:r>
      <w:proofErr w:type="gramEnd"/>
      <w:r w:rsidR="00222799" w:rsidRPr="00FD35ED">
        <w:t xml:space="preserve"> the </w:t>
      </w:r>
      <w:r w:rsidR="00D47A02" w:rsidRPr="00FD35ED">
        <w:t>progressive disease</w:t>
      </w:r>
      <w:r w:rsidR="00222799" w:rsidRPr="00FD35ED">
        <w:t xml:space="preserve"> should be reported in the appropriate manner.</w:t>
      </w:r>
    </w:p>
    <w:p w14:paraId="47A68960" w14:textId="3491AD05" w:rsidR="00222799" w:rsidRPr="00FD35ED" w:rsidRDefault="00222799" w:rsidP="00985193">
      <w:r w:rsidRPr="00FD35ED">
        <w:t>The most common SAEs that occurred in Study 202 (</w:t>
      </w:r>
      <w:r w:rsidR="00117C80" w:rsidRPr="00FD35ED">
        <w:t xml:space="preserve">see </w:t>
      </w:r>
      <w:r w:rsidRPr="00FD35ED">
        <w:fldChar w:fldCharType="begin"/>
      </w:r>
      <w:r w:rsidRPr="00FD35ED">
        <w:instrText xml:space="preserve"> REF _Ref96341806 \h  \* MERGEFORMAT </w:instrText>
      </w:r>
      <w:r w:rsidRPr="00FD35ED">
        <w:fldChar w:fldCharType="separate"/>
      </w:r>
      <w:r w:rsidR="00301C3E" w:rsidRPr="00875041">
        <w:t xml:space="preserve">Table </w:t>
      </w:r>
      <w:r w:rsidR="00301C3E">
        <w:t>10</w:t>
      </w:r>
      <w:r w:rsidRPr="00FD35ED">
        <w:fldChar w:fldCharType="end"/>
      </w:r>
      <w:r w:rsidR="00117C80" w:rsidRPr="00FD35ED">
        <w:t xml:space="preserve"> below</w:t>
      </w:r>
      <w:r w:rsidRPr="00FD35ED">
        <w:t>) were CRS (or events consistent with its clinical presentation: pyrexia and hypotension) and skin disorders. Other SAEs of clinical note included hepatotoxicity (2 patients) and tumour lysis syndrome (</w:t>
      </w:r>
      <w:r w:rsidR="00117C80" w:rsidRPr="00FD35ED">
        <w:t>one</w:t>
      </w:r>
      <w:r w:rsidRPr="00FD35ED">
        <w:t xml:space="preserve"> patient).</w:t>
      </w:r>
    </w:p>
    <w:p w14:paraId="5AF10456" w14:textId="756CB0DF" w:rsidR="00222799" w:rsidRPr="00FD35ED" w:rsidRDefault="00222799" w:rsidP="00985193">
      <w:r w:rsidRPr="00FD35ED">
        <w:t>In the broader integrated safety pool, multiple organ dysfunction syndrome was reported for two patients (0.4%). No narrative was available for one event that occurred in a 78</w:t>
      </w:r>
      <w:r w:rsidR="00117C80" w:rsidRPr="00FD35ED">
        <w:noBreakHyphen/>
      </w:r>
      <w:r w:rsidRPr="00FD35ED">
        <w:t xml:space="preserve">year-old male. The other occurred in a 53-year-old female: following her first and only dose of study drug she experienced CRS with </w:t>
      </w:r>
      <w:r w:rsidR="006D7C69" w:rsidRPr="00FD35ED">
        <w:t>Grade</w:t>
      </w:r>
      <w:r w:rsidRPr="00FD35ED">
        <w:t xml:space="preserve"> 4 hypotension that required aggressive resuscitation, was </w:t>
      </w:r>
      <w:proofErr w:type="gramStart"/>
      <w:r w:rsidRPr="00FD35ED">
        <w:t>intubated</w:t>
      </w:r>
      <w:proofErr w:type="gramEnd"/>
      <w:r w:rsidRPr="00FD35ED">
        <w:t xml:space="preserve"> and admitted to </w:t>
      </w:r>
      <w:r w:rsidR="00117C80" w:rsidRPr="00FD35ED">
        <w:t>the intensive care unit</w:t>
      </w:r>
      <w:r w:rsidRPr="00FD35ED">
        <w:t xml:space="preserve">. Eventually, after </w:t>
      </w:r>
      <w:proofErr w:type="spellStart"/>
      <w:r w:rsidRPr="00FD35ED">
        <w:t>extubation</w:t>
      </w:r>
      <w:proofErr w:type="spellEnd"/>
      <w:r w:rsidRPr="00FD35ED">
        <w:t>, she was transitioned to haemodialysis. The event of multi</w:t>
      </w:r>
      <w:r w:rsidR="00117C80" w:rsidRPr="00FD35ED">
        <w:noBreakHyphen/>
      </w:r>
      <w:r w:rsidRPr="00FD35ED">
        <w:t xml:space="preserve">organ failure remained unresolved at the time that she died due to progression of uveal melanoma, 27 days after receiving </w:t>
      </w:r>
      <w:proofErr w:type="spellStart"/>
      <w:r w:rsidRPr="00FD35ED">
        <w:t>tebentafusp</w:t>
      </w:r>
      <w:proofErr w:type="spellEnd"/>
      <w:r w:rsidRPr="00FD35ED">
        <w:t>.</w:t>
      </w:r>
    </w:p>
    <w:p w14:paraId="6B4036A0" w14:textId="7C92F890" w:rsidR="00222799" w:rsidRPr="00875041" w:rsidRDefault="00222799" w:rsidP="00875041">
      <w:pPr>
        <w:pStyle w:val="TableTitle"/>
      </w:pPr>
      <w:bookmarkStart w:id="91" w:name="_Ref96341806"/>
      <w:r w:rsidRPr="00875041">
        <w:t xml:space="preserve">Table </w:t>
      </w:r>
      <w:fldSimple w:instr=" SEQ Table \* ARABIC ">
        <w:r w:rsidR="00301C3E">
          <w:rPr>
            <w:noProof/>
          </w:rPr>
          <w:t>10</w:t>
        </w:r>
      </w:fldSimple>
      <w:bookmarkEnd w:id="91"/>
      <w:r w:rsidR="00AE1769" w:rsidRPr="00875041">
        <w:t>:</w:t>
      </w:r>
      <w:r w:rsidRPr="00875041">
        <w:t xml:space="preserve"> </w:t>
      </w:r>
      <w:r w:rsidR="00AE1769" w:rsidRPr="00875041">
        <w:t xml:space="preserve">Study 202 </w:t>
      </w:r>
      <w:r w:rsidRPr="00875041">
        <w:t xml:space="preserve">Serious adverse events that occurred in at least 2% of </w:t>
      </w:r>
      <w:proofErr w:type="spellStart"/>
      <w:r w:rsidRPr="00875041">
        <w:t>tebentafusp</w:t>
      </w:r>
      <w:proofErr w:type="spellEnd"/>
      <w:r w:rsidR="00200045" w:rsidRPr="00875041">
        <w:t xml:space="preserve"> </w:t>
      </w:r>
      <w:r w:rsidRPr="00875041">
        <w:t xml:space="preserve">treated patients (safety </w:t>
      </w:r>
      <w:r w:rsidR="00D26203" w:rsidRPr="00875041">
        <w:t>population</w:t>
      </w:r>
      <w:r w:rsidR="00690F4C" w:rsidRPr="00875041">
        <w:t xml:space="preserve">; </w:t>
      </w:r>
      <w:r w:rsidR="001C7332" w:rsidRPr="00875041">
        <w:t>data cut-off</w:t>
      </w:r>
      <w:r w:rsidRPr="00875041">
        <w:t xml:space="preserve"> </w:t>
      </w:r>
      <w:r w:rsidR="00AE1769" w:rsidRPr="00875041">
        <w:t>date:</w:t>
      </w:r>
      <w:r w:rsidRPr="00875041">
        <w:t>13 Oct</w:t>
      </w:r>
      <w:r w:rsidR="00AE1769" w:rsidRPr="00875041">
        <w:t>ober</w:t>
      </w:r>
      <w:r w:rsidRPr="00875041">
        <w:t xml:space="preserve"> 2020</w:t>
      </w:r>
      <w:r w:rsidR="001C7332" w:rsidRPr="00875041">
        <w:t>)</w:t>
      </w:r>
    </w:p>
    <w:tbl>
      <w:tblPr>
        <w:tblStyle w:val="TableTGAblue"/>
        <w:tblW w:w="8354" w:type="dxa"/>
        <w:tblLayout w:type="fixed"/>
        <w:tblLook w:val="01E0" w:firstRow="1" w:lastRow="1" w:firstColumn="1" w:lastColumn="1" w:noHBand="0" w:noVBand="0"/>
      </w:tblPr>
      <w:tblGrid>
        <w:gridCol w:w="2410"/>
        <w:gridCol w:w="2116"/>
        <w:gridCol w:w="1560"/>
        <w:gridCol w:w="2268"/>
      </w:tblGrid>
      <w:tr w:rsidR="00222799" w:rsidRPr="00FD35ED" w14:paraId="131A1527" w14:textId="77777777" w:rsidTr="000B0ECB">
        <w:trPr>
          <w:cnfStyle w:val="100000000000" w:firstRow="1" w:lastRow="0" w:firstColumn="0" w:lastColumn="0" w:oddVBand="0" w:evenVBand="0" w:oddHBand="0" w:evenHBand="0" w:firstRowFirstColumn="0" w:firstRowLastColumn="0" w:lastRowFirstColumn="0" w:lastRowLastColumn="0"/>
          <w:trHeight w:val="454"/>
        </w:trPr>
        <w:tc>
          <w:tcPr>
            <w:tcW w:w="4526" w:type="dxa"/>
            <w:gridSpan w:val="2"/>
          </w:tcPr>
          <w:p w14:paraId="197C7ABC" w14:textId="77777777" w:rsidR="00222799" w:rsidRPr="00FD35ED" w:rsidRDefault="00222799" w:rsidP="00690F4C">
            <w:pPr>
              <w:pStyle w:val="Tabletext"/>
              <w:ind w:left="0" w:right="0"/>
            </w:pPr>
          </w:p>
        </w:tc>
        <w:tc>
          <w:tcPr>
            <w:tcW w:w="1560" w:type="dxa"/>
          </w:tcPr>
          <w:p w14:paraId="4A337027" w14:textId="2C28E61D" w:rsidR="00F97E3A" w:rsidRPr="00FD35ED" w:rsidRDefault="00222799" w:rsidP="00690F4C">
            <w:pPr>
              <w:pStyle w:val="Tabletext"/>
              <w:ind w:left="0" w:right="0"/>
            </w:pPr>
            <w:proofErr w:type="spellStart"/>
            <w:r w:rsidRPr="00FD35ED">
              <w:t>Tebentafusp</w:t>
            </w:r>
            <w:proofErr w:type="spellEnd"/>
            <w:r w:rsidR="00F10F6D">
              <w:t xml:space="preserve"> arm</w:t>
            </w:r>
          </w:p>
          <w:p w14:paraId="577D3345" w14:textId="467D264F" w:rsidR="00222799" w:rsidRPr="00FD35ED" w:rsidRDefault="00222799" w:rsidP="00690F4C">
            <w:pPr>
              <w:pStyle w:val="Tabletext"/>
              <w:ind w:left="0" w:right="0"/>
            </w:pPr>
            <w:r w:rsidRPr="00FD35ED">
              <w:t>(n</w:t>
            </w:r>
            <w:r w:rsidR="00F97E3A" w:rsidRPr="00FD35ED">
              <w:t xml:space="preserve"> </w:t>
            </w:r>
            <w:r w:rsidRPr="00FD35ED">
              <w:t>=</w:t>
            </w:r>
            <w:r w:rsidR="00F97E3A" w:rsidRPr="00FD35ED">
              <w:t xml:space="preserve"> </w:t>
            </w:r>
            <w:r w:rsidRPr="00FD35ED">
              <w:t>245)</w:t>
            </w:r>
          </w:p>
        </w:tc>
        <w:tc>
          <w:tcPr>
            <w:tcW w:w="2268" w:type="dxa"/>
          </w:tcPr>
          <w:p w14:paraId="0C2B97EA" w14:textId="34FFEB03" w:rsidR="00F97E3A" w:rsidRPr="00362C15" w:rsidRDefault="00431E29" w:rsidP="00690F4C">
            <w:pPr>
              <w:pStyle w:val="Tabletext"/>
              <w:ind w:left="0" w:right="0"/>
              <w:rPr>
                <w:vertAlign w:val="superscript"/>
              </w:rPr>
            </w:pPr>
            <w:r w:rsidRPr="00FD35ED">
              <w:t>Investigator’s choice</w:t>
            </w:r>
            <w:r w:rsidR="00F10F6D">
              <w:t xml:space="preserve"> of treatment arm</w:t>
            </w:r>
            <w:r w:rsidR="00F10F6D">
              <w:rPr>
                <w:vertAlign w:val="superscript"/>
              </w:rPr>
              <w:t>*</w:t>
            </w:r>
          </w:p>
          <w:p w14:paraId="7924C803" w14:textId="0D745BCB" w:rsidR="00222799" w:rsidRPr="00FD35ED" w:rsidRDefault="00222799" w:rsidP="00690F4C">
            <w:pPr>
              <w:pStyle w:val="Tabletext"/>
              <w:ind w:left="0" w:right="0"/>
            </w:pPr>
            <w:r w:rsidRPr="00FD35ED">
              <w:t>(n</w:t>
            </w:r>
            <w:r w:rsidR="00F97E3A" w:rsidRPr="00FD35ED">
              <w:t xml:space="preserve"> </w:t>
            </w:r>
            <w:r w:rsidRPr="00FD35ED">
              <w:t>=</w:t>
            </w:r>
            <w:r w:rsidR="00F97E3A" w:rsidRPr="00FD35ED">
              <w:t xml:space="preserve"> </w:t>
            </w:r>
            <w:r w:rsidRPr="00FD35ED">
              <w:t>111)</w:t>
            </w:r>
          </w:p>
        </w:tc>
      </w:tr>
      <w:tr w:rsidR="00222799" w:rsidRPr="00FD35ED" w14:paraId="344717E0" w14:textId="77777777" w:rsidTr="000B0ECB">
        <w:trPr>
          <w:trHeight w:val="20"/>
        </w:trPr>
        <w:tc>
          <w:tcPr>
            <w:tcW w:w="4526" w:type="dxa"/>
            <w:gridSpan w:val="2"/>
          </w:tcPr>
          <w:p w14:paraId="6AAA2898" w14:textId="6A3D4E48" w:rsidR="00222799" w:rsidRPr="00FD35ED" w:rsidRDefault="00222799" w:rsidP="00690F4C">
            <w:pPr>
              <w:pStyle w:val="Tabletext"/>
              <w:ind w:left="0" w:right="0"/>
              <w:rPr>
                <w:b/>
                <w:bCs/>
              </w:rPr>
            </w:pPr>
            <w:r w:rsidRPr="00FD35ED">
              <w:rPr>
                <w:b/>
                <w:bCs/>
              </w:rPr>
              <w:t xml:space="preserve">Patients with at least </w:t>
            </w:r>
            <w:r w:rsidR="00690F4C" w:rsidRPr="00FD35ED">
              <w:rPr>
                <w:b/>
                <w:bCs/>
              </w:rPr>
              <w:t>one</w:t>
            </w:r>
            <w:r w:rsidRPr="00FD35ED">
              <w:rPr>
                <w:b/>
                <w:bCs/>
              </w:rPr>
              <w:t xml:space="preserve"> serious TEAE (SAE), %</w:t>
            </w:r>
          </w:p>
        </w:tc>
        <w:tc>
          <w:tcPr>
            <w:tcW w:w="1560" w:type="dxa"/>
          </w:tcPr>
          <w:p w14:paraId="1CE44E99" w14:textId="77777777" w:rsidR="00222799" w:rsidRPr="00FD35ED" w:rsidRDefault="00222799" w:rsidP="00690F4C">
            <w:pPr>
              <w:pStyle w:val="Tabletext"/>
              <w:ind w:left="0" w:right="0"/>
            </w:pPr>
            <w:r w:rsidRPr="00FD35ED">
              <w:t>28</w:t>
            </w:r>
          </w:p>
        </w:tc>
        <w:tc>
          <w:tcPr>
            <w:tcW w:w="2268" w:type="dxa"/>
          </w:tcPr>
          <w:p w14:paraId="7DA81553" w14:textId="77777777" w:rsidR="00222799" w:rsidRPr="00FD35ED" w:rsidRDefault="00222799" w:rsidP="00690F4C">
            <w:pPr>
              <w:pStyle w:val="Tabletext"/>
              <w:ind w:left="0" w:right="0"/>
            </w:pPr>
            <w:r w:rsidRPr="00FD35ED">
              <w:t>23</w:t>
            </w:r>
          </w:p>
        </w:tc>
      </w:tr>
      <w:tr w:rsidR="00222799" w:rsidRPr="00FD35ED" w14:paraId="02C245DA" w14:textId="77777777" w:rsidTr="000B0ECB">
        <w:trPr>
          <w:trHeight w:val="20"/>
        </w:trPr>
        <w:tc>
          <w:tcPr>
            <w:tcW w:w="2410" w:type="dxa"/>
            <w:vMerge w:val="restart"/>
          </w:tcPr>
          <w:p w14:paraId="266BB6A1" w14:textId="77777777" w:rsidR="00222799" w:rsidRPr="00FD35ED" w:rsidRDefault="00222799" w:rsidP="00690F4C">
            <w:pPr>
              <w:pStyle w:val="Tabletext"/>
              <w:ind w:left="0" w:right="0"/>
            </w:pPr>
            <w:r w:rsidRPr="00FD35ED">
              <w:t xml:space="preserve">SAEs that occurred in at least 2% of patients in the </w:t>
            </w:r>
            <w:proofErr w:type="spellStart"/>
            <w:r w:rsidRPr="00FD35ED">
              <w:t>tebentafusp</w:t>
            </w:r>
            <w:proofErr w:type="spellEnd"/>
            <w:r w:rsidRPr="00FD35ED">
              <w:t xml:space="preserve"> arm, %</w:t>
            </w:r>
          </w:p>
        </w:tc>
        <w:tc>
          <w:tcPr>
            <w:tcW w:w="2116" w:type="dxa"/>
          </w:tcPr>
          <w:p w14:paraId="0D4A188E" w14:textId="77777777" w:rsidR="00222799" w:rsidRPr="00FD35ED" w:rsidRDefault="00222799" w:rsidP="00690F4C">
            <w:pPr>
              <w:pStyle w:val="Tabletext"/>
              <w:ind w:left="0" w:right="0"/>
            </w:pPr>
            <w:r w:rsidRPr="00FD35ED">
              <w:t>Cytokine release syndrome</w:t>
            </w:r>
          </w:p>
        </w:tc>
        <w:tc>
          <w:tcPr>
            <w:tcW w:w="1560" w:type="dxa"/>
          </w:tcPr>
          <w:p w14:paraId="6E9CBFCC" w14:textId="77777777" w:rsidR="00222799" w:rsidRPr="00FD35ED" w:rsidRDefault="00222799" w:rsidP="00690F4C">
            <w:pPr>
              <w:pStyle w:val="Tabletext"/>
              <w:ind w:left="0" w:right="0"/>
            </w:pPr>
            <w:r w:rsidRPr="00FD35ED">
              <w:t>10</w:t>
            </w:r>
          </w:p>
        </w:tc>
        <w:tc>
          <w:tcPr>
            <w:tcW w:w="2268" w:type="dxa"/>
          </w:tcPr>
          <w:p w14:paraId="0E76E881" w14:textId="77777777" w:rsidR="00222799" w:rsidRPr="00FD35ED" w:rsidRDefault="00222799" w:rsidP="00690F4C">
            <w:pPr>
              <w:pStyle w:val="Tabletext"/>
              <w:ind w:left="0" w:right="0"/>
            </w:pPr>
            <w:r w:rsidRPr="00FD35ED">
              <w:t>0</w:t>
            </w:r>
          </w:p>
        </w:tc>
      </w:tr>
      <w:tr w:rsidR="00222799" w:rsidRPr="00FD35ED" w14:paraId="76E69F14" w14:textId="77777777" w:rsidTr="000B0ECB">
        <w:trPr>
          <w:trHeight w:val="20"/>
        </w:trPr>
        <w:tc>
          <w:tcPr>
            <w:tcW w:w="2410" w:type="dxa"/>
            <w:vMerge/>
          </w:tcPr>
          <w:p w14:paraId="71FE7D61" w14:textId="77777777" w:rsidR="00222799" w:rsidRPr="00FD35ED" w:rsidRDefault="00222799" w:rsidP="00690F4C">
            <w:pPr>
              <w:pStyle w:val="Tabletext"/>
              <w:ind w:left="0" w:right="0"/>
            </w:pPr>
          </w:p>
        </w:tc>
        <w:tc>
          <w:tcPr>
            <w:tcW w:w="2116" w:type="dxa"/>
          </w:tcPr>
          <w:p w14:paraId="4B1CF37E" w14:textId="77777777" w:rsidR="00222799" w:rsidRPr="00FD35ED" w:rsidRDefault="00222799" w:rsidP="00690F4C">
            <w:pPr>
              <w:pStyle w:val="Tabletext"/>
              <w:ind w:left="0" w:right="0"/>
            </w:pPr>
            <w:r w:rsidRPr="00FD35ED">
              <w:t>Rash (GT)</w:t>
            </w:r>
          </w:p>
        </w:tc>
        <w:tc>
          <w:tcPr>
            <w:tcW w:w="1560" w:type="dxa"/>
          </w:tcPr>
          <w:p w14:paraId="30B5FFEB" w14:textId="77777777" w:rsidR="00222799" w:rsidRPr="00FD35ED" w:rsidRDefault="00222799" w:rsidP="00690F4C">
            <w:pPr>
              <w:pStyle w:val="Tabletext"/>
              <w:ind w:left="0" w:right="0"/>
            </w:pPr>
            <w:r w:rsidRPr="00FD35ED">
              <w:t>4.5</w:t>
            </w:r>
          </w:p>
        </w:tc>
        <w:tc>
          <w:tcPr>
            <w:tcW w:w="2268" w:type="dxa"/>
          </w:tcPr>
          <w:p w14:paraId="5127975D" w14:textId="77777777" w:rsidR="00222799" w:rsidRPr="00FD35ED" w:rsidRDefault="00222799" w:rsidP="00690F4C">
            <w:pPr>
              <w:pStyle w:val="Tabletext"/>
              <w:ind w:left="0" w:right="0"/>
            </w:pPr>
            <w:r w:rsidRPr="00FD35ED">
              <w:t>0</w:t>
            </w:r>
          </w:p>
        </w:tc>
      </w:tr>
      <w:tr w:rsidR="00222799" w:rsidRPr="00FD35ED" w14:paraId="68F8860D" w14:textId="77777777" w:rsidTr="000B0ECB">
        <w:trPr>
          <w:trHeight w:val="20"/>
        </w:trPr>
        <w:tc>
          <w:tcPr>
            <w:tcW w:w="2410" w:type="dxa"/>
            <w:vMerge/>
          </w:tcPr>
          <w:p w14:paraId="0871A95F" w14:textId="77777777" w:rsidR="00222799" w:rsidRPr="00FD35ED" w:rsidRDefault="00222799" w:rsidP="00690F4C">
            <w:pPr>
              <w:pStyle w:val="Tabletext"/>
              <w:ind w:left="0" w:right="0"/>
            </w:pPr>
          </w:p>
        </w:tc>
        <w:tc>
          <w:tcPr>
            <w:tcW w:w="2116" w:type="dxa"/>
          </w:tcPr>
          <w:p w14:paraId="0B7B5298" w14:textId="77777777" w:rsidR="00222799" w:rsidRPr="00FD35ED" w:rsidRDefault="00222799" w:rsidP="00690F4C">
            <w:pPr>
              <w:pStyle w:val="Tabletext"/>
              <w:ind w:left="0" w:right="0"/>
            </w:pPr>
            <w:r w:rsidRPr="00FD35ED">
              <w:t>Pyrexia (GT)</w:t>
            </w:r>
          </w:p>
        </w:tc>
        <w:tc>
          <w:tcPr>
            <w:tcW w:w="1560" w:type="dxa"/>
          </w:tcPr>
          <w:p w14:paraId="151C43B9" w14:textId="77777777" w:rsidR="00222799" w:rsidRPr="00FD35ED" w:rsidRDefault="00222799" w:rsidP="00690F4C">
            <w:pPr>
              <w:pStyle w:val="Tabletext"/>
              <w:ind w:left="0" w:right="0"/>
            </w:pPr>
            <w:r w:rsidRPr="00FD35ED">
              <w:t>2.4</w:t>
            </w:r>
          </w:p>
        </w:tc>
        <w:tc>
          <w:tcPr>
            <w:tcW w:w="2268" w:type="dxa"/>
          </w:tcPr>
          <w:p w14:paraId="785ED404" w14:textId="77777777" w:rsidR="00222799" w:rsidRPr="00FD35ED" w:rsidRDefault="00222799" w:rsidP="00690F4C">
            <w:pPr>
              <w:pStyle w:val="Tabletext"/>
              <w:ind w:left="0" w:right="0"/>
            </w:pPr>
            <w:r w:rsidRPr="00FD35ED">
              <w:t>1.8</w:t>
            </w:r>
          </w:p>
        </w:tc>
      </w:tr>
      <w:tr w:rsidR="00222799" w:rsidRPr="00FD35ED" w14:paraId="59A8F601" w14:textId="77777777" w:rsidTr="000B0ECB">
        <w:trPr>
          <w:trHeight w:val="20"/>
        </w:trPr>
        <w:tc>
          <w:tcPr>
            <w:tcW w:w="2410" w:type="dxa"/>
            <w:vMerge/>
          </w:tcPr>
          <w:p w14:paraId="213B9071" w14:textId="77777777" w:rsidR="00222799" w:rsidRPr="00FD35ED" w:rsidRDefault="00222799" w:rsidP="00690F4C">
            <w:pPr>
              <w:pStyle w:val="Tabletext"/>
              <w:ind w:left="0" w:right="0"/>
            </w:pPr>
          </w:p>
        </w:tc>
        <w:tc>
          <w:tcPr>
            <w:tcW w:w="2116" w:type="dxa"/>
          </w:tcPr>
          <w:p w14:paraId="0521123A" w14:textId="77777777" w:rsidR="00222799" w:rsidRPr="00FD35ED" w:rsidRDefault="00222799" w:rsidP="00690F4C">
            <w:pPr>
              <w:pStyle w:val="Tabletext"/>
              <w:ind w:left="0" w:right="0"/>
            </w:pPr>
            <w:r w:rsidRPr="00FD35ED">
              <w:t>Hypotension (GT)</w:t>
            </w:r>
          </w:p>
        </w:tc>
        <w:tc>
          <w:tcPr>
            <w:tcW w:w="1560" w:type="dxa"/>
          </w:tcPr>
          <w:p w14:paraId="60C4E002" w14:textId="77777777" w:rsidR="00222799" w:rsidRPr="00FD35ED" w:rsidRDefault="00222799" w:rsidP="00690F4C">
            <w:pPr>
              <w:pStyle w:val="Tabletext"/>
              <w:ind w:left="0" w:right="0"/>
            </w:pPr>
            <w:r w:rsidRPr="00FD35ED">
              <w:t>2.0</w:t>
            </w:r>
          </w:p>
        </w:tc>
        <w:tc>
          <w:tcPr>
            <w:tcW w:w="2268" w:type="dxa"/>
          </w:tcPr>
          <w:p w14:paraId="7BD29B9E" w14:textId="77777777" w:rsidR="00222799" w:rsidRPr="00FD35ED" w:rsidRDefault="00222799" w:rsidP="00690F4C">
            <w:pPr>
              <w:pStyle w:val="Tabletext"/>
              <w:ind w:left="0" w:right="0"/>
            </w:pPr>
            <w:r w:rsidRPr="00FD35ED">
              <w:t>0</w:t>
            </w:r>
          </w:p>
        </w:tc>
      </w:tr>
    </w:tbl>
    <w:p w14:paraId="5ABDAE2B" w14:textId="43D710DC" w:rsidR="00690F4C" w:rsidRPr="00875041" w:rsidRDefault="00D26203" w:rsidP="00875041">
      <w:pPr>
        <w:pStyle w:val="TableDescription"/>
      </w:pPr>
      <w:r w:rsidRPr="00875041">
        <w:t xml:space="preserve">Abbreviations: </w:t>
      </w:r>
      <w:r w:rsidR="00222799" w:rsidRPr="00875041">
        <w:t xml:space="preserve">GT = </w:t>
      </w:r>
      <w:r w:rsidR="00690F4C" w:rsidRPr="00875041">
        <w:t>Grouped Medical Dictionary for Regulatory Activities (</w:t>
      </w:r>
      <w:r w:rsidR="00222799" w:rsidRPr="00875041">
        <w:t>MedDRA</w:t>
      </w:r>
      <w:r w:rsidR="00690F4C" w:rsidRPr="00875041">
        <w:t>)</w:t>
      </w:r>
      <w:r w:rsidR="00222799" w:rsidRPr="00875041">
        <w:t xml:space="preserve"> </w:t>
      </w:r>
      <w:r w:rsidR="00690F4C" w:rsidRPr="00875041">
        <w:t>Terms</w:t>
      </w:r>
      <w:r w:rsidR="00222799" w:rsidRPr="00875041">
        <w:t xml:space="preserve">; </w:t>
      </w:r>
      <w:r w:rsidR="00690F4C" w:rsidRPr="00875041">
        <w:t xml:space="preserve">n = number of subjects in group; </w:t>
      </w:r>
      <w:r w:rsidR="00F10F6D" w:rsidRPr="00875041">
        <w:t xml:space="preserve">SAE = serious adverse events; </w:t>
      </w:r>
      <w:r w:rsidR="00222799" w:rsidRPr="00875041">
        <w:t>TEAE = treatment-emergent adverse event.</w:t>
      </w:r>
    </w:p>
    <w:p w14:paraId="178235AA" w14:textId="73A993AD" w:rsidR="00534E23" w:rsidRPr="00875041" w:rsidRDefault="00222799" w:rsidP="00875041">
      <w:pPr>
        <w:pStyle w:val="TableDescription"/>
      </w:pPr>
      <w:r w:rsidRPr="00875041">
        <w:t xml:space="preserve">Percentages below 5 are given to </w:t>
      </w:r>
      <w:r w:rsidR="00690F4C" w:rsidRPr="00875041">
        <w:t>one</w:t>
      </w:r>
      <w:r w:rsidRPr="00875041">
        <w:t xml:space="preserve"> decimal place.</w:t>
      </w:r>
    </w:p>
    <w:p w14:paraId="4B9336E7" w14:textId="0F6948F7" w:rsidR="00F10F6D" w:rsidRPr="00875041" w:rsidRDefault="00F10F6D" w:rsidP="00875041">
      <w:pPr>
        <w:pStyle w:val="TableDescription"/>
      </w:pPr>
      <w:r w:rsidRPr="00875041">
        <w:t>* Investigator’s choice of treatment = pembrolizumab, ipilimumab, or dacarbazine.</w:t>
      </w:r>
    </w:p>
    <w:p w14:paraId="7009A89D" w14:textId="7E82A147" w:rsidR="00690F4C" w:rsidRPr="00875041" w:rsidRDefault="00222799" w:rsidP="00875041">
      <w:pPr>
        <w:pStyle w:val="TableDescription"/>
      </w:pPr>
      <w:r w:rsidRPr="00875041">
        <w:t>1 Does not include investigator reported laboratory abnormalities</w:t>
      </w:r>
    </w:p>
    <w:p w14:paraId="41F27D13" w14:textId="1BD61224" w:rsidR="00222799" w:rsidRPr="00875041" w:rsidRDefault="00222799" w:rsidP="00875041">
      <w:pPr>
        <w:pStyle w:val="TableDescription"/>
      </w:pPr>
      <w:r w:rsidRPr="00875041">
        <w:t>2 Grouped MedDRA Preferred Terms</w:t>
      </w:r>
    </w:p>
    <w:p w14:paraId="52CB52A8" w14:textId="2C1882A9" w:rsidR="00222799" w:rsidRPr="00FD35ED" w:rsidRDefault="00222799" w:rsidP="00985193">
      <w:pPr>
        <w:pStyle w:val="Heading5"/>
      </w:pPr>
      <w:r w:rsidRPr="00FD35ED">
        <w:lastRenderedPageBreak/>
        <w:t>Adverse events of special interest</w:t>
      </w:r>
    </w:p>
    <w:p w14:paraId="5D2EC627" w14:textId="136BF659" w:rsidR="00222799" w:rsidRPr="00FD35ED" w:rsidRDefault="00222799" w:rsidP="00985193">
      <w:pPr>
        <w:pStyle w:val="Heading6"/>
      </w:pPr>
      <w:r w:rsidRPr="00FD35ED">
        <w:t>C</w:t>
      </w:r>
      <w:bookmarkStart w:id="92" w:name="_Ref96507030"/>
      <w:r w:rsidRPr="00FD35ED">
        <w:t>ytokine release syndrome</w:t>
      </w:r>
      <w:bookmarkEnd w:id="92"/>
    </w:p>
    <w:p w14:paraId="6674BF2D" w14:textId="1A714938" w:rsidR="00222799" w:rsidRPr="00FD35ED" w:rsidRDefault="00117C80" w:rsidP="00985193">
      <w:r w:rsidRPr="00FD35ED">
        <w:t>Cytokine release syndrome (</w:t>
      </w:r>
      <w:r w:rsidR="00222799" w:rsidRPr="00FD35ED">
        <w:t>CRS</w:t>
      </w:r>
      <w:r w:rsidRPr="00FD35ED">
        <w:t>)</w:t>
      </w:r>
      <w:r w:rsidR="00222799" w:rsidRPr="00FD35ED">
        <w:t xml:space="preserve"> was considered an </w:t>
      </w:r>
      <w:r w:rsidR="009710DB" w:rsidRPr="00FD35ED">
        <w:t>adverse event of special interest (AESI)</w:t>
      </w:r>
      <w:r w:rsidR="00222799" w:rsidRPr="00FD35ED">
        <w:t xml:space="preserve"> for Study 202 based on prior clinical experience and mechanism of action and is the most important adverse reaction associated with </w:t>
      </w:r>
      <w:proofErr w:type="spellStart"/>
      <w:r w:rsidR="00222799" w:rsidRPr="00FD35ED">
        <w:t>tebentafusp</w:t>
      </w:r>
      <w:proofErr w:type="spellEnd"/>
      <w:r w:rsidR="00222799" w:rsidRPr="00FD35ED">
        <w:t xml:space="preserve"> use.</w:t>
      </w:r>
    </w:p>
    <w:p w14:paraId="27D7089A" w14:textId="307A045E" w:rsidR="00222799" w:rsidRPr="00FD35ED" w:rsidRDefault="00117C80" w:rsidP="00985193">
      <w:r w:rsidRPr="00FD35ED">
        <w:t>Cytokine release syndrome (</w:t>
      </w:r>
      <w:r w:rsidR="00222799" w:rsidRPr="00FD35ED">
        <w:t>CRS</w:t>
      </w:r>
      <w:r w:rsidRPr="00FD35ED">
        <w:t>)</w:t>
      </w:r>
      <w:r w:rsidR="00222799" w:rsidRPr="00FD35ED">
        <w:t xml:space="preserve"> is an expected class effect for biological products that engage T‐cells. Drug‐induced CRS is a clinical diagnosis based on fever ≥</w:t>
      </w:r>
      <w:r w:rsidR="006D7C69" w:rsidRPr="00FD35ED">
        <w:t xml:space="preserve"> </w:t>
      </w:r>
      <w:r w:rsidR="00222799" w:rsidRPr="00FD35ED">
        <w:t>38°C with or without hypotension and/or hypoxia with a temporal relationship to treatment with a drug mechanistically known to provoke production of proinflammatory cytokines.</w:t>
      </w:r>
      <w:r w:rsidR="007A4661" w:rsidRPr="00FD35ED">
        <w:rPr>
          <w:rStyle w:val="FootnoteReference"/>
        </w:rPr>
        <w:footnoteReference w:id="70"/>
      </w:r>
      <w:r w:rsidR="00222799" w:rsidRPr="00FD35ED">
        <w:t xml:space="preserve"> It can start within minutes or hours of the first dose and up to 14 days after infusion, depending on the specific drug product. Constitutional symptoms (headache, fatigue, arthralgias, myalgias, nausea or rash) are common but not required for diagnosis of CRS. Severe cases may include respiratory failure, hypotension requiring vasopressors, cardiac dysfunction, renal failure, elevated transaminases, and disseminated intravascular coagulation. CRS may result in fatal multiple system organ dysfunction. Laboratory findings can include </w:t>
      </w:r>
      <w:proofErr w:type="spellStart"/>
      <w:r w:rsidR="00222799" w:rsidRPr="00FD35ED">
        <w:t>cytop</w:t>
      </w:r>
      <w:r w:rsidRPr="00FD35ED">
        <w:t>a</w:t>
      </w:r>
      <w:r w:rsidR="00222799" w:rsidRPr="00FD35ED">
        <w:t>enias</w:t>
      </w:r>
      <w:proofErr w:type="spellEnd"/>
      <w:r w:rsidR="00222799" w:rsidRPr="00FD35ED">
        <w:t>, elevated creatinine and liver enzymes, abnormal coagulation parameters, and elevated C</w:t>
      </w:r>
      <w:r w:rsidR="00F2721B">
        <w:t>-reactive protein</w:t>
      </w:r>
      <w:r w:rsidR="00222799" w:rsidRPr="00FD35ED">
        <w:t xml:space="preserve"> and ferritin. Laboratory abnormalities can be highly variable and nonspecific and may lag after clinical changes. A diagnosis of CRS does not rely on laboratory findings.</w:t>
      </w:r>
    </w:p>
    <w:p w14:paraId="7F71BAF5" w14:textId="56824FC2" w:rsidR="00222799" w:rsidRPr="00FD35ED" w:rsidRDefault="00222799" w:rsidP="00985193">
      <w:r w:rsidRPr="00FD35ED">
        <w:t xml:space="preserve">There are multiple grading systems for CRS in use. Initially, in Study 102 and Study 202, reporting of CRS was based on </w:t>
      </w:r>
      <w:r w:rsidR="009710DB" w:rsidRPr="00FD35ED">
        <w:t>National Cancer Institute</w:t>
      </w:r>
      <w:r w:rsidRPr="00FD35ED">
        <w:t xml:space="preserve"> </w:t>
      </w:r>
      <w:r w:rsidR="009710DB" w:rsidRPr="00FD35ED">
        <w:t>Common Terminology Criteria;</w:t>
      </w:r>
      <w:r w:rsidR="009710DB" w:rsidRPr="00FD35ED">
        <w:rPr>
          <w:rStyle w:val="FootnoteReference"/>
        </w:rPr>
        <w:footnoteReference w:id="71"/>
      </w:r>
      <w:r w:rsidR="009710DB" w:rsidRPr="00FD35ED">
        <w:t xml:space="preserve"> for Adverse Event version</w:t>
      </w:r>
      <w:r w:rsidRPr="00FD35ED">
        <w:t xml:space="preserve"> 4.03 criteria. In October 2017, the Lee </w:t>
      </w:r>
      <w:r w:rsidR="000B0ECB" w:rsidRPr="00FD35ED">
        <w:t>et al (</w:t>
      </w:r>
      <w:r w:rsidRPr="00FD35ED">
        <w:t>2014</w:t>
      </w:r>
      <w:r w:rsidR="000B0ECB" w:rsidRPr="00FD35ED">
        <w:t>)</w:t>
      </w:r>
      <w:r w:rsidRPr="00FD35ED">
        <w:t xml:space="preserve"> CRS grading criteria was incorporated into both studies and used by investigators in reporting CRS as an </w:t>
      </w:r>
      <w:r w:rsidR="009710DB" w:rsidRPr="00FD35ED">
        <w:t>AE</w:t>
      </w:r>
      <w:r w:rsidRPr="00FD35ED">
        <w:t>.</w:t>
      </w:r>
      <w:r w:rsidR="00534E23" w:rsidRPr="00FD35ED">
        <w:rPr>
          <w:vertAlign w:val="superscript"/>
        </w:rPr>
        <w:fldChar w:fldCharType="begin"/>
      </w:r>
      <w:r w:rsidR="00534E23" w:rsidRPr="00FD35ED">
        <w:rPr>
          <w:vertAlign w:val="superscript"/>
        </w:rPr>
        <w:instrText xml:space="preserve"> NOTEREF _Ref113283969 \h  \* MERGEFORMAT </w:instrText>
      </w:r>
      <w:r w:rsidR="00534E23" w:rsidRPr="00FD35ED">
        <w:rPr>
          <w:vertAlign w:val="superscript"/>
        </w:rPr>
      </w:r>
      <w:r w:rsidR="00534E23" w:rsidRPr="00FD35ED">
        <w:rPr>
          <w:vertAlign w:val="superscript"/>
        </w:rPr>
        <w:fldChar w:fldCharType="separate"/>
      </w:r>
      <w:r w:rsidR="00301C3E">
        <w:rPr>
          <w:vertAlign w:val="superscript"/>
        </w:rPr>
        <w:t>59</w:t>
      </w:r>
      <w:r w:rsidR="00534E23" w:rsidRPr="00FD35ED">
        <w:rPr>
          <w:vertAlign w:val="superscript"/>
        </w:rPr>
        <w:fldChar w:fldCharType="end"/>
      </w:r>
      <w:r w:rsidRPr="00FD35ED">
        <w:t xml:space="preserve"> To support a more complete analysis of CRS associated with </w:t>
      </w:r>
      <w:proofErr w:type="spellStart"/>
      <w:r w:rsidRPr="00FD35ED">
        <w:t>tebentafusp</w:t>
      </w:r>
      <w:proofErr w:type="spellEnd"/>
      <w:r w:rsidRPr="00FD35ED">
        <w:t xml:space="preserve">, the </w:t>
      </w:r>
      <w:r w:rsidR="00DD2C64" w:rsidRPr="00FD35ED">
        <w:t>sponsor</w:t>
      </w:r>
      <w:r w:rsidRPr="00FD35ED">
        <w:t xml:space="preserve"> performed a retrospective analysis of CRS in Study 202 based on AEs, concomitant medication and vital signs data, using the newer American Society for Transplantation and Cellular Therapy (ASTCT) consensus grading system published </w:t>
      </w:r>
      <w:r w:rsidR="000B0ECB" w:rsidRPr="00FD35ED">
        <w:t>in</w:t>
      </w:r>
      <w:r w:rsidRPr="00FD35ED">
        <w:t xml:space="preserve"> Lee et al </w:t>
      </w:r>
      <w:r w:rsidR="000B0ECB" w:rsidRPr="00FD35ED">
        <w:t>(2</w:t>
      </w:r>
      <w:r w:rsidRPr="00FD35ED">
        <w:t>019</w:t>
      </w:r>
      <w:r w:rsidR="000B0ECB" w:rsidRPr="00FD35ED">
        <w:t>)</w:t>
      </w:r>
      <w:r w:rsidRPr="00FD35ED">
        <w:t>.</w:t>
      </w:r>
      <w:r w:rsidR="007A4661" w:rsidRPr="00FD35ED">
        <w:rPr>
          <w:rStyle w:val="FootnoteReference"/>
        </w:rPr>
        <w:footnoteReference w:id="72"/>
      </w:r>
      <w:r w:rsidRPr="00FD35ED">
        <w:t xml:space="preserve"> Cases were adjudicated by a panel of oncologists.</w:t>
      </w:r>
    </w:p>
    <w:p w14:paraId="491E3FFD" w14:textId="1056E85B" w:rsidR="00222799" w:rsidRPr="00FD35ED" w:rsidRDefault="00222799" w:rsidP="00985193">
      <w:r w:rsidRPr="00FD35ED">
        <w:t xml:space="preserve">The actual rate of CRS in Study 202 is unknown. The rate of CRS (all grades) reported by investigators as AEs in </w:t>
      </w:r>
      <w:proofErr w:type="spellStart"/>
      <w:r w:rsidRPr="00FD35ED">
        <w:t>tebentafusp</w:t>
      </w:r>
      <w:proofErr w:type="spellEnd"/>
      <w:r w:rsidR="00200045" w:rsidRPr="00FD35ED">
        <w:t xml:space="preserve"> </w:t>
      </w:r>
      <w:r w:rsidRPr="00FD35ED">
        <w:t>treated patients (21%) likely underestimates the true rate, while the retrospective analysis using ASTCT criteria, which found a rate of 89%, likely overestimates the frequency.</w:t>
      </w:r>
    </w:p>
    <w:p w14:paraId="2889B7D6" w14:textId="5313A64F" w:rsidR="00222799" w:rsidRPr="00FD35ED" w:rsidRDefault="00222799" w:rsidP="00985193">
      <w:r w:rsidRPr="00FD35ED">
        <w:t xml:space="preserve">The regulatory clinical evaluation considered that the true frequency may be closer to 77%; this estimate was reached by only including events of </w:t>
      </w:r>
      <w:r w:rsidR="006D7C69" w:rsidRPr="00FD35ED">
        <w:t>Grade</w:t>
      </w:r>
      <w:r w:rsidRPr="00FD35ED">
        <w:t xml:space="preserve"> 2 or higher according to the retrospective ASTCT</w:t>
      </w:r>
      <w:r w:rsidR="00FA206D" w:rsidRPr="00FD35ED">
        <w:t xml:space="preserve"> </w:t>
      </w:r>
      <w:r w:rsidRPr="00FD35ED">
        <w:t>based analysis.</w:t>
      </w:r>
    </w:p>
    <w:p w14:paraId="465E47EF" w14:textId="77777777" w:rsidR="00222799" w:rsidRPr="00FD35ED" w:rsidRDefault="00222799" w:rsidP="00985193">
      <w:r w:rsidRPr="00FD35ED">
        <w:t xml:space="preserve">Transient changes in vital signs associated with CRS were frequently observed in patients receiving </w:t>
      </w:r>
      <w:proofErr w:type="spellStart"/>
      <w:r w:rsidRPr="00FD35ED">
        <w:t>tebentafusp</w:t>
      </w:r>
      <w:proofErr w:type="spellEnd"/>
      <w:r w:rsidRPr="00FD35ED">
        <w:t>, however, analysis of vital signs did not identify changes in weight, pulse, or respiratory rate that persisted beyond resolution of CRS.</w:t>
      </w:r>
    </w:p>
    <w:p w14:paraId="29FA88B2" w14:textId="34D2B32F" w:rsidR="00222799" w:rsidRPr="00FD35ED" w:rsidRDefault="00222799" w:rsidP="00985193">
      <w:r w:rsidRPr="00FD35ED">
        <w:t xml:space="preserve">The main medical interventions used for CRS are oxygen, </w:t>
      </w:r>
      <w:r w:rsidR="00845CC3" w:rsidRPr="00FD35ED">
        <w:t>intravenous</w:t>
      </w:r>
      <w:r w:rsidRPr="00FD35ED">
        <w:t xml:space="preserve"> fluids, steroids, and vasopressor(s). The percentages of patients requiring these interventions for CRS in Study</w:t>
      </w:r>
      <w:r w:rsidR="00FA206D" w:rsidRPr="00FD35ED">
        <w:t> </w:t>
      </w:r>
      <w:r w:rsidRPr="00FD35ED">
        <w:t>202 were 8%, 40%, 24% and 1%, respectively.</w:t>
      </w:r>
    </w:p>
    <w:p w14:paraId="0B5AEB96" w14:textId="2F15C730" w:rsidR="00222799" w:rsidRPr="00FD35ED" w:rsidRDefault="00222799" w:rsidP="00985193">
      <w:r w:rsidRPr="00FD35ED">
        <w:t xml:space="preserve">In Study 202, </w:t>
      </w:r>
      <w:r w:rsidR="00F97E3A" w:rsidRPr="00FD35ED">
        <w:t>Grade</w:t>
      </w:r>
      <w:r w:rsidRPr="00FD35ED">
        <w:t xml:space="preserve"> ≥</w:t>
      </w:r>
      <w:r w:rsidR="006D7C69" w:rsidRPr="00FD35ED">
        <w:t xml:space="preserve"> </w:t>
      </w:r>
      <w:r w:rsidRPr="00FD35ED">
        <w:t xml:space="preserve">2 CRS (ASTCT criteria) was highest during the first 3 infusions with the frequency dropping to around 10% after infusion 3 (Cycle 1 Day 15) (see </w:t>
      </w:r>
      <w:r w:rsidRPr="00FD35ED">
        <w:fldChar w:fldCharType="begin"/>
      </w:r>
      <w:r w:rsidRPr="00FD35ED">
        <w:instrText xml:space="preserve"> REF _Ref96512441 \h </w:instrText>
      </w:r>
      <w:r w:rsidR="00985193" w:rsidRPr="00FD35ED">
        <w:instrText xml:space="preserve"> \* MERGEFORMAT </w:instrText>
      </w:r>
      <w:r w:rsidRPr="00FD35ED">
        <w:fldChar w:fldCharType="separate"/>
      </w:r>
      <w:r w:rsidR="00301C3E" w:rsidRPr="00875041">
        <w:t xml:space="preserve">Figure </w:t>
      </w:r>
      <w:r w:rsidR="00301C3E">
        <w:t>5</w:t>
      </w:r>
      <w:r w:rsidRPr="00FD35ED">
        <w:fldChar w:fldCharType="end"/>
      </w:r>
      <w:r w:rsidR="00FA206D" w:rsidRPr="00FD35ED">
        <w:t xml:space="preserve"> </w:t>
      </w:r>
      <w:r w:rsidR="00FA206D" w:rsidRPr="00FD35ED">
        <w:lastRenderedPageBreak/>
        <w:t>below</w:t>
      </w:r>
      <w:r w:rsidRPr="00FD35ED">
        <w:t xml:space="preserve">). Considering only </w:t>
      </w:r>
      <w:r w:rsidR="00F97E3A" w:rsidRPr="00FD35ED">
        <w:t>Grade</w:t>
      </w:r>
      <w:r w:rsidRPr="00FD35ED">
        <w:t xml:space="preserve"> ≥</w:t>
      </w:r>
      <w:r w:rsidR="006D7C69" w:rsidRPr="00FD35ED">
        <w:t xml:space="preserve"> </w:t>
      </w:r>
      <w:r w:rsidRPr="00FD35ED">
        <w:t>2 events, the median number of CRS events for an individual patient was 2 with a range of 1 to 12 events.</w:t>
      </w:r>
    </w:p>
    <w:p w14:paraId="3A0C8194" w14:textId="41AB3652" w:rsidR="00222799" w:rsidRPr="00FD35ED" w:rsidRDefault="00222799" w:rsidP="00985193">
      <w:r w:rsidRPr="00FD35ED">
        <w:t>Grade 3 or higher events were rare</w:t>
      </w:r>
      <w:r w:rsidR="00FA206D" w:rsidRPr="00FD35ED">
        <w:t>. F</w:t>
      </w:r>
      <w:r w:rsidRPr="00FD35ED">
        <w:t xml:space="preserve">our </w:t>
      </w:r>
      <w:r w:rsidR="00F97E3A" w:rsidRPr="00FD35ED">
        <w:t>Grade</w:t>
      </w:r>
      <w:r w:rsidRPr="00FD35ED">
        <w:t xml:space="preserve"> 3 events were identified in Study 202. A single </w:t>
      </w:r>
      <w:r w:rsidR="00F97E3A" w:rsidRPr="00FD35ED">
        <w:t>Grade</w:t>
      </w:r>
      <w:r w:rsidRPr="00FD35ED">
        <w:t xml:space="preserve"> 4 event of CRS occurred across </w:t>
      </w:r>
      <w:r w:rsidR="00FA206D" w:rsidRPr="00FD35ED">
        <w:t xml:space="preserve">Studies </w:t>
      </w:r>
      <w:r w:rsidRPr="00FD35ED">
        <w:t xml:space="preserve">102 and 202, and as described earlier (under </w:t>
      </w:r>
      <w:r w:rsidR="00FA206D" w:rsidRPr="00FD35ED">
        <w:t>Section</w:t>
      </w:r>
      <w:r w:rsidR="00F2721B">
        <w:t>:</w:t>
      </w:r>
      <w:r w:rsidR="00FA206D" w:rsidRPr="00FD35ED">
        <w:t xml:space="preserve"> </w:t>
      </w:r>
      <w:r w:rsidR="00FA206D" w:rsidRPr="00362C15">
        <w:rPr>
          <w:i/>
        </w:rPr>
        <w:t>Serious adverse events</w:t>
      </w:r>
      <w:r w:rsidRPr="00FD35ED">
        <w:t>), led to multi-organ failure, which was unresolved at time the patient died due to progression of melanoma. Whilst this is rare, it indicates the potential severity and sequelae of CRS.</w:t>
      </w:r>
    </w:p>
    <w:p w14:paraId="38FB7436" w14:textId="75218CCA" w:rsidR="00222799" w:rsidRPr="00875041" w:rsidRDefault="00222799" w:rsidP="00875041">
      <w:pPr>
        <w:pStyle w:val="FigureTitle"/>
      </w:pPr>
      <w:bookmarkStart w:id="93" w:name="_Ref96512441"/>
      <w:r w:rsidRPr="00875041">
        <w:t xml:space="preserve">Figure </w:t>
      </w:r>
      <w:fldSimple w:instr=" SEQ Figure \* ARABIC ">
        <w:r w:rsidR="00301C3E">
          <w:rPr>
            <w:noProof/>
          </w:rPr>
          <w:t>5</w:t>
        </w:r>
      </w:fldSimple>
      <w:bookmarkEnd w:id="93"/>
      <w:r w:rsidR="00AE1769" w:rsidRPr="00875041">
        <w:t xml:space="preserve">: Study 202 </w:t>
      </w:r>
      <w:r w:rsidRPr="00875041">
        <w:t xml:space="preserve">Percentage of </w:t>
      </w:r>
      <w:proofErr w:type="spellStart"/>
      <w:r w:rsidRPr="00875041">
        <w:t>tebentafusp</w:t>
      </w:r>
      <w:proofErr w:type="spellEnd"/>
      <w:r w:rsidR="00200045" w:rsidRPr="00875041">
        <w:t xml:space="preserve"> </w:t>
      </w:r>
      <w:r w:rsidRPr="00875041">
        <w:t xml:space="preserve">treated patients with events of </w:t>
      </w:r>
      <w:r w:rsidR="00AE1769" w:rsidRPr="00875041">
        <w:t>Grade</w:t>
      </w:r>
      <w:r w:rsidR="00690F4C" w:rsidRPr="00875041">
        <w:t> </w:t>
      </w:r>
      <w:r w:rsidRPr="00875041">
        <w:t xml:space="preserve">2 or higher </w:t>
      </w:r>
      <w:r w:rsidR="001212BF" w:rsidRPr="00875041">
        <w:t xml:space="preserve">cytokine release syndrome </w:t>
      </w:r>
      <w:r w:rsidRPr="00875041">
        <w:t xml:space="preserve">by infusion number (safety analysis </w:t>
      </w:r>
      <w:r w:rsidR="00D26203" w:rsidRPr="00875041">
        <w:t>population</w:t>
      </w:r>
      <w:r w:rsidRPr="00875041">
        <w:t>)</w:t>
      </w:r>
    </w:p>
    <w:p w14:paraId="21A61DA0" w14:textId="3398E88A" w:rsidR="00222799" w:rsidRPr="00FD35ED" w:rsidRDefault="00222799" w:rsidP="00875041">
      <w:r w:rsidRPr="00FD35ED">
        <w:rPr>
          <w:noProof/>
          <w:lang w:val="en-GB" w:eastAsia="en-GB"/>
        </w:rPr>
        <w:drawing>
          <wp:inline distT="0" distB="0" distL="0" distR="0" wp14:anchorId="109CDD09" wp14:editId="627F9800">
            <wp:extent cx="5029200" cy="2990850"/>
            <wp:effectExtent l="0" t="0" r="0" b="0"/>
            <wp:docPr id="4" name="Picture 4" descr="Figure 5: Study 202 Percentage of tebentafusp treated patients with events of Grade 2 or higher cytokine release syndrome by infusion number (safet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5: Study 202 Percentage of tebentafusp treated patients with events of Grade 2 or higher cytokine release syndrome by infusion number (safety analysis population)"/>
                    <pic:cNvPicPr/>
                  </pic:nvPicPr>
                  <pic:blipFill>
                    <a:blip r:embed="rId23"/>
                    <a:stretch>
                      <a:fillRect/>
                    </a:stretch>
                  </pic:blipFill>
                  <pic:spPr>
                    <a:xfrm>
                      <a:off x="0" y="0"/>
                      <a:ext cx="5029200" cy="2990850"/>
                    </a:xfrm>
                    <a:prstGeom prst="rect">
                      <a:avLst/>
                    </a:prstGeom>
                  </pic:spPr>
                </pic:pic>
              </a:graphicData>
            </a:graphic>
          </wp:inline>
        </w:drawing>
      </w:r>
    </w:p>
    <w:p w14:paraId="0C1DC75C" w14:textId="7E070707" w:rsidR="00690F4C" w:rsidRPr="00875041" w:rsidRDefault="00D26203" w:rsidP="00875041">
      <w:pPr>
        <w:pStyle w:val="FigureDescription"/>
      </w:pPr>
      <w:r w:rsidRPr="00875041">
        <w:t xml:space="preserve">Abbreviation: </w:t>
      </w:r>
      <w:r w:rsidR="00690F4C" w:rsidRPr="00875041">
        <w:t>CRS = cytokine release syndrome.</w:t>
      </w:r>
    </w:p>
    <w:p w14:paraId="1E58DCD2" w14:textId="77777777" w:rsidR="00222799" w:rsidRPr="00FD35ED" w:rsidRDefault="00222799" w:rsidP="00985193">
      <w:pPr>
        <w:pStyle w:val="Heading6"/>
      </w:pPr>
      <w:bookmarkStart w:id="94" w:name="_Ref96605487"/>
      <w:r w:rsidRPr="00FD35ED">
        <w:t>Skin toxicity</w:t>
      </w:r>
      <w:bookmarkEnd w:id="94"/>
    </w:p>
    <w:p w14:paraId="521C3523" w14:textId="34DB11D9" w:rsidR="00222799" w:rsidRPr="00FD35ED" w:rsidRDefault="00222799" w:rsidP="00985193">
      <w:r w:rsidRPr="00FD35ED">
        <w:t xml:space="preserve">Acute skin reactions have been reported with </w:t>
      </w:r>
      <w:proofErr w:type="spellStart"/>
      <w:r w:rsidRPr="00FD35ED">
        <w:t>tebentafusp</w:t>
      </w:r>
      <w:proofErr w:type="spellEnd"/>
      <w:r w:rsidRPr="00FD35ED">
        <w:t xml:space="preserve"> infusion, likely related to its mechanism of action and gp100 expression in normal melanocytes in the skin. Acute skin reactions associated with </w:t>
      </w:r>
      <w:proofErr w:type="spellStart"/>
      <w:r w:rsidRPr="00FD35ED">
        <w:t>tebentafusp</w:t>
      </w:r>
      <w:proofErr w:type="spellEnd"/>
      <w:r w:rsidRPr="00FD35ED">
        <w:t xml:space="preserve"> include the subcategories of rash, pruritis, pigment change, erythema, oedema, and dry skin. Although common, skin toxicity did not result in treatment discontinuation or fatalities. While 3 patients (1.2%) had TEAEs of erythema multiforme, two were </w:t>
      </w:r>
      <w:r w:rsidR="00F97E3A" w:rsidRPr="00FD35ED">
        <w:t>Grade</w:t>
      </w:r>
      <w:r w:rsidRPr="00FD35ED">
        <w:t xml:space="preserve"> 1 and one was </w:t>
      </w:r>
      <w:r w:rsidR="00F97E3A" w:rsidRPr="00FD35ED">
        <w:t>Grade</w:t>
      </w:r>
      <w:r w:rsidRPr="00FD35ED">
        <w:t xml:space="preserve"> 2. There were no cases of Stevens</w:t>
      </w:r>
      <w:r w:rsidR="00FA206D" w:rsidRPr="00FD35ED">
        <w:noBreakHyphen/>
      </w:r>
      <w:r w:rsidRPr="00FD35ED">
        <w:t xml:space="preserve">Johnson </w:t>
      </w:r>
      <w:r w:rsidR="00FA206D" w:rsidRPr="00FD35ED">
        <w:t>syndrome or drug rash with eosinophilia and systemic symptoms</w:t>
      </w:r>
      <w:r w:rsidRPr="00FD35ED">
        <w:t>.</w:t>
      </w:r>
    </w:p>
    <w:p w14:paraId="1F2F592E" w14:textId="200014D6" w:rsidR="00222799" w:rsidRPr="00FD35ED" w:rsidRDefault="00222799" w:rsidP="00985193">
      <w:r w:rsidRPr="00FD35ED">
        <w:t xml:space="preserve">In Study 202, rash was seen in around 80% of </w:t>
      </w:r>
      <w:proofErr w:type="spellStart"/>
      <w:r w:rsidRPr="00FD35ED">
        <w:t>tebentafusp</w:t>
      </w:r>
      <w:proofErr w:type="spellEnd"/>
      <w:r w:rsidR="00FA206D" w:rsidRPr="00FD35ED">
        <w:t xml:space="preserve"> </w:t>
      </w:r>
      <w:r w:rsidRPr="00FD35ED">
        <w:t xml:space="preserve">treated patients, and around 30% of the </w:t>
      </w:r>
      <w:r w:rsidR="00F2721B">
        <w:t xml:space="preserve">investigator’s choice of treatment </w:t>
      </w:r>
      <w:r w:rsidRPr="00FD35ED">
        <w:t xml:space="preserve">arm. Rash was considered an SAE in around 5% of </w:t>
      </w:r>
      <w:proofErr w:type="spellStart"/>
      <w:r w:rsidRPr="00FD35ED">
        <w:t>tebentafusp</w:t>
      </w:r>
      <w:proofErr w:type="spellEnd"/>
      <w:r w:rsidR="00FA206D" w:rsidRPr="00FD35ED">
        <w:t xml:space="preserve"> </w:t>
      </w:r>
      <w:r w:rsidRPr="00FD35ED">
        <w:t xml:space="preserve">treated patients and was the most common </w:t>
      </w:r>
      <w:r w:rsidR="00F97E3A" w:rsidRPr="00FD35ED">
        <w:t>Grade</w:t>
      </w:r>
      <w:r w:rsidRPr="00FD35ED">
        <w:t xml:space="preserve"> 3 AE in </w:t>
      </w:r>
      <w:proofErr w:type="spellStart"/>
      <w:r w:rsidRPr="00FD35ED">
        <w:t>tebentafusp</w:t>
      </w:r>
      <w:proofErr w:type="spellEnd"/>
      <w:r w:rsidR="00200045" w:rsidRPr="00FD35ED">
        <w:t xml:space="preserve"> </w:t>
      </w:r>
      <w:r w:rsidRPr="00FD35ED">
        <w:t>treated patients (18%)</w:t>
      </w:r>
      <w:r w:rsidR="00FA206D" w:rsidRPr="00FD35ED">
        <w:t>. H</w:t>
      </w:r>
      <w:r w:rsidRPr="00FD35ED">
        <w:t xml:space="preserve">owever, there were no </w:t>
      </w:r>
      <w:r w:rsidR="00F97E3A" w:rsidRPr="00FD35ED">
        <w:t>Grade</w:t>
      </w:r>
      <w:r w:rsidRPr="00FD35ED">
        <w:t xml:space="preserve"> 4 or higher events. There were no </w:t>
      </w:r>
      <w:r w:rsidR="00F97E3A" w:rsidRPr="00FD35ED">
        <w:t>Grade</w:t>
      </w:r>
      <w:r w:rsidRPr="00FD35ED">
        <w:t xml:space="preserve"> ≥</w:t>
      </w:r>
      <w:r w:rsidR="006D7C69" w:rsidRPr="00FD35ED">
        <w:t xml:space="preserve"> </w:t>
      </w:r>
      <w:r w:rsidRPr="00FD35ED">
        <w:t xml:space="preserve">3 rashes in the </w:t>
      </w:r>
      <w:r w:rsidR="00D20749">
        <w:t>investigator’s choice of treatment</w:t>
      </w:r>
      <w:r w:rsidRPr="00FD35ED">
        <w:t xml:space="preserve"> arm.</w:t>
      </w:r>
    </w:p>
    <w:p w14:paraId="767D0EE7" w14:textId="4CF18B4C" w:rsidR="00222799" w:rsidRPr="00FD35ED" w:rsidRDefault="00222799" w:rsidP="00985193">
      <w:r w:rsidRPr="00FD35ED">
        <w:t xml:space="preserve">Rash led to </w:t>
      </w:r>
      <w:proofErr w:type="spellStart"/>
      <w:r w:rsidRPr="00FD35ED">
        <w:t>tebentafusp</w:t>
      </w:r>
      <w:proofErr w:type="spellEnd"/>
      <w:r w:rsidRPr="00FD35ED">
        <w:t xml:space="preserve"> dose interruption for 4 patients (1.6%) but did not lead to study discontinuation patient discontinued study treatment due to rash.</w:t>
      </w:r>
    </w:p>
    <w:p w14:paraId="36B1A1EA" w14:textId="6C052CF4" w:rsidR="00222799" w:rsidRPr="00FD35ED" w:rsidRDefault="00222799" w:rsidP="00985193">
      <w:r w:rsidRPr="00FD35ED">
        <w:t>Hypo</w:t>
      </w:r>
      <w:r w:rsidR="00FA206D" w:rsidRPr="00FD35ED">
        <w:t xml:space="preserve">pigmentation or </w:t>
      </w:r>
      <w:r w:rsidRPr="00FD35ED">
        <w:t>hyperpigmentation was reclassified by the regulatory safety evaluation as follows:</w:t>
      </w:r>
    </w:p>
    <w:p w14:paraId="579D5A5C" w14:textId="77777777" w:rsidR="00222799" w:rsidRPr="00FD35ED" w:rsidRDefault="00222799" w:rsidP="00985193">
      <w:pPr>
        <w:pStyle w:val="ListBullet"/>
      </w:pPr>
      <w:r w:rsidRPr="00FD35ED">
        <w:t>Skin hypopigmentation</w:t>
      </w:r>
    </w:p>
    <w:p w14:paraId="4AA058C8" w14:textId="7DD7DE1A" w:rsidR="00222799" w:rsidRPr="00FD35ED" w:rsidRDefault="00222799" w:rsidP="00985193">
      <w:pPr>
        <w:pStyle w:val="ListBullet2"/>
      </w:pPr>
      <w:r w:rsidRPr="00FD35ED">
        <w:lastRenderedPageBreak/>
        <w:t>Included skin depigmentation, skin hypopigmentation, vitiligo, and pigmentation disorder (for the latter, each case was determined to be hypo or hyper based on actual term reported by the investigator).</w:t>
      </w:r>
    </w:p>
    <w:p w14:paraId="047AD6F0" w14:textId="3E2C1C66" w:rsidR="00222799" w:rsidRPr="00FD35ED" w:rsidRDefault="00222799" w:rsidP="00985193">
      <w:pPr>
        <w:pStyle w:val="ListBullet2"/>
      </w:pPr>
      <w:r w:rsidRPr="00FD35ED">
        <w:t xml:space="preserve">Skin hypopigmentation occurred in 28% of </w:t>
      </w:r>
      <w:proofErr w:type="spellStart"/>
      <w:r w:rsidRPr="00FD35ED">
        <w:t>tebentafusp</w:t>
      </w:r>
      <w:proofErr w:type="spellEnd"/>
      <w:r w:rsidR="00200045" w:rsidRPr="00FD35ED">
        <w:t xml:space="preserve"> </w:t>
      </w:r>
      <w:r w:rsidRPr="00FD35ED">
        <w:t xml:space="preserve">treated patients and 5% of the </w:t>
      </w:r>
      <w:r w:rsidR="00D20749">
        <w:t>investigator’s choice of treatment</w:t>
      </w:r>
      <w:r w:rsidRPr="00FD35ED">
        <w:t xml:space="preserve"> arm in Study 202.</w:t>
      </w:r>
    </w:p>
    <w:p w14:paraId="77946656" w14:textId="5D70861A" w:rsidR="00222799" w:rsidRPr="00FD35ED" w:rsidRDefault="00222799" w:rsidP="00985193">
      <w:pPr>
        <w:pStyle w:val="ListBullet"/>
      </w:pPr>
      <w:r w:rsidRPr="00FD35ED">
        <w:t>Skin hyperpigmentation</w:t>
      </w:r>
    </w:p>
    <w:p w14:paraId="1326F771" w14:textId="5944DC3A" w:rsidR="00222799" w:rsidRPr="00FD35ED" w:rsidRDefault="00222799" w:rsidP="00985193">
      <w:pPr>
        <w:pStyle w:val="ListBullet2"/>
      </w:pPr>
      <w:r w:rsidRPr="00FD35ED">
        <w:t>Included ephelides, lentigo, skin hyperpigmentation, solar lentigo, and pigmentation disorder (as above, each case of pigmentation disorder was determined to be hypo</w:t>
      </w:r>
      <w:r w:rsidR="00D20749">
        <w:t>-</w:t>
      </w:r>
      <w:r w:rsidRPr="00FD35ED">
        <w:t xml:space="preserve"> or hyper</w:t>
      </w:r>
      <w:r w:rsidR="00D20749">
        <w:t>-</w:t>
      </w:r>
      <w:r w:rsidRPr="00FD35ED">
        <w:t xml:space="preserve"> based on actual term reported by the investigator).</w:t>
      </w:r>
    </w:p>
    <w:p w14:paraId="58EF69D0" w14:textId="3D4A59E9" w:rsidR="00222799" w:rsidRPr="00FD35ED" w:rsidRDefault="00222799" w:rsidP="00985193">
      <w:pPr>
        <w:pStyle w:val="ListBullet2"/>
      </w:pPr>
      <w:r w:rsidRPr="00FD35ED">
        <w:t xml:space="preserve">Skin hypopigmentation occurred in 12% of </w:t>
      </w:r>
      <w:proofErr w:type="spellStart"/>
      <w:r w:rsidRPr="00FD35ED">
        <w:t>tebentafusp</w:t>
      </w:r>
      <w:proofErr w:type="spellEnd"/>
      <w:r w:rsidR="00200045" w:rsidRPr="00FD35ED">
        <w:t xml:space="preserve"> </w:t>
      </w:r>
      <w:r w:rsidRPr="00FD35ED">
        <w:t xml:space="preserve">treated patients and 2% of the </w:t>
      </w:r>
      <w:r w:rsidR="00D20749">
        <w:t xml:space="preserve">investigator’s choice of treatment </w:t>
      </w:r>
      <w:r w:rsidRPr="00FD35ED">
        <w:t>arm in Study 202.</w:t>
      </w:r>
    </w:p>
    <w:p w14:paraId="73BB4081" w14:textId="7282E0BA" w:rsidR="00222799" w:rsidRPr="00FD35ED" w:rsidRDefault="00222799" w:rsidP="00985193">
      <w:pPr>
        <w:pStyle w:val="ListBullet"/>
      </w:pPr>
      <w:r w:rsidRPr="00FD35ED">
        <w:t>Hair colour changes</w:t>
      </w:r>
    </w:p>
    <w:p w14:paraId="71A67CF0" w14:textId="21F42A1F" w:rsidR="00222799" w:rsidRPr="00FD35ED" w:rsidRDefault="00222799" w:rsidP="00985193">
      <w:pPr>
        <w:pStyle w:val="ListBullet2"/>
      </w:pPr>
      <w:r w:rsidRPr="00FD35ED">
        <w:t>Included eyelash discolouration and hair colour change.</w:t>
      </w:r>
    </w:p>
    <w:p w14:paraId="1B13E891" w14:textId="686805DA" w:rsidR="00222799" w:rsidRPr="00FD35ED" w:rsidRDefault="00222799" w:rsidP="00985193">
      <w:pPr>
        <w:pStyle w:val="ListBullet2"/>
      </w:pPr>
      <w:r w:rsidRPr="00FD35ED">
        <w:t xml:space="preserve">Skin hypopigmentation occurred in 20% of </w:t>
      </w:r>
      <w:proofErr w:type="spellStart"/>
      <w:r w:rsidRPr="00FD35ED">
        <w:t>tebentafusp</w:t>
      </w:r>
      <w:proofErr w:type="spellEnd"/>
      <w:r w:rsidR="00200045" w:rsidRPr="00FD35ED">
        <w:t xml:space="preserve"> </w:t>
      </w:r>
      <w:r w:rsidRPr="00FD35ED">
        <w:t xml:space="preserve">treated patients and zero patients in the </w:t>
      </w:r>
      <w:r w:rsidR="00D20749">
        <w:t>investigator’s choice of treatment</w:t>
      </w:r>
      <w:r w:rsidRPr="00FD35ED">
        <w:t xml:space="preserve"> arm in Study 202.</w:t>
      </w:r>
    </w:p>
    <w:p w14:paraId="65CDD35F" w14:textId="2AC2235B" w:rsidR="00222799" w:rsidRPr="00FD35ED" w:rsidRDefault="00222799" w:rsidP="00985193">
      <w:r w:rsidRPr="00FD35ED">
        <w:t xml:space="preserve">Skin toxicity warrants specific mention in the PI under Warnings and </w:t>
      </w:r>
      <w:r w:rsidR="00FA206D" w:rsidRPr="00FD35ED">
        <w:t>precautions</w:t>
      </w:r>
      <w:r w:rsidRPr="00FD35ED">
        <w:t>, based on frequency. To provide more meaningful information to clinicians and patients, the grouped terms skin hypopigmentation, skin hyperpigmentation and hair colour changes should be incorporated into the adverse effects section of the Australian PI rather than hypo</w:t>
      </w:r>
      <w:r w:rsidR="00FA206D" w:rsidRPr="00FD35ED">
        <w:t xml:space="preserve">pigmentation or </w:t>
      </w:r>
      <w:r w:rsidRPr="00FD35ED">
        <w:t>hyperpigmentation.</w:t>
      </w:r>
    </w:p>
    <w:p w14:paraId="2432D568" w14:textId="77777777" w:rsidR="00222799" w:rsidRPr="00FD35ED" w:rsidRDefault="00222799" w:rsidP="00985193">
      <w:pPr>
        <w:pStyle w:val="Heading6"/>
      </w:pPr>
      <w:r w:rsidRPr="00FD35ED">
        <w:t>Hepatotoxicity</w:t>
      </w:r>
    </w:p>
    <w:p w14:paraId="4D31ADDA" w14:textId="79B55D99" w:rsidR="00222799" w:rsidRPr="00FD35ED" w:rsidRDefault="00222799" w:rsidP="00985193">
      <w:r w:rsidRPr="00FD35ED">
        <w:t xml:space="preserve">Elevation of serum hepatic enzyme levels are not uncommon in </w:t>
      </w:r>
      <w:r w:rsidR="001212BF" w:rsidRPr="00FD35ED">
        <w:t>metastatic uveal melanoma</w:t>
      </w:r>
      <w:r w:rsidRPr="00FD35ED">
        <w:t xml:space="preserve"> since the liver is the predominant site of metastasis and tumour progression within the liver can result in liver injury. Hepatocytes do not express gp100, and </w:t>
      </w:r>
      <w:proofErr w:type="spellStart"/>
      <w:r w:rsidRPr="00FD35ED">
        <w:t>tebentafusp</w:t>
      </w:r>
      <w:proofErr w:type="spellEnd"/>
      <w:r w:rsidRPr="00FD35ED">
        <w:t xml:space="preserve"> did not redirect T</w:t>
      </w:r>
      <w:r w:rsidR="006D7C69" w:rsidRPr="00FD35ED">
        <w:t>-</w:t>
      </w:r>
      <w:r w:rsidRPr="00FD35ED">
        <w:t xml:space="preserve">cells against normal hepatocytes </w:t>
      </w:r>
      <w:r w:rsidRPr="00FD35ED">
        <w:rPr>
          <w:i/>
          <w:iCs/>
        </w:rPr>
        <w:t>in vitro</w:t>
      </w:r>
      <w:r w:rsidRPr="00FD35ED">
        <w:t xml:space="preserve">. However, treatment with </w:t>
      </w:r>
      <w:proofErr w:type="spellStart"/>
      <w:r w:rsidRPr="00FD35ED">
        <w:t>tebentafusp</w:t>
      </w:r>
      <w:proofErr w:type="spellEnd"/>
      <w:r w:rsidRPr="00FD35ED">
        <w:t xml:space="preserve"> may result in hepatocyte injury secondary to </w:t>
      </w:r>
      <w:proofErr w:type="spellStart"/>
      <w:r w:rsidRPr="00FD35ED">
        <w:t>tebentafusp</w:t>
      </w:r>
      <w:proofErr w:type="spellEnd"/>
      <w:r w:rsidR="00D20749">
        <w:noBreakHyphen/>
      </w:r>
      <w:r w:rsidRPr="00FD35ED">
        <w:t xml:space="preserve">induced inflammation in </w:t>
      </w:r>
      <w:r w:rsidR="001212BF" w:rsidRPr="00FD35ED">
        <w:t>metastatic uveal melanoma</w:t>
      </w:r>
      <w:r w:rsidRPr="00FD35ED">
        <w:t xml:space="preserve"> liver lesions.</w:t>
      </w:r>
    </w:p>
    <w:p w14:paraId="05E77172" w14:textId="73119D83" w:rsidR="00222799" w:rsidRPr="00FD35ED" w:rsidRDefault="00222799" w:rsidP="00985193">
      <w:r w:rsidRPr="00FD35ED">
        <w:t>The great majority (&gt;</w:t>
      </w:r>
      <w:r w:rsidR="006D7C69" w:rsidRPr="00FD35ED">
        <w:t xml:space="preserve"> </w:t>
      </w:r>
      <w:r w:rsidRPr="00FD35ED">
        <w:t>95%) of patients in Study 202 had baseline liver metastases.</w:t>
      </w:r>
    </w:p>
    <w:p w14:paraId="1AF7CF73" w14:textId="253885F9" w:rsidR="00222799" w:rsidRPr="00FD35ED" w:rsidRDefault="00222799" w:rsidP="00985193">
      <w:r w:rsidRPr="00FD35ED">
        <w:t>Drug</w:t>
      </w:r>
      <w:r w:rsidR="00D47A02" w:rsidRPr="00FD35ED">
        <w:t>-</w:t>
      </w:r>
      <w:r w:rsidRPr="00FD35ED">
        <w:t>related hepatic disorders (Standardised MedDRA Query,</w:t>
      </w:r>
      <w:r w:rsidR="009710DB" w:rsidRPr="00FD35ED">
        <w:rPr>
          <w:rStyle w:val="FootnoteReference"/>
        </w:rPr>
        <w:footnoteReference w:id="73"/>
      </w:r>
      <w:r w:rsidRPr="00FD35ED">
        <w:t xml:space="preserve"> broad and narrow) were reported in 40% of </w:t>
      </w:r>
      <w:proofErr w:type="spellStart"/>
      <w:r w:rsidRPr="00FD35ED">
        <w:t>tebentafusp</w:t>
      </w:r>
      <w:proofErr w:type="spellEnd"/>
      <w:r w:rsidR="00FA206D" w:rsidRPr="00FD35ED">
        <w:t xml:space="preserve"> </w:t>
      </w:r>
      <w:r w:rsidRPr="00FD35ED">
        <w:t>treated patients and 29% of patients in the</w:t>
      </w:r>
      <w:r w:rsidR="00F2721B">
        <w:t xml:space="preserve"> investigator’s choice of treatment </w:t>
      </w:r>
      <w:r w:rsidRPr="00FD35ED">
        <w:t>arm in Study</w:t>
      </w:r>
      <w:r w:rsidR="00FA206D" w:rsidRPr="00FD35ED">
        <w:t> </w:t>
      </w:r>
      <w:r w:rsidRPr="00FD35ED">
        <w:t xml:space="preserve">202. Grade 3 events occurred in 11% and 6%, respectively, and a single </w:t>
      </w:r>
      <w:r w:rsidR="00F97E3A" w:rsidRPr="00FD35ED">
        <w:t>Grade</w:t>
      </w:r>
      <w:r w:rsidR="00FA206D" w:rsidRPr="00FD35ED">
        <w:t> </w:t>
      </w:r>
      <w:r w:rsidRPr="00FD35ED">
        <w:t xml:space="preserve">4 event occurred in the </w:t>
      </w:r>
      <w:proofErr w:type="spellStart"/>
      <w:r w:rsidRPr="00FD35ED">
        <w:t>tebentafusp</w:t>
      </w:r>
      <w:proofErr w:type="spellEnd"/>
      <w:r w:rsidRPr="00FD35ED">
        <w:t xml:space="preserve"> arm. In the </w:t>
      </w:r>
      <w:proofErr w:type="spellStart"/>
      <w:r w:rsidRPr="00FD35ED">
        <w:t>tebentafusp</w:t>
      </w:r>
      <w:proofErr w:type="spellEnd"/>
      <w:r w:rsidRPr="00FD35ED">
        <w:t xml:space="preserve"> arm, drug</w:t>
      </w:r>
      <w:r w:rsidR="00D47A02" w:rsidRPr="00FD35ED">
        <w:t>-</w:t>
      </w:r>
      <w:r w:rsidRPr="00FD35ED">
        <w:t>related hepatic disorders were serious for 11 patients (4.4%), led to withholding of study drug for 13</w:t>
      </w:r>
      <w:r w:rsidR="00FA206D" w:rsidRPr="00FD35ED">
        <w:t> </w:t>
      </w:r>
      <w:r w:rsidRPr="00FD35ED">
        <w:t xml:space="preserve">patients (5%), and led to permanent discontinuation of study treatment for </w:t>
      </w:r>
      <w:r w:rsidR="00FA206D" w:rsidRPr="00FD35ED">
        <w:t>one</w:t>
      </w:r>
      <w:r w:rsidRPr="00FD35ED">
        <w:t xml:space="preserve"> patient (0.4%).</w:t>
      </w:r>
    </w:p>
    <w:p w14:paraId="2FDE28A0" w14:textId="1E5C48AF" w:rsidR="00222799" w:rsidRPr="00FD35ED" w:rsidRDefault="00222799" w:rsidP="00985193">
      <w:r w:rsidRPr="00FD35ED">
        <w:t xml:space="preserve">Worsening laboratory assessments from </w:t>
      </w:r>
      <w:r w:rsidR="006D7C69" w:rsidRPr="00FD35ED">
        <w:t>Baseline</w:t>
      </w:r>
      <w:r w:rsidRPr="00FD35ED">
        <w:t xml:space="preserve"> for markers of liver function were common in patients receiving </w:t>
      </w:r>
      <w:proofErr w:type="spellStart"/>
      <w:r w:rsidRPr="00FD35ED">
        <w:t>tebentafusp</w:t>
      </w:r>
      <w:proofErr w:type="spellEnd"/>
      <w:r w:rsidRPr="00FD35ED">
        <w:t xml:space="preserve">, with about half experiencing worsening of </w:t>
      </w:r>
      <w:r w:rsidR="00D20749">
        <w:t>aspartate aminotransferase (</w:t>
      </w:r>
      <w:r w:rsidRPr="00FD35ED">
        <w:t>AST</w:t>
      </w:r>
      <w:r w:rsidR="00D20749">
        <w:t>)</w:t>
      </w:r>
      <w:r w:rsidRPr="00FD35ED">
        <w:t xml:space="preserve"> and/or </w:t>
      </w:r>
      <w:r w:rsidR="003A72F4" w:rsidRPr="00FD35ED">
        <w:t>alanine aminotransferase (</w:t>
      </w:r>
      <w:r w:rsidRPr="00FD35ED">
        <w:t>ALT</w:t>
      </w:r>
      <w:r w:rsidR="003A72F4" w:rsidRPr="00FD35ED">
        <w:t>)</w:t>
      </w:r>
      <w:r w:rsidRPr="00FD35ED">
        <w:t>. This may have been due to CRS or underlying liver metastases. Overall, however, the abnormalities were mild (</w:t>
      </w:r>
      <w:r w:rsidR="00F97E3A" w:rsidRPr="00FD35ED">
        <w:t>Grade</w:t>
      </w:r>
      <w:r w:rsidRPr="00FD35ED">
        <w:t xml:space="preserve"> 3 AST</w:t>
      </w:r>
      <w:r w:rsidR="00FA206D" w:rsidRPr="00FD35ED">
        <w:t xml:space="preserve"> or </w:t>
      </w:r>
      <w:r w:rsidRPr="00FD35ED">
        <w:t xml:space="preserve">ALT increases occurred in 12% and 8% of patients, respectively, and </w:t>
      </w:r>
      <w:r w:rsidR="00F97E3A" w:rsidRPr="00FD35ED">
        <w:t>Grade</w:t>
      </w:r>
      <w:r w:rsidRPr="00FD35ED">
        <w:t xml:space="preserve"> 4 AST</w:t>
      </w:r>
      <w:r w:rsidR="00FA206D" w:rsidRPr="00FD35ED">
        <w:t xml:space="preserve"> or </w:t>
      </w:r>
      <w:r w:rsidRPr="00FD35ED">
        <w:t>ALT increases occurred in 0.4% and 0.8% of patients, respectively) and did not require discontinuation of study treatment.</w:t>
      </w:r>
    </w:p>
    <w:p w14:paraId="78C93E4A" w14:textId="63A6454E" w:rsidR="00222799" w:rsidRPr="00FD35ED" w:rsidRDefault="00222799" w:rsidP="00985193">
      <w:r w:rsidRPr="00FD35ED">
        <w:lastRenderedPageBreak/>
        <w:t xml:space="preserve">Liver enzyme elevation warrants specific mention in the PI under Warnings and </w:t>
      </w:r>
      <w:r w:rsidR="00FA206D" w:rsidRPr="00FD35ED">
        <w:t>precautions</w:t>
      </w:r>
      <w:r w:rsidRPr="00FD35ED">
        <w:t>, based on frequency, and due to the potential for serious outcomes.</w:t>
      </w:r>
    </w:p>
    <w:p w14:paraId="5B67979D" w14:textId="77777777" w:rsidR="00222799" w:rsidRPr="00FD35ED" w:rsidRDefault="00222799" w:rsidP="00985193">
      <w:pPr>
        <w:pStyle w:val="Heading6"/>
      </w:pPr>
      <w:bookmarkStart w:id="95" w:name="_Ref96605501"/>
      <w:r w:rsidRPr="00FD35ED">
        <w:t>Eye disorders</w:t>
      </w:r>
      <w:bookmarkEnd w:id="95"/>
    </w:p>
    <w:p w14:paraId="30305042" w14:textId="54066A5B" w:rsidR="00222799" w:rsidRPr="00FD35ED" w:rsidRDefault="00222799" w:rsidP="00985193">
      <w:r w:rsidRPr="00FD35ED">
        <w:t xml:space="preserve">Patients with </w:t>
      </w:r>
      <w:r w:rsidR="001212BF" w:rsidRPr="00FD35ED">
        <w:t>uveal melanoma</w:t>
      </w:r>
      <w:r w:rsidRPr="00FD35ED">
        <w:t xml:space="preserve"> are likely to have baseline recurrent or persistent local ocular events relating to their primary treatment (</w:t>
      </w:r>
      <w:r w:rsidR="006D7C69" w:rsidRPr="00FD35ED">
        <w:t>for example</w:t>
      </w:r>
      <w:r w:rsidRPr="00FD35ED">
        <w:t xml:space="preserve">., enucleation, complication of </w:t>
      </w:r>
      <w:r w:rsidR="003A72F4" w:rsidRPr="00FD35ED">
        <w:t>radiotherapy</w:t>
      </w:r>
      <w:r w:rsidRPr="00FD35ED">
        <w:t>, intravitreal anti-</w:t>
      </w:r>
      <w:r w:rsidR="003A72F4" w:rsidRPr="00FD35ED">
        <w:t xml:space="preserve">vascular endothelial growth factor </w:t>
      </w:r>
      <w:r w:rsidRPr="00FD35ED">
        <w:t xml:space="preserve">therapy). In addition, eye disorders were initially identified as a potential risk with </w:t>
      </w:r>
      <w:proofErr w:type="spellStart"/>
      <w:r w:rsidRPr="00FD35ED">
        <w:t>tebentafusp</w:t>
      </w:r>
      <w:proofErr w:type="spellEnd"/>
      <w:r w:rsidRPr="00FD35ED">
        <w:t xml:space="preserve"> since gp100</w:t>
      </w:r>
      <w:r w:rsidR="00D20749">
        <w:noBreakHyphen/>
      </w:r>
      <w:r w:rsidRPr="00FD35ED">
        <w:t xml:space="preserve">positive intra-ocular melanocytes could serve as a target for </w:t>
      </w:r>
      <w:proofErr w:type="spellStart"/>
      <w:r w:rsidRPr="00FD35ED">
        <w:t>tebentafusp</w:t>
      </w:r>
      <w:proofErr w:type="spellEnd"/>
      <w:r w:rsidRPr="00FD35ED">
        <w:t xml:space="preserve"> which in theory may lead to uveitis or vision changes.</w:t>
      </w:r>
    </w:p>
    <w:p w14:paraId="4883AEDF" w14:textId="0FC9B7E3" w:rsidR="00222799" w:rsidRPr="00FD35ED" w:rsidRDefault="00222799" w:rsidP="00985193">
      <w:r w:rsidRPr="00FD35ED">
        <w:t xml:space="preserve">Detailed baseline and on-study ophthalmologic exams were incorporated into </w:t>
      </w:r>
      <w:r w:rsidR="00D20749">
        <w:t xml:space="preserve">the </w:t>
      </w:r>
      <w:r w:rsidR="00F97E3A" w:rsidRPr="00FD35ED">
        <w:t>Phase</w:t>
      </w:r>
      <w:r w:rsidR="00FA206D" w:rsidRPr="00FD35ED">
        <w:t> </w:t>
      </w:r>
      <w:r w:rsidR="00F97E3A" w:rsidRPr="00FD35ED">
        <w:t>I</w:t>
      </w:r>
      <w:r w:rsidRPr="00FD35ED">
        <w:t xml:space="preserve"> </w:t>
      </w:r>
      <w:r w:rsidR="00F97E3A" w:rsidRPr="00FD35ED">
        <w:t xml:space="preserve">Study </w:t>
      </w:r>
      <w:r w:rsidRPr="00FD35ED">
        <w:t>01 (n</w:t>
      </w:r>
      <w:r w:rsidR="00F97E3A" w:rsidRPr="00FD35ED">
        <w:t xml:space="preserve"> </w:t>
      </w:r>
      <w:r w:rsidRPr="00FD35ED">
        <w:t>=</w:t>
      </w:r>
      <w:r w:rsidR="00F97E3A" w:rsidRPr="00FD35ED">
        <w:t xml:space="preserve"> </w:t>
      </w:r>
      <w:r w:rsidRPr="00FD35ED">
        <w:t xml:space="preserve">84). No concerning intra-ocular findings or overt vision changes were identified. </w:t>
      </w:r>
      <w:proofErr w:type="gramStart"/>
      <w:r w:rsidRPr="00FD35ED">
        <w:t>A number of</w:t>
      </w:r>
      <w:proofErr w:type="gramEnd"/>
      <w:r w:rsidRPr="00FD35ED">
        <w:t xml:space="preserve"> low grade (</w:t>
      </w:r>
      <w:r w:rsidR="00F97E3A" w:rsidRPr="00FD35ED">
        <w:t xml:space="preserve">Grade </w:t>
      </w:r>
      <w:r w:rsidRPr="00FD35ED">
        <w:t>1 or 2) extra-ocular AEs were reported, including periorbital oedema (49%), eye pain (4%), and eye pruritus (4%).</w:t>
      </w:r>
    </w:p>
    <w:p w14:paraId="7ED87201" w14:textId="1360546C" w:rsidR="00222799" w:rsidRPr="00FD35ED" w:rsidRDefault="00222799" w:rsidP="00985193">
      <w:r w:rsidRPr="00FD35ED">
        <w:t xml:space="preserve">In Study 202, 32% of patients in the </w:t>
      </w:r>
      <w:proofErr w:type="spellStart"/>
      <w:r w:rsidRPr="00FD35ED">
        <w:t>tebentafusp</w:t>
      </w:r>
      <w:proofErr w:type="spellEnd"/>
      <w:r w:rsidRPr="00FD35ED">
        <w:t xml:space="preserve"> arm and 14% of patients in the </w:t>
      </w:r>
      <w:r w:rsidR="00D20749">
        <w:t>investigator’s choice of treatment</w:t>
      </w:r>
      <w:r w:rsidR="00D20749" w:rsidRPr="00FD35ED">
        <w:t xml:space="preserve"> </w:t>
      </w:r>
      <w:r w:rsidRPr="00FD35ED">
        <w:t xml:space="preserve">arm had events in the MedDRA </w:t>
      </w:r>
      <w:r w:rsidR="00FA206D" w:rsidRPr="00FD35ED">
        <w:t xml:space="preserve">System Organ Class </w:t>
      </w:r>
      <w:r w:rsidRPr="00FD35ED">
        <w:t>(SOC) of eye disorders. The most common events (≥</w:t>
      </w:r>
      <w:r w:rsidR="006D7C69" w:rsidRPr="00FD35ED">
        <w:t xml:space="preserve"> </w:t>
      </w:r>
      <w:r w:rsidRPr="00FD35ED">
        <w:t xml:space="preserve">3% incidence in either arm) were periorbital oedema (11% with </w:t>
      </w:r>
      <w:proofErr w:type="spellStart"/>
      <w:r w:rsidRPr="00FD35ED">
        <w:t>tebentafusp</w:t>
      </w:r>
      <w:proofErr w:type="spellEnd"/>
      <w:r w:rsidRPr="00FD35ED">
        <w:t xml:space="preserve"> </w:t>
      </w:r>
      <w:r w:rsidR="006D7C69" w:rsidRPr="00FD35ED">
        <w:t xml:space="preserve">versus </w:t>
      </w:r>
      <w:r w:rsidRPr="00FD35ED">
        <w:t xml:space="preserve">1% with </w:t>
      </w:r>
      <w:r w:rsidR="00D20749">
        <w:t>investigator’s choice of treatment</w:t>
      </w:r>
      <w:r w:rsidRPr="00FD35ED">
        <w:t xml:space="preserve">) and lacrimation increased (3% </w:t>
      </w:r>
      <w:r w:rsidR="006D7C69" w:rsidRPr="00FD35ED">
        <w:t>versus</w:t>
      </w:r>
      <w:r w:rsidRPr="00FD35ED">
        <w:t xml:space="preserve"> 2%, respectively).</w:t>
      </w:r>
    </w:p>
    <w:p w14:paraId="509A9E20" w14:textId="26727F49" w:rsidR="00222799" w:rsidRPr="00FD35ED" w:rsidRDefault="00222799" w:rsidP="00985193">
      <w:r w:rsidRPr="00FD35ED">
        <w:t xml:space="preserve">There </w:t>
      </w:r>
      <w:proofErr w:type="gramStart"/>
      <w:r w:rsidRPr="00FD35ED">
        <w:t>were</w:t>
      </w:r>
      <w:proofErr w:type="gramEnd"/>
      <w:r w:rsidRPr="00FD35ED">
        <w:t xml:space="preserve"> a total of 5 higher grade (≥</w:t>
      </w:r>
      <w:r w:rsidR="006D7C69" w:rsidRPr="00FD35ED">
        <w:t xml:space="preserve"> </w:t>
      </w:r>
      <w:r w:rsidRPr="00FD35ED">
        <w:t>3) events reported in Study 202: cataract, eye pain, and glaucoma (</w:t>
      </w:r>
      <w:r w:rsidR="00FA206D" w:rsidRPr="00FD35ED">
        <w:t>one</w:t>
      </w:r>
      <w:r w:rsidRPr="00FD35ED">
        <w:t xml:space="preserve"> patient each) were reported in the </w:t>
      </w:r>
      <w:proofErr w:type="spellStart"/>
      <w:r w:rsidRPr="00FD35ED">
        <w:t>tebentafusp</w:t>
      </w:r>
      <w:proofErr w:type="spellEnd"/>
      <w:r w:rsidRPr="00FD35ED">
        <w:t xml:space="preserve"> arm (1.2% total) and retinal detachment and uveitis (</w:t>
      </w:r>
      <w:r w:rsidR="00FA206D" w:rsidRPr="00FD35ED">
        <w:t>one</w:t>
      </w:r>
      <w:r w:rsidRPr="00FD35ED">
        <w:t xml:space="preserve"> patient each) were reported in the </w:t>
      </w:r>
      <w:r w:rsidR="00D20749">
        <w:t xml:space="preserve">investigator’s choice of treatment </w:t>
      </w:r>
      <w:r w:rsidR="00D20749" w:rsidRPr="00FD35ED">
        <w:t>arm</w:t>
      </w:r>
      <w:r w:rsidR="00D20749" w:rsidRPr="00FD35ED" w:rsidDel="00D20749">
        <w:t xml:space="preserve"> </w:t>
      </w:r>
      <w:r w:rsidRPr="00FD35ED">
        <w:t>(1.8% total).</w:t>
      </w:r>
    </w:p>
    <w:p w14:paraId="56B124F0" w14:textId="71A90802" w:rsidR="00222799" w:rsidRPr="00FD35ED" w:rsidRDefault="00222799" w:rsidP="00985193">
      <w:r w:rsidRPr="00FD35ED">
        <w:t xml:space="preserve">Serious eye disorders were reported in 2 patients (0.8%) in the </w:t>
      </w:r>
      <w:proofErr w:type="spellStart"/>
      <w:r w:rsidRPr="00FD35ED">
        <w:t>tebentafusp</w:t>
      </w:r>
      <w:proofErr w:type="spellEnd"/>
      <w:r w:rsidRPr="00FD35ED">
        <w:t xml:space="preserve"> arm (diplopia and periorbital oedema) and </w:t>
      </w:r>
      <w:r w:rsidR="00FA206D" w:rsidRPr="00FD35ED">
        <w:t>one</w:t>
      </w:r>
      <w:r w:rsidRPr="00FD35ED">
        <w:t xml:space="preserve"> patient (0.9%) in the </w:t>
      </w:r>
      <w:r w:rsidR="00D20749">
        <w:t xml:space="preserve">investigator’s choice of treatment </w:t>
      </w:r>
      <w:r w:rsidRPr="00FD35ED">
        <w:t xml:space="preserve">arm who received pembrolizumab (uveitis). Review of case narratives indicates the event of diplopia was associated with dizziness, elevated transaminases, </w:t>
      </w:r>
      <w:proofErr w:type="spellStart"/>
      <w:r w:rsidRPr="00FD35ED">
        <w:t>hyper</w:t>
      </w:r>
      <w:r w:rsidR="00FA206D" w:rsidRPr="00FD35ED">
        <w:t>bilirubinaemia</w:t>
      </w:r>
      <w:proofErr w:type="spellEnd"/>
      <w:r w:rsidR="00FA206D" w:rsidRPr="00FD35ED">
        <w:t>,</w:t>
      </w:r>
      <w:r w:rsidRPr="00FD35ED">
        <w:t xml:space="preserve"> and a </w:t>
      </w:r>
      <w:r w:rsidR="003A72F4" w:rsidRPr="00FD35ED">
        <w:t xml:space="preserve">computerized tomography </w:t>
      </w:r>
      <w:r w:rsidRPr="00FD35ED">
        <w:t>scan the following day that indicated disease progression, with target lesions in the liver having more than doubled in size. A true ophthalmological drug effect is considered very unlikely.</w:t>
      </w:r>
    </w:p>
    <w:p w14:paraId="64E2F9EE" w14:textId="637916AC" w:rsidR="00222799" w:rsidRPr="00FD35ED" w:rsidRDefault="00222799" w:rsidP="00985193">
      <w:r w:rsidRPr="00FD35ED">
        <w:t xml:space="preserve">The periorbital AEs are consistent with </w:t>
      </w:r>
      <w:proofErr w:type="spellStart"/>
      <w:r w:rsidRPr="00FD35ED">
        <w:t>tebentafusp</w:t>
      </w:r>
      <w:proofErr w:type="spellEnd"/>
      <w:r w:rsidRPr="00FD35ED">
        <w:t xml:space="preserve"> redirecting T</w:t>
      </w:r>
      <w:r w:rsidR="006D7C69" w:rsidRPr="00FD35ED">
        <w:t>-</w:t>
      </w:r>
      <w:r w:rsidRPr="00FD35ED">
        <w:t>cells to gp100</w:t>
      </w:r>
      <w:r w:rsidR="00200045" w:rsidRPr="00FD35ED">
        <w:t>-</w:t>
      </w:r>
      <w:r w:rsidRPr="00FD35ED">
        <w:t xml:space="preserve">positive melanocytes in the skin, do not impact vision, are reversible and have been observed in </w:t>
      </w:r>
      <w:proofErr w:type="spellStart"/>
      <w:r w:rsidRPr="00FD35ED">
        <w:t>tebentafusp</w:t>
      </w:r>
      <w:proofErr w:type="spellEnd"/>
      <w:r w:rsidR="00200045" w:rsidRPr="00FD35ED">
        <w:t xml:space="preserve"> </w:t>
      </w:r>
      <w:r w:rsidRPr="00FD35ED">
        <w:t>treated patients in all studies.</w:t>
      </w:r>
    </w:p>
    <w:p w14:paraId="729B0B21" w14:textId="2ECF003A" w:rsidR="00222799" w:rsidRPr="00FD35ED" w:rsidRDefault="00222799" w:rsidP="00985193">
      <w:r w:rsidRPr="00FD35ED">
        <w:t xml:space="preserve">No specific Australian PI text (outside </w:t>
      </w:r>
      <w:r w:rsidR="00F2721B">
        <w:t xml:space="preserve">the </w:t>
      </w:r>
      <w:r w:rsidRPr="00FD35ED">
        <w:t xml:space="preserve">usual </w:t>
      </w:r>
      <w:r w:rsidR="00F2721B">
        <w:t>‘</w:t>
      </w:r>
      <w:r w:rsidR="00D20749">
        <w:t>Adverse Events</w:t>
      </w:r>
      <w:r w:rsidR="00F2721B">
        <w:t>’</w:t>
      </w:r>
      <w:r w:rsidR="00D20749" w:rsidRPr="00FD35ED">
        <w:t xml:space="preserve"> </w:t>
      </w:r>
      <w:r w:rsidRPr="00FD35ED">
        <w:t>listings) is warranted for eye disorders.</w:t>
      </w:r>
    </w:p>
    <w:p w14:paraId="4106F1DD" w14:textId="77777777" w:rsidR="00222799" w:rsidRPr="00FD35ED" w:rsidRDefault="00222799" w:rsidP="00985193">
      <w:pPr>
        <w:pStyle w:val="Heading6"/>
      </w:pPr>
      <w:r w:rsidRPr="00FD35ED">
        <w:t>Neurotoxicity</w:t>
      </w:r>
    </w:p>
    <w:p w14:paraId="4279954F" w14:textId="148B7CC2" w:rsidR="00222799" w:rsidRPr="00FD35ED" w:rsidRDefault="00222799" w:rsidP="00985193">
      <w:r w:rsidRPr="00FD35ED">
        <w:t>Neurotoxicity, including potentially life</w:t>
      </w:r>
      <w:r w:rsidR="00604924" w:rsidRPr="00FD35ED">
        <w:t>-</w:t>
      </w:r>
      <w:r w:rsidRPr="00FD35ED">
        <w:t>threatening or fatal events, is an identified complication associated with T‐cell engager therapies, including anti‐CD19 CAR‐T</w:t>
      </w:r>
      <w:r w:rsidR="006D7C69" w:rsidRPr="00FD35ED">
        <w:noBreakHyphen/>
      </w:r>
      <w:r w:rsidRPr="00FD35ED">
        <w:t>cells and bi‐specific T</w:t>
      </w:r>
      <w:r w:rsidR="006D7C69" w:rsidRPr="00FD35ED">
        <w:t>-</w:t>
      </w:r>
      <w:r w:rsidRPr="00FD35ED">
        <w:t>cell engagers.</w:t>
      </w:r>
      <w:r w:rsidR="007A4661" w:rsidRPr="00FD35ED">
        <w:rPr>
          <w:rStyle w:val="FootnoteReference"/>
        </w:rPr>
        <w:footnoteReference w:id="74"/>
      </w:r>
      <w:r w:rsidRPr="00FD35ED">
        <w:t xml:space="preserve"> Although neurotoxicity was not considered an AESI for Study 202 based on prior clinical experience, the regulatory safety review included a separate assessment of the risks of neurotoxicity for Study 202, based on </w:t>
      </w:r>
      <w:proofErr w:type="spellStart"/>
      <w:r w:rsidRPr="00FD35ED">
        <w:t>tebentafusp</w:t>
      </w:r>
      <w:proofErr w:type="spellEnd"/>
      <w:r w:rsidRPr="00FD35ED">
        <w:t xml:space="preserve"> mechanism of action.</w:t>
      </w:r>
    </w:p>
    <w:p w14:paraId="4D61D25D" w14:textId="4334449B" w:rsidR="00222799" w:rsidRPr="00FD35ED" w:rsidRDefault="00222799" w:rsidP="00985193">
      <w:proofErr w:type="spellStart"/>
      <w:r w:rsidRPr="00FD35ED">
        <w:t>Neurotoxicities</w:t>
      </w:r>
      <w:proofErr w:type="spellEnd"/>
      <w:r w:rsidRPr="00FD35ED">
        <w:t xml:space="preserve"> were assessed using all </w:t>
      </w:r>
      <w:r w:rsidR="009710DB" w:rsidRPr="00FD35ED">
        <w:t>Preferred Term</w:t>
      </w:r>
      <w:r w:rsidRPr="00FD35ED">
        <w:t xml:space="preserve">s in the SOC </w:t>
      </w:r>
      <w:r w:rsidR="00012DE3" w:rsidRPr="00FD35ED">
        <w:t>nervous system disorders</w:t>
      </w:r>
      <w:r w:rsidRPr="00FD35ED">
        <w:t>, with the exclusion of terms clearly related to structural pathology</w:t>
      </w:r>
      <w:r w:rsidR="00012DE3" w:rsidRPr="00FD35ED">
        <w:t>, for example,</w:t>
      </w:r>
      <w:r w:rsidRPr="00FD35ED">
        <w:t xml:space="preserve"> carpal tunnel syndrome, cerebral cyst, </w:t>
      </w:r>
      <w:r w:rsidR="00D20749">
        <w:t>cerebrospinal</w:t>
      </w:r>
      <w:r w:rsidR="00D20749" w:rsidRPr="00FD35ED">
        <w:t xml:space="preserve"> </w:t>
      </w:r>
      <w:r w:rsidRPr="00FD35ED">
        <w:t>fluid circulation disorder, intracranial aneurysm, intracranial mass, perineurial cyst, sciatica, and spinal cord compression.</w:t>
      </w:r>
    </w:p>
    <w:p w14:paraId="3CD00B62" w14:textId="137883F4" w:rsidR="00222799" w:rsidRPr="00FD35ED" w:rsidRDefault="00222799" w:rsidP="00985193">
      <w:r w:rsidRPr="00FD35ED">
        <w:lastRenderedPageBreak/>
        <w:t xml:space="preserve">Events fitting this category occurred in 51% of </w:t>
      </w:r>
      <w:proofErr w:type="spellStart"/>
      <w:r w:rsidRPr="00FD35ED">
        <w:t>tebentafusp</w:t>
      </w:r>
      <w:proofErr w:type="spellEnd"/>
      <w:r w:rsidR="00200045" w:rsidRPr="00FD35ED">
        <w:t xml:space="preserve"> </w:t>
      </w:r>
      <w:r w:rsidRPr="00FD35ED">
        <w:t xml:space="preserve">treated patients and 24% of the </w:t>
      </w:r>
      <w:r w:rsidR="00D20749">
        <w:t xml:space="preserve">investigator’s choice of treatment </w:t>
      </w:r>
      <w:r w:rsidRPr="00FD35ED">
        <w:t xml:space="preserve">arm, were </w:t>
      </w:r>
      <w:r w:rsidR="00F97E3A" w:rsidRPr="00FD35ED">
        <w:t>Grade</w:t>
      </w:r>
      <w:r w:rsidRPr="00FD35ED">
        <w:t xml:space="preserve"> 3</w:t>
      </w:r>
      <w:r w:rsidR="00F97E3A" w:rsidRPr="00FD35ED">
        <w:t xml:space="preserve"> to </w:t>
      </w:r>
      <w:r w:rsidRPr="00FD35ED">
        <w:t>4 in 2.4% and 3.6%, and were considered serious in 1.6% and 0.9%, respectively. There were no fatal neurotoxicity TEAEs in the study. The SAE</w:t>
      </w:r>
      <w:r w:rsidR="00D20749">
        <w:t>s</w:t>
      </w:r>
      <w:r w:rsidRPr="00FD35ED">
        <w:t xml:space="preserve"> in the </w:t>
      </w:r>
      <w:proofErr w:type="spellStart"/>
      <w:r w:rsidRPr="00FD35ED">
        <w:t>tebentafusp</w:t>
      </w:r>
      <w:proofErr w:type="spellEnd"/>
      <w:r w:rsidRPr="00FD35ED">
        <w:t xml:space="preserve"> arm were motor dysfunction (due to progressive disease in the spine), dizziness, brain oedema (due to cerebral metastases), and presyncope. The most common event in both arms was headache.</w:t>
      </w:r>
    </w:p>
    <w:p w14:paraId="14518107" w14:textId="4E72BC65" w:rsidR="00222799" w:rsidRPr="00FD35ED" w:rsidRDefault="00222799" w:rsidP="00985193">
      <w:r w:rsidRPr="00FD35ED">
        <w:t xml:space="preserve">No specific Australian PI text (outside </w:t>
      </w:r>
      <w:r w:rsidR="00F2721B">
        <w:t xml:space="preserve">the </w:t>
      </w:r>
      <w:r w:rsidRPr="00FD35ED">
        <w:t xml:space="preserve">usual </w:t>
      </w:r>
      <w:r w:rsidR="00F2721B">
        <w:t>‘</w:t>
      </w:r>
      <w:r w:rsidR="00D20749">
        <w:t>Adverse Events</w:t>
      </w:r>
      <w:r w:rsidR="00F2721B">
        <w:t>’</w:t>
      </w:r>
      <w:r w:rsidR="00D20749" w:rsidRPr="00FD35ED">
        <w:t xml:space="preserve"> </w:t>
      </w:r>
      <w:r w:rsidRPr="00FD35ED">
        <w:t>listings) is warranted for events under the category of neurotoxicity.</w:t>
      </w:r>
    </w:p>
    <w:p w14:paraId="15CF9587" w14:textId="77777777" w:rsidR="00222799" w:rsidRPr="00FD35ED" w:rsidRDefault="00222799" w:rsidP="00222799">
      <w:pPr>
        <w:pStyle w:val="Heading6"/>
      </w:pPr>
      <w:bookmarkStart w:id="96" w:name="_Ref96605512"/>
      <w:r w:rsidRPr="00FD35ED">
        <w:t>Infections</w:t>
      </w:r>
      <w:bookmarkEnd w:id="96"/>
    </w:p>
    <w:p w14:paraId="57A8276B" w14:textId="62CE7FD6" w:rsidR="00222799" w:rsidRPr="00FD35ED" w:rsidRDefault="00222799" w:rsidP="00985193">
      <w:r w:rsidRPr="00FD35ED">
        <w:t xml:space="preserve">Events in the </w:t>
      </w:r>
      <w:r w:rsidR="00012DE3" w:rsidRPr="00FD35ED">
        <w:t xml:space="preserve">infections and infestations </w:t>
      </w:r>
      <w:r w:rsidRPr="00FD35ED">
        <w:t xml:space="preserve">MedDRA SOC were reported in 31% of </w:t>
      </w:r>
      <w:proofErr w:type="spellStart"/>
      <w:r w:rsidRPr="00FD35ED">
        <w:t>tebentafusp</w:t>
      </w:r>
      <w:proofErr w:type="spellEnd"/>
      <w:r w:rsidR="00200045" w:rsidRPr="00FD35ED">
        <w:t xml:space="preserve"> </w:t>
      </w:r>
      <w:r w:rsidRPr="00FD35ED">
        <w:t xml:space="preserve">treated patients and 21% of those who received </w:t>
      </w:r>
      <w:r w:rsidR="00EC2FAE" w:rsidRPr="00EC2FAE">
        <w:t>investigator’s choice of treatment</w:t>
      </w:r>
      <w:r w:rsidRPr="00FD35ED">
        <w:t>. These equate to exposure adjusted incidence rates of 58 and 54 (per 100 patient</w:t>
      </w:r>
      <w:r w:rsidR="00012DE3" w:rsidRPr="00FD35ED">
        <w:t xml:space="preserve"> </w:t>
      </w:r>
      <w:r w:rsidRPr="00FD35ED">
        <w:t xml:space="preserve">years), respectively. Within this SOC, events of </w:t>
      </w:r>
      <w:r w:rsidR="00F97E3A" w:rsidRPr="00FD35ED">
        <w:t>Grade</w:t>
      </w:r>
      <w:r w:rsidRPr="00FD35ED">
        <w:t xml:space="preserve"> 3 or higher occurred at incidences of 4% and 2%, respectively, and serious events occurred at 2% incidence in each arm.</w:t>
      </w:r>
    </w:p>
    <w:p w14:paraId="68FD29BB" w14:textId="663A7F3E" w:rsidR="00222799" w:rsidRPr="00FD35ED" w:rsidRDefault="00222799" w:rsidP="00985193">
      <w:r w:rsidRPr="00FD35ED">
        <w:t xml:space="preserve">Pyrexia occurred in 76% of the </w:t>
      </w:r>
      <w:proofErr w:type="spellStart"/>
      <w:r w:rsidRPr="00FD35ED">
        <w:t>tebentafusp</w:t>
      </w:r>
      <w:proofErr w:type="spellEnd"/>
      <w:r w:rsidRPr="00FD35ED">
        <w:t xml:space="preserve"> arm and 7% of the </w:t>
      </w:r>
      <w:r w:rsidR="00D20749">
        <w:t>investigator’s choice of treatment</w:t>
      </w:r>
      <w:r w:rsidR="00D20749" w:rsidRPr="00FD35ED">
        <w:t xml:space="preserve"> </w:t>
      </w:r>
      <w:r w:rsidRPr="00FD35ED">
        <w:t xml:space="preserve">arm, however, the differential reporting of this term is very likely to be attributable to CRS, as infections were not notably more frequent or severe in the </w:t>
      </w:r>
      <w:proofErr w:type="spellStart"/>
      <w:r w:rsidRPr="00FD35ED">
        <w:t>tebentafusp</w:t>
      </w:r>
      <w:proofErr w:type="spellEnd"/>
      <w:r w:rsidRPr="00FD35ED">
        <w:t xml:space="preserve"> arm.</w:t>
      </w:r>
    </w:p>
    <w:p w14:paraId="5336E06C" w14:textId="77777777" w:rsidR="00222799" w:rsidRPr="00FD35ED" w:rsidRDefault="00222799" w:rsidP="00985193">
      <w:pPr>
        <w:pStyle w:val="Heading5"/>
      </w:pPr>
      <w:r w:rsidRPr="00FD35ED">
        <w:t>Cardiac safety</w:t>
      </w:r>
    </w:p>
    <w:p w14:paraId="7B4C61E1" w14:textId="6DA16F02" w:rsidR="00222799" w:rsidRPr="00FD35ED" w:rsidRDefault="00012DE3" w:rsidP="00985193">
      <w:r w:rsidRPr="00FD35ED">
        <w:t>Electrocardiogram</w:t>
      </w:r>
      <w:r w:rsidR="00222799" w:rsidRPr="00FD35ED">
        <w:t xml:space="preserve"> analyses in Study 202 demonstrated no meaningful or persistent QT</w:t>
      </w:r>
      <w:r w:rsidR="009861C4" w:rsidRPr="00FD35ED">
        <w:t>;</w:t>
      </w:r>
      <w:r w:rsidR="009861C4" w:rsidRPr="00FD35ED">
        <w:rPr>
          <w:vertAlign w:val="superscript"/>
        </w:rPr>
        <w:fldChar w:fldCharType="begin"/>
      </w:r>
      <w:r w:rsidR="009861C4" w:rsidRPr="00FD35ED">
        <w:rPr>
          <w:vertAlign w:val="superscript"/>
        </w:rPr>
        <w:instrText xml:space="preserve"> NOTEREF _Ref113376119 \h  \* MERGEFORMAT </w:instrText>
      </w:r>
      <w:r w:rsidR="009861C4" w:rsidRPr="00FD35ED">
        <w:rPr>
          <w:vertAlign w:val="superscript"/>
        </w:rPr>
      </w:r>
      <w:r w:rsidR="009861C4" w:rsidRPr="00FD35ED">
        <w:rPr>
          <w:vertAlign w:val="superscript"/>
        </w:rPr>
        <w:fldChar w:fldCharType="separate"/>
      </w:r>
      <w:r w:rsidR="00301C3E">
        <w:rPr>
          <w:vertAlign w:val="superscript"/>
        </w:rPr>
        <w:t>46</w:t>
      </w:r>
      <w:r w:rsidR="009861C4" w:rsidRPr="00FD35ED">
        <w:rPr>
          <w:vertAlign w:val="superscript"/>
        </w:rPr>
        <w:fldChar w:fldCharType="end"/>
      </w:r>
      <w:r w:rsidR="00222799" w:rsidRPr="00FD35ED">
        <w:t xml:space="preserve"> prolongation with </w:t>
      </w:r>
      <w:proofErr w:type="spellStart"/>
      <w:r w:rsidR="00222799" w:rsidRPr="00FD35ED">
        <w:t>tebentafusp</w:t>
      </w:r>
      <w:proofErr w:type="spellEnd"/>
      <w:r w:rsidR="00222799" w:rsidRPr="00FD35ED">
        <w:t xml:space="preserve"> treatment.</w:t>
      </w:r>
    </w:p>
    <w:p w14:paraId="3C53DBFD" w14:textId="77777777" w:rsidR="00222799" w:rsidRPr="00FD35ED" w:rsidRDefault="00222799" w:rsidP="00985193">
      <w:pPr>
        <w:pStyle w:val="Heading5"/>
      </w:pPr>
      <w:bookmarkStart w:id="97" w:name="_Ref96523479"/>
      <w:r w:rsidRPr="00FD35ED">
        <w:t>Immunogenicity</w:t>
      </w:r>
      <w:bookmarkEnd w:id="97"/>
    </w:p>
    <w:p w14:paraId="782B5E6F" w14:textId="7CBB19D2" w:rsidR="00222799" w:rsidRPr="00FD35ED" w:rsidRDefault="00222799" w:rsidP="00985193">
      <w:pPr>
        <w:pStyle w:val="Heading6"/>
      </w:pPr>
      <w:r w:rsidRPr="00FD35ED">
        <w:t>Anti</w:t>
      </w:r>
      <w:r w:rsidR="009861C4" w:rsidRPr="00FD35ED">
        <w:t>-</w:t>
      </w:r>
      <w:r w:rsidRPr="00FD35ED">
        <w:t>drug antibodies</w:t>
      </w:r>
    </w:p>
    <w:p w14:paraId="32D2CD40" w14:textId="4434875B" w:rsidR="00222799" w:rsidRPr="00FD35ED" w:rsidRDefault="00222799" w:rsidP="00985193">
      <w:r w:rsidRPr="00FD35ED">
        <w:t xml:space="preserve">Treatment‐emergent ADAs against </w:t>
      </w:r>
      <w:proofErr w:type="spellStart"/>
      <w:r w:rsidRPr="00FD35ED">
        <w:t>tebentafusp</w:t>
      </w:r>
      <w:proofErr w:type="spellEnd"/>
      <w:r w:rsidRPr="00FD35ED">
        <w:t xml:space="preserve"> were detected in around 30% of </w:t>
      </w:r>
      <w:proofErr w:type="spellStart"/>
      <w:r w:rsidRPr="00FD35ED">
        <w:t>tebentafusp</w:t>
      </w:r>
      <w:proofErr w:type="spellEnd"/>
      <w:r w:rsidR="00200045" w:rsidRPr="00FD35ED">
        <w:t xml:space="preserve"> </w:t>
      </w:r>
      <w:r w:rsidRPr="00FD35ED">
        <w:t>treated patients in Study 102 and Study 202, with a median onset time of 6</w:t>
      </w:r>
      <w:r w:rsidR="00012DE3" w:rsidRPr="00FD35ED">
        <w:t xml:space="preserve"> to </w:t>
      </w:r>
      <w:r w:rsidRPr="00FD35ED">
        <w:t>9</w:t>
      </w:r>
      <w:r w:rsidR="00012DE3" w:rsidRPr="00FD35ED">
        <w:t> </w:t>
      </w:r>
      <w:r w:rsidRPr="00FD35ED">
        <w:t>weeks:</w:t>
      </w:r>
    </w:p>
    <w:p w14:paraId="5C18CCB7" w14:textId="6F367EB3" w:rsidR="00222799" w:rsidRPr="00FD35ED" w:rsidRDefault="00222799" w:rsidP="00985193">
      <w:pPr>
        <w:pStyle w:val="ListBullet"/>
      </w:pPr>
      <w:r w:rsidRPr="00FD35ED">
        <w:t>The rate of ADA positivity was 29% (n</w:t>
      </w:r>
      <w:r w:rsidR="00F97E3A" w:rsidRPr="00FD35ED">
        <w:t xml:space="preserve"> </w:t>
      </w:r>
      <w:r w:rsidRPr="00FD35ED">
        <w:t>=</w:t>
      </w:r>
      <w:r w:rsidR="00F97E3A" w:rsidRPr="00FD35ED">
        <w:t xml:space="preserve"> </w:t>
      </w:r>
      <w:r w:rsidRPr="00FD35ED">
        <w:t>63) in Study 202 and 33% (n</w:t>
      </w:r>
      <w:r w:rsidR="00F97E3A" w:rsidRPr="00FD35ED">
        <w:t xml:space="preserve"> </w:t>
      </w:r>
      <w:r w:rsidRPr="00FD35ED">
        <w:t>=</w:t>
      </w:r>
      <w:r w:rsidR="00F97E3A" w:rsidRPr="00FD35ED">
        <w:t xml:space="preserve"> </w:t>
      </w:r>
      <w:r w:rsidRPr="00FD35ED">
        <w:t>48) in Study</w:t>
      </w:r>
      <w:r w:rsidR="00012DE3" w:rsidRPr="00FD35ED">
        <w:t> </w:t>
      </w:r>
      <w:r w:rsidRPr="00FD35ED">
        <w:t>102.</w:t>
      </w:r>
    </w:p>
    <w:p w14:paraId="3E7278B9" w14:textId="4B2F6A48" w:rsidR="00222799" w:rsidRPr="00FD35ED" w:rsidRDefault="00222799" w:rsidP="00985193">
      <w:pPr>
        <w:pStyle w:val="ListBullet"/>
      </w:pPr>
      <w:r w:rsidRPr="00FD35ED">
        <w:t>The median time to onset of ADA positivity was 8 weeks (range: 1</w:t>
      </w:r>
      <w:r w:rsidR="00012DE3" w:rsidRPr="00FD35ED">
        <w:t xml:space="preserve"> to </w:t>
      </w:r>
      <w:r w:rsidRPr="00FD35ED">
        <w:t>30 weeks).</w:t>
      </w:r>
    </w:p>
    <w:p w14:paraId="488E2ECB" w14:textId="16FE3C37" w:rsidR="00222799" w:rsidRPr="00FD35ED" w:rsidRDefault="00222799" w:rsidP="00985193">
      <w:pPr>
        <w:pStyle w:val="ListBullet"/>
      </w:pPr>
      <w:r w:rsidRPr="00FD35ED">
        <w:t>The ADA-positive rate was 14% (n</w:t>
      </w:r>
      <w:r w:rsidR="00F97E3A" w:rsidRPr="00FD35ED">
        <w:t xml:space="preserve"> </w:t>
      </w:r>
      <w:r w:rsidRPr="00FD35ED">
        <w:t>=</w:t>
      </w:r>
      <w:r w:rsidR="00F97E3A" w:rsidRPr="00FD35ED">
        <w:t xml:space="preserve"> </w:t>
      </w:r>
      <w:r w:rsidRPr="00FD35ED">
        <w:t xml:space="preserve">30) at the </w:t>
      </w:r>
      <w:r w:rsidR="00012DE3" w:rsidRPr="00FD35ED">
        <w:t xml:space="preserve">Week </w:t>
      </w:r>
      <w:r w:rsidRPr="00FD35ED">
        <w:t>8 landmark in Study 202.</w:t>
      </w:r>
    </w:p>
    <w:p w14:paraId="11A5F691" w14:textId="690CE989" w:rsidR="00222799" w:rsidRPr="00FD35ED" w:rsidRDefault="00222799" w:rsidP="00985193">
      <w:pPr>
        <w:pStyle w:val="ListBullet"/>
      </w:pPr>
      <w:r w:rsidRPr="00FD35ED">
        <w:t xml:space="preserve">The median ADA </w:t>
      </w:r>
      <w:r w:rsidR="006D7C69" w:rsidRPr="00FD35ED">
        <w:t>titre</w:t>
      </w:r>
      <w:r w:rsidRPr="00FD35ED">
        <w:t xml:space="preserve"> in Study 202 was 8192, and around 13% of patients developed an ADA </w:t>
      </w:r>
      <w:r w:rsidR="006D7C69" w:rsidRPr="00FD35ED">
        <w:t>titre</w:t>
      </w:r>
      <w:r w:rsidRPr="00FD35ED">
        <w:t xml:space="preserve"> of at least 8192.</w:t>
      </w:r>
    </w:p>
    <w:p w14:paraId="26F0E3D5" w14:textId="77777777" w:rsidR="00222799" w:rsidRPr="00FD35ED" w:rsidRDefault="00222799" w:rsidP="00985193">
      <w:r w:rsidRPr="00FD35ED">
        <w:t>Impact of immunogenicity on PK:</w:t>
      </w:r>
    </w:p>
    <w:p w14:paraId="02611CFA" w14:textId="418ADDA7" w:rsidR="00222799" w:rsidRPr="00FD35ED" w:rsidRDefault="00222799" w:rsidP="00985193">
      <w:pPr>
        <w:pStyle w:val="ListBullet"/>
      </w:pPr>
      <w:r w:rsidRPr="00FD35ED">
        <w:t xml:space="preserve">Clearance increases by 33-fold in patients with high </w:t>
      </w:r>
      <w:r w:rsidR="006D7C69" w:rsidRPr="00FD35ED">
        <w:t>titre</w:t>
      </w:r>
      <w:r w:rsidRPr="00FD35ED">
        <w:t xml:space="preserve"> ADA (defined as above the median of 8192).</w:t>
      </w:r>
    </w:p>
    <w:p w14:paraId="62A157F1" w14:textId="60527379" w:rsidR="00222799" w:rsidRPr="00FD35ED" w:rsidRDefault="00222799" w:rsidP="00985193">
      <w:pPr>
        <w:pStyle w:val="ListBullet"/>
      </w:pPr>
      <w:proofErr w:type="gramStart"/>
      <w:r w:rsidRPr="00FD35ED">
        <w:t>As a consequence</w:t>
      </w:r>
      <w:proofErr w:type="gramEnd"/>
      <w:r w:rsidRPr="00FD35ED">
        <w:t>, the terminal half-life reduced from 6</w:t>
      </w:r>
      <w:r w:rsidR="00012DE3" w:rsidRPr="00FD35ED">
        <w:t xml:space="preserve"> to </w:t>
      </w:r>
      <w:r w:rsidRPr="00FD35ED">
        <w:t>7 hours to 10</w:t>
      </w:r>
      <w:r w:rsidR="00012DE3" w:rsidRPr="00FD35ED">
        <w:t xml:space="preserve"> to </w:t>
      </w:r>
      <w:r w:rsidRPr="00FD35ED">
        <w:t>14 minutes in this subgroup of patients.</w:t>
      </w:r>
    </w:p>
    <w:p w14:paraId="62B7B070" w14:textId="01EC693E" w:rsidR="00222799" w:rsidRPr="00FD35ED" w:rsidRDefault="00222799" w:rsidP="00985193">
      <w:r w:rsidRPr="00FD35ED">
        <w:t>Exploratory exposure</w:t>
      </w:r>
      <w:r w:rsidR="00012DE3" w:rsidRPr="00FD35ED">
        <w:t xml:space="preserve"> </w:t>
      </w:r>
      <w:r w:rsidRPr="00FD35ED">
        <w:t>response analyses were conducted, using ADA status at the 8</w:t>
      </w:r>
      <w:r w:rsidR="00012DE3" w:rsidRPr="00FD35ED">
        <w:noBreakHyphen/>
      </w:r>
      <w:r w:rsidRPr="00FD35ED">
        <w:t>week landmark (</w:t>
      </w:r>
      <w:r w:rsidR="00012DE3" w:rsidRPr="00FD35ED">
        <w:t xml:space="preserve">that is, </w:t>
      </w:r>
      <w:r w:rsidRPr="00FD35ED">
        <w:t>the median time to onset) in Study 202:</w:t>
      </w:r>
    </w:p>
    <w:p w14:paraId="3BF89B25" w14:textId="77124CC9" w:rsidR="00222799" w:rsidRPr="00FD35ED" w:rsidRDefault="00222799" w:rsidP="00985193">
      <w:pPr>
        <w:pStyle w:val="ListBullet"/>
      </w:pPr>
      <w:r w:rsidRPr="00FD35ED">
        <w:t>Efficacy was compared between patients who were ADA-positive and those who were not. A significant difference couldn’t be detected, but the analysis was limited by the number of patients (n</w:t>
      </w:r>
      <w:r w:rsidR="00F97E3A" w:rsidRPr="00FD35ED">
        <w:t xml:space="preserve"> </w:t>
      </w:r>
      <w:r w:rsidRPr="00FD35ED">
        <w:t>=</w:t>
      </w:r>
      <w:r w:rsidR="00F97E3A" w:rsidRPr="00FD35ED">
        <w:t xml:space="preserve"> </w:t>
      </w:r>
      <w:r w:rsidRPr="00FD35ED">
        <w:t xml:space="preserve">30) who were ADA-positive at 8 weeks. </w:t>
      </w:r>
      <w:r w:rsidR="00D20749">
        <w:t>The overall survival hazard ratio</w:t>
      </w:r>
      <w:r w:rsidRPr="00FD35ED">
        <w:t xml:space="preserve"> in these subgroups were as follows:</w:t>
      </w:r>
    </w:p>
    <w:p w14:paraId="4B64A7D8" w14:textId="1DDB4032" w:rsidR="00222799" w:rsidRPr="00FD35ED" w:rsidRDefault="00222799" w:rsidP="00985193">
      <w:pPr>
        <w:pStyle w:val="ListBullet2"/>
      </w:pPr>
      <w:r w:rsidRPr="00FD35ED">
        <w:t>ADA</w:t>
      </w:r>
      <w:r w:rsidR="00200045" w:rsidRPr="00FD35ED">
        <w:t>-</w:t>
      </w:r>
      <w:r w:rsidRPr="00FD35ED">
        <w:t>positive subgroup (n</w:t>
      </w:r>
      <w:r w:rsidR="00F97E3A" w:rsidRPr="00FD35ED">
        <w:t xml:space="preserve"> </w:t>
      </w:r>
      <w:r w:rsidRPr="00FD35ED">
        <w:t>=</w:t>
      </w:r>
      <w:r w:rsidR="00F97E3A" w:rsidRPr="00FD35ED">
        <w:t xml:space="preserve"> </w:t>
      </w:r>
      <w:r w:rsidRPr="00FD35ED">
        <w:t xml:space="preserve">30): 0.65 </w:t>
      </w:r>
      <w:r w:rsidR="001C7332" w:rsidRPr="00FD35ED">
        <w:t>(</w:t>
      </w:r>
      <w:r w:rsidRPr="00FD35ED">
        <w:t>0.36, 1.16</w:t>
      </w:r>
      <w:r w:rsidR="001C7332" w:rsidRPr="00FD35ED">
        <w:t>)</w:t>
      </w:r>
    </w:p>
    <w:p w14:paraId="6F87D54B" w14:textId="6FB02C10" w:rsidR="00222799" w:rsidRPr="00FD35ED" w:rsidRDefault="00222799" w:rsidP="00985193">
      <w:pPr>
        <w:pStyle w:val="ListBullet2"/>
      </w:pPr>
      <w:r w:rsidRPr="00FD35ED">
        <w:lastRenderedPageBreak/>
        <w:t>ADA</w:t>
      </w:r>
      <w:r w:rsidR="00200045" w:rsidRPr="00FD35ED">
        <w:t>-</w:t>
      </w:r>
      <w:r w:rsidRPr="00FD35ED">
        <w:t>negative subgroup (n</w:t>
      </w:r>
      <w:r w:rsidR="00F97E3A" w:rsidRPr="00FD35ED">
        <w:t xml:space="preserve"> </w:t>
      </w:r>
      <w:r w:rsidRPr="00FD35ED">
        <w:t>=</w:t>
      </w:r>
      <w:r w:rsidR="00F97E3A" w:rsidRPr="00FD35ED">
        <w:t xml:space="preserve"> </w:t>
      </w:r>
      <w:r w:rsidRPr="00FD35ED">
        <w:t xml:space="preserve">178): 0.44 </w:t>
      </w:r>
      <w:r w:rsidR="001C7332" w:rsidRPr="00FD35ED">
        <w:t>(</w:t>
      </w:r>
      <w:r w:rsidRPr="00FD35ED">
        <w:t>0.3, 0.64</w:t>
      </w:r>
      <w:r w:rsidR="001C7332" w:rsidRPr="00FD35ED">
        <w:t>)</w:t>
      </w:r>
    </w:p>
    <w:p w14:paraId="490E978E" w14:textId="1418BADA" w:rsidR="00222799" w:rsidRPr="00FD35ED" w:rsidRDefault="00222799" w:rsidP="00985193">
      <w:pPr>
        <w:pStyle w:val="ListBullet"/>
      </w:pPr>
      <w:r w:rsidRPr="00FD35ED">
        <w:t xml:space="preserve">Efficacy was also compared between patients who had an ADA </w:t>
      </w:r>
      <w:r w:rsidR="006D7C69" w:rsidRPr="00FD35ED">
        <w:t>titre</w:t>
      </w:r>
      <w:r w:rsidRPr="00FD35ED">
        <w:t xml:space="preserve"> higher than the median (128) at the 8</w:t>
      </w:r>
      <w:r w:rsidR="00200045" w:rsidRPr="00FD35ED">
        <w:t>-</w:t>
      </w:r>
      <w:r w:rsidRPr="00FD35ED">
        <w:t>week landmark and those who did not. Again, a significant difference couldn’t be detected but the analysis was limited by the subgroup size (n</w:t>
      </w:r>
      <w:r w:rsidR="00F97E3A" w:rsidRPr="00FD35ED">
        <w:t> </w:t>
      </w:r>
      <w:r w:rsidRPr="00FD35ED">
        <w:t>=</w:t>
      </w:r>
      <w:r w:rsidR="00F97E3A" w:rsidRPr="00FD35ED">
        <w:t> </w:t>
      </w:r>
      <w:r w:rsidRPr="00FD35ED">
        <w:t xml:space="preserve">11). </w:t>
      </w:r>
      <w:r w:rsidR="006B0B91" w:rsidRPr="00FD35ED">
        <w:t xml:space="preserve">Overall survival </w:t>
      </w:r>
      <w:r w:rsidR="00D20749">
        <w:t>hazard ratio</w:t>
      </w:r>
      <w:r w:rsidR="00D20749" w:rsidRPr="00FD35ED">
        <w:t xml:space="preserve"> </w:t>
      </w:r>
      <w:r w:rsidRPr="00FD35ED">
        <w:t>in these subgroups were as follows:</w:t>
      </w:r>
    </w:p>
    <w:p w14:paraId="4FD8FF6C" w14:textId="63093B7E" w:rsidR="00222799" w:rsidRPr="00FD35ED" w:rsidRDefault="00222799" w:rsidP="00985193">
      <w:pPr>
        <w:pStyle w:val="ListBullet2"/>
      </w:pPr>
      <w:r w:rsidRPr="00FD35ED">
        <w:t>High</w:t>
      </w:r>
      <w:r w:rsidR="006B0B91" w:rsidRPr="00FD35ED">
        <w:t xml:space="preserve"> </w:t>
      </w:r>
      <w:r w:rsidR="006D7C69" w:rsidRPr="00FD35ED">
        <w:t>titre</w:t>
      </w:r>
      <w:r w:rsidRPr="00FD35ED">
        <w:t xml:space="preserve"> (&gt;</w:t>
      </w:r>
      <w:r w:rsidR="006D7C69" w:rsidRPr="00FD35ED">
        <w:t xml:space="preserve"> </w:t>
      </w:r>
      <w:r w:rsidRPr="00FD35ED">
        <w:t>128) subgroup (n</w:t>
      </w:r>
      <w:r w:rsidR="00F97E3A" w:rsidRPr="00FD35ED">
        <w:t xml:space="preserve"> </w:t>
      </w:r>
      <w:r w:rsidRPr="00FD35ED">
        <w:t>=</w:t>
      </w:r>
      <w:r w:rsidR="00F97E3A" w:rsidRPr="00FD35ED">
        <w:t xml:space="preserve"> </w:t>
      </w:r>
      <w:r w:rsidRPr="00FD35ED">
        <w:t xml:space="preserve">11): 0.41 </w:t>
      </w:r>
      <w:r w:rsidR="001C7332" w:rsidRPr="00FD35ED">
        <w:t>(</w:t>
      </w:r>
      <w:r w:rsidRPr="00FD35ED">
        <w:t>0.15, 1.13</w:t>
      </w:r>
      <w:r w:rsidR="001C7332" w:rsidRPr="00FD35ED">
        <w:t>)</w:t>
      </w:r>
    </w:p>
    <w:p w14:paraId="52CBAE18" w14:textId="43107CA6" w:rsidR="00222799" w:rsidRPr="00FD35ED" w:rsidRDefault="00222799" w:rsidP="00985193">
      <w:pPr>
        <w:pStyle w:val="ListBullet2"/>
      </w:pPr>
      <w:r w:rsidRPr="00FD35ED">
        <w:t>ADA</w:t>
      </w:r>
      <w:r w:rsidR="00200045" w:rsidRPr="00FD35ED">
        <w:t>-</w:t>
      </w:r>
      <w:r w:rsidRPr="00FD35ED">
        <w:t>negative or low</w:t>
      </w:r>
      <w:r w:rsidR="006B0B91" w:rsidRPr="00FD35ED">
        <w:t xml:space="preserve"> </w:t>
      </w:r>
      <w:r w:rsidR="006D7C69" w:rsidRPr="00FD35ED">
        <w:t>titre</w:t>
      </w:r>
      <w:r w:rsidRPr="00FD35ED">
        <w:t xml:space="preserve"> subgroup (n</w:t>
      </w:r>
      <w:r w:rsidR="00F97E3A" w:rsidRPr="00FD35ED">
        <w:t xml:space="preserve"> </w:t>
      </w:r>
      <w:r w:rsidRPr="00FD35ED">
        <w:t>=</w:t>
      </w:r>
      <w:r w:rsidR="00F97E3A" w:rsidRPr="00FD35ED">
        <w:t xml:space="preserve"> </w:t>
      </w:r>
      <w:r w:rsidRPr="00FD35ED">
        <w:t xml:space="preserve">197): 0.48 </w:t>
      </w:r>
      <w:r w:rsidR="001C7332" w:rsidRPr="00FD35ED">
        <w:t>(</w:t>
      </w:r>
      <w:r w:rsidRPr="00FD35ED">
        <w:t>0.33, 0.69</w:t>
      </w:r>
      <w:r w:rsidR="001C7332" w:rsidRPr="00FD35ED">
        <w:t>)</w:t>
      </w:r>
    </w:p>
    <w:p w14:paraId="6AE2C315" w14:textId="3D49EA4F" w:rsidR="00222799" w:rsidRPr="00FD35ED" w:rsidRDefault="00222799" w:rsidP="00985193">
      <w:r w:rsidRPr="00FD35ED">
        <w:t>Similarly, a Simon-</w:t>
      </w:r>
      <w:proofErr w:type="spellStart"/>
      <w:r w:rsidRPr="00FD35ED">
        <w:t>Makuch</w:t>
      </w:r>
      <w:proofErr w:type="spellEnd"/>
      <w:r w:rsidRPr="00FD35ED">
        <w:t xml:space="preserve"> estimate of </w:t>
      </w:r>
      <w:r w:rsidR="00D20749">
        <w:t>overall survival</w:t>
      </w:r>
      <w:r w:rsidRPr="00FD35ED">
        <w:t xml:space="preserve"> by ADA status at the landmark time of 3 months did not detect a significant difference </w:t>
      </w:r>
      <w:r w:rsidR="001C7332" w:rsidRPr="00FD35ED">
        <w:t>(</w:t>
      </w:r>
      <w:r w:rsidR="006B0B91" w:rsidRPr="00FD35ED">
        <w:t xml:space="preserve">see </w:t>
      </w:r>
      <w:r w:rsidRPr="00FD35ED">
        <w:fldChar w:fldCharType="begin"/>
      </w:r>
      <w:r w:rsidRPr="00FD35ED">
        <w:instrText xml:space="preserve"> REF _Ref96526604 \h </w:instrText>
      </w:r>
      <w:r w:rsidR="00985193" w:rsidRPr="00FD35ED">
        <w:instrText xml:space="preserve"> \* MERGEFORMAT </w:instrText>
      </w:r>
      <w:r w:rsidRPr="00FD35ED">
        <w:fldChar w:fldCharType="separate"/>
      </w:r>
      <w:r w:rsidR="00301C3E" w:rsidRPr="00875041">
        <w:t xml:space="preserve">Figure </w:t>
      </w:r>
      <w:r w:rsidR="00301C3E">
        <w:t>6</w:t>
      </w:r>
      <w:r w:rsidRPr="00FD35ED">
        <w:fldChar w:fldCharType="end"/>
      </w:r>
      <w:r w:rsidR="006B0B91" w:rsidRPr="00FD35ED">
        <w:t xml:space="preserve"> below</w:t>
      </w:r>
      <w:r w:rsidR="001C7332" w:rsidRPr="00FD35ED">
        <w:t>)</w:t>
      </w:r>
      <w:r w:rsidRPr="00FD35ED">
        <w:t>.</w:t>
      </w:r>
      <w:r w:rsidR="007A4661" w:rsidRPr="00FD35ED">
        <w:rPr>
          <w:rStyle w:val="FootnoteReference"/>
        </w:rPr>
        <w:footnoteReference w:id="75"/>
      </w:r>
    </w:p>
    <w:p w14:paraId="1862D9D8" w14:textId="165CF829" w:rsidR="00222799" w:rsidRPr="00FD35ED" w:rsidRDefault="00222799" w:rsidP="00985193">
      <w:r w:rsidRPr="00FD35ED">
        <w:t>Exploratory exposure-safety analyses were also conducted on data from studies 102 and 202, considering frequency and grade of hypersensitivity AEs before and after ADA onset, as ADA formation has the potential to induce type I</w:t>
      </w:r>
      <w:r w:rsidR="006B0B91" w:rsidRPr="00FD35ED">
        <w:t xml:space="preserve"> to </w:t>
      </w:r>
      <w:r w:rsidRPr="00FD35ED">
        <w:t>III hypersensitivity events. No clinically relevant association was identified between hypersensitivity AEs and ADA onset, noting the limitations of analysis and possibility of confounders.</w:t>
      </w:r>
    </w:p>
    <w:p w14:paraId="234BE573" w14:textId="77777777" w:rsidR="00222799" w:rsidRPr="00FD35ED" w:rsidRDefault="00222799" w:rsidP="00985193">
      <w:proofErr w:type="gramStart"/>
      <w:r w:rsidRPr="00FD35ED">
        <w:t>Considering the totality of data, there</w:t>
      </w:r>
      <w:proofErr w:type="gramEnd"/>
      <w:r w:rsidRPr="00FD35ED">
        <w:t xml:space="preserve"> is insufficient evidence of an association between ADAs and efficacy or safety to warrant ADA monitoring, or dose adjustment for patients who develop ADAs.</w:t>
      </w:r>
    </w:p>
    <w:p w14:paraId="00FB4513" w14:textId="3AC207C2" w:rsidR="00222799" w:rsidRPr="00875041" w:rsidRDefault="00222799" w:rsidP="00875041">
      <w:pPr>
        <w:pStyle w:val="FigureTitle"/>
      </w:pPr>
      <w:bookmarkStart w:id="98" w:name="_Ref96526604"/>
      <w:r w:rsidRPr="00875041">
        <w:t xml:space="preserve">Figure </w:t>
      </w:r>
      <w:fldSimple w:instr=" SEQ Figure \* ARABIC ">
        <w:r w:rsidR="00301C3E">
          <w:rPr>
            <w:noProof/>
          </w:rPr>
          <w:t>6</w:t>
        </w:r>
      </w:fldSimple>
      <w:bookmarkEnd w:id="98"/>
      <w:r w:rsidR="001212BF" w:rsidRPr="00875041">
        <w:t>: Study 202</w:t>
      </w:r>
      <w:r w:rsidRPr="00875041">
        <w:t xml:space="preserve"> Simon-</w:t>
      </w:r>
      <w:proofErr w:type="spellStart"/>
      <w:r w:rsidRPr="00875041">
        <w:t>Makuch</w:t>
      </w:r>
      <w:proofErr w:type="spellEnd"/>
      <w:r w:rsidRPr="00875041">
        <w:t xml:space="preserve"> estimate of </w:t>
      </w:r>
      <w:r w:rsidR="001212BF" w:rsidRPr="00875041">
        <w:t>overall survival</w:t>
      </w:r>
      <w:r w:rsidRPr="00875041">
        <w:t xml:space="preserve"> by </w:t>
      </w:r>
      <w:r w:rsidR="001212BF" w:rsidRPr="00875041">
        <w:t>anti</w:t>
      </w:r>
      <w:r w:rsidR="00690F4C" w:rsidRPr="00875041">
        <w:noBreakHyphen/>
      </w:r>
      <w:r w:rsidR="001212BF" w:rsidRPr="00875041">
        <w:t>drug antibody</w:t>
      </w:r>
      <w:r w:rsidRPr="00875041">
        <w:t xml:space="preserve"> status </w:t>
      </w:r>
      <w:r w:rsidR="00690F4C" w:rsidRPr="00875041">
        <w:t xml:space="preserve">(any binding positivity) </w:t>
      </w:r>
      <w:r w:rsidRPr="00875041">
        <w:t>at the landmark time of 3</w:t>
      </w:r>
      <w:r w:rsidR="000B0ECB" w:rsidRPr="00875041">
        <w:t> </w:t>
      </w:r>
      <w:r w:rsidRPr="00875041">
        <w:t>months</w:t>
      </w:r>
    </w:p>
    <w:p w14:paraId="2C364A7A" w14:textId="77556697" w:rsidR="00690F4C" w:rsidRPr="00FD35ED" w:rsidRDefault="00690F4C" w:rsidP="00875041">
      <w:r w:rsidRPr="00FD35ED">
        <w:rPr>
          <w:noProof/>
          <w:lang w:val="en-GB" w:eastAsia="en-GB"/>
        </w:rPr>
        <w:drawing>
          <wp:inline distT="0" distB="0" distL="0" distR="0" wp14:anchorId="224DB01C" wp14:editId="42AF4E20">
            <wp:extent cx="5171218" cy="3091542"/>
            <wp:effectExtent l="0" t="0" r="0" b="0"/>
            <wp:docPr id="11" name="Picture 11" descr="Figure 6: Study 202 Simon-Makuch estimate of overall survival by anti-drug antibody status (any binding positivity) at the landmark time of 3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6: Study 202 Simon-Makuch estimate of overall survival by anti-drug antibody status (any binding positivity) at the landmark time of 3 months"/>
                    <pic:cNvPicPr/>
                  </pic:nvPicPr>
                  <pic:blipFill>
                    <a:blip r:embed="rId24"/>
                    <a:stretch>
                      <a:fillRect/>
                    </a:stretch>
                  </pic:blipFill>
                  <pic:spPr>
                    <a:xfrm>
                      <a:off x="0" y="0"/>
                      <a:ext cx="5177271" cy="3095160"/>
                    </a:xfrm>
                    <a:prstGeom prst="rect">
                      <a:avLst/>
                    </a:prstGeom>
                  </pic:spPr>
                </pic:pic>
              </a:graphicData>
            </a:graphic>
          </wp:inline>
        </w:drawing>
      </w:r>
    </w:p>
    <w:p w14:paraId="42958A46" w14:textId="0EDE6714" w:rsidR="00222799" w:rsidRPr="00875041" w:rsidRDefault="00D26203" w:rsidP="00875041">
      <w:pPr>
        <w:pStyle w:val="FigureDescription"/>
      </w:pPr>
      <w:r w:rsidRPr="00875041">
        <w:t xml:space="preserve">Abbreviations: </w:t>
      </w:r>
      <w:r w:rsidR="00690F4C" w:rsidRPr="00875041">
        <w:t xml:space="preserve">ADA = anti-drug antibody; CI = confidence interval; OR = overall </w:t>
      </w:r>
      <w:r w:rsidRPr="00875041">
        <w:t>survival</w:t>
      </w:r>
      <w:r w:rsidR="00690F4C" w:rsidRPr="00875041">
        <w:t>.</w:t>
      </w:r>
    </w:p>
    <w:p w14:paraId="0AB94C62" w14:textId="09450858" w:rsidR="00222799" w:rsidRPr="00FD35ED" w:rsidRDefault="00222799" w:rsidP="00985193">
      <w:pPr>
        <w:pStyle w:val="Heading6"/>
      </w:pPr>
      <w:r w:rsidRPr="00FD35ED">
        <w:lastRenderedPageBreak/>
        <w:t>Neutralising anti-drug antibodies</w:t>
      </w:r>
    </w:p>
    <w:p w14:paraId="01B3FF15" w14:textId="15B565C0" w:rsidR="00222799" w:rsidRPr="00FD35ED" w:rsidRDefault="00222799" w:rsidP="00985193">
      <w:r w:rsidRPr="00FD35ED">
        <w:t>Information regarding the presence and impact of neutralising ADA on PK, safety and efficacy was not included in the submission reviewed under Project Orbis and was the subject of an FDA post</w:t>
      </w:r>
      <w:r w:rsidR="002E2A38" w:rsidRPr="00FD35ED">
        <w:t>-</w:t>
      </w:r>
      <w:r w:rsidRPr="00FD35ED">
        <w:t>marketing commitment</w:t>
      </w:r>
      <w:r w:rsidR="00C53E63" w:rsidRPr="00FD35ED">
        <w:t>.</w:t>
      </w:r>
      <w:r w:rsidR="006D7C69" w:rsidRPr="00FD35ED">
        <w:rPr>
          <w:rStyle w:val="FootnoteReference"/>
        </w:rPr>
        <w:footnoteReference w:id="76"/>
      </w:r>
    </w:p>
    <w:p w14:paraId="43659794" w14:textId="2518FC4A" w:rsidR="00222799" w:rsidRPr="00FD35ED" w:rsidRDefault="00222799" w:rsidP="00985193">
      <w:r w:rsidRPr="00FD35ED">
        <w:t xml:space="preserve">The report was submitted to </w:t>
      </w:r>
      <w:r w:rsidR="00C53E63" w:rsidRPr="00FD35ED">
        <w:t xml:space="preserve">the </w:t>
      </w:r>
      <w:r w:rsidRPr="00FD35ED">
        <w:t xml:space="preserve">TGA in March 2022 at the </w:t>
      </w:r>
      <w:r w:rsidR="006B0B91" w:rsidRPr="00FD35ED">
        <w:t>Delegate</w:t>
      </w:r>
      <w:r w:rsidRPr="00FD35ED">
        <w:t xml:space="preserve">’s request, as it became available towards the end of the TGA regulatory process. The </w:t>
      </w:r>
      <w:r w:rsidR="00DD2C64" w:rsidRPr="00FD35ED">
        <w:t>sponsor</w:t>
      </w:r>
      <w:r w:rsidRPr="00FD35ED">
        <w:t xml:space="preserve">’s analyses were not repeated by </w:t>
      </w:r>
      <w:r w:rsidR="00C53E63" w:rsidRPr="00FD35ED">
        <w:t xml:space="preserve">the </w:t>
      </w:r>
      <w:r w:rsidRPr="00FD35ED">
        <w:t>TGA, and formal PK modelling was not provided.</w:t>
      </w:r>
    </w:p>
    <w:p w14:paraId="2B74EDFF" w14:textId="2B422A57" w:rsidR="00222799" w:rsidRPr="00FD35ED" w:rsidRDefault="00222799" w:rsidP="00985193">
      <w:r w:rsidRPr="00FD35ED">
        <w:t>The report states that of the patients who were ADA-positive, 60% of those in Study</w:t>
      </w:r>
      <w:r w:rsidR="006B0B91" w:rsidRPr="00FD35ED">
        <w:t> </w:t>
      </w:r>
      <w:r w:rsidRPr="00FD35ED">
        <w:t xml:space="preserve">102 and 65% of those in Study 202 also had </w:t>
      </w:r>
      <w:r w:rsidR="003A72F4" w:rsidRPr="00FD35ED">
        <w:t>neutralising antibodies (</w:t>
      </w:r>
      <w:proofErr w:type="spellStart"/>
      <w:r w:rsidRPr="00FD35ED">
        <w:t>N</w:t>
      </w:r>
      <w:r w:rsidR="00C6357B">
        <w:t>A</w:t>
      </w:r>
      <w:r w:rsidRPr="00FD35ED">
        <w:t>b</w:t>
      </w:r>
      <w:r w:rsidR="00F2721B">
        <w:t>s</w:t>
      </w:r>
      <w:proofErr w:type="spellEnd"/>
      <w:r w:rsidR="003A72F4" w:rsidRPr="00FD35ED">
        <w:t>)</w:t>
      </w:r>
      <w:r w:rsidRPr="00FD35ED">
        <w:t xml:space="preserve">. In total, </w:t>
      </w:r>
      <w:proofErr w:type="spellStart"/>
      <w:proofErr w:type="gramStart"/>
      <w:r w:rsidRPr="00FD35ED">
        <w:t>NAb</w:t>
      </w:r>
      <w:r w:rsidR="00C6357B">
        <w:t>s</w:t>
      </w:r>
      <w:proofErr w:type="spellEnd"/>
      <w:proofErr w:type="gramEnd"/>
      <w:r w:rsidRPr="00FD35ED">
        <w:t xml:space="preserve"> against </w:t>
      </w:r>
      <w:proofErr w:type="spellStart"/>
      <w:r w:rsidRPr="00FD35ED">
        <w:t>tebentafusp</w:t>
      </w:r>
      <w:proofErr w:type="spellEnd"/>
      <w:r w:rsidRPr="00FD35ED">
        <w:t xml:space="preserve"> were detected in around 19% and 15% of </w:t>
      </w:r>
      <w:proofErr w:type="spellStart"/>
      <w:r w:rsidRPr="00FD35ED">
        <w:t>tebentafusp</w:t>
      </w:r>
      <w:proofErr w:type="spellEnd"/>
      <w:r w:rsidR="00200045" w:rsidRPr="00FD35ED">
        <w:t xml:space="preserve"> </w:t>
      </w:r>
      <w:r w:rsidRPr="00FD35ED">
        <w:t>treated patients in Study 102 and Study 202, respectively, with a median onset time of 12</w:t>
      </w:r>
      <w:r w:rsidR="006B0B91" w:rsidRPr="00FD35ED">
        <w:t xml:space="preserve"> to </w:t>
      </w:r>
      <w:r w:rsidRPr="00FD35ED">
        <w:t>16</w:t>
      </w:r>
      <w:r w:rsidR="00C6357B">
        <w:t> </w:t>
      </w:r>
      <w:r w:rsidRPr="00FD35ED">
        <w:t>weeks.</w:t>
      </w:r>
    </w:p>
    <w:p w14:paraId="3FDB1253" w14:textId="237EF815" w:rsidR="00222799" w:rsidRPr="00FD35ED" w:rsidRDefault="00222799" w:rsidP="00985193">
      <w:r w:rsidRPr="00FD35ED">
        <w:t xml:space="preserve">The report states that </w:t>
      </w:r>
      <w:proofErr w:type="spellStart"/>
      <w:r w:rsidRPr="00FD35ED">
        <w:t>tebentafusp</w:t>
      </w:r>
      <w:proofErr w:type="spellEnd"/>
      <w:r w:rsidRPr="00FD35ED">
        <w:t xml:space="preserve"> exposure was persistently reduced after </w:t>
      </w:r>
      <w:proofErr w:type="spellStart"/>
      <w:r w:rsidRPr="00FD35ED">
        <w:t>NAb</w:t>
      </w:r>
      <w:proofErr w:type="spellEnd"/>
      <w:r w:rsidRPr="00FD35ED">
        <w:t xml:space="preserve"> onset in 67% (Study 102) and 79% (Study 202) of </w:t>
      </w:r>
      <w:proofErr w:type="spellStart"/>
      <w:r w:rsidRPr="00FD35ED">
        <w:t>N</w:t>
      </w:r>
      <w:r w:rsidR="006B0B91" w:rsidRPr="00FD35ED">
        <w:t>A</w:t>
      </w:r>
      <w:r w:rsidRPr="00FD35ED">
        <w:t>b</w:t>
      </w:r>
      <w:proofErr w:type="spellEnd"/>
      <w:r w:rsidR="00200045" w:rsidRPr="00FD35ED">
        <w:t>-</w:t>
      </w:r>
      <w:r w:rsidRPr="00FD35ED">
        <w:t>positive patients.</w:t>
      </w:r>
    </w:p>
    <w:p w14:paraId="525AC6F4" w14:textId="245F188F" w:rsidR="00222799" w:rsidRPr="00FD35ED" w:rsidRDefault="00222799" w:rsidP="00985193">
      <w:r w:rsidRPr="00FD35ED">
        <w:t xml:space="preserve">An assessment is provided of hypersensitivity </w:t>
      </w:r>
      <w:r w:rsidR="009710DB" w:rsidRPr="00FD35ED">
        <w:t>AE</w:t>
      </w:r>
      <w:r w:rsidRPr="00FD35ED">
        <w:t xml:space="preserve">s before and after the onset of </w:t>
      </w:r>
      <w:proofErr w:type="spellStart"/>
      <w:r w:rsidRPr="00FD35ED">
        <w:t>NAb</w:t>
      </w:r>
      <w:r w:rsidR="00C6357B">
        <w:t>s</w:t>
      </w:r>
      <w:proofErr w:type="spellEnd"/>
      <w:r w:rsidRPr="00FD35ED">
        <w:t xml:space="preserve">. There were no reported hypersensitivity events after </w:t>
      </w:r>
      <w:proofErr w:type="spellStart"/>
      <w:r w:rsidRPr="00FD35ED">
        <w:t>NAb</w:t>
      </w:r>
      <w:proofErr w:type="spellEnd"/>
      <w:r w:rsidRPr="00FD35ED">
        <w:t xml:space="preserve"> onset in Study 202, and one hypersensitivity event (allergic rhinitis; </w:t>
      </w:r>
      <w:r w:rsidR="00F97E3A" w:rsidRPr="00FD35ED">
        <w:t>Grade</w:t>
      </w:r>
      <w:r w:rsidRPr="00FD35ED">
        <w:t xml:space="preserve"> 2) after </w:t>
      </w:r>
      <w:proofErr w:type="spellStart"/>
      <w:r w:rsidRPr="00FD35ED">
        <w:t>NAb</w:t>
      </w:r>
      <w:proofErr w:type="spellEnd"/>
      <w:r w:rsidRPr="00FD35ED">
        <w:t xml:space="preserve"> onset for a patient in Study</w:t>
      </w:r>
      <w:r w:rsidR="00C6357B">
        <w:t> </w:t>
      </w:r>
      <w:r w:rsidRPr="00FD35ED">
        <w:t xml:space="preserve">102 who had the same grade of allergic rhinitis before </w:t>
      </w:r>
      <w:proofErr w:type="spellStart"/>
      <w:r w:rsidRPr="00FD35ED">
        <w:t>NAb</w:t>
      </w:r>
      <w:proofErr w:type="spellEnd"/>
      <w:r w:rsidRPr="00FD35ED">
        <w:t xml:space="preserve"> onset.</w:t>
      </w:r>
    </w:p>
    <w:p w14:paraId="7F8F5F72" w14:textId="563A16FC" w:rsidR="00222799" w:rsidRPr="00FD35ED" w:rsidRDefault="00222799" w:rsidP="00985193">
      <w:r w:rsidRPr="00FD35ED">
        <w:t xml:space="preserve">The </w:t>
      </w:r>
      <w:r w:rsidR="00DD2C64" w:rsidRPr="00FD35ED">
        <w:t>sponsor</w:t>
      </w:r>
      <w:r w:rsidRPr="00FD35ED">
        <w:t xml:space="preserve"> provides exploratory analyses of </w:t>
      </w:r>
      <w:r w:rsidR="00C6357B">
        <w:t>overall survival</w:t>
      </w:r>
      <w:r w:rsidR="00C6357B" w:rsidRPr="00FD35ED">
        <w:t xml:space="preserve"> </w:t>
      </w:r>
      <w:r w:rsidRPr="00FD35ED">
        <w:t xml:space="preserve">comparing </w:t>
      </w:r>
      <w:proofErr w:type="spellStart"/>
      <w:r w:rsidRPr="00FD35ED">
        <w:t>NAb</w:t>
      </w:r>
      <w:proofErr w:type="spellEnd"/>
      <w:r w:rsidRPr="00FD35ED">
        <w:t xml:space="preserve">-positive versus </w:t>
      </w:r>
      <w:proofErr w:type="spellStart"/>
      <w:r w:rsidRPr="00FD35ED">
        <w:t>N</w:t>
      </w:r>
      <w:r w:rsidR="006B0B91" w:rsidRPr="00FD35ED">
        <w:t>A</w:t>
      </w:r>
      <w:r w:rsidRPr="00FD35ED">
        <w:t>b</w:t>
      </w:r>
      <w:proofErr w:type="spellEnd"/>
      <w:r w:rsidR="00200045" w:rsidRPr="00FD35ED">
        <w:noBreakHyphen/>
      </w:r>
      <w:r w:rsidRPr="00FD35ED">
        <w:t xml:space="preserve">negative </w:t>
      </w:r>
      <w:proofErr w:type="gramStart"/>
      <w:r w:rsidRPr="00FD35ED">
        <w:t>patients, and</w:t>
      </w:r>
      <w:proofErr w:type="gramEnd"/>
      <w:r w:rsidRPr="00FD35ED">
        <w:t xml:space="preserve"> comparing patients with </w:t>
      </w:r>
      <w:proofErr w:type="spellStart"/>
      <w:r w:rsidRPr="00FD35ED">
        <w:t>NAb</w:t>
      </w:r>
      <w:proofErr w:type="spellEnd"/>
      <w:r w:rsidRPr="00FD35ED">
        <w:t xml:space="preserve"> </w:t>
      </w:r>
      <w:r w:rsidR="006D7C69" w:rsidRPr="00FD35ED">
        <w:t>titre</w:t>
      </w:r>
      <w:r w:rsidRPr="00FD35ED">
        <w:t xml:space="preserve"> above versus below the median, per study (100 in Study 102 and 2560 in Study 202). These do not indicate a difference in </w:t>
      </w:r>
      <w:r w:rsidR="00C6357B">
        <w:t>overall survival</w:t>
      </w:r>
      <w:r w:rsidR="00C6357B" w:rsidRPr="00FD35ED">
        <w:t xml:space="preserve"> </w:t>
      </w:r>
      <w:r w:rsidRPr="00FD35ED">
        <w:t xml:space="preserve">based on </w:t>
      </w:r>
      <w:proofErr w:type="spellStart"/>
      <w:r w:rsidRPr="00FD35ED">
        <w:t>NAb</w:t>
      </w:r>
      <w:proofErr w:type="spellEnd"/>
      <w:r w:rsidRPr="00FD35ED">
        <w:t xml:space="preserve"> status in either study (Mantel-</w:t>
      </w:r>
      <w:proofErr w:type="spellStart"/>
      <w:r w:rsidRPr="00FD35ED">
        <w:t>Byar</w:t>
      </w:r>
      <w:proofErr w:type="spellEnd"/>
      <w:r w:rsidRPr="00FD35ED">
        <w:t xml:space="preserve"> odds ratio </w:t>
      </w:r>
      <w:r w:rsidR="001C7332" w:rsidRPr="00FD35ED">
        <w:t>(</w:t>
      </w:r>
      <w:r w:rsidRPr="00FD35ED">
        <w:t>95% CI</w:t>
      </w:r>
      <w:r w:rsidR="001C7332" w:rsidRPr="00FD35ED">
        <w:t>)</w:t>
      </w:r>
      <w:r w:rsidRPr="00FD35ED">
        <w:t>, Study</w:t>
      </w:r>
      <w:r w:rsidR="006B0B91" w:rsidRPr="00FD35ED">
        <w:t> </w:t>
      </w:r>
      <w:r w:rsidRPr="00FD35ED">
        <w:t xml:space="preserve">102: 0.88 </w:t>
      </w:r>
      <w:r w:rsidR="001C7332" w:rsidRPr="00FD35ED">
        <w:t>(</w:t>
      </w:r>
      <w:r w:rsidRPr="00FD35ED">
        <w:t>0.47, 1.66</w:t>
      </w:r>
      <w:r w:rsidR="001C7332" w:rsidRPr="00FD35ED">
        <w:t>)</w:t>
      </w:r>
      <w:r w:rsidRPr="00FD35ED">
        <w:t xml:space="preserve">; Study 202: 1.05 </w:t>
      </w:r>
      <w:r w:rsidR="001C7332" w:rsidRPr="00FD35ED">
        <w:t>(</w:t>
      </w:r>
      <w:r w:rsidRPr="00FD35ED">
        <w:t>0.57, 1.91</w:t>
      </w:r>
      <w:r w:rsidR="001C7332" w:rsidRPr="00FD35ED">
        <w:t>)</w:t>
      </w:r>
      <w:r w:rsidRPr="00FD35ED">
        <w:t>).</w:t>
      </w:r>
      <w:r w:rsidR="007A4661" w:rsidRPr="00FD35ED">
        <w:rPr>
          <w:rStyle w:val="FootnoteReference"/>
        </w:rPr>
        <w:footnoteReference w:id="77"/>
      </w:r>
      <w:r w:rsidRPr="00FD35ED">
        <w:t xml:space="preserve"> However, these analyses are limited by the small numbers of patients with titres above median (n</w:t>
      </w:r>
      <w:r w:rsidR="00F97E3A" w:rsidRPr="00FD35ED">
        <w:t xml:space="preserve"> </w:t>
      </w:r>
      <w:r w:rsidRPr="00FD35ED">
        <w:t>=</w:t>
      </w:r>
      <w:r w:rsidR="00F97E3A" w:rsidRPr="00FD35ED">
        <w:t xml:space="preserve"> </w:t>
      </w:r>
      <w:r w:rsidRPr="00FD35ED">
        <w:t>9 in Study</w:t>
      </w:r>
      <w:r w:rsidR="006B0B91" w:rsidRPr="00FD35ED">
        <w:t> </w:t>
      </w:r>
      <w:r w:rsidRPr="00FD35ED">
        <w:t>102, n</w:t>
      </w:r>
      <w:r w:rsidR="00F97E3A" w:rsidRPr="00FD35ED">
        <w:t> </w:t>
      </w:r>
      <w:r w:rsidRPr="00FD35ED">
        <w:t>=</w:t>
      </w:r>
      <w:r w:rsidR="00F97E3A" w:rsidRPr="00FD35ED">
        <w:t> </w:t>
      </w:r>
      <w:r w:rsidRPr="00FD35ED">
        <w:t>6 in Study</w:t>
      </w:r>
      <w:r w:rsidR="00F97E3A" w:rsidRPr="00FD35ED">
        <w:t> </w:t>
      </w:r>
      <w:r w:rsidRPr="00FD35ED">
        <w:t>202).</w:t>
      </w:r>
    </w:p>
    <w:p w14:paraId="3A4D8C54" w14:textId="77777777" w:rsidR="00222799" w:rsidRPr="00FD35ED" w:rsidRDefault="00222799" w:rsidP="006D7C69">
      <w:pPr>
        <w:pStyle w:val="Heading4"/>
      </w:pPr>
      <w:bookmarkStart w:id="99" w:name="_Ref96081018"/>
      <w:r w:rsidRPr="00FD35ED">
        <w:t>Companion diagnostic considerations</w:t>
      </w:r>
      <w:bookmarkEnd w:id="99"/>
    </w:p>
    <w:p w14:paraId="482F9750" w14:textId="24E1DF36" w:rsidR="00222799" w:rsidRPr="00FD35ED" w:rsidRDefault="00222799" w:rsidP="00985193">
      <w:r w:rsidRPr="00FD35ED">
        <w:t>A clinical trial assay was used to select patients with HLA-A*02:01 for eligibility for the pivotal trial. A post</w:t>
      </w:r>
      <w:r w:rsidR="006D7C69" w:rsidRPr="00FD35ED">
        <w:t>-</w:t>
      </w:r>
      <w:r w:rsidRPr="00FD35ED">
        <w:t>marketing commitment regarding a companion diagnostic is in place between the USA sponsor and the FDA</w:t>
      </w:r>
      <w:r w:rsidR="00C53E63" w:rsidRPr="00FD35ED">
        <w:t xml:space="preserve">. </w:t>
      </w:r>
      <w:r w:rsidRPr="00FD35ED">
        <w:t>Submission of the final report to the FDA is anticipated in June 2022.</w:t>
      </w:r>
    </w:p>
    <w:p w14:paraId="4A8A4081" w14:textId="77777777" w:rsidR="008E7846" w:rsidRPr="00FD35ED" w:rsidRDefault="00386150" w:rsidP="007B6132">
      <w:pPr>
        <w:pStyle w:val="Heading3"/>
        <w:rPr>
          <w:lang w:eastAsia="en-AU"/>
        </w:rPr>
      </w:pPr>
      <w:bookmarkStart w:id="100" w:name="_Toc314842514"/>
      <w:bookmarkStart w:id="101" w:name="_Toc119316343"/>
      <w:r w:rsidRPr="00FD35ED">
        <w:rPr>
          <w:lang w:eastAsia="en-AU"/>
        </w:rPr>
        <w:t>Risk m</w:t>
      </w:r>
      <w:r w:rsidR="008E7846" w:rsidRPr="00FD35ED">
        <w:rPr>
          <w:lang w:eastAsia="en-AU"/>
        </w:rPr>
        <w:t xml:space="preserve">anagement </w:t>
      </w:r>
      <w:r w:rsidRPr="00FD35ED">
        <w:rPr>
          <w:lang w:eastAsia="en-AU"/>
        </w:rPr>
        <w:t>p</w:t>
      </w:r>
      <w:r w:rsidR="008E7846" w:rsidRPr="00FD35ED">
        <w:rPr>
          <w:lang w:eastAsia="en-AU"/>
        </w:rPr>
        <w:t>lan</w:t>
      </w:r>
      <w:bookmarkEnd w:id="100"/>
      <w:bookmarkEnd w:id="101"/>
    </w:p>
    <w:p w14:paraId="3F66358E" w14:textId="10E3D5C6" w:rsidR="00222799" w:rsidRPr="00FD35ED" w:rsidRDefault="006B0B91" w:rsidP="00222799">
      <w:bookmarkStart w:id="102" w:name="_Toc247691531"/>
      <w:bookmarkStart w:id="103" w:name="_Toc314842515"/>
      <w:bookmarkStart w:id="104" w:name="_Toc196046505"/>
      <w:bookmarkStart w:id="105" w:name="_Toc196046949"/>
      <w:r w:rsidRPr="00FD35ED">
        <w:t xml:space="preserve">The sponsor </w:t>
      </w:r>
      <w:r w:rsidR="00222799" w:rsidRPr="00FD35ED">
        <w:t xml:space="preserve">has submitted </w:t>
      </w:r>
      <w:r w:rsidR="003A72F4" w:rsidRPr="00FD35ED">
        <w:t>European Union (</w:t>
      </w:r>
      <w:r w:rsidR="00222799" w:rsidRPr="00FD35ED">
        <w:t>EU</w:t>
      </w:r>
      <w:r w:rsidR="003A72F4" w:rsidRPr="00FD35ED">
        <w:t>)</w:t>
      </w:r>
      <w:r w:rsidR="00222799" w:rsidRPr="00FD35ED">
        <w:t>-</w:t>
      </w:r>
      <w:r w:rsidR="003A72F4" w:rsidRPr="00FD35ED">
        <w:t>risk management plan (</w:t>
      </w:r>
      <w:r w:rsidR="00222799" w:rsidRPr="00FD35ED">
        <w:t>RMP</w:t>
      </w:r>
      <w:r w:rsidR="003A72F4" w:rsidRPr="00FD35ED">
        <w:t>)</w:t>
      </w:r>
      <w:r w:rsidR="00222799" w:rsidRPr="00FD35ED">
        <w:t xml:space="preserve"> version 0.1 (9 Jul</w:t>
      </w:r>
      <w:r w:rsidRPr="00FD35ED">
        <w:t>y</w:t>
      </w:r>
      <w:r w:rsidR="00222799" w:rsidRPr="00FD35ED">
        <w:t xml:space="preserve"> 2021; </w:t>
      </w:r>
      <w:r w:rsidR="003A72F4" w:rsidRPr="00FD35ED">
        <w:t>data lock point (</w:t>
      </w:r>
      <w:r w:rsidR="00222799" w:rsidRPr="00FD35ED">
        <w:t>DLP</w:t>
      </w:r>
      <w:r w:rsidR="003A72F4" w:rsidRPr="00FD35ED">
        <w:t>)</w:t>
      </w:r>
      <w:r w:rsidR="00222799" w:rsidRPr="00FD35ED">
        <w:t xml:space="preserve"> 13 Oct</w:t>
      </w:r>
      <w:r w:rsidRPr="00FD35ED">
        <w:t>ober</w:t>
      </w:r>
      <w:r w:rsidR="00222799" w:rsidRPr="00FD35ED">
        <w:t xml:space="preserve"> 2020) and </w:t>
      </w:r>
      <w:r w:rsidR="003A72F4" w:rsidRPr="00FD35ED">
        <w:t>Australia specific annex (</w:t>
      </w:r>
      <w:r w:rsidR="00222799" w:rsidRPr="00FD35ED">
        <w:t>ASA</w:t>
      </w:r>
      <w:r w:rsidR="003A72F4" w:rsidRPr="00FD35ED">
        <w:t>)</w:t>
      </w:r>
      <w:r w:rsidR="00222799" w:rsidRPr="00FD35ED">
        <w:t xml:space="preserve"> version 0.1 (13 Sep</w:t>
      </w:r>
      <w:r w:rsidRPr="00FD35ED">
        <w:t>tember</w:t>
      </w:r>
      <w:r w:rsidR="00222799" w:rsidRPr="00FD35ED">
        <w:t xml:space="preserve"> 2021) in support of this application. In response to the rolling questions sent on 3 February 2022, the sponsor has provided EU-RMP version</w:t>
      </w:r>
      <w:r w:rsidRPr="00FD35ED">
        <w:t> </w:t>
      </w:r>
      <w:r w:rsidR="00222799" w:rsidRPr="00FD35ED">
        <w:t>0.3 (28</w:t>
      </w:r>
      <w:r w:rsidRPr="00FD35ED">
        <w:t> </w:t>
      </w:r>
      <w:r w:rsidR="00222799" w:rsidRPr="00FD35ED">
        <w:t>Jan</w:t>
      </w:r>
      <w:r w:rsidRPr="00FD35ED">
        <w:t>uary</w:t>
      </w:r>
      <w:r w:rsidR="00222799" w:rsidRPr="00FD35ED">
        <w:t xml:space="preserve"> 2022, DLP 13 Oct</w:t>
      </w:r>
      <w:r w:rsidRPr="00FD35ED">
        <w:t>ober</w:t>
      </w:r>
      <w:r w:rsidR="00222799" w:rsidRPr="00FD35ED">
        <w:t xml:space="preserve"> 2020) and ASA version 0.2 (15 Feb</w:t>
      </w:r>
      <w:r w:rsidRPr="00FD35ED">
        <w:t>ruary</w:t>
      </w:r>
      <w:r w:rsidR="00222799" w:rsidRPr="00FD35ED">
        <w:t xml:space="preserve"> 2022).</w:t>
      </w:r>
    </w:p>
    <w:p w14:paraId="15A3B39E" w14:textId="048BCDD0" w:rsidR="0074163C" w:rsidRPr="00FD35ED" w:rsidRDefault="0074163C" w:rsidP="0074163C">
      <w:r w:rsidRPr="00FD35ED">
        <w:t xml:space="preserve">The summary of safety concerns and their associated risk monitoring and mitigation strategies are summarised in </w:t>
      </w:r>
      <w:r w:rsidR="001212BF" w:rsidRPr="00FD35ED">
        <w:fldChar w:fldCharType="begin"/>
      </w:r>
      <w:r w:rsidR="001212BF" w:rsidRPr="00FD35ED">
        <w:instrText xml:space="preserve"> REF _Ref97629131 \h </w:instrText>
      </w:r>
      <w:r w:rsidR="003A72F4" w:rsidRPr="00FD35ED">
        <w:instrText xml:space="preserve"> \* MERGEFORMAT </w:instrText>
      </w:r>
      <w:r w:rsidR="001212BF" w:rsidRPr="00FD35ED">
        <w:fldChar w:fldCharType="separate"/>
      </w:r>
      <w:r w:rsidR="00301C3E" w:rsidRPr="00875041">
        <w:t xml:space="preserve">Table </w:t>
      </w:r>
      <w:r w:rsidR="00301C3E">
        <w:rPr>
          <w:noProof/>
        </w:rPr>
        <w:t>11</w:t>
      </w:r>
      <w:r w:rsidR="001212BF" w:rsidRPr="00FD35ED">
        <w:fldChar w:fldCharType="end"/>
      </w:r>
      <w:r w:rsidRPr="00FD35ED">
        <w:t xml:space="preserve">. Further information regarding </w:t>
      </w:r>
      <w:r w:rsidR="00CC5044" w:rsidRPr="00FD35ED">
        <w:t>the TGA</w:t>
      </w:r>
      <w:r w:rsidR="00BF7063" w:rsidRPr="00FD35ED">
        <w:t>’</w:t>
      </w:r>
      <w:r w:rsidR="00CC5044" w:rsidRPr="00FD35ED">
        <w:t>s r</w:t>
      </w:r>
      <w:r w:rsidRPr="00FD35ED">
        <w:t xml:space="preserve">isk management approach can be found in </w:t>
      </w:r>
      <w:hyperlink r:id="rId25" w:history="1">
        <w:r w:rsidRPr="00FD35ED">
          <w:rPr>
            <w:rStyle w:val="Hyperlink"/>
          </w:rPr>
          <w:t>risk management plans for medicines and biologicals</w:t>
        </w:r>
      </w:hyperlink>
      <w:r w:rsidRPr="00FD35ED">
        <w:t xml:space="preserve"> and </w:t>
      </w:r>
      <w:hyperlink r:id="rId26" w:history="1">
        <w:r w:rsidRPr="00FD35ED">
          <w:rPr>
            <w:rStyle w:val="Hyperlink"/>
          </w:rPr>
          <w:t>the TGA's risk management approach</w:t>
        </w:r>
      </w:hyperlink>
      <w:r w:rsidRPr="00FD35ED">
        <w:t>.</w:t>
      </w:r>
    </w:p>
    <w:p w14:paraId="57528079" w14:textId="42FE7A7D" w:rsidR="00222799" w:rsidRPr="00875041" w:rsidRDefault="0074163C" w:rsidP="00875041">
      <w:pPr>
        <w:pStyle w:val="TableTitle"/>
      </w:pPr>
      <w:bookmarkStart w:id="106" w:name="_Ref97629131"/>
      <w:r w:rsidRPr="00875041">
        <w:lastRenderedPageBreak/>
        <w:t xml:space="preserve">Table </w:t>
      </w:r>
      <w:fldSimple w:instr=" SEQ Table \* ARABIC ">
        <w:r w:rsidR="00301C3E">
          <w:rPr>
            <w:noProof/>
          </w:rPr>
          <w:t>11</w:t>
        </w:r>
      </w:fldSimple>
      <w:bookmarkEnd w:id="106"/>
      <w:r w:rsidRPr="00875041">
        <w:t>: Summary of safety concerns</w:t>
      </w:r>
    </w:p>
    <w:tbl>
      <w:tblPr>
        <w:tblStyle w:val="TableTGAblue"/>
        <w:tblW w:w="8359" w:type="dxa"/>
        <w:tblLayout w:type="fixed"/>
        <w:tblLook w:val="04A0" w:firstRow="1" w:lastRow="0" w:firstColumn="1" w:lastColumn="0" w:noHBand="0" w:noVBand="1"/>
      </w:tblPr>
      <w:tblGrid>
        <w:gridCol w:w="1327"/>
        <w:gridCol w:w="2779"/>
        <w:gridCol w:w="992"/>
        <w:gridCol w:w="1134"/>
        <w:gridCol w:w="993"/>
        <w:gridCol w:w="1134"/>
      </w:tblGrid>
      <w:tr w:rsidR="00222799" w:rsidRPr="00FD35ED" w14:paraId="2B6A8EB2" w14:textId="77777777" w:rsidTr="00222799">
        <w:trPr>
          <w:cnfStyle w:val="100000000000" w:firstRow="1" w:lastRow="0" w:firstColumn="0" w:lastColumn="0" w:oddVBand="0" w:evenVBand="0" w:oddHBand="0" w:evenHBand="0" w:firstRowFirstColumn="0" w:firstRowLastColumn="0" w:lastRowFirstColumn="0" w:lastRowLastColumn="0"/>
          <w:trHeight w:val="131"/>
        </w:trPr>
        <w:tc>
          <w:tcPr>
            <w:tcW w:w="4106" w:type="dxa"/>
            <w:gridSpan w:val="2"/>
            <w:vMerge w:val="restart"/>
            <w:tcBorders>
              <w:top w:val="single" w:sz="4" w:space="0" w:color="auto"/>
              <w:left w:val="single" w:sz="4" w:space="0" w:color="auto"/>
              <w:bottom w:val="single" w:sz="4" w:space="0" w:color="auto"/>
              <w:right w:val="single" w:sz="4" w:space="0" w:color="auto"/>
            </w:tcBorders>
          </w:tcPr>
          <w:p w14:paraId="13177ECC" w14:textId="77777777" w:rsidR="00222799" w:rsidRPr="00FD35ED" w:rsidRDefault="00222799" w:rsidP="00222799">
            <w:pPr>
              <w:pStyle w:val="Tabletext"/>
              <w:ind w:left="0" w:right="0"/>
            </w:pPr>
            <w:r w:rsidRPr="00FD35ED">
              <w:t>Summary of safety concerns</w:t>
            </w:r>
          </w:p>
        </w:tc>
        <w:tc>
          <w:tcPr>
            <w:tcW w:w="2126" w:type="dxa"/>
            <w:gridSpan w:val="2"/>
            <w:tcBorders>
              <w:top w:val="single" w:sz="4" w:space="0" w:color="auto"/>
              <w:left w:val="single" w:sz="4" w:space="0" w:color="auto"/>
              <w:bottom w:val="single" w:sz="4" w:space="0" w:color="auto"/>
              <w:right w:val="single" w:sz="4" w:space="0" w:color="auto"/>
            </w:tcBorders>
          </w:tcPr>
          <w:p w14:paraId="07680D9D" w14:textId="77777777" w:rsidR="00222799" w:rsidRPr="00FD35ED" w:rsidRDefault="00222799" w:rsidP="00222799">
            <w:pPr>
              <w:pStyle w:val="Tabletext"/>
              <w:ind w:left="0" w:right="0"/>
              <w:rPr>
                <w:sz w:val="18"/>
              </w:rPr>
            </w:pPr>
            <w:r w:rsidRPr="00FD35ED">
              <w:rPr>
                <w:sz w:val="18"/>
              </w:rPr>
              <w:t>Pharmacovigilance</w:t>
            </w:r>
          </w:p>
        </w:tc>
        <w:tc>
          <w:tcPr>
            <w:tcW w:w="2127" w:type="dxa"/>
            <w:gridSpan w:val="2"/>
            <w:tcBorders>
              <w:top w:val="single" w:sz="4" w:space="0" w:color="auto"/>
              <w:left w:val="single" w:sz="4" w:space="0" w:color="auto"/>
              <w:bottom w:val="single" w:sz="4" w:space="0" w:color="auto"/>
              <w:right w:val="single" w:sz="4" w:space="0" w:color="auto"/>
            </w:tcBorders>
          </w:tcPr>
          <w:p w14:paraId="3DDEE7AC" w14:textId="77777777" w:rsidR="00222799" w:rsidRPr="00FD35ED" w:rsidRDefault="00222799" w:rsidP="00222799">
            <w:pPr>
              <w:pStyle w:val="Tabletext"/>
              <w:ind w:left="0" w:right="0"/>
              <w:rPr>
                <w:sz w:val="18"/>
              </w:rPr>
            </w:pPr>
            <w:r w:rsidRPr="00FD35ED">
              <w:rPr>
                <w:sz w:val="18"/>
              </w:rPr>
              <w:t>Risk Minimisation</w:t>
            </w:r>
          </w:p>
        </w:tc>
      </w:tr>
      <w:tr w:rsidR="00222799" w:rsidRPr="00FD35ED" w14:paraId="2332DA61" w14:textId="77777777" w:rsidTr="00222799">
        <w:trPr>
          <w:trHeight w:val="150"/>
        </w:trPr>
        <w:tc>
          <w:tcPr>
            <w:tcW w:w="4106" w:type="dxa"/>
            <w:gridSpan w:val="2"/>
            <w:vMerge/>
            <w:tcBorders>
              <w:top w:val="single" w:sz="4" w:space="0" w:color="auto"/>
              <w:left w:val="single" w:sz="4" w:space="0" w:color="auto"/>
              <w:bottom w:val="single" w:sz="4" w:space="0" w:color="auto"/>
              <w:right w:val="single" w:sz="4" w:space="0" w:color="auto"/>
            </w:tcBorders>
            <w:shd w:val="clear" w:color="auto" w:fill="006DA7"/>
          </w:tcPr>
          <w:p w14:paraId="31F11B01" w14:textId="77777777" w:rsidR="00222799" w:rsidRPr="00FD35ED" w:rsidRDefault="00222799" w:rsidP="00222799">
            <w:pPr>
              <w:pStyle w:val="Tabletext"/>
              <w:ind w:left="0" w:right="0"/>
              <w:rPr>
                <w:b/>
                <w:color w:val="FFFFFF" w:themeColor="background1"/>
              </w:rPr>
            </w:pPr>
          </w:p>
        </w:tc>
        <w:tc>
          <w:tcPr>
            <w:tcW w:w="992" w:type="dxa"/>
            <w:tcBorders>
              <w:top w:val="single" w:sz="4" w:space="0" w:color="auto"/>
              <w:left w:val="single" w:sz="4" w:space="0" w:color="auto"/>
              <w:bottom w:val="single" w:sz="4" w:space="0" w:color="auto"/>
              <w:right w:val="single" w:sz="4" w:space="0" w:color="auto"/>
            </w:tcBorders>
            <w:shd w:val="clear" w:color="auto" w:fill="006DA7"/>
          </w:tcPr>
          <w:p w14:paraId="09A5D520" w14:textId="77777777" w:rsidR="00222799" w:rsidRPr="00FD35ED" w:rsidRDefault="00222799" w:rsidP="00222799">
            <w:pPr>
              <w:pStyle w:val="Tabletext"/>
              <w:ind w:left="0" w:right="0"/>
              <w:rPr>
                <w:b/>
                <w:color w:val="FFFFFF" w:themeColor="background1"/>
                <w:sz w:val="18"/>
              </w:rPr>
            </w:pPr>
            <w:r w:rsidRPr="00FD35ED">
              <w:rPr>
                <w:b/>
                <w:color w:val="FFFFFF" w:themeColor="background1"/>
                <w:sz w:val="18"/>
              </w:rPr>
              <w:t>Routine</w:t>
            </w: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39EDE559" w14:textId="77777777" w:rsidR="00222799" w:rsidRPr="00FD35ED" w:rsidRDefault="00222799" w:rsidP="00222799">
            <w:pPr>
              <w:pStyle w:val="Tabletext"/>
              <w:ind w:left="0" w:right="0"/>
              <w:rPr>
                <w:b/>
                <w:color w:val="FFFFFF" w:themeColor="background1"/>
                <w:sz w:val="18"/>
              </w:rPr>
            </w:pPr>
            <w:r w:rsidRPr="00FD35ED">
              <w:rPr>
                <w:b/>
                <w:color w:val="FFFFFF" w:themeColor="background1"/>
                <w:sz w:val="18"/>
              </w:rPr>
              <w:t>Additional</w:t>
            </w:r>
          </w:p>
        </w:tc>
        <w:tc>
          <w:tcPr>
            <w:tcW w:w="993" w:type="dxa"/>
            <w:tcBorders>
              <w:top w:val="single" w:sz="4" w:space="0" w:color="auto"/>
              <w:left w:val="single" w:sz="4" w:space="0" w:color="auto"/>
              <w:bottom w:val="single" w:sz="4" w:space="0" w:color="auto"/>
              <w:right w:val="single" w:sz="4" w:space="0" w:color="auto"/>
            </w:tcBorders>
            <w:shd w:val="clear" w:color="auto" w:fill="006DA7"/>
          </w:tcPr>
          <w:p w14:paraId="76844E10" w14:textId="77777777" w:rsidR="00222799" w:rsidRPr="00FD35ED" w:rsidRDefault="00222799" w:rsidP="00222799">
            <w:pPr>
              <w:pStyle w:val="Tabletext"/>
              <w:ind w:left="0" w:right="0"/>
              <w:rPr>
                <w:b/>
                <w:color w:val="FFFFFF" w:themeColor="background1"/>
                <w:sz w:val="18"/>
              </w:rPr>
            </w:pPr>
            <w:r w:rsidRPr="00FD35ED">
              <w:rPr>
                <w:b/>
                <w:color w:val="FFFFFF" w:themeColor="background1"/>
                <w:sz w:val="18"/>
              </w:rPr>
              <w:t>Routine</w:t>
            </w: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4CB3A7A2" w14:textId="77777777" w:rsidR="00222799" w:rsidRPr="00FD35ED" w:rsidRDefault="00222799" w:rsidP="00222799">
            <w:pPr>
              <w:pStyle w:val="Tabletext"/>
              <w:ind w:left="0" w:right="0"/>
              <w:rPr>
                <w:b/>
                <w:color w:val="FFFFFF" w:themeColor="background1"/>
                <w:sz w:val="18"/>
              </w:rPr>
            </w:pPr>
            <w:r w:rsidRPr="00FD35ED">
              <w:rPr>
                <w:b/>
                <w:color w:val="FFFFFF" w:themeColor="background1"/>
                <w:sz w:val="18"/>
              </w:rPr>
              <w:t>Additional</w:t>
            </w:r>
          </w:p>
        </w:tc>
      </w:tr>
      <w:tr w:rsidR="00222799" w:rsidRPr="00FD35ED" w14:paraId="1A17BE3A" w14:textId="77777777" w:rsidTr="00222799">
        <w:trPr>
          <w:trHeight w:val="137"/>
        </w:trPr>
        <w:tc>
          <w:tcPr>
            <w:tcW w:w="1327" w:type="dxa"/>
            <w:vMerge w:val="restart"/>
            <w:tcBorders>
              <w:top w:val="single" w:sz="4" w:space="0" w:color="auto"/>
            </w:tcBorders>
          </w:tcPr>
          <w:p w14:paraId="70F07D9F" w14:textId="77777777" w:rsidR="00222799" w:rsidRPr="00FD35ED" w:rsidRDefault="00222799" w:rsidP="00222799">
            <w:pPr>
              <w:pStyle w:val="Tabletext"/>
              <w:ind w:left="0" w:right="0"/>
              <w:rPr>
                <w:b/>
              </w:rPr>
            </w:pPr>
            <w:r w:rsidRPr="00FD35ED">
              <w:rPr>
                <w:b/>
              </w:rPr>
              <w:t>Important identified risks</w:t>
            </w:r>
          </w:p>
        </w:tc>
        <w:tc>
          <w:tcPr>
            <w:tcW w:w="2779" w:type="dxa"/>
            <w:tcBorders>
              <w:top w:val="single" w:sz="4" w:space="0" w:color="auto"/>
            </w:tcBorders>
          </w:tcPr>
          <w:p w14:paraId="55103A6A" w14:textId="77777777" w:rsidR="00222799" w:rsidRPr="00FD35ED" w:rsidRDefault="00222799" w:rsidP="00222799">
            <w:pPr>
              <w:pStyle w:val="Tabletext"/>
              <w:ind w:left="0" w:right="0"/>
            </w:pPr>
            <w:r w:rsidRPr="00FD35ED">
              <w:t>Cytokine release syndrome</w:t>
            </w:r>
          </w:p>
        </w:tc>
        <w:tc>
          <w:tcPr>
            <w:tcW w:w="992" w:type="dxa"/>
            <w:tcBorders>
              <w:top w:val="single" w:sz="4" w:space="0" w:color="auto"/>
            </w:tcBorders>
          </w:tcPr>
          <w:p w14:paraId="6A9DE5DF" w14:textId="77777777" w:rsidR="00222799" w:rsidRPr="00FD35ED" w:rsidRDefault="00222799" w:rsidP="00222799">
            <w:pPr>
              <w:pStyle w:val="Tabletext"/>
              <w:ind w:left="0" w:right="0"/>
              <w:jc w:val="center"/>
            </w:pPr>
            <w:r w:rsidRPr="00FD35ED">
              <w:sym w:font="Wingdings" w:char="F0FC"/>
            </w:r>
            <w:r w:rsidRPr="00FD35ED">
              <w:t>*</w:t>
            </w:r>
          </w:p>
        </w:tc>
        <w:tc>
          <w:tcPr>
            <w:tcW w:w="1134" w:type="dxa"/>
            <w:tcBorders>
              <w:top w:val="single" w:sz="4" w:space="0" w:color="auto"/>
            </w:tcBorders>
          </w:tcPr>
          <w:p w14:paraId="46889565" w14:textId="77777777" w:rsidR="00222799" w:rsidRPr="00FD35ED" w:rsidRDefault="00222799" w:rsidP="00222799">
            <w:pPr>
              <w:pStyle w:val="Tabletext"/>
              <w:ind w:left="0" w:right="0"/>
              <w:jc w:val="center"/>
            </w:pPr>
            <w:r w:rsidRPr="00FD35ED">
              <w:sym w:font="Wingdings" w:char="F0FC"/>
            </w:r>
            <w:r w:rsidRPr="00FD35ED">
              <w:t>^</w:t>
            </w:r>
          </w:p>
        </w:tc>
        <w:tc>
          <w:tcPr>
            <w:tcW w:w="993" w:type="dxa"/>
            <w:tcBorders>
              <w:top w:val="single" w:sz="4" w:space="0" w:color="auto"/>
            </w:tcBorders>
          </w:tcPr>
          <w:p w14:paraId="00D8276D" w14:textId="77777777" w:rsidR="00222799" w:rsidRPr="00FD35ED" w:rsidRDefault="00222799" w:rsidP="00222799">
            <w:pPr>
              <w:pStyle w:val="Tabletext"/>
              <w:ind w:left="0" w:right="0"/>
              <w:jc w:val="center"/>
            </w:pPr>
            <w:r w:rsidRPr="00FD35ED">
              <w:sym w:font="Wingdings" w:char="F0FC"/>
            </w:r>
          </w:p>
        </w:tc>
        <w:tc>
          <w:tcPr>
            <w:tcW w:w="1134" w:type="dxa"/>
            <w:tcBorders>
              <w:top w:val="single" w:sz="4" w:space="0" w:color="auto"/>
            </w:tcBorders>
          </w:tcPr>
          <w:p w14:paraId="7F6D2B01" w14:textId="77777777" w:rsidR="00222799" w:rsidRPr="00FD35ED" w:rsidRDefault="00222799" w:rsidP="00222799">
            <w:pPr>
              <w:pStyle w:val="Tabletext"/>
              <w:ind w:left="0" w:right="0"/>
              <w:jc w:val="center"/>
            </w:pPr>
            <w:r w:rsidRPr="00FD35ED">
              <w:sym w:font="Wingdings" w:char="F0FC"/>
            </w:r>
            <w:r w:rsidRPr="00FD35ED">
              <w:rPr>
                <w:vertAlign w:val="superscript"/>
              </w:rPr>
              <w:t>#¶</w:t>
            </w:r>
          </w:p>
        </w:tc>
      </w:tr>
      <w:tr w:rsidR="00222799" w:rsidRPr="00FD35ED" w14:paraId="1EEB46C8" w14:textId="77777777" w:rsidTr="00222799">
        <w:trPr>
          <w:trHeight w:val="94"/>
        </w:trPr>
        <w:tc>
          <w:tcPr>
            <w:tcW w:w="1327" w:type="dxa"/>
            <w:vMerge/>
          </w:tcPr>
          <w:p w14:paraId="1BE975A3" w14:textId="77777777" w:rsidR="00222799" w:rsidRPr="00FD35ED" w:rsidRDefault="00222799" w:rsidP="00222799">
            <w:pPr>
              <w:pStyle w:val="Tabletext"/>
              <w:ind w:left="0" w:right="0"/>
              <w:rPr>
                <w:b/>
              </w:rPr>
            </w:pPr>
          </w:p>
        </w:tc>
        <w:tc>
          <w:tcPr>
            <w:tcW w:w="2779" w:type="dxa"/>
          </w:tcPr>
          <w:p w14:paraId="6652BB64" w14:textId="77777777" w:rsidR="00222799" w:rsidRPr="00FD35ED" w:rsidRDefault="00222799" w:rsidP="00222799">
            <w:pPr>
              <w:pStyle w:val="Tabletext"/>
              <w:ind w:left="0" w:right="0"/>
            </w:pPr>
            <w:r w:rsidRPr="00FD35ED">
              <w:t>Acute skin reactions</w:t>
            </w:r>
          </w:p>
        </w:tc>
        <w:tc>
          <w:tcPr>
            <w:tcW w:w="992" w:type="dxa"/>
          </w:tcPr>
          <w:p w14:paraId="0EEBC89E" w14:textId="77777777" w:rsidR="00222799" w:rsidRPr="00FD35ED" w:rsidRDefault="00222799" w:rsidP="00222799">
            <w:pPr>
              <w:pStyle w:val="Tabletext"/>
              <w:ind w:left="0" w:right="0"/>
              <w:jc w:val="center"/>
            </w:pPr>
            <w:r w:rsidRPr="00FD35ED">
              <w:sym w:font="Wingdings" w:char="F0FC"/>
            </w:r>
            <w:r w:rsidRPr="00FD35ED">
              <w:t>*</w:t>
            </w:r>
          </w:p>
        </w:tc>
        <w:tc>
          <w:tcPr>
            <w:tcW w:w="1134" w:type="dxa"/>
          </w:tcPr>
          <w:p w14:paraId="067C0E59" w14:textId="77777777" w:rsidR="00222799" w:rsidRPr="00FD35ED" w:rsidRDefault="00222799" w:rsidP="00222799">
            <w:pPr>
              <w:pStyle w:val="Tabletext"/>
              <w:ind w:left="0" w:right="0"/>
              <w:jc w:val="center"/>
            </w:pPr>
            <w:r w:rsidRPr="00FD35ED">
              <w:t>–</w:t>
            </w:r>
          </w:p>
        </w:tc>
        <w:tc>
          <w:tcPr>
            <w:tcW w:w="993" w:type="dxa"/>
          </w:tcPr>
          <w:p w14:paraId="603F219B" w14:textId="77777777" w:rsidR="00222799" w:rsidRPr="00FD35ED" w:rsidRDefault="00222799" w:rsidP="00222799">
            <w:pPr>
              <w:pStyle w:val="Tabletext"/>
              <w:ind w:left="0" w:right="0"/>
              <w:jc w:val="center"/>
            </w:pPr>
            <w:r w:rsidRPr="00FD35ED">
              <w:sym w:font="Wingdings" w:char="F0FC"/>
            </w:r>
          </w:p>
        </w:tc>
        <w:tc>
          <w:tcPr>
            <w:tcW w:w="1134" w:type="dxa"/>
          </w:tcPr>
          <w:p w14:paraId="70F916C4" w14:textId="77777777" w:rsidR="00222799" w:rsidRPr="00FD35ED" w:rsidRDefault="00222799" w:rsidP="00222799">
            <w:pPr>
              <w:pStyle w:val="Tabletext"/>
              <w:ind w:left="0" w:right="0"/>
              <w:jc w:val="center"/>
            </w:pPr>
            <w:r w:rsidRPr="00FD35ED">
              <w:sym w:font="Wingdings" w:char="F0FC"/>
            </w:r>
            <w:r w:rsidRPr="00FD35ED">
              <w:rPr>
                <w:vertAlign w:val="superscript"/>
              </w:rPr>
              <w:t>#</w:t>
            </w:r>
          </w:p>
        </w:tc>
      </w:tr>
      <w:tr w:rsidR="00222799" w:rsidRPr="00FD35ED" w14:paraId="0E19ACC0" w14:textId="77777777" w:rsidTr="00222799">
        <w:trPr>
          <w:trHeight w:val="159"/>
        </w:trPr>
        <w:tc>
          <w:tcPr>
            <w:tcW w:w="1327" w:type="dxa"/>
          </w:tcPr>
          <w:p w14:paraId="43071796" w14:textId="77777777" w:rsidR="00222799" w:rsidRPr="00FD35ED" w:rsidRDefault="00222799" w:rsidP="00222799">
            <w:pPr>
              <w:pStyle w:val="Tabletext"/>
              <w:ind w:left="0" w:right="0"/>
              <w:rPr>
                <w:b/>
              </w:rPr>
            </w:pPr>
            <w:r w:rsidRPr="00FD35ED">
              <w:rPr>
                <w:b/>
              </w:rPr>
              <w:t>Important potential risks</w:t>
            </w:r>
          </w:p>
        </w:tc>
        <w:tc>
          <w:tcPr>
            <w:tcW w:w="2779" w:type="dxa"/>
          </w:tcPr>
          <w:p w14:paraId="0220A06D" w14:textId="77777777" w:rsidR="00222799" w:rsidRPr="00FD35ED" w:rsidRDefault="00222799" w:rsidP="00222799">
            <w:pPr>
              <w:pStyle w:val="Tabletext"/>
              <w:ind w:left="0" w:right="0"/>
            </w:pPr>
            <w:r w:rsidRPr="00FD35ED">
              <w:t>None</w:t>
            </w:r>
          </w:p>
        </w:tc>
        <w:tc>
          <w:tcPr>
            <w:tcW w:w="992" w:type="dxa"/>
          </w:tcPr>
          <w:p w14:paraId="38B71B4A" w14:textId="77777777" w:rsidR="00222799" w:rsidRPr="00FD35ED" w:rsidRDefault="00222799" w:rsidP="00222799">
            <w:pPr>
              <w:pStyle w:val="Tabletext"/>
              <w:ind w:left="0" w:right="0"/>
              <w:jc w:val="center"/>
            </w:pPr>
            <w:r w:rsidRPr="00FD35ED">
              <w:t>–</w:t>
            </w:r>
          </w:p>
        </w:tc>
        <w:tc>
          <w:tcPr>
            <w:tcW w:w="1134" w:type="dxa"/>
          </w:tcPr>
          <w:p w14:paraId="639EA75F" w14:textId="77777777" w:rsidR="00222799" w:rsidRPr="00FD35ED" w:rsidRDefault="00222799" w:rsidP="00222799">
            <w:pPr>
              <w:pStyle w:val="Tabletext"/>
              <w:ind w:left="0" w:right="0"/>
              <w:jc w:val="center"/>
            </w:pPr>
            <w:r w:rsidRPr="00FD35ED">
              <w:t>–</w:t>
            </w:r>
          </w:p>
        </w:tc>
        <w:tc>
          <w:tcPr>
            <w:tcW w:w="993" w:type="dxa"/>
          </w:tcPr>
          <w:p w14:paraId="5887CEE9" w14:textId="77777777" w:rsidR="00222799" w:rsidRPr="00FD35ED" w:rsidRDefault="00222799" w:rsidP="00222799">
            <w:pPr>
              <w:pStyle w:val="Tabletext"/>
              <w:ind w:left="0" w:right="0"/>
              <w:jc w:val="center"/>
            </w:pPr>
            <w:r w:rsidRPr="00FD35ED">
              <w:t>–</w:t>
            </w:r>
          </w:p>
        </w:tc>
        <w:tc>
          <w:tcPr>
            <w:tcW w:w="1134" w:type="dxa"/>
          </w:tcPr>
          <w:p w14:paraId="6D19B3F5" w14:textId="77777777" w:rsidR="00222799" w:rsidRPr="00FD35ED" w:rsidRDefault="00222799" w:rsidP="00222799">
            <w:pPr>
              <w:pStyle w:val="Tabletext"/>
              <w:ind w:left="0" w:right="0"/>
              <w:jc w:val="center"/>
            </w:pPr>
            <w:r w:rsidRPr="00FD35ED">
              <w:t>–</w:t>
            </w:r>
          </w:p>
        </w:tc>
      </w:tr>
      <w:tr w:rsidR="00222799" w:rsidRPr="00FD35ED" w14:paraId="3370902F" w14:textId="77777777" w:rsidTr="00222799">
        <w:trPr>
          <w:trHeight w:val="178"/>
        </w:trPr>
        <w:tc>
          <w:tcPr>
            <w:tcW w:w="1327" w:type="dxa"/>
            <w:vMerge w:val="restart"/>
          </w:tcPr>
          <w:p w14:paraId="0A050736" w14:textId="77777777" w:rsidR="00222799" w:rsidRPr="00FD35ED" w:rsidRDefault="00222799" w:rsidP="00222799">
            <w:pPr>
              <w:pStyle w:val="Tabletext"/>
              <w:ind w:left="0" w:right="0"/>
              <w:rPr>
                <w:b/>
              </w:rPr>
            </w:pPr>
            <w:r w:rsidRPr="00FD35ED">
              <w:rPr>
                <w:b/>
              </w:rPr>
              <w:t>Missing information</w:t>
            </w:r>
          </w:p>
        </w:tc>
        <w:tc>
          <w:tcPr>
            <w:tcW w:w="2779" w:type="dxa"/>
          </w:tcPr>
          <w:p w14:paraId="7DF264B3" w14:textId="77777777" w:rsidR="00222799" w:rsidRPr="00FD35ED" w:rsidRDefault="00222799" w:rsidP="00222799">
            <w:pPr>
              <w:pStyle w:val="Tabletext"/>
              <w:ind w:left="0" w:right="0"/>
            </w:pPr>
            <w:r w:rsidRPr="00FD35ED">
              <w:t>Use in pregnancy and lactation</w:t>
            </w:r>
          </w:p>
        </w:tc>
        <w:tc>
          <w:tcPr>
            <w:tcW w:w="992" w:type="dxa"/>
          </w:tcPr>
          <w:p w14:paraId="570E2F2C" w14:textId="77777777" w:rsidR="00222799" w:rsidRPr="00FD35ED" w:rsidRDefault="00222799" w:rsidP="00222799">
            <w:pPr>
              <w:pStyle w:val="Tabletext"/>
              <w:ind w:left="0" w:right="0"/>
              <w:jc w:val="center"/>
            </w:pPr>
            <w:r w:rsidRPr="00FD35ED">
              <w:sym w:font="Wingdings" w:char="F0FC"/>
            </w:r>
            <w:r w:rsidRPr="00FD35ED">
              <w:rPr>
                <w:rFonts w:asciiTheme="majorHAnsi" w:hAnsiTheme="majorHAnsi"/>
                <w:szCs w:val="20"/>
                <w:vertAlign w:val="superscript"/>
              </w:rPr>
              <w:t>†</w:t>
            </w:r>
          </w:p>
        </w:tc>
        <w:tc>
          <w:tcPr>
            <w:tcW w:w="1134" w:type="dxa"/>
          </w:tcPr>
          <w:p w14:paraId="56348679" w14:textId="77777777" w:rsidR="00222799" w:rsidRPr="00FD35ED" w:rsidRDefault="00222799" w:rsidP="00222799">
            <w:pPr>
              <w:pStyle w:val="Tabletext"/>
              <w:ind w:left="0" w:right="0"/>
              <w:jc w:val="center"/>
            </w:pPr>
            <w:r w:rsidRPr="00FD35ED">
              <w:t>–</w:t>
            </w:r>
          </w:p>
        </w:tc>
        <w:tc>
          <w:tcPr>
            <w:tcW w:w="993" w:type="dxa"/>
          </w:tcPr>
          <w:p w14:paraId="3817A17B" w14:textId="77777777" w:rsidR="00222799" w:rsidRPr="00FD35ED" w:rsidRDefault="00222799" w:rsidP="00222799">
            <w:pPr>
              <w:pStyle w:val="Tabletext"/>
              <w:ind w:left="0" w:right="0"/>
              <w:jc w:val="center"/>
            </w:pPr>
            <w:r w:rsidRPr="00FD35ED">
              <w:sym w:font="Wingdings" w:char="F0FC"/>
            </w:r>
          </w:p>
        </w:tc>
        <w:tc>
          <w:tcPr>
            <w:tcW w:w="1134" w:type="dxa"/>
          </w:tcPr>
          <w:p w14:paraId="7D9AB722" w14:textId="77777777" w:rsidR="00222799" w:rsidRPr="00FD35ED" w:rsidRDefault="00222799" w:rsidP="00222799">
            <w:pPr>
              <w:pStyle w:val="Tabletext"/>
              <w:ind w:left="0" w:right="0"/>
              <w:jc w:val="center"/>
            </w:pPr>
            <w:r w:rsidRPr="00FD35ED">
              <w:t>–</w:t>
            </w:r>
          </w:p>
        </w:tc>
      </w:tr>
      <w:tr w:rsidR="00222799" w:rsidRPr="00FD35ED" w14:paraId="12595BC2" w14:textId="77777777" w:rsidTr="00222799">
        <w:trPr>
          <w:trHeight w:val="140"/>
        </w:trPr>
        <w:tc>
          <w:tcPr>
            <w:tcW w:w="1327" w:type="dxa"/>
            <w:vMerge/>
          </w:tcPr>
          <w:p w14:paraId="0058263B" w14:textId="77777777" w:rsidR="00222799" w:rsidRPr="00FD35ED" w:rsidRDefault="00222799" w:rsidP="00222799">
            <w:pPr>
              <w:pStyle w:val="Tabletext"/>
              <w:ind w:left="0" w:right="0"/>
            </w:pPr>
          </w:p>
        </w:tc>
        <w:tc>
          <w:tcPr>
            <w:tcW w:w="2779" w:type="dxa"/>
          </w:tcPr>
          <w:p w14:paraId="50BF6007" w14:textId="77777777" w:rsidR="00222799" w:rsidRPr="00FD35ED" w:rsidRDefault="00222799" w:rsidP="00222799">
            <w:pPr>
              <w:pStyle w:val="Tabletext"/>
              <w:ind w:left="0" w:right="0"/>
            </w:pPr>
            <w:r w:rsidRPr="00FD35ED">
              <w:t>Use in patients with clinically significant cardiac disease</w:t>
            </w:r>
          </w:p>
        </w:tc>
        <w:tc>
          <w:tcPr>
            <w:tcW w:w="992" w:type="dxa"/>
          </w:tcPr>
          <w:p w14:paraId="58D3C808" w14:textId="77777777" w:rsidR="00222799" w:rsidRPr="00FD35ED" w:rsidRDefault="00222799" w:rsidP="00222799">
            <w:pPr>
              <w:pStyle w:val="Tabletext"/>
              <w:ind w:left="0" w:right="0"/>
              <w:jc w:val="center"/>
            </w:pPr>
            <w:r w:rsidRPr="00FD35ED">
              <w:sym w:font="Wingdings" w:char="F0FC"/>
            </w:r>
          </w:p>
        </w:tc>
        <w:tc>
          <w:tcPr>
            <w:tcW w:w="1134" w:type="dxa"/>
          </w:tcPr>
          <w:p w14:paraId="4FADBAD0" w14:textId="77777777" w:rsidR="00222799" w:rsidRPr="00FD35ED" w:rsidRDefault="00222799" w:rsidP="00222799">
            <w:pPr>
              <w:pStyle w:val="Tabletext"/>
              <w:ind w:left="0" w:right="0"/>
              <w:jc w:val="center"/>
            </w:pPr>
            <w:r w:rsidRPr="00FD35ED">
              <w:t>–</w:t>
            </w:r>
          </w:p>
        </w:tc>
        <w:tc>
          <w:tcPr>
            <w:tcW w:w="993" w:type="dxa"/>
          </w:tcPr>
          <w:p w14:paraId="56E4AA95" w14:textId="77777777" w:rsidR="00222799" w:rsidRPr="00FD35ED" w:rsidRDefault="00222799" w:rsidP="00222799">
            <w:pPr>
              <w:pStyle w:val="Tabletext"/>
              <w:ind w:left="0" w:right="0"/>
              <w:jc w:val="center"/>
            </w:pPr>
            <w:r w:rsidRPr="00FD35ED">
              <w:sym w:font="Wingdings" w:char="F0FC"/>
            </w:r>
          </w:p>
        </w:tc>
        <w:tc>
          <w:tcPr>
            <w:tcW w:w="1134" w:type="dxa"/>
          </w:tcPr>
          <w:p w14:paraId="1D70FAFC" w14:textId="77777777" w:rsidR="00222799" w:rsidRPr="00FD35ED" w:rsidRDefault="00222799" w:rsidP="00222799">
            <w:pPr>
              <w:pStyle w:val="Tabletext"/>
              <w:ind w:left="0" w:right="0"/>
              <w:jc w:val="center"/>
            </w:pPr>
            <w:r w:rsidRPr="00FD35ED">
              <w:t>–</w:t>
            </w:r>
          </w:p>
        </w:tc>
      </w:tr>
    </w:tbl>
    <w:p w14:paraId="0921DC86" w14:textId="4B1DBA58" w:rsidR="00222799" w:rsidRPr="00FD35ED" w:rsidRDefault="00222799" w:rsidP="00222799">
      <w:pPr>
        <w:pStyle w:val="TableDescription"/>
      </w:pPr>
      <w:r w:rsidRPr="00FD35ED">
        <w:t>*</w:t>
      </w:r>
      <w:r w:rsidR="006B0B91" w:rsidRPr="00FD35ED">
        <w:t xml:space="preserve"> </w:t>
      </w:r>
      <w:r w:rsidRPr="00FD35ED">
        <w:t>Specific follow-up forms (</w:t>
      </w:r>
      <w:r w:rsidR="006B0B91" w:rsidRPr="00FD35ED">
        <w:t>Australia specific annex</w:t>
      </w:r>
      <w:r w:rsidRPr="00FD35ED">
        <w:t xml:space="preserve"> only)</w:t>
      </w:r>
    </w:p>
    <w:p w14:paraId="7315B93F" w14:textId="4A18693B" w:rsidR="00222799" w:rsidRPr="00FD35ED" w:rsidRDefault="00222799" w:rsidP="00222799">
      <w:pPr>
        <w:pStyle w:val="TableDescription"/>
      </w:pPr>
      <w:r w:rsidRPr="00FD35ED">
        <w:rPr>
          <w:vertAlign w:val="superscript"/>
        </w:rPr>
        <w:t>†</w:t>
      </w:r>
      <w:r w:rsidR="006B0B91" w:rsidRPr="00FD35ED">
        <w:rPr>
          <w:vertAlign w:val="superscript"/>
        </w:rPr>
        <w:t xml:space="preserve"> </w:t>
      </w:r>
      <w:r w:rsidRPr="00FD35ED">
        <w:t>Specific follow-up form for pregnancy only (</w:t>
      </w:r>
      <w:r w:rsidR="006B0B91" w:rsidRPr="00FD35ED">
        <w:t xml:space="preserve">Australia specific annex </w:t>
      </w:r>
      <w:r w:rsidRPr="00FD35ED">
        <w:t>only)</w:t>
      </w:r>
    </w:p>
    <w:p w14:paraId="2370AB69" w14:textId="068FADFC" w:rsidR="00222799" w:rsidRPr="00FD35ED" w:rsidRDefault="00222799" w:rsidP="00222799">
      <w:pPr>
        <w:pStyle w:val="TableDescription"/>
      </w:pPr>
      <w:r w:rsidRPr="00FD35ED">
        <w:t>#</w:t>
      </w:r>
      <w:r w:rsidR="006B0B91" w:rsidRPr="00FD35ED">
        <w:t xml:space="preserve"> Dear </w:t>
      </w:r>
      <w:proofErr w:type="gramStart"/>
      <w:r w:rsidR="006B0B91" w:rsidRPr="00FD35ED">
        <w:t>Healthcare</w:t>
      </w:r>
      <w:proofErr w:type="gramEnd"/>
      <w:r w:rsidR="006B0B91" w:rsidRPr="00FD35ED">
        <w:t xml:space="preserve"> Professional Letter </w:t>
      </w:r>
      <w:r w:rsidRPr="00FD35ED">
        <w:t xml:space="preserve">and Pharmacist </w:t>
      </w:r>
      <w:r w:rsidR="006B0B91" w:rsidRPr="00FD35ED">
        <w:t xml:space="preserve">Guide </w:t>
      </w:r>
      <w:r w:rsidRPr="00FD35ED">
        <w:t>(</w:t>
      </w:r>
      <w:r w:rsidR="006B0B91" w:rsidRPr="00FD35ED">
        <w:t xml:space="preserve">Australia specific annex </w:t>
      </w:r>
      <w:r w:rsidRPr="00FD35ED">
        <w:t>only)</w:t>
      </w:r>
    </w:p>
    <w:p w14:paraId="346CA8FF" w14:textId="1A62DF46" w:rsidR="00222799" w:rsidRPr="00FD35ED" w:rsidRDefault="00222799" w:rsidP="00222799">
      <w:pPr>
        <w:pStyle w:val="TableDescription"/>
      </w:pPr>
      <w:r w:rsidRPr="00FD35ED">
        <w:rPr>
          <w:vertAlign w:val="superscript"/>
        </w:rPr>
        <w:t>¶</w:t>
      </w:r>
      <w:r w:rsidR="006B0B91" w:rsidRPr="00FD35ED">
        <w:rPr>
          <w:vertAlign w:val="superscript"/>
        </w:rPr>
        <w:t xml:space="preserve"> </w:t>
      </w:r>
      <w:r w:rsidRPr="00FD35ED">
        <w:t xml:space="preserve">Treatment </w:t>
      </w:r>
      <w:r w:rsidR="006B0B91" w:rsidRPr="00FD35ED">
        <w:t xml:space="preserve">Guide </w:t>
      </w:r>
      <w:r w:rsidR="00604924" w:rsidRPr="00FD35ED">
        <w:t>f</w:t>
      </w:r>
      <w:r w:rsidR="006B0B91" w:rsidRPr="00FD35ED">
        <w:t xml:space="preserve">or Healthcare Professionals </w:t>
      </w:r>
      <w:r w:rsidRPr="00FD35ED">
        <w:t xml:space="preserve">and Patient </w:t>
      </w:r>
      <w:r w:rsidR="006B0B91" w:rsidRPr="00FD35ED">
        <w:t xml:space="preserve">Guide </w:t>
      </w:r>
      <w:r w:rsidRPr="00FD35ED">
        <w:t>(</w:t>
      </w:r>
      <w:r w:rsidR="006B0B91" w:rsidRPr="00FD35ED">
        <w:t>European Union</w:t>
      </w:r>
      <w:r w:rsidRPr="00FD35ED">
        <w:t xml:space="preserve"> only)</w:t>
      </w:r>
    </w:p>
    <w:p w14:paraId="48CE843A" w14:textId="356F3BC6" w:rsidR="00222799" w:rsidRPr="00FD35ED" w:rsidRDefault="00222799" w:rsidP="00222799">
      <w:pPr>
        <w:pStyle w:val="TableDescription"/>
      </w:pPr>
      <w:bookmarkStart w:id="107" w:name="_Hlk98827809"/>
      <w:r w:rsidRPr="00FD35ED">
        <w:t>^</w:t>
      </w:r>
      <w:r w:rsidR="006B0B91" w:rsidRPr="00FD35ED">
        <w:t xml:space="preserve"> </w:t>
      </w:r>
      <w:r w:rsidRPr="00FD35ED">
        <w:t xml:space="preserve">Physician survey to assess effectiveness of educational materials for </w:t>
      </w:r>
      <w:r w:rsidR="006B0B91" w:rsidRPr="00FD35ED">
        <w:t xml:space="preserve">cytokine release syndrome </w:t>
      </w:r>
      <w:r w:rsidRPr="00FD35ED">
        <w:t>(</w:t>
      </w:r>
      <w:r w:rsidR="006B0B91" w:rsidRPr="00FD35ED">
        <w:t xml:space="preserve">European Union </w:t>
      </w:r>
      <w:r w:rsidRPr="00FD35ED">
        <w:t>only)</w:t>
      </w:r>
      <w:bookmarkEnd w:id="107"/>
    </w:p>
    <w:p w14:paraId="35B38415" w14:textId="65A0603A" w:rsidR="00222799" w:rsidRPr="00FD35ED" w:rsidRDefault="00222799" w:rsidP="00222799">
      <w:pPr>
        <w:pStyle w:val="ListBullet"/>
      </w:pPr>
      <w:r w:rsidRPr="00FD35ED">
        <w:t>The summary of safety concerns is acceptable.</w:t>
      </w:r>
    </w:p>
    <w:p w14:paraId="42DED965" w14:textId="3EBF88F8" w:rsidR="00222799" w:rsidRPr="00FD35ED" w:rsidRDefault="00222799" w:rsidP="00222799">
      <w:pPr>
        <w:pStyle w:val="ListBullet"/>
      </w:pPr>
      <w:bookmarkStart w:id="108" w:name="_Hlk98827884"/>
      <w:r w:rsidRPr="00FD35ED">
        <w:t xml:space="preserve">Only routine pharmacovigilance activities have been proposed which include specific follow-up forms for </w:t>
      </w:r>
      <w:r w:rsidR="006B0B91" w:rsidRPr="00FD35ED">
        <w:t xml:space="preserve">cytokine </w:t>
      </w:r>
      <w:r w:rsidRPr="00FD35ED">
        <w:t>release syndrome, acute skin reactions and use in pregnancy in Australia.</w:t>
      </w:r>
      <w:bookmarkEnd w:id="108"/>
      <w:r w:rsidRPr="00FD35ED">
        <w:t xml:space="preserve"> This is acceptable.</w:t>
      </w:r>
    </w:p>
    <w:p w14:paraId="53AA1EC2" w14:textId="4D0CE7BD" w:rsidR="00222799" w:rsidRPr="00FD35ED" w:rsidRDefault="00222799" w:rsidP="00222799">
      <w:pPr>
        <w:pStyle w:val="ListBullet"/>
      </w:pPr>
      <w:r w:rsidRPr="00FD35ED">
        <w:t>The sponsor has proposed routine risk minimisation activities for all safety concerns as well as a Dear Healthcare Professional Letter and Pharmacist Guide as additional risk minimisation activities to address the important identified risks. This is acceptable.</w:t>
      </w:r>
    </w:p>
    <w:p w14:paraId="72F327E3" w14:textId="77777777" w:rsidR="008E7846" w:rsidRPr="00FD35ED" w:rsidRDefault="00AA0ED0" w:rsidP="008E7846">
      <w:pPr>
        <w:pStyle w:val="Heading3"/>
      </w:pPr>
      <w:bookmarkStart w:id="109" w:name="_Toc119316344"/>
      <w:r w:rsidRPr="00FD35ED">
        <w:t>Risk-benefit a</w:t>
      </w:r>
      <w:r w:rsidR="008E7846" w:rsidRPr="00FD35ED">
        <w:t>nalysis</w:t>
      </w:r>
      <w:bookmarkEnd w:id="102"/>
      <w:bookmarkEnd w:id="103"/>
      <w:bookmarkEnd w:id="109"/>
    </w:p>
    <w:p w14:paraId="754E252D" w14:textId="77777777" w:rsidR="0074163C" w:rsidRPr="00FD35ED" w:rsidRDefault="0074163C" w:rsidP="0074163C">
      <w:pPr>
        <w:pStyle w:val="Heading4"/>
      </w:pPr>
      <w:bookmarkStart w:id="110" w:name="_Toc98931932"/>
      <w:r w:rsidRPr="00FD35ED">
        <w:t>Delegate’s considerations</w:t>
      </w:r>
      <w:bookmarkEnd w:id="110"/>
    </w:p>
    <w:p w14:paraId="34426B6C" w14:textId="6F3DEE54" w:rsidR="00222799" w:rsidRPr="00FD35ED" w:rsidRDefault="00222799" w:rsidP="00985193">
      <w:r w:rsidRPr="00FD35ED">
        <w:t>Uveal melanoma is a serious and life</w:t>
      </w:r>
      <w:r w:rsidR="00604924" w:rsidRPr="00FD35ED">
        <w:t>-</w:t>
      </w:r>
      <w:r w:rsidRPr="00FD35ED">
        <w:t xml:space="preserve">threatening condition. </w:t>
      </w:r>
      <w:r w:rsidR="001212BF" w:rsidRPr="00FD35ED">
        <w:t>Metastatic uveal melanoma</w:t>
      </w:r>
      <w:r w:rsidRPr="00FD35ED">
        <w:t xml:space="preserve"> carries a poor prognosis with median survival of 13 months. </w:t>
      </w:r>
      <w:r w:rsidR="00C6357B">
        <w:t>U</w:t>
      </w:r>
      <w:r w:rsidR="001212BF" w:rsidRPr="00FD35ED">
        <w:t>veal melanoma</w:t>
      </w:r>
      <w:r w:rsidRPr="00FD35ED">
        <w:t xml:space="preserve"> demonstrates different genetics, pathology and clinical behaviour to cutaneous melanoma and shows poor susceptibility to systemic treatments that are effective against the latter.</w:t>
      </w:r>
    </w:p>
    <w:p w14:paraId="731FE719" w14:textId="77777777" w:rsidR="00222799" w:rsidRPr="00FD35ED" w:rsidRDefault="00222799" w:rsidP="00985193">
      <w:r w:rsidRPr="00FD35ED">
        <w:t>There are no therapies that are registered in Australia specifically for uveal melanoma.</w:t>
      </w:r>
    </w:p>
    <w:p w14:paraId="29F19442" w14:textId="2445A7AE" w:rsidR="00222799" w:rsidRPr="00FD35ED" w:rsidRDefault="00222799" w:rsidP="00985193">
      <w:proofErr w:type="spellStart"/>
      <w:r w:rsidRPr="00FD35ED">
        <w:t>Tebentafusp</w:t>
      </w:r>
      <w:proofErr w:type="spellEnd"/>
      <w:r w:rsidRPr="00FD35ED">
        <w:t xml:space="preserve"> is a bispecific protein that binds to a gp100 peptide presented by human leukocyte antigen</w:t>
      </w:r>
      <w:r w:rsidR="00CC695D" w:rsidRPr="00FD35ED">
        <w:t xml:space="preserve"> (HLA)</w:t>
      </w:r>
      <w:r w:rsidRPr="00FD35ED">
        <w:t xml:space="preserve">‐A*02:01 on the cell surface of uveal melanoma tumour cells, </w:t>
      </w:r>
      <w:proofErr w:type="gramStart"/>
      <w:r w:rsidRPr="00FD35ED">
        <w:t>and also</w:t>
      </w:r>
      <w:proofErr w:type="gramEnd"/>
      <w:r w:rsidRPr="00FD35ED">
        <w:t xml:space="preserve"> binds to CD3+ on T</w:t>
      </w:r>
      <w:r w:rsidR="006D7C69" w:rsidRPr="00FD35ED">
        <w:t>-</w:t>
      </w:r>
      <w:r w:rsidRPr="00FD35ED">
        <w:t>cells, redirecting them to attack gp100‐expressing cells.</w:t>
      </w:r>
    </w:p>
    <w:p w14:paraId="33D16A4A" w14:textId="6D306BED" w:rsidR="00222799" w:rsidRPr="00FD35ED" w:rsidRDefault="00222799" w:rsidP="00985193">
      <w:r w:rsidRPr="00FD35ED">
        <w:t>Study 202 is an ongoing, open</w:t>
      </w:r>
      <w:r w:rsidR="0000456C" w:rsidRPr="00FD35ED">
        <w:t xml:space="preserve"> </w:t>
      </w:r>
      <w:r w:rsidRPr="00FD35ED">
        <w:t>label, randomised, multi‐centre study in 378 adult HLA</w:t>
      </w:r>
      <w:r w:rsidR="0000456C" w:rsidRPr="00FD35ED">
        <w:noBreakHyphen/>
      </w:r>
      <w:r w:rsidRPr="00FD35ED">
        <w:t xml:space="preserve">A*02:01‐positive patients with unresectable or </w:t>
      </w:r>
      <w:r w:rsidR="001212BF" w:rsidRPr="00FD35ED">
        <w:t>metastatic uveal melanoma</w:t>
      </w:r>
      <w:r w:rsidRPr="00FD35ED">
        <w:t>, who had not received prior systemic therapy in the metastatic setting or regional liver</w:t>
      </w:r>
      <w:r w:rsidR="0000456C" w:rsidRPr="00FD35ED">
        <w:t xml:space="preserve"> </w:t>
      </w:r>
      <w:r w:rsidRPr="00FD35ED">
        <w:t xml:space="preserve">directed therapy. Patients were randomised 2:1 to receive </w:t>
      </w:r>
      <w:proofErr w:type="spellStart"/>
      <w:r w:rsidRPr="00FD35ED">
        <w:t>tebentafusp</w:t>
      </w:r>
      <w:proofErr w:type="spellEnd"/>
      <w:r w:rsidRPr="00FD35ED">
        <w:t xml:space="preserve"> or investigator’s choice of </w:t>
      </w:r>
      <w:r w:rsidRPr="00FD35ED">
        <w:lastRenderedPageBreak/>
        <w:t>therapy (dacarbazine, ipilimumab, or pembrolizumab) until radiographic progression (for a maximum of four doses if receiving ipilimumab), unacceptable toxicity, investigator decision, or patient withdrawal of consent.</w:t>
      </w:r>
    </w:p>
    <w:p w14:paraId="03E76936" w14:textId="1344169D" w:rsidR="00222799" w:rsidRPr="00FD35ED" w:rsidRDefault="00222799" w:rsidP="00985193">
      <w:r w:rsidRPr="00FD35ED">
        <w:t xml:space="preserve">Study 202 demonstrated a statistically significant and clinically meaningful improvement in the primary endpoint </w:t>
      </w:r>
      <w:r w:rsidR="00590B50" w:rsidRPr="00FD35ED">
        <w:t>(</w:t>
      </w:r>
      <w:r w:rsidRPr="00FD35ED">
        <w:t>overall survival</w:t>
      </w:r>
      <w:r w:rsidR="00EC2FAE">
        <w:t xml:space="preserve"> </w:t>
      </w:r>
      <w:r w:rsidRPr="00FD35ED">
        <w:t xml:space="preserve">in patients treated with </w:t>
      </w:r>
      <w:proofErr w:type="spellStart"/>
      <w:r w:rsidRPr="00FD35ED">
        <w:t>tebentafusp</w:t>
      </w:r>
      <w:proofErr w:type="spellEnd"/>
      <w:r w:rsidRPr="00FD35ED">
        <w:t xml:space="preserve"> compared to </w:t>
      </w:r>
      <w:r w:rsidR="00C6357B">
        <w:t>investigator’s choice of treatment</w:t>
      </w:r>
      <w:r w:rsidR="00C6357B" w:rsidRPr="00FD35ED">
        <w:t xml:space="preserve"> </w:t>
      </w:r>
      <w:r w:rsidRPr="00FD35ED">
        <w:t>(</w:t>
      </w:r>
      <w:r w:rsidR="00C6357B">
        <w:t>hazard ratio</w:t>
      </w:r>
      <w:r w:rsidR="00C6357B" w:rsidRPr="00FD35ED">
        <w:t xml:space="preserve"> </w:t>
      </w:r>
      <w:r w:rsidRPr="00FD35ED">
        <w:t xml:space="preserve">of 0.51 </w:t>
      </w:r>
      <w:r w:rsidR="001C7332" w:rsidRPr="00FD35ED">
        <w:t>(</w:t>
      </w:r>
      <w:r w:rsidRPr="00FD35ED">
        <w:t>95% CI: 0.37, 0.71</w:t>
      </w:r>
      <w:r w:rsidR="001C7332" w:rsidRPr="00FD35ED">
        <w:t>)</w:t>
      </w:r>
      <w:r w:rsidRPr="00FD35ED">
        <w:t>, p</w:t>
      </w:r>
      <w:r w:rsidR="006D7C69" w:rsidRPr="00FD35ED">
        <w:t xml:space="preserve"> </w:t>
      </w:r>
      <w:r w:rsidRPr="00FD35ED">
        <w:t>&lt;</w:t>
      </w:r>
      <w:r w:rsidR="006D7C69" w:rsidRPr="00FD35ED">
        <w:t xml:space="preserve"> </w:t>
      </w:r>
      <w:r w:rsidRPr="00FD35ED">
        <w:t xml:space="preserve">0.0001). The difference in median </w:t>
      </w:r>
      <w:r w:rsidR="00C6357B">
        <w:t>overall survival</w:t>
      </w:r>
      <w:r w:rsidR="00C6357B" w:rsidRPr="00FD35ED">
        <w:t xml:space="preserve"> </w:t>
      </w:r>
      <w:r w:rsidRPr="00FD35ED">
        <w:t>between arms was 5.7 months.</w:t>
      </w:r>
    </w:p>
    <w:p w14:paraId="5FBBE54D" w14:textId="579CE5EB" w:rsidR="00222799" w:rsidRPr="00FD35ED" w:rsidRDefault="00222799" w:rsidP="00985193">
      <w:r w:rsidRPr="00FD35ED">
        <w:t xml:space="preserve">The safety profile of </w:t>
      </w:r>
      <w:proofErr w:type="spellStart"/>
      <w:r w:rsidRPr="00FD35ED">
        <w:t>tebentafusp</w:t>
      </w:r>
      <w:proofErr w:type="spellEnd"/>
      <w:r w:rsidRPr="00FD35ED">
        <w:t xml:space="preserve"> for the treatment of HLA‐A*02:01‐positive metastatic or unresectable uveal melanoma appears acceptable for a therapy used for the treatment of a serious and life‐threatening disease. The most important adverse effect caused by </w:t>
      </w:r>
      <w:proofErr w:type="spellStart"/>
      <w:r w:rsidRPr="00FD35ED">
        <w:t>tebentafusp</w:t>
      </w:r>
      <w:proofErr w:type="spellEnd"/>
      <w:r w:rsidRPr="00FD35ED">
        <w:t xml:space="preserve"> is cytokine release syndrome (CRS), which was associated with two cases of multi-organ failure in the clinical development program. The first three doses of </w:t>
      </w:r>
      <w:proofErr w:type="spellStart"/>
      <w:r w:rsidRPr="00FD35ED">
        <w:t>tebentafusp</w:t>
      </w:r>
      <w:proofErr w:type="spellEnd"/>
      <w:r w:rsidRPr="00FD35ED">
        <w:t xml:space="preserve"> carry the greatest risk of </w:t>
      </w:r>
      <w:proofErr w:type="gramStart"/>
      <w:r w:rsidRPr="00FD35ED">
        <w:t>CRS, and</w:t>
      </w:r>
      <w:proofErr w:type="gramEnd"/>
      <w:r w:rsidRPr="00FD35ED">
        <w:t xml:space="preserve"> must be given in an appropriate setting. A black box warning is required in the Australian P</w:t>
      </w:r>
      <w:r w:rsidR="00CC695D" w:rsidRPr="00FD35ED">
        <w:t>I</w:t>
      </w:r>
      <w:r w:rsidRPr="00FD35ED">
        <w:t xml:space="preserve"> to highlight this potentially fatal reaction. A communication plan should also be in place to educate Australian clinicians who will prescribe </w:t>
      </w:r>
      <w:proofErr w:type="spellStart"/>
      <w:r w:rsidRPr="00FD35ED">
        <w:t>tebentafusp</w:t>
      </w:r>
      <w:proofErr w:type="spellEnd"/>
      <w:r w:rsidRPr="00FD35ED">
        <w:t xml:space="preserve"> regarding the risk of CRS.</w:t>
      </w:r>
    </w:p>
    <w:p w14:paraId="7D41E72B" w14:textId="52F23776" w:rsidR="00222799" w:rsidRPr="00FD35ED" w:rsidRDefault="00222799" w:rsidP="00985193">
      <w:proofErr w:type="spellStart"/>
      <w:r w:rsidRPr="00FD35ED">
        <w:t>Tebentafusp</w:t>
      </w:r>
      <w:proofErr w:type="spellEnd"/>
      <w:r w:rsidRPr="00FD35ED">
        <w:t xml:space="preserve"> also commonly causes skin toxicity and hepatic enzyme elevation, but such reactions are generally low grade. Immunogenicity appears to occur in around 30% of patients, but does not appear to affect safety or efficacy, based on the available evidence.</w:t>
      </w:r>
    </w:p>
    <w:p w14:paraId="427F3063" w14:textId="77777777" w:rsidR="0074163C" w:rsidRPr="00FD35ED" w:rsidRDefault="0074163C" w:rsidP="0074163C">
      <w:pPr>
        <w:pStyle w:val="Heading4"/>
      </w:pPr>
      <w:bookmarkStart w:id="111" w:name="_Toc98931933"/>
      <w:r w:rsidRPr="00FD35ED">
        <w:t>Proposed action</w:t>
      </w:r>
      <w:bookmarkEnd w:id="111"/>
    </w:p>
    <w:p w14:paraId="547064A4" w14:textId="61F666EA" w:rsidR="00222799" w:rsidRPr="00FD35ED" w:rsidRDefault="00222799" w:rsidP="00222799">
      <w:r w:rsidRPr="00FD35ED">
        <w:t xml:space="preserve">Overall, </w:t>
      </w:r>
      <w:proofErr w:type="spellStart"/>
      <w:r w:rsidRPr="00FD35ED">
        <w:t>tebentafusp</w:t>
      </w:r>
      <w:proofErr w:type="spellEnd"/>
      <w:r w:rsidRPr="00FD35ED">
        <w:t xml:space="preserve"> has demonstrated a survival advantage and an acceptable toxicity profile for patients with a dire prognosis who have no other registered treatment option. The benefit-risk balance of </w:t>
      </w:r>
      <w:proofErr w:type="spellStart"/>
      <w:r w:rsidRPr="00FD35ED">
        <w:t>tebentafusp</w:t>
      </w:r>
      <w:proofErr w:type="spellEnd"/>
      <w:r w:rsidRPr="00FD35ED">
        <w:t xml:space="preserve"> for the proposed usage, </w:t>
      </w:r>
      <w:proofErr w:type="gramStart"/>
      <w:r w:rsidRPr="00FD35ED">
        <w:t>taking into account</w:t>
      </w:r>
      <w:proofErr w:type="gramEnd"/>
      <w:r w:rsidRPr="00FD35ED">
        <w:t xml:space="preserve"> the uncertainties, is positive.</w:t>
      </w:r>
    </w:p>
    <w:p w14:paraId="27206522" w14:textId="77777777" w:rsidR="0074163C" w:rsidRPr="00FD35ED" w:rsidRDefault="0074163C" w:rsidP="0074163C">
      <w:pPr>
        <w:pStyle w:val="Heading4"/>
      </w:pPr>
      <w:bookmarkStart w:id="112" w:name="_Toc98931936"/>
      <w:bookmarkStart w:id="113" w:name="_Toc247691532"/>
      <w:bookmarkStart w:id="114" w:name="_Toc314842516"/>
      <w:bookmarkEnd w:id="43"/>
      <w:bookmarkEnd w:id="104"/>
      <w:bookmarkEnd w:id="105"/>
      <w:r w:rsidRPr="00FD35ED">
        <w:t>Advisory Committee considerations</w:t>
      </w:r>
      <w:bookmarkEnd w:id="112"/>
    </w:p>
    <w:p w14:paraId="507604FF" w14:textId="274B0EBF" w:rsidR="0074163C" w:rsidRPr="00FD35ED" w:rsidRDefault="0074163C" w:rsidP="0074163C">
      <w:r w:rsidRPr="00FD35ED">
        <w:t xml:space="preserve">The Delegate did not refer this </w:t>
      </w:r>
      <w:r w:rsidR="00BB0B78" w:rsidRPr="00FD35ED">
        <w:t>submission</w:t>
      </w:r>
      <w:r w:rsidRPr="00FD35ED">
        <w:t xml:space="preserve"> to the Advisory Committee on Medicines (ACM) for advice.</w:t>
      </w:r>
    </w:p>
    <w:p w14:paraId="5AAA86CC" w14:textId="77777777" w:rsidR="008E7846" w:rsidRPr="00FD35ED" w:rsidRDefault="008E7846" w:rsidP="00D212F3">
      <w:pPr>
        <w:pStyle w:val="Heading2"/>
      </w:pPr>
      <w:bookmarkStart w:id="115" w:name="_Toc119316345"/>
      <w:r w:rsidRPr="00FD35ED">
        <w:t>Outcome</w:t>
      </w:r>
      <w:bookmarkEnd w:id="113"/>
      <w:bookmarkEnd w:id="114"/>
      <w:bookmarkEnd w:id="115"/>
    </w:p>
    <w:p w14:paraId="5B0229FB" w14:textId="63F031C4" w:rsidR="0074163C" w:rsidRPr="00FD35ED" w:rsidRDefault="0074163C" w:rsidP="0074163C">
      <w:bookmarkStart w:id="116" w:name="_Toc247691533"/>
      <w:bookmarkStart w:id="117" w:name="_Toc314842517"/>
      <w:r w:rsidRPr="00FD35ED">
        <w:t xml:space="preserve">Based on a review of quality, </w:t>
      </w:r>
      <w:r w:rsidR="00CC5044" w:rsidRPr="00FD35ED">
        <w:t>safety,</w:t>
      </w:r>
      <w:r w:rsidRPr="00FD35ED">
        <w:t xml:space="preserve"> and efficacy, the TGA approved the registration of </w:t>
      </w:r>
      <w:proofErr w:type="spellStart"/>
      <w:r w:rsidR="00EA6D30" w:rsidRPr="00FD35ED">
        <w:t>Kimmtrak</w:t>
      </w:r>
      <w:proofErr w:type="spellEnd"/>
      <w:r w:rsidR="00EA6D30" w:rsidRPr="00FD35ED">
        <w:t xml:space="preserve"> </w:t>
      </w:r>
      <w:r w:rsidRPr="00FD35ED">
        <w:t>(</w:t>
      </w:r>
      <w:proofErr w:type="spellStart"/>
      <w:r w:rsidR="00EA6D30" w:rsidRPr="00FD35ED">
        <w:t>tebentafusp</w:t>
      </w:r>
      <w:proofErr w:type="spellEnd"/>
      <w:r w:rsidRPr="00FD35ED">
        <w:t xml:space="preserve">) </w:t>
      </w:r>
      <w:r w:rsidR="005545C8" w:rsidRPr="00FD35ED">
        <w:t>0.1 mg/0.5 mL</w:t>
      </w:r>
      <w:r w:rsidRPr="00FD35ED">
        <w:t xml:space="preserve">, </w:t>
      </w:r>
      <w:r w:rsidR="005545C8" w:rsidRPr="00FD35ED">
        <w:t>concentrated solution for infusion</w:t>
      </w:r>
      <w:r w:rsidRPr="00FD35ED">
        <w:t xml:space="preserve">, </w:t>
      </w:r>
      <w:r w:rsidR="005545C8" w:rsidRPr="00FD35ED">
        <w:t>vial</w:t>
      </w:r>
      <w:r w:rsidRPr="00FD35ED">
        <w:t>, indicated for:</w:t>
      </w:r>
    </w:p>
    <w:p w14:paraId="7D117545" w14:textId="2F2B66EA" w:rsidR="0074163C" w:rsidRPr="00FD35ED" w:rsidRDefault="005545C8" w:rsidP="005545C8">
      <w:pPr>
        <w:ind w:left="720"/>
      </w:pPr>
      <w:proofErr w:type="spellStart"/>
      <w:r w:rsidRPr="00FD35ED">
        <w:rPr>
          <w:i/>
          <w:iCs/>
        </w:rPr>
        <w:t>Kimmtrak</w:t>
      </w:r>
      <w:proofErr w:type="spellEnd"/>
      <w:r w:rsidRPr="00FD35ED">
        <w:rPr>
          <w:i/>
          <w:iCs/>
        </w:rPr>
        <w:t xml:space="preserve"> is indicated for the treatment of HLA-A*02:01-positive adult patients with unresectable or metastatic uveal melanoma.</w:t>
      </w:r>
    </w:p>
    <w:p w14:paraId="2159B041" w14:textId="77777777" w:rsidR="00D23139" w:rsidRPr="00FD35ED" w:rsidRDefault="00D23139" w:rsidP="00D212F3">
      <w:pPr>
        <w:pStyle w:val="Heading3"/>
      </w:pPr>
      <w:bookmarkStart w:id="118" w:name="_Toc119316346"/>
      <w:r w:rsidRPr="00FD35ED">
        <w:t>Specific conditions of registration applying to these goods</w:t>
      </w:r>
      <w:bookmarkEnd w:id="118"/>
    </w:p>
    <w:p w14:paraId="0D1F9B76" w14:textId="44791CFC" w:rsidR="005545C8" w:rsidRPr="00FD35ED" w:rsidRDefault="005545C8" w:rsidP="00BC1B01">
      <w:pPr>
        <w:pStyle w:val="ListBullet"/>
      </w:pPr>
      <w:proofErr w:type="spellStart"/>
      <w:r w:rsidRPr="00FD35ED">
        <w:t>Kimmtrak</w:t>
      </w:r>
      <w:proofErr w:type="spellEnd"/>
      <w:r w:rsidRPr="00FD35ED">
        <w:t xml:space="preserve"> (</w:t>
      </w:r>
      <w:proofErr w:type="spellStart"/>
      <w:r w:rsidRPr="00FD35ED">
        <w:t>tebentafusp</w:t>
      </w:r>
      <w:proofErr w:type="spellEnd"/>
      <w:r w:rsidRPr="00FD35ED">
        <w:t>) is to be included in the Black Triangle Scheme. The PI and CMI</w:t>
      </w:r>
      <w:r w:rsidR="003A72F4" w:rsidRPr="00FD35ED">
        <w:t xml:space="preserve"> </w:t>
      </w:r>
      <w:r w:rsidRPr="00FD35ED">
        <w:t xml:space="preserve">for </w:t>
      </w:r>
      <w:proofErr w:type="spellStart"/>
      <w:r w:rsidRPr="00FD35ED">
        <w:t>Kimmtrak</w:t>
      </w:r>
      <w:proofErr w:type="spellEnd"/>
      <w:r w:rsidRPr="00FD35ED">
        <w:t xml:space="preserve"> must include the black triangle symbol and mandatory accompanying text for five years, which starts from the date that the sponsor notifies the TGA of supply of the product.</w:t>
      </w:r>
    </w:p>
    <w:p w14:paraId="1EB0834C" w14:textId="4F8CA2F1" w:rsidR="005545C8" w:rsidRPr="00FD35ED" w:rsidRDefault="005545C8" w:rsidP="00BC1B01">
      <w:pPr>
        <w:pStyle w:val="ListBullet"/>
      </w:pPr>
      <w:r w:rsidRPr="00FD35ED">
        <w:t xml:space="preserve">The </w:t>
      </w:r>
      <w:proofErr w:type="spellStart"/>
      <w:r w:rsidRPr="00FD35ED">
        <w:t>Kimmtrak</w:t>
      </w:r>
      <w:proofErr w:type="spellEnd"/>
      <w:r w:rsidRPr="00FD35ED">
        <w:t xml:space="preserve"> EU-</w:t>
      </w:r>
      <w:r w:rsidR="00CC695D" w:rsidRPr="00FD35ED">
        <w:t xml:space="preserve">risk management plan </w:t>
      </w:r>
      <w:r w:rsidRPr="00FD35ED">
        <w:t>(RMP) (version 0.3, dated 28 Jan</w:t>
      </w:r>
      <w:r w:rsidR="00CC695D" w:rsidRPr="00FD35ED">
        <w:t>uary</w:t>
      </w:r>
      <w:r w:rsidRPr="00FD35ED">
        <w:t xml:space="preserve"> 2022, data lock point 13 October 2020), with Australian </w:t>
      </w:r>
      <w:r w:rsidR="00CC695D" w:rsidRPr="00FD35ED">
        <w:t xml:space="preserve">specific annex </w:t>
      </w:r>
      <w:r w:rsidRPr="00FD35ED">
        <w:t>(version 0.2, dated 15</w:t>
      </w:r>
      <w:r w:rsidR="00CC695D" w:rsidRPr="00FD35ED">
        <w:t> </w:t>
      </w:r>
      <w:r w:rsidRPr="00FD35ED">
        <w:t xml:space="preserve">February 2022), included with </w:t>
      </w:r>
      <w:r w:rsidR="00CC695D" w:rsidRPr="00FD35ED">
        <w:t xml:space="preserve">Submission </w:t>
      </w:r>
      <w:r w:rsidRPr="00FD35ED">
        <w:t>PM-2021-04357-1-4, and any subsequent revisions, as agreed with the TGA will be implemented in Australia.</w:t>
      </w:r>
    </w:p>
    <w:p w14:paraId="24526B93" w14:textId="3195412A" w:rsidR="005545C8" w:rsidRPr="00FD35ED" w:rsidRDefault="005545C8" w:rsidP="00BC1B01">
      <w:pPr>
        <w:pStyle w:val="ListBullet"/>
        <w:numPr>
          <w:ilvl w:val="0"/>
          <w:numId w:val="0"/>
        </w:numPr>
        <w:ind w:left="360"/>
      </w:pPr>
      <w:r w:rsidRPr="00FD35ED">
        <w:lastRenderedPageBreak/>
        <w:t>An obligatory component of risk management plans is routine pharmacovigilance.</w:t>
      </w:r>
      <w:r w:rsidR="00BC1B01" w:rsidRPr="00FD35ED">
        <w:t xml:space="preserve"> </w:t>
      </w:r>
      <w:r w:rsidRPr="00FD35ED">
        <w:t>Routine pharmacovigilance includes the submission of periodic safety update reports</w:t>
      </w:r>
      <w:r w:rsidR="00BC1B01" w:rsidRPr="00FD35ED">
        <w:t xml:space="preserve"> </w:t>
      </w:r>
      <w:r w:rsidRPr="00FD35ED">
        <w:t>(PSURs).</w:t>
      </w:r>
    </w:p>
    <w:p w14:paraId="104B1D84" w14:textId="12115304" w:rsidR="005545C8" w:rsidRPr="00FD35ED" w:rsidRDefault="005545C8" w:rsidP="00BC1B01">
      <w:pPr>
        <w:pStyle w:val="ListBullet"/>
        <w:numPr>
          <w:ilvl w:val="0"/>
          <w:numId w:val="0"/>
        </w:numPr>
        <w:ind w:left="360"/>
      </w:pPr>
      <w:r w:rsidRPr="00FD35ED">
        <w:t>Reports are to be provided in line with the current published list of EU reference dates</w:t>
      </w:r>
      <w:r w:rsidR="00BC1B01" w:rsidRPr="00FD35ED">
        <w:t xml:space="preserve"> </w:t>
      </w:r>
      <w:r w:rsidRPr="00FD35ED">
        <w:t>and frequency of submission of PSURs until the period covered by such reports is not</w:t>
      </w:r>
      <w:r w:rsidR="00BC1B01" w:rsidRPr="00FD35ED">
        <w:t xml:space="preserve"> </w:t>
      </w:r>
      <w:r w:rsidRPr="00FD35ED">
        <w:t xml:space="preserve">less than three years from the date of </w:t>
      </w:r>
      <w:r w:rsidR="00CC695D" w:rsidRPr="00FD35ED">
        <w:t>the</w:t>
      </w:r>
      <w:r w:rsidRPr="00FD35ED">
        <w:t xml:space="preserve"> approval letter.</w:t>
      </w:r>
    </w:p>
    <w:p w14:paraId="55336F56" w14:textId="532AB539" w:rsidR="005545C8" w:rsidRPr="00FD35ED" w:rsidRDefault="005545C8" w:rsidP="00BC1B01">
      <w:pPr>
        <w:pStyle w:val="ListBullet"/>
        <w:numPr>
          <w:ilvl w:val="0"/>
          <w:numId w:val="0"/>
        </w:numPr>
        <w:ind w:left="360"/>
      </w:pPr>
      <w:r w:rsidRPr="00FD35ED">
        <w:t>The reports are to at least meet the requirements for PSURs as described in the</w:t>
      </w:r>
      <w:r w:rsidR="00BC1B01" w:rsidRPr="00FD35ED">
        <w:t xml:space="preserve"> </w:t>
      </w:r>
      <w:r w:rsidRPr="00FD35ED">
        <w:t xml:space="preserve">European Medicines Agency’s Guideline on </w:t>
      </w:r>
      <w:r w:rsidR="00CC695D" w:rsidRPr="00FD35ED">
        <w:t xml:space="preserve">Good Pharmacovigilance Practices </w:t>
      </w:r>
      <w:r w:rsidRPr="00FD35ED">
        <w:t>(GVP)</w:t>
      </w:r>
      <w:r w:rsidR="00BC1B01" w:rsidRPr="00FD35ED">
        <w:t xml:space="preserve"> </w:t>
      </w:r>
      <w:r w:rsidRPr="00FD35ED">
        <w:t>Module VII-periodic safety update report (Rev 1), Part VII.B Structures and processes.</w:t>
      </w:r>
      <w:r w:rsidR="00BC1B01" w:rsidRPr="00FD35ED">
        <w:t xml:space="preserve"> </w:t>
      </w:r>
      <w:r w:rsidRPr="00FD35ED">
        <w:t>Note that submission of a PSUR does not constitute an application to vary the</w:t>
      </w:r>
      <w:r w:rsidR="00BC1B01" w:rsidRPr="00FD35ED">
        <w:t xml:space="preserve"> </w:t>
      </w:r>
      <w:r w:rsidRPr="00FD35ED">
        <w:t>registration.</w:t>
      </w:r>
    </w:p>
    <w:p w14:paraId="2F11C853" w14:textId="16A575FE" w:rsidR="005545C8" w:rsidRPr="00FD35ED" w:rsidRDefault="00BC1B01" w:rsidP="00BC1B01">
      <w:pPr>
        <w:pStyle w:val="ListBullet"/>
      </w:pPr>
      <w:r w:rsidRPr="00FD35ED">
        <w:t>For all injectable products the Product Information must be included with the product as a package insert.</w:t>
      </w:r>
    </w:p>
    <w:p w14:paraId="6AA269C6" w14:textId="77777777" w:rsidR="008E7846" w:rsidRPr="00FD35ED" w:rsidRDefault="00A80B5B" w:rsidP="00D23139">
      <w:pPr>
        <w:pStyle w:val="Heading2"/>
      </w:pPr>
      <w:bookmarkStart w:id="119" w:name="_Toc119316347"/>
      <w:r w:rsidRPr="00FD35ED">
        <w:t xml:space="preserve">Attachment 1. </w:t>
      </w:r>
      <w:r w:rsidR="008E7846" w:rsidRPr="00FD35ED">
        <w:t xml:space="preserve">Product </w:t>
      </w:r>
      <w:r w:rsidR="00AA0ED0" w:rsidRPr="00FD35ED">
        <w:t>I</w:t>
      </w:r>
      <w:r w:rsidR="008E7846" w:rsidRPr="00FD35ED">
        <w:t>nformation</w:t>
      </w:r>
      <w:bookmarkEnd w:id="116"/>
      <w:bookmarkEnd w:id="117"/>
      <w:bookmarkEnd w:id="119"/>
    </w:p>
    <w:p w14:paraId="73C0B448" w14:textId="00600383" w:rsidR="00523A21" w:rsidRPr="00FD35ED" w:rsidRDefault="006136D7" w:rsidP="00C80137">
      <w:r w:rsidRPr="00FD35ED">
        <w:t xml:space="preserve">The PI for </w:t>
      </w:r>
      <w:proofErr w:type="spellStart"/>
      <w:r w:rsidR="00EA6D30" w:rsidRPr="00FD35ED">
        <w:t>Kimmtrak</w:t>
      </w:r>
      <w:proofErr w:type="spellEnd"/>
      <w:r w:rsidR="00EA6D30" w:rsidRPr="00FD35ED">
        <w:t xml:space="preserve"> </w:t>
      </w:r>
      <w:r w:rsidRPr="00FD35ED">
        <w:t xml:space="preserve">approved with the submission which is described in this </w:t>
      </w:r>
      <w:proofErr w:type="spellStart"/>
      <w:r w:rsidRPr="00FD35ED">
        <w:t>AusPAR</w:t>
      </w:r>
      <w:proofErr w:type="spellEnd"/>
      <w:r w:rsidRPr="00FD35ED">
        <w:t xml:space="preserve"> is at Attachment 1.</w:t>
      </w:r>
      <w:r w:rsidR="00CC5044" w:rsidRPr="00FD35ED">
        <w:t xml:space="preserve"> </w:t>
      </w:r>
      <w:r w:rsidR="0074163C" w:rsidRPr="00FD35ED">
        <w:t xml:space="preserve">For the most recent PI, please refer to the TGA </w:t>
      </w:r>
      <w:hyperlink r:id="rId27" w:history="1">
        <w:r w:rsidR="0074163C" w:rsidRPr="00FD35ED">
          <w:rPr>
            <w:rStyle w:val="Hyperlink"/>
          </w:rPr>
          <w:t>PI/CMI search facility</w:t>
        </w:r>
        <w:r w:rsidR="0074163C" w:rsidRPr="00FD35ED">
          <w:rPr>
            <w:rStyle w:val="Hyperlink"/>
            <w:color w:val="auto"/>
            <w:u w:val="none"/>
          </w:rPr>
          <w:t>.</w:t>
        </w:r>
      </w:hyperlink>
    </w:p>
    <w:p w14:paraId="718B85C4" w14:textId="6F87B1F5" w:rsidR="00744121" w:rsidRPr="00FD35ED" w:rsidRDefault="00744121" w:rsidP="00744121"/>
    <w:p w14:paraId="1097A9AA" w14:textId="77777777" w:rsidR="00C80137" w:rsidRPr="00FD35ED" w:rsidRDefault="00C80137" w:rsidP="003A7F6C">
      <w:pPr>
        <w:pStyle w:val="TableTitle"/>
        <w:sectPr w:rsidR="00C80137" w:rsidRPr="00FD35ED" w:rsidSect="00B452CE">
          <w:headerReference w:type="even" r:id="rId28"/>
          <w:headerReference w:type="default" r:id="rId29"/>
          <w:headerReference w:type="first" r:id="rId30"/>
          <w:footerReference w:type="first" r:id="rId3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FD35ED" w14:paraId="3B047C3E" w14:textId="77777777" w:rsidTr="00A05FA4">
        <w:trPr>
          <w:trHeight w:hRule="exact" w:val="704"/>
        </w:trPr>
        <w:tc>
          <w:tcPr>
            <w:tcW w:w="9175" w:type="dxa"/>
          </w:tcPr>
          <w:p w14:paraId="2554A32B" w14:textId="77777777" w:rsidR="001C32CD" w:rsidRPr="00FD35ED" w:rsidRDefault="001C32CD" w:rsidP="00A05FA4">
            <w:pPr>
              <w:pStyle w:val="TGASignoff"/>
            </w:pPr>
            <w:r w:rsidRPr="00FD35ED">
              <w:lastRenderedPageBreak/>
              <w:t>Therapeutic Goods Administration</w:t>
            </w:r>
          </w:p>
        </w:tc>
      </w:tr>
      <w:tr w:rsidR="001C32CD" w:rsidRPr="004C239D" w14:paraId="131A7769" w14:textId="77777777" w:rsidTr="00A05FA4">
        <w:trPr>
          <w:trHeight w:val="1221"/>
        </w:trPr>
        <w:tc>
          <w:tcPr>
            <w:tcW w:w="9175" w:type="dxa"/>
            <w:tcMar>
              <w:top w:w="28" w:type="dxa"/>
            </w:tcMar>
          </w:tcPr>
          <w:p w14:paraId="361F2546" w14:textId="77777777" w:rsidR="001C32CD" w:rsidRPr="00FD35ED" w:rsidRDefault="001C32CD" w:rsidP="00A05FA4">
            <w:pPr>
              <w:pStyle w:val="Address"/>
            </w:pPr>
            <w:r w:rsidRPr="00FD35ED">
              <w:t>PO Box 100 Woden ACT 2606 Australia</w:t>
            </w:r>
          </w:p>
          <w:p w14:paraId="63E5C498" w14:textId="7E736BC3" w:rsidR="001C32CD" w:rsidRPr="00FD35ED" w:rsidRDefault="001C32CD" w:rsidP="00A05FA4">
            <w:pPr>
              <w:pStyle w:val="Address"/>
            </w:pPr>
            <w:r w:rsidRPr="00FD35ED">
              <w:t xml:space="preserve">Email: </w:t>
            </w:r>
            <w:hyperlink r:id="rId32" w:history="1">
              <w:r w:rsidRPr="00FD35ED">
                <w:rPr>
                  <w:rStyle w:val="Hyperlink"/>
                </w:rPr>
                <w:t>info@tga.gov.au</w:t>
              </w:r>
            </w:hyperlink>
            <w:r w:rsidRPr="00FD35ED">
              <w:t xml:space="preserve">  Phone: 1800 020 </w:t>
            </w:r>
            <w:proofErr w:type="gramStart"/>
            <w:r w:rsidRPr="00FD35ED">
              <w:t>653  Fax</w:t>
            </w:r>
            <w:proofErr w:type="gramEnd"/>
            <w:r w:rsidRPr="00FD35ED">
              <w:t>: 02 6232 8605</w:t>
            </w:r>
          </w:p>
          <w:p w14:paraId="00B3F714" w14:textId="2CFA1A5E" w:rsidR="001C32CD" w:rsidRPr="004C239D" w:rsidRDefault="00FD1AC7" w:rsidP="00A05FA4">
            <w:pPr>
              <w:pStyle w:val="Address"/>
              <w:spacing w:line="260" w:lineRule="atLeast"/>
              <w:rPr>
                <w:b/>
                <w:color w:val="0000FF"/>
                <w:u w:val="single"/>
              </w:rPr>
            </w:pPr>
            <w:hyperlink r:id="rId33" w:history="1">
              <w:r w:rsidR="007C6B9B" w:rsidRPr="00FD35ED">
                <w:rPr>
                  <w:rStyle w:val="Hyperlink"/>
                  <w:b/>
                </w:rPr>
                <w:t>https://www.tga.gov.au</w:t>
              </w:r>
            </w:hyperlink>
          </w:p>
        </w:tc>
      </w:tr>
    </w:tbl>
    <w:p w14:paraId="7963B303" w14:textId="77777777" w:rsidR="00774E1D" w:rsidRPr="008A5E0B" w:rsidRDefault="00774E1D" w:rsidP="004C239D"/>
    <w:sectPr w:rsidR="00774E1D" w:rsidRPr="008A5E0B" w:rsidSect="001C32CD">
      <w:headerReference w:type="even" r:id="rId34"/>
      <w:headerReference w:type="default" r:id="rId35"/>
      <w:footerReference w:type="default" r:id="rId36"/>
      <w:headerReference w:type="first" r:id="rId37"/>
      <w:footerReference w:type="first" r:id="rId3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C0B2F" w14:textId="77777777" w:rsidR="002A4EAE" w:rsidRDefault="002A4EAE" w:rsidP="00C40A36">
      <w:pPr>
        <w:spacing w:after="0"/>
      </w:pPr>
      <w:r>
        <w:separator/>
      </w:r>
    </w:p>
  </w:endnote>
  <w:endnote w:type="continuationSeparator" w:id="0">
    <w:p w14:paraId="17E02D06" w14:textId="77777777" w:rsidR="002A4EAE" w:rsidRDefault="002A4EA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MS Mincho"/>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A4EAE" w:rsidRPr="00487162" w14:paraId="7F6E5576" w14:textId="77777777" w:rsidTr="00DB750B">
      <w:trPr>
        <w:trHeight w:val="269"/>
      </w:trPr>
      <w:tc>
        <w:tcPr>
          <w:tcW w:w="7371" w:type="dxa"/>
          <w:tcMar>
            <w:top w:w="142" w:type="dxa"/>
            <w:bottom w:w="0" w:type="dxa"/>
          </w:tcMar>
        </w:tcPr>
        <w:p w14:paraId="1DC5ED7F" w14:textId="74323E1D" w:rsidR="002A4EAE" w:rsidRPr="00487162" w:rsidRDefault="002A4EAE" w:rsidP="00460036">
          <w:pPr>
            <w:pStyle w:val="Footer"/>
          </w:pPr>
          <w:proofErr w:type="spellStart"/>
          <w:r w:rsidRPr="00487162">
            <w:t>AusPA</w:t>
          </w:r>
          <w:r>
            <w:t>R</w:t>
          </w:r>
          <w:proofErr w:type="spellEnd"/>
          <w:r>
            <w:t xml:space="preserve"> - </w:t>
          </w:r>
          <w:proofErr w:type="spellStart"/>
          <w:r w:rsidRPr="00EA6D30">
            <w:t>Kimmtrak</w:t>
          </w:r>
          <w:proofErr w:type="spellEnd"/>
          <w:r w:rsidRPr="00EA6D30">
            <w:t xml:space="preserve"> </w:t>
          </w:r>
          <w:r>
            <w:t>-</w:t>
          </w:r>
          <w:r w:rsidRPr="00460036">
            <w:t xml:space="preserve"> </w:t>
          </w:r>
          <w:proofErr w:type="spellStart"/>
          <w:r w:rsidRPr="00EA6D30">
            <w:t>tebentafusp</w:t>
          </w:r>
          <w:proofErr w:type="spellEnd"/>
          <w:r w:rsidRPr="00EA6D30">
            <w:t xml:space="preserve"> </w:t>
          </w:r>
          <w:r>
            <w:t xml:space="preserve">- </w:t>
          </w:r>
          <w:r w:rsidRPr="00EA6D30">
            <w:t>Adjutor Healthcare Pty Ltd</w:t>
          </w:r>
          <w:r>
            <w:t xml:space="preserve"> - </w:t>
          </w:r>
          <w:r w:rsidRPr="00EA6D30">
            <w:t>PM-2021-04357-1-4</w:t>
          </w:r>
          <w:r>
            <w:br/>
          </w:r>
          <w:r w:rsidR="0089264D">
            <w:t>Final</w:t>
          </w:r>
          <w:r>
            <w:t xml:space="preserve"> 2</w:t>
          </w:r>
          <w:r w:rsidR="00280D26">
            <w:t>5</w:t>
          </w:r>
          <w:r w:rsidR="0089264D">
            <w:t xml:space="preserve"> October</w:t>
          </w:r>
          <w:r>
            <w:t xml:space="preserve"> 2022</w:t>
          </w:r>
        </w:p>
      </w:tc>
      <w:tc>
        <w:tcPr>
          <w:tcW w:w="1490" w:type="dxa"/>
          <w:tcMar>
            <w:top w:w="142" w:type="dxa"/>
            <w:bottom w:w="0" w:type="dxa"/>
          </w:tcMar>
        </w:tcPr>
        <w:p w14:paraId="4D34D8CF" w14:textId="1460D804" w:rsidR="002A4EAE" w:rsidRPr="00487162" w:rsidRDefault="002A4EAE" w:rsidP="00DB750B">
          <w:pPr>
            <w:pStyle w:val="Footer"/>
            <w:jc w:val="right"/>
          </w:pPr>
          <w:r w:rsidRPr="00487162">
            <w:t xml:space="preserve">Page </w:t>
          </w:r>
          <w:r>
            <w:fldChar w:fldCharType="begin"/>
          </w:r>
          <w:r>
            <w:instrText xml:space="preserve"> PAGE  \* Arabic </w:instrText>
          </w:r>
          <w:r>
            <w:fldChar w:fldCharType="separate"/>
          </w:r>
          <w:r w:rsidR="00BE798D">
            <w:rPr>
              <w:noProof/>
            </w:rPr>
            <w:t>13</w:t>
          </w:r>
          <w:r>
            <w:fldChar w:fldCharType="end"/>
          </w:r>
          <w:r w:rsidRPr="00487162">
            <w:t xml:space="preserve"> of </w:t>
          </w:r>
          <w:fldSimple w:instr=" NUMPAGES  \* Arabic ">
            <w:r w:rsidR="00BE798D">
              <w:rPr>
                <w:noProof/>
              </w:rPr>
              <w:t>47</w:t>
            </w:r>
          </w:fldSimple>
        </w:p>
      </w:tc>
    </w:tr>
  </w:tbl>
  <w:p w14:paraId="46D18F05" w14:textId="77777777" w:rsidR="002A4EAE" w:rsidRDefault="002A4EAE"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A4EAE" w:rsidRPr="00487162" w14:paraId="2BA49173" w14:textId="77777777" w:rsidTr="00E45619">
      <w:trPr>
        <w:trHeight w:val="269"/>
      </w:trPr>
      <w:tc>
        <w:tcPr>
          <w:tcW w:w="4519" w:type="dxa"/>
          <w:tcBorders>
            <w:top w:val="single" w:sz="4" w:space="0" w:color="auto"/>
          </w:tcBorders>
          <w:tcMar>
            <w:top w:w="142" w:type="dxa"/>
            <w:bottom w:w="0" w:type="dxa"/>
          </w:tcMar>
        </w:tcPr>
        <w:p w14:paraId="02778B69" w14:textId="77777777" w:rsidR="002A4EAE" w:rsidRPr="00487162" w:rsidRDefault="002A4EAE" w:rsidP="00FE1DEE">
          <w:pPr>
            <w:pStyle w:val="Footer"/>
          </w:pPr>
          <w:r w:rsidRPr="00487162">
            <w:t>Document title, Part #, Section # - Section title</w:t>
          </w:r>
        </w:p>
        <w:p w14:paraId="3F2BE7F4" w14:textId="77777777" w:rsidR="002A4EAE" w:rsidRPr="00487162" w:rsidRDefault="002A4EAE" w:rsidP="00FE1DEE">
          <w:pPr>
            <w:pStyle w:val="Footer"/>
          </w:pPr>
          <w:r w:rsidRPr="00487162">
            <w:t>V1.0 October 2010</w:t>
          </w:r>
        </w:p>
      </w:tc>
      <w:tc>
        <w:tcPr>
          <w:tcW w:w="4342" w:type="dxa"/>
          <w:tcBorders>
            <w:top w:val="single" w:sz="4" w:space="0" w:color="auto"/>
          </w:tcBorders>
          <w:tcMar>
            <w:top w:w="142" w:type="dxa"/>
            <w:bottom w:w="0" w:type="dxa"/>
          </w:tcMar>
        </w:tcPr>
        <w:p w14:paraId="126E46F3" w14:textId="77777777" w:rsidR="002A4EAE" w:rsidRPr="00487162" w:rsidRDefault="002A4EA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636CB2F4" w14:textId="77777777" w:rsidR="002A4EAE" w:rsidRDefault="002A4E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DF349" w14:textId="77777777" w:rsidR="002A4EAE" w:rsidRPr="001C32CD" w:rsidRDefault="002A4EAE"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A4EAE" w14:paraId="5BE4F67D" w14:textId="77777777" w:rsidTr="0010601F">
      <w:trPr>
        <w:trHeight w:val="108"/>
      </w:trPr>
      <w:tc>
        <w:tcPr>
          <w:tcW w:w="8875" w:type="dxa"/>
          <w:gridSpan w:val="2"/>
          <w:tcBorders>
            <w:bottom w:val="single" w:sz="4" w:space="0" w:color="auto"/>
          </w:tcBorders>
          <w:tcMar>
            <w:right w:w="284" w:type="dxa"/>
          </w:tcMar>
        </w:tcPr>
        <w:p w14:paraId="6482D7CC" w14:textId="77777777" w:rsidR="002A4EAE" w:rsidRDefault="002A4EAE" w:rsidP="006E08B3">
          <w:pPr>
            <w:pStyle w:val="Heading3"/>
          </w:pPr>
          <w:r>
            <w:t>Copyright</w:t>
          </w:r>
        </w:p>
        <w:p w14:paraId="0A9DABD1" w14:textId="77777777" w:rsidR="002A4EAE" w:rsidRDefault="002A4EAE" w:rsidP="006E08B3">
          <w:r>
            <w:rPr>
              <w:rFonts w:cs="Arial"/>
            </w:rPr>
            <w:t>©</w:t>
          </w:r>
          <w:r>
            <w:t xml:space="preserve"> Commonwealth of Australia [add year]</w:t>
          </w:r>
        </w:p>
        <w:p w14:paraId="5DD52A52" w14:textId="77777777" w:rsidR="002A4EAE" w:rsidRDefault="002A4EAE" w:rsidP="006E08B3"/>
        <w:p w14:paraId="55C56ADF" w14:textId="77777777" w:rsidR="002A4EAE" w:rsidRDefault="002A4EA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11A1DA1C" w14:textId="77777777" w:rsidR="002A4EAE" w:rsidRDefault="002A4EAE" w:rsidP="006E08B3"/>
        <w:p w14:paraId="093929A2" w14:textId="77777777" w:rsidR="002A4EAE" w:rsidRDefault="002A4EAE" w:rsidP="006E08B3">
          <w:pPr>
            <w:pStyle w:val="Heading3"/>
          </w:pPr>
          <w:r>
            <w:t>Confidentiality</w:t>
          </w:r>
        </w:p>
        <w:p w14:paraId="70FEEDF0" w14:textId="77777777" w:rsidR="002A4EAE" w:rsidRDefault="002A4EA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EFAF1F7" w14:textId="77777777" w:rsidR="002A4EAE" w:rsidRDefault="002A4EAE" w:rsidP="006E08B3"/>
        <w:p w14:paraId="7C219294" w14:textId="77777777" w:rsidR="002A4EAE" w:rsidRDefault="002A4EAE" w:rsidP="006E08B3">
          <w:r>
            <w:t>For submission made by individuals, all personal details, other than your name, will be removed from your submission before it is published on the TGA’s Internet site.</w:t>
          </w:r>
        </w:p>
        <w:p w14:paraId="2F012FBA" w14:textId="77777777" w:rsidR="002A4EAE" w:rsidRDefault="002A4EAE" w:rsidP="006E08B3"/>
        <w:p w14:paraId="5B90C511" w14:textId="77777777" w:rsidR="002A4EAE" w:rsidRDefault="002A4EAE" w:rsidP="006E08B3">
          <w:r>
            <w:t>In addition, a list of parties making submissions will be published. If you do not wish to be identified with your submission you must specifically request this in the space provided in the submission coversheet.</w:t>
          </w:r>
        </w:p>
      </w:tc>
    </w:tr>
    <w:tr w:rsidR="002A4EAE" w14:paraId="59C4711F" w14:textId="77777777" w:rsidTr="0010601F">
      <w:trPr>
        <w:trHeight w:val="417"/>
      </w:trPr>
      <w:tc>
        <w:tcPr>
          <w:tcW w:w="4519" w:type="dxa"/>
          <w:tcBorders>
            <w:top w:val="single" w:sz="4" w:space="0" w:color="auto"/>
          </w:tcBorders>
          <w:tcMar>
            <w:top w:w="142" w:type="dxa"/>
            <w:bottom w:w="0" w:type="dxa"/>
          </w:tcMar>
        </w:tcPr>
        <w:p w14:paraId="79D10707" w14:textId="77777777" w:rsidR="002A4EAE" w:rsidRDefault="002A4EAE" w:rsidP="006E08B3">
          <w:r>
            <w:t>Document title, Part #, Section # - Section title</w:t>
          </w:r>
        </w:p>
        <w:p w14:paraId="63078DC7" w14:textId="77777777" w:rsidR="002A4EAE" w:rsidRDefault="002A4EAE" w:rsidP="006E08B3">
          <w:r>
            <w:t>V1.0 October 2010</w:t>
          </w:r>
        </w:p>
      </w:tc>
      <w:tc>
        <w:tcPr>
          <w:tcW w:w="4356" w:type="dxa"/>
          <w:tcBorders>
            <w:top w:val="single" w:sz="4" w:space="0" w:color="auto"/>
          </w:tcBorders>
          <w:tcMar>
            <w:top w:w="142" w:type="dxa"/>
            <w:bottom w:w="0" w:type="dxa"/>
          </w:tcMar>
        </w:tcPr>
        <w:p w14:paraId="33D6FD69" w14:textId="77777777" w:rsidR="002A4EAE" w:rsidRDefault="002A4EA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60349324" w14:textId="77777777" w:rsidR="002A4EAE" w:rsidRDefault="002A4E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76474" w14:textId="77777777" w:rsidR="002A4EAE" w:rsidRDefault="002A4EAE" w:rsidP="00C40A36">
      <w:pPr>
        <w:spacing w:after="0"/>
      </w:pPr>
      <w:r>
        <w:separator/>
      </w:r>
    </w:p>
  </w:footnote>
  <w:footnote w:type="continuationSeparator" w:id="0">
    <w:p w14:paraId="3815CD92" w14:textId="77777777" w:rsidR="002A4EAE" w:rsidRDefault="002A4EAE" w:rsidP="00C40A36">
      <w:pPr>
        <w:spacing w:after="0"/>
      </w:pPr>
      <w:r>
        <w:continuationSeparator/>
      </w:r>
    </w:p>
  </w:footnote>
  <w:footnote w:id="1">
    <w:p w14:paraId="556B0551" w14:textId="207405AC" w:rsidR="002A4EAE" w:rsidRDefault="002A4EAE">
      <w:pPr>
        <w:pStyle w:val="FootnoteText"/>
      </w:pPr>
      <w:r>
        <w:rPr>
          <w:rStyle w:val="FootnoteReference"/>
        </w:rPr>
        <w:footnoteRef/>
      </w:r>
      <w:r>
        <w:t xml:space="preserve"> </w:t>
      </w:r>
      <w:r w:rsidRPr="00642D6B">
        <w:t>Branisteanu</w:t>
      </w:r>
      <w:r>
        <w:t>,</w:t>
      </w:r>
      <w:r w:rsidRPr="00642D6B">
        <w:t xml:space="preserve"> D</w:t>
      </w:r>
      <w:r>
        <w:t>.</w:t>
      </w:r>
      <w:r w:rsidRPr="00642D6B">
        <w:t>C</w:t>
      </w:r>
      <w:r>
        <w:t>. et al</w:t>
      </w:r>
      <w:r w:rsidRPr="00642D6B">
        <w:t>. Uveal Melanoma Diagnosis and Current Treatment Options (Review)</w:t>
      </w:r>
      <w:r>
        <w:t>,</w:t>
      </w:r>
      <w:r w:rsidRPr="00642D6B">
        <w:t xml:space="preserve"> </w:t>
      </w:r>
      <w:r w:rsidRPr="007577B1">
        <w:rPr>
          <w:i/>
          <w:iCs/>
        </w:rPr>
        <w:t>Exp Ther Med</w:t>
      </w:r>
      <w:r>
        <w:t>,</w:t>
      </w:r>
      <w:r w:rsidRPr="00642D6B">
        <w:t xml:space="preserve"> 2021;</w:t>
      </w:r>
      <w:r>
        <w:t xml:space="preserve"> </w:t>
      </w:r>
      <w:r w:rsidRPr="00642D6B">
        <w:t>22(6)</w:t>
      </w:r>
      <w:r>
        <w:t xml:space="preserve"> </w:t>
      </w:r>
      <w:r w:rsidRPr="00642D6B">
        <w:t>:1428.</w:t>
      </w:r>
    </w:p>
  </w:footnote>
  <w:footnote w:id="2">
    <w:p w14:paraId="72E2F5C6" w14:textId="08778356" w:rsidR="002A4EAE" w:rsidRDefault="002A4EAE" w:rsidP="00642D6B">
      <w:pPr>
        <w:pStyle w:val="FootnoteText"/>
      </w:pPr>
      <w:r>
        <w:rPr>
          <w:rStyle w:val="FootnoteReference"/>
        </w:rPr>
        <w:footnoteRef/>
      </w:r>
      <w:r>
        <w:t xml:space="preserve"> </w:t>
      </w:r>
      <w:r>
        <w:t xml:space="preserve">Sayan, M. et al. Clinical Management of uveal Melanoma: </w:t>
      </w:r>
      <w:r>
        <w:t xml:space="preserve">a Comprehensive Review with a Treatment Algorithm, </w:t>
      </w:r>
      <w:r w:rsidRPr="007577B1">
        <w:rPr>
          <w:i/>
          <w:iCs/>
        </w:rPr>
        <w:t>Radiat Oncol J</w:t>
      </w:r>
      <w:r>
        <w:t>, 2020; 38(3): 162‐169.</w:t>
      </w:r>
    </w:p>
  </w:footnote>
  <w:footnote w:id="3">
    <w:p w14:paraId="04168B63" w14:textId="0D49B3B5" w:rsidR="002A4EAE" w:rsidRDefault="002A4EAE" w:rsidP="007577B1">
      <w:pPr>
        <w:pStyle w:val="FootnoteText"/>
      </w:pPr>
      <w:r>
        <w:rPr>
          <w:rStyle w:val="FootnoteReference"/>
        </w:rPr>
        <w:footnoteRef/>
      </w:r>
      <w:r>
        <w:t xml:space="preserve"> </w:t>
      </w:r>
      <w:r w:rsidRPr="00B667D4">
        <w:t>Kaliki</w:t>
      </w:r>
      <w:r>
        <w:t>,</w:t>
      </w:r>
      <w:r w:rsidRPr="00B667D4">
        <w:t xml:space="preserve"> S</w:t>
      </w:r>
      <w:r>
        <w:t xml:space="preserve">. and </w:t>
      </w:r>
      <w:r w:rsidRPr="00B667D4">
        <w:t>Shields</w:t>
      </w:r>
      <w:r>
        <w:t>,</w:t>
      </w:r>
      <w:r w:rsidRPr="00B667D4">
        <w:t xml:space="preserve"> C. Uveal Melanoma: Relatively Rare but Deadly Cancer</w:t>
      </w:r>
      <w:r>
        <w:t>,</w:t>
      </w:r>
      <w:r w:rsidRPr="00B667D4">
        <w:t xml:space="preserve"> </w:t>
      </w:r>
      <w:r w:rsidRPr="007577B1">
        <w:rPr>
          <w:i/>
          <w:iCs/>
        </w:rPr>
        <w:t>Eye (Lond)</w:t>
      </w:r>
      <w:r>
        <w:t>, 2017; 31(2): 241-257.</w:t>
      </w:r>
    </w:p>
  </w:footnote>
  <w:footnote w:id="4">
    <w:p w14:paraId="6E162648" w14:textId="113DD1BD" w:rsidR="002A4EAE" w:rsidRDefault="002A4EAE">
      <w:pPr>
        <w:pStyle w:val="FootnoteText"/>
      </w:pPr>
      <w:r>
        <w:rPr>
          <w:rStyle w:val="FootnoteReference"/>
        </w:rPr>
        <w:footnoteRef/>
      </w:r>
      <w:r>
        <w:t xml:space="preserve"> </w:t>
      </w:r>
      <w:r w:rsidRPr="00642D6B">
        <w:t>Lamas</w:t>
      </w:r>
      <w:r>
        <w:t>,</w:t>
      </w:r>
      <w:r w:rsidRPr="00642D6B">
        <w:t xml:space="preserve"> N</w:t>
      </w:r>
      <w:r>
        <w:t>.</w:t>
      </w:r>
      <w:r w:rsidRPr="00642D6B">
        <w:t>J</w:t>
      </w:r>
      <w:r>
        <w:t>.</w:t>
      </w:r>
      <w:r w:rsidRPr="00642D6B">
        <w:t xml:space="preserve"> et al. Prognostic Biomarkers in Uveal Melanoma: </w:t>
      </w:r>
      <w:r w:rsidRPr="00642D6B">
        <w:t>the Status Quo, Recent Advances and Future Directions</w:t>
      </w:r>
      <w:r>
        <w:t>,</w:t>
      </w:r>
      <w:r w:rsidRPr="00642D6B">
        <w:t xml:space="preserve"> </w:t>
      </w:r>
      <w:r w:rsidRPr="003C4BE9">
        <w:rPr>
          <w:i/>
          <w:iCs/>
        </w:rPr>
        <w:t>Cancers (Basel)</w:t>
      </w:r>
      <w:r>
        <w:t>,</w:t>
      </w:r>
      <w:r w:rsidRPr="00642D6B">
        <w:t xml:space="preserve"> 2021;</w:t>
      </w:r>
      <w:r>
        <w:t xml:space="preserve"> </w:t>
      </w:r>
      <w:r w:rsidRPr="00642D6B">
        <w:t>14(1):</w:t>
      </w:r>
      <w:r>
        <w:t xml:space="preserve"> </w:t>
      </w:r>
      <w:r w:rsidRPr="00642D6B">
        <w:t>96.</w:t>
      </w:r>
    </w:p>
  </w:footnote>
  <w:footnote w:id="5">
    <w:p w14:paraId="70E4EB3D" w14:textId="10E2D21A" w:rsidR="002A4EAE" w:rsidRDefault="002A4EAE" w:rsidP="003C4BE9">
      <w:pPr>
        <w:pStyle w:val="FootnoteText"/>
      </w:pPr>
      <w:r>
        <w:rPr>
          <w:rStyle w:val="FootnoteReference"/>
        </w:rPr>
        <w:footnoteRef/>
      </w:r>
      <w:r>
        <w:t xml:space="preserve"> </w:t>
      </w:r>
      <w:r w:rsidRPr="00642D6B">
        <w:t>Beasley</w:t>
      </w:r>
      <w:r>
        <w:t>,</w:t>
      </w:r>
      <w:r w:rsidRPr="00642D6B">
        <w:t xml:space="preserve"> A</w:t>
      </w:r>
      <w:r>
        <w:t>.</w:t>
      </w:r>
      <w:r w:rsidRPr="00642D6B">
        <w:t>B</w:t>
      </w:r>
      <w:r>
        <w:t>.</w:t>
      </w:r>
      <w:r w:rsidRPr="00642D6B">
        <w:t xml:space="preserve"> et al. Incidence and Mortality of Uveal Melanoma in Australia (1982–2014</w:t>
      </w:r>
      <w:r w:rsidRPr="00642D6B">
        <w:t>)</w:t>
      </w:r>
      <w:r>
        <w:t>,</w:t>
      </w:r>
      <w:r w:rsidRPr="00642D6B">
        <w:t>.</w:t>
      </w:r>
      <w:r w:rsidRPr="003C4BE9">
        <w:t xml:space="preserve"> </w:t>
      </w:r>
      <w:r w:rsidRPr="003C4BE9">
        <w:rPr>
          <w:i/>
          <w:iCs/>
        </w:rPr>
        <w:t xml:space="preserve">Br J </w:t>
      </w:r>
      <w:r w:rsidRPr="003C4BE9">
        <w:rPr>
          <w:i/>
          <w:iCs/>
        </w:rPr>
        <w:t>Ophthalmol</w:t>
      </w:r>
      <w:r>
        <w:t>,</w:t>
      </w:r>
      <w:r w:rsidRPr="003C4BE9">
        <w:t xml:space="preserve"> 2021;</w:t>
      </w:r>
      <w:r>
        <w:t xml:space="preserve"> </w:t>
      </w:r>
      <w:r w:rsidRPr="003C4BE9">
        <w:t>bjophthalmol-2021-319700.</w:t>
      </w:r>
    </w:p>
  </w:footnote>
  <w:footnote w:id="6">
    <w:p w14:paraId="024645A4" w14:textId="36E4E5C3" w:rsidR="002A4EAE" w:rsidRDefault="002A4EAE">
      <w:pPr>
        <w:pStyle w:val="FootnoteText"/>
      </w:pPr>
      <w:r>
        <w:rPr>
          <w:rStyle w:val="FootnoteReference"/>
        </w:rPr>
        <w:footnoteRef/>
      </w:r>
      <w:r>
        <w:t xml:space="preserve"> </w:t>
      </w:r>
      <w:r w:rsidRPr="00642D6B">
        <w:t>Virgili</w:t>
      </w:r>
      <w:r>
        <w:t>,</w:t>
      </w:r>
      <w:r w:rsidRPr="00642D6B">
        <w:t xml:space="preserve"> G</w:t>
      </w:r>
      <w:r>
        <w:t xml:space="preserve">. </w:t>
      </w:r>
      <w:r w:rsidRPr="00642D6B">
        <w:t>et al, EUROCARE Working Group. Incidence of Uveal Melanoma in Europe</w:t>
      </w:r>
      <w:r>
        <w:t>,</w:t>
      </w:r>
      <w:r w:rsidRPr="00642D6B">
        <w:t xml:space="preserve"> </w:t>
      </w:r>
      <w:r w:rsidRPr="003C4BE9">
        <w:rPr>
          <w:i/>
          <w:iCs/>
        </w:rPr>
        <w:t>Ophthalmology</w:t>
      </w:r>
      <w:r>
        <w:t>,</w:t>
      </w:r>
      <w:r w:rsidRPr="00642D6B">
        <w:t xml:space="preserve"> 2007; 114: 2309</w:t>
      </w:r>
      <w:r>
        <w:t>-</w:t>
      </w:r>
      <w:r w:rsidRPr="00642D6B">
        <w:t>2315.</w:t>
      </w:r>
    </w:p>
  </w:footnote>
  <w:footnote w:id="7">
    <w:p w14:paraId="346C4965" w14:textId="5A347EB4" w:rsidR="002A4EAE" w:rsidRDefault="002A4EAE">
      <w:pPr>
        <w:pStyle w:val="FootnoteText"/>
      </w:pPr>
      <w:r>
        <w:rPr>
          <w:rStyle w:val="FootnoteReference"/>
        </w:rPr>
        <w:footnoteRef/>
      </w:r>
      <w:r>
        <w:t xml:space="preserve"> </w:t>
      </w:r>
      <w:r w:rsidRPr="00463382">
        <w:t>Liu</w:t>
      </w:r>
      <w:r>
        <w:t>,</w:t>
      </w:r>
      <w:r w:rsidRPr="00463382">
        <w:t xml:space="preserve"> Y</w:t>
      </w:r>
      <w:r>
        <w:t>.</w:t>
      </w:r>
      <w:r w:rsidRPr="00463382">
        <w:t>M</w:t>
      </w:r>
      <w:r>
        <w:t>. et al.</w:t>
      </w:r>
      <w:r w:rsidRPr="00463382">
        <w:t xml:space="preserve"> Clinical Characteristics of 582 Patients with Uveal Melanoma in China</w:t>
      </w:r>
      <w:r>
        <w:t>,</w:t>
      </w:r>
      <w:r w:rsidRPr="00463382">
        <w:t xml:space="preserve"> </w:t>
      </w:r>
      <w:r w:rsidRPr="008F25C8">
        <w:rPr>
          <w:i/>
          <w:iCs/>
        </w:rPr>
        <w:t>PLoS One</w:t>
      </w:r>
      <w:r>
        <w:t>,</w:t>
      </w:r>
      <w:r w:rsidRPr="00463382">
        <w:t xml:space="preserve"> 2015; 10 (12): e0144562.</w:t>
      </w:r>
    </w:p>
  </w:footnote>
  <w:footnote w:id="8">
    <w:p w14:paraId="3D565ACB" w14:textId="48C5FB3F" w:rsidR="002A4EAE" w:rsidRDefault="002A4EAE">
      <w:pPr>
        <w:pStyle w:val="FootnoteText"/>
      </w:pPr>
      <w:r>
        <w:rPr>
          <w:rStyle w:val="FootnoteReference"/>
        </w:rPr>
        <w:footnoteRef/>
      </w:r>
      <w:r>
        <w:t xml:space="preserve"> </w:t>
      </w:r>
      <w:r w:rsidRPr="00463382">
        <w:t>Sakamoto</w:t>
      </w:r>
      <w:r>
        <w:t>,</w:t>
      </w:r>
      <w:r w:rsidRPr="00463382">
        <w:t xml:space="preserve"> T</w:t>
      </w:r>
      <w:r>
        <w:t>.</w:t>
      </w:r>
      <w:r w:rsidRPr="00463382">
        <w:t xml:space="preserve"> et al. Histologic Findings and Prognosis of Uveal Malignant Melanoma in Japanese Patients</w:t>
      </w:r>
      <w:r>
        <w:t>,</w:t>
      </w:r>
      <w:r w:rsidRPr="00463382">
        <w:t xml:space="preserve"> </w:t>
      </w:r>
      <w:r w:rsidRPr="008F25C8">
        <w:rPr>
          <w:i/>
          <w:iCs/>
        </w:rPr>
        <w:t xml:space="preserve">Am J </w:t>
      </w:r>
      <w:r w:rsidRPr="008F25C8">
        <w:rPr>
          <w:i/>
          <w:iCs/>
        </w:rPr>
        <w:t>Ophthalmol</w:t>
      </w:r>
      <w:r>
        <w:t xml:space="preserve">, </w:t>
      </w:r>
      <w:r w:rsidRPr="00463382">
        <w:t>1996; 121 (3): 276</w:t>
      </w:r>
      <w:r>
        <w:t>-</w:t>
      </w:r>
      <w:r w:rsidRPr="00463382">
        <w:t>283.</w:t>
      </w:r>
    </w:p>
  </w:footnote>
  <w:footnote w:id="9">
    <w:p w14:paraId="1F776A24" w14:textId="39D1B526" w:rsidR="002A4EAE" w:rsidRDefault="002A4EAE" w:rsidP="00463382">
      <w:pPr>
        <w:pStyle w:val="FootnoteText"/>
      </w:pPr>
      <w:r>
        <w:rPr>
          <w:rStyle w:val="FootnoteReference"/>
        </w:rPr>
        <w:footnoteRef/>
      </w:r>
      <w:r>
        <w:t xml:space="preserve"> Yang, J. et al. Treatment of Uveal Melanoma: Where are We Now? </w:t>
      </w:r>
      <w:r w:rsidRPr="008F25C8">
        <w:rPr>
          <w:i/>
          <w:iCs/>
        </w:rPr>
        <w:t>Ther Adv Med Oncol</w:t>
      </w:r>
      <w:r>
        <w:t>, 2018; 10: 1758834018757175.</w:t>
      </w:r>
    </w:p>
  </w:footnote>
  <w:footnote w:id="10">
    <w:p w14:paraId="34EFFCEE" w14:textId="2633F40C" w:rsidR="002A4EAE" w:rsidRDefault="002A4EAE">
      <w:pPr>
        <w:pStyle w:val="FootnoteText"/>
      </w:pPr>
      <w:r>
        <w:rPr>
          <w:rStyle w:val="FootnoteReference"/>
        </w:rPr>
        <w:footnoteRef/>
      </w:r>
      <w:r>
        <w:t xml:space="preserve"> </w:t>
      </w:r>
      <w:r w:rsidRPr="00463382">
        <w:t>Elder</w:t>
      </w:r>
      <w:r>
        <w:t>,</w:t>
      </w:r>
      <w:r w:rsidRPr="00463382">
        <w:t xml:space="preserve"> D</w:t>
      </w:r>
      <w:r>
        <w:t>.</w:t>
      </w:r>
      <w:r w:rsidRPr="00463382">
        <w:t>E</w:t>
      </w:r>
      <w:r>
        <w:t xml:space="preserve">. et al. </w:t>
      </w:r>
      <w:r w:rsidRPr="00463382">
        <w:t>The 2018 World Health Organization Classification of Cutaneous, Mucosal, and Uveal Melanoma: Detailed Analysis of 9 Distinct Subtypes Defined by Their Evolutionary Pathway</w:t>
      </w:r>
      <w:r>
        <w:t>,</w:t>
      </w:r>
      <w:r w:rsidRPr="00463382">
        <w:t xml:space="preserve"> </w:t>
      </w:r>
      <w:r w:rsidRPr="008F25C8">
        <w:rPr>
          <w:i/>
          <w:iCs/>
        </w:rPr>
        <w:t xml:space="preserve">Arch </w:t>
      </w:r>
      <w:r w:rsidRPr="008F25C8">
        <w:rPr>
          <w:i/>
          <w:iCs/>
        </w:rPr>
        <w:t>Pathol Lab Med</w:t>
      </w:r>
      <w:r>
        <w:t>,</w:t>
      </w:r>
      <w:r w:rsidRPr="00463382">
        <w:t xml:space="preserve"> 2020;</w:t>
      </w:r>
      <w:r>
        <w:t xml:space="preserve"> </w:t>
      </w:r>
      <w:r w:rsidRPr="00463382">
        <w:t>144(4):</w:t>
      </w:r>
      <w:r>
        <w:t xml:space="preserve"> </w:t>
      </w:r>
      <w:r w:rsidRPr="00463382">
        <w:t>500-522.</w:t>
      </w:r>
    </w:p>
  </w:footnote>
  <w:footnote w:id="11">
    <w:p w14:paraId="0F850AAF" w14:textId="29E9FD2E" w:rsidR="002A4EAE" w:rsidRDefault="002A4EAE">
      <w:pPr>
        <w:pStyle w:val="FootnoteText"/>
      </w:pPr>
      <w:r>
        <w:rPr>
          <w:rStyle w:val="FootnoteReference"/>
        </w:rPr>
        <w:footnoteRef/>
      </w:r>
      <w:r>
        <w:t xml:space="preserve"> </w:t>
      </w:r>
      <w:r w:rsidRPr="00463382">
        <w:t>Singh</w:t>
      </w:r>
      <w:r>
        <w:t>,</w:t>
      </w:r>
      <w:r w:rsidRPr="00463382">
        <w:t xml:space="preserve"> A</w:t>
      </w:r>
      <w:r>
        <w:t>.</w:t>
      </w:r>
      <w:r w:rsidRPr="00463382">
        <w:t>D</w:t>
      </w:r>
      <w:r>
        <w:t>.</w:t>
      </w:r>
      <w:r w:rsidRPr="00463382">
        <w:t xml:space="preserve"> et al. Sunlight Exposure and Pathogenesis of Uveal Melanoma</w:t>
      </w:r>
      <w:r>
        <w:t>,</w:t>
      </w:r>
      <w:r w:rsidRPr="00463382">
        <w:t xml:space="preserve"> </w:t>
      </w:r>
      <w:r w:rsidRPr="008F25C8">
        <w:rPr>
          <w:i/>
          <w:iCs/>
        </w:rPr>
        <w:t>Surv Ophthalmol</w:t>
      </w:r>
      <w:r>
        <w:t>,</w:t>
      </w:r>
      <w:r w:rsidRPr="00463382">
        <w:t xml:space="preserve"> 2004; 49: 419</w:t>
      </w:r>
      <w:r>
        <w:noBreakHyphen/>
      </w:r>
      <w:r w:rsidRPr="00463382">
        <w:t>428.</w:t>
      </w:r>
    </w:p>
  </w:footnote>
  <w:footnote w:id="12">
    <w:p w14:paraId="15843345" w14:textId="7D472C04" w:rsidR="002A4EAE" w:rsidRDefault="002A4EAE">
      <w:pPr>
        <w:pStyle w:val="FootnoteText"/>
      </w:pPr>
      <w:r>
        <w:rPr>
          <w:rStyle w:val="FootnoteReference"/>
        </w:rPr>
        <w:footnoteRef/>
      </w:r>
      <w:r>
        <w:t xml:space="preserve"> </w:t>
      </w:r>
      <w:r w:rsidRPr="00463382">
        <w:t>Singh</w:t>
      </w:r>
      <w:r>
        <w:t>,</w:t>
      </w:r>
      <w:r w:rsidRPr="00463382">
        <w:t xml:space="preserve"> A</w:t>
      </w:r>
      <w:r>
        <w:t>.</w:t>
      </w:r>
      <w:r w:rsidRPr="00463382">
        <w:t>D</w:t>
      </w:r>
      <w:r>
        <w:t xml:space="preserve">. et al. </w:t>
      </w:r>
      <w:r w:rsidRPr="00463382">
        <w:t>Prognostic Factors in Uveal Melanoma</w:t>
      </w:r>
      <w:r>
        <w:t>,</w:t>
      </w:r>
      <w:r w:rsidRPr="00463382">
        <w:t xml:space="preserve"> </w:t>
      </w:r>
      <w:r w:rsidRPr="00D112A1">
        <w:rPr>
          <w:i/>
          <w:iCs/>
        </w:rPr>
        <w:t>Melanoma Res</w:t>
      </w:r>
      <w:r>
        <w:t>,</w:t>
      </w:r>
      <w:r w:rsidRPr="00463382">
        <w:t xml:space="preserve"> 2001;</w:t>
      </w:r>
      <w:r>
        <w:t xml:space="preserve"> </w:t>
      </w:r>
      <w:r w:rsidRPr="00463382">
        <w:t>11(3):</w:t>
      </w:r>
      <w:r>
        <w:t xml:space="preserve"> </w:t>
      </w:r>
      <w:r w:rsidRPr="00463382">
        <w:t>255-</w:t>
      </w:r>
      <w:r>
        <w:t>2</w:t>
      </w:r>
      <w:r w:rsidRPr="00463382">
        <w:t>63.</w:t>
      </w:r>
    </w:p>
  </w:footnote>
  <w:footnote w:id="13">
    <w:p w14:paraId="5EBC56F8" w14:textId="57807850" w:rsidR="002A4EAE" w:rsidRDefault="002A4EAE">
      <w:pPr>
        <w:pStyle w:val="FootnoteText"/>
      </w:pPr>
      <w:r>
        <w:rPr>
          <w:rStyle w:val="FootnoteReference"/>
        </w:rPr>
        <w:footnoteRef/>
      </w:r>
      <w:r>
        <w:t xml:space="preserve"> </w:t>
      </w:r>
      <w:r w:rsidRPr="00463382">
        <w:t>Kivela</w:t>
      </w:r>
      <w:r>
        <w:t>,</w:t>
      </w:r>
      <w:r w:rsidRPr="00463382">
        <w:t xml:space="preserve"> T</w:t>
      </w:r>
      <w:r>
        <w:t xml:space="preserve">. </w:t>
      </w:r>
      <w:r w:rsidRPr="00463382">
        <w:t>et al. editors. AJCC Cancer Staging Manual. 8th ed. Springer Publishing Company; New York, NY, USA: 2017. pp. 805</w:t>
      </w:r>
      <w:r>
        <w:t>-</w:t>
      </w:r>
      <w:r w:rsidRPr="00463382">
        <w:t>817</w:t>
      </w:r>
      <w:r>
        <w:t>.</w:t>
      </w:r>
    </w:p>
  </w:footnote>
  <w:footnote w:id="14">
    <w:p w14:paraId="3A13E451" w14:textId="09DED5AC" w:rsidR="002A4EAE" w:rsidRDefault="002A4EAE">
      <w:pPr>
        <w:pStyle w:val="FootnoteText"/>
      </w:pPr>
      <w:r>
        <w:rPr>
          <w:rStyle w:val="FootnoteReference"/>
        </w:rPr>
        <w:footnoteRef/>
      </w:r>
      <w:r>
        <w:t xml:space="preserve"> </w:t>
      </w:r>
      <w:r w:rsidRPr="00463382">
        <w:t>Gajdzis</w:t>
      </w:r>
      <w:r>
        <w:t>,</w:t>
      </w:r>
      <w:r w:rsidRPr="00463382">
        <w:t xml:space="preserve"> M</w:t>
      </w:r>
      <w:r>
        <w:t>. et al.</w:t>
      </w:r>
      <w:r w:rsidRPr="00463382">
        <w:t xml:space="preserve"> Novel Prognostic Immunohistochemical Markers in Uveal Melanoma-Literature Review</w:t>
      </w:r>
      <w:r>
        <w:t>,</w:t>
      </w:r>
      <w:r w:rsidRPr="00463382">
        <w:t xml:space="preserve"> </w:t>
      </w:r>
      <w:r w:rsidRPr="00D112A1">
        <w:rPr>
          <w:i/>
          <w:iCs/>
        </w:rPr>
        <w:t>Cancers (Basel)</w:t>
      </w:r>
      <w:r>
        <w:t>,</w:t>
      </w:r>
      <w:r w:rsidRPr="00463382">
        <w:t xml:space="preserve"> 2021;13(16):4031.</w:t>
      </w:r>
    </w:p>
  </w:footnote>
  <w:footnote w:id="15">
    <w:p w14:paraId="7A10AB8B" w14:textId="771486BC" w:rsidR="002A4EAE" w:rsidRDefault="002A4EAE">
      <w:pPr>
        <w:pStyle w:val="FootnoteText"/>
      </w:pPr>
      <w:r>
        <w:rPr>
          <w:rStyle w:val="FootnoteReference"/>
        </w:rPr>
        <w:footnoteRef/>
      </w:r>
      <w:r>
        <w:t xml:space="preserve"> </w:t>
      </w:r>
      <w:r w:rsidRPr="00463382">
        <w:t>Robertson</w:t>
      </w:r>
      <w:r>
        <w:t>,</w:t>
      </w:r>
      <w:r w:rsidRPr="00463382">
        <w:t xml:space="preserve"> A</w:t>
      </w:r>
      <w:r>
        <w:t>.</w:t>
      </w:r>
      <w:r w:rsidRPr="00463382">
        <w:t>G</w:t>
      </w:r>
      <w:r>
        <w:t>.</w:t>
      </w:r>
      <w:r w:rsidRPr="00463382">
        <w:t xml:space="preserve"> et al. Integrative Analysis Identifies Four Molecular and Clinical Subsets in Uveal Melanoma</w:t>
      </w:r>
      <w:r>
        <w:t>,</w:t>
      </w:r>
      <w:r w:rsidRPr="00463382">
        <w:t xml:space="preserve"> </w:t>
      </w:r>
      <w:r w:rsidRPr="00D112A1">
        <w:rPr>
          <w:i/>
          <w:iCs/>
        </w:rPr>
        <w:t>Cancer Cell</w:t>
      </w:r>
      <w:r>
        <w:t>,</w:t>
      </w:r>
      <w:r w:rsidRPr="00463382">
        <w:t xml:space="preserve"> 2017;</w:t>
      </w:r>
      <w:r>
        <w:t xml:space="preserve"> </w:t>
      </w:r>
      <w:r w:rsidRPr="00463382">
        <w:t>32:</w:t>
      </w:r>
      <w:r>
        <w:t xml:space="preserve"> </w:t>
      </w:r>
      <w:r w:rsidRPr="00463382">
        <w:t>204</w:t>
      </w:r>
      <w:r>
        <w:t>-</w:t>
      </w:r>
      <w:r w:rsidRPr="00463382">
        <w:t>220.</w:t>
      </w:r>
    </w:p>
  </w:footnote>
  <w:footnote w:id="16">
    <w:p w14:paraId="3C5616B8" w14:textId="681C5C76" w:rsidR="002A4EAE" w:rsidRDefault="002A4EAE">
      <w:pPr>
        <w:pStyle w:val="FootnoteText"/>
      </w:pPr>
      <w:r>
        <w:rPr>
          <w:rStyle w:val="FootnoteReference"/>
        </w:rPr>
        <w:footnoteRef/>
      </w:r>
      <w:r>
        <w:t xml:space="preserve"> </w:t>
      </w:r>
      <w:r w:rsidRPr="00463382">
        <w:t xml:space="preserve">van der </w:t>
      </w:r>
      <w:r w:rsidRPr="00463382">
        <w:t>Kooij</w:t>
      </w:r>
      <w:r>
        <w:t>,</w:t>
      </w:r>
      <w:r w:rsidRPr="00463382">
        <w:t xml:space="preserve"> M</w:t>
      </w:r>
      <w:r>
        <w:t>.</w:t>
      </w:r>
      <w:r w:rsidRPr="00463382">
        <w:t>K</w:t>
      </w:r>
      <w:r>
        <w:t>. et al.</w:t>
      </w:r>
      <w:r w:rsidRPr="00463382">
        <w:t xml:space="preserve"> Uveal Versus Cutaneous Melanoma; Same Origin, Very Distinct Tumor Types</w:t>
      </w:r>
      <w:r>
        <w:t>,</w:t>
      </w:r>
      <w:r w:rsidRPr="00463382">
        <w:t xml:space="preserve"> </w:t>
      </w:r>
      <w:r w:rsidRPr="00D112A1">
        <w:rPr>
          <w:i/>
          <w:iCs/>
        </w:rPr>
        <w:t>Cancers (Basel)</w:t>
      </w:r>
      <w:r>
        <w:t>,</w:t>
      </w:r>
      <w:r w:rsidRPr="00463382">
        <w:t xml:space="preserve"> 2019;</w:t>
      </w:r>
      <w:r>
        <w:t xml:space="preserve"> </w:t>
      </w:r>
      <w:r w:rsidRPr="00463382">
        <w:t>11(6):</w:t>
      </w:r>
      <w:r>
        <w:t xml:space="preserve"> </w:t>
      </w:r>
      <w:r w:rsidRPr="00463382">
        <w:t>845.</w:t>
      </w:r>
    </w:p>
  </w:footnote>
  <w:footnote w:id="17">
    <w:p w14:paraId="6F32CD4B" w14:textId="2C361ABC" w:rsidR="002A4EAE" w:rsidRDefault="002A4EAE">
      <w:pPr>
        <w:pStyle w:val="FootnoteText"/>
      </w:pPr>
      <w:r>
        <w:rPr>
          <w:rStyle w:val="FootnoteReference"/>
        </w:rPr>
        <w:footnoteRef/>
      </w:r>
      <w:r>
        <w:t xml:space="preserve"> </w:t>
      </w:r>
      <w:r w:rsidRPr="00463382">
        <w:t>Jager</w:t>
      </w:r>
      <w:r>
        <w:t xml:space="preserve">, </w:t>
      </w:r>
      <w:r w:rsidRPr="00463382">
        <w:t>M</w:t>
      </w:r>
      <w:r>
        <w:t>.</w:t>
      </w:r>
      <w:r w:rsidRPr="00463382">
        <w:t>J</w:t>
      </w:r>
      <w:r>
        <w:t>. et al.</w:t>
      </w:r>
      <w:r w:rsidRPr="00463382">
        <w:t xml:space="preserve"> Uveal Melanoma</w:t>
      </w:r>
      <w:r>
        <w:t>,</w:t>
      </w:r>
      <w:r w:rsidRPr="00463382">
        <w:t xml:space="preserve"> </w:t>
      </w:r>
      <w:r w:rsidRPr="00D112A1">
        <w:rPr>
          <w:i/>
          <w:iCs/>
        </w:rPr>
        <w:t>Nat Rev Dis Primers</w:t>
      </w:r>
      <w:r>
        <w:t>,</w:t>
      </w:r>
      <w:r w:rsidRPr="00463382">
        <w:t xml:space="preserve"> 2020;</w:t>
      </w:r>
      <w:r>
        <w:t xml:space="preserve"> </w:t>
      </w:r>
      <w:r w:rsidRPr="00463382">
        <w:t>6(1):</w:t>
      </w:r>
      <w:r>
        <w:t xml:space="preserve"> </w:t>
      </w:r>
      <w:r w:rsidRPr="00463382">
        <w:t>24.</w:t>
      </w:r>
    </w:p>
  </w:footnote>
  <w:footnote w:id="18">
    <w:p w14:paraId="1022140B" w14:textId="370427ED" w:rsidR="002A4EAE" w:rsidRDefault="002A4EAE">
      <w:pPr>
        <w:pStyle w:val="FootnoteText"/>
      </w:pPr>
      <w:r>
        <w:rPr>
          <w:rStyle w:val="FootnoteReference"/>
        </w:rPr>
        <w:footnoteRef/>
      </w:r>
      <w:r>
        <w:t xml:space="preserve"> </w:t>
      </w:r>
      <w:r w:rsidRPr="00463382">
        <w:t>Yarchoan</w:t>
      </w:r>
      <w:r>
        <w:t>,</w:t>
      </w:r>
      <w:r w:rsidRPr="00463382">
        <w:t xml:space="preserve"> M</w:t>
      </w:r>
      <w:r>
        <w:t xml:space="preserve">. etal. </w:t>
      </w:r>
      <w:r w:rsidRPr="00463382">
        <w:t>Tumor Mutational Burden and Response Rate to PD‐1 Inhibition</w:t>
      </w:r>
      <w:r>
        <w:t>,</w:t>
      </w:r>
      <w:r w:rsidRPr="00463382">
        <w:t xml:space="preserve"> </w:t>
      </w:r>
      <w:r w:rsidRPr="00D112A1">
        <w:rPr>
          <w:i/>
          <w:iCs/>
        </w:rPr>
        <w:t>N Engl J Med</w:t>
      </w:r>
      <w:r>
        <w:t>,</w:t>
      </w:r>
      <w:r w:rsidRPr="00463382">
        <w:t xml:space="preserve"> 2017;</w:t>
      </w:r>
      <w:r>
        <w:t xml:space="preserve"> </w:t>
      </w:r>
      <w:r w:rsidRPr="00463382">
        <w:t>377(25):</w:t>
      </w:r>
      <w:r>
        <w:t xml:space="preserve"> </w:t>
      </w:r>
      <w:r w:rsidRPr="00463382">
        <w:t>2500‐</w:t>
      </w:r>
      <w:r>
        <w:t>250</w:t>
      </w:r>
      <w:r w:rsidRPr="00463382">
        <w:t>1</w:t>
      </w:r>
      <w:r>
        <w:t>.</w:t>
      </w:r>
    </w:p>
  </w:footnote>
  <w:footnote w:id="19">
    <w:p w14:paraId="40DE59D0" w14:textId="0D314318" w:rsidR="002A4EAE" w:rsidRDefault="002A4EAE">
      <w:pPr>
        <w:pStyle w:val="FootnoteText"/>
      </w:pPr>
      <w:r>
        <w:rPr>
          <w:rStyle w:val="FootnoteReference"/>
        </w:rPr>
        <w:footnoteRef/>
      </w:r>
      <w:r>
        <w:t xml:space="preserve"> </w:t>
      </w:r>
      <w:r w:rsidRPr="00174DB0">
        <w:t>Leiter</w:t>
      </w:r>
      <w:r>
        <w:t>,</w:t>
      </w:r>
      <w:r w:rsidRPr="00174DB0">
        <w:t xml:space="preserve"> U.</w:t>
      </w:r>
      <w:r>
        <w:t xml:space="preserve"> et al.</w:t>
      </w:r>
      <w:r w:rsidRPr="00174DB0">
        <w:t xml:space="preserve"> The Natural Course of Cutaneous Melanoma</w:t>
      </w:r>
      <w:r>
        <w:t>,</w:t>
      </w:r>
      <w:r w:rsidRPr="00174DB0">
        <w:t xml:space="preserve"> </w:t>
      </w:r>
      <w:r w:rsidRPr="00D112A1">
        <w:rPr>
          <w:i/>
          <w:iCs/>
        </w:rPr>
        <w:t>J. Surg. Oncol</w:t>
      </w:r>
      <w:r>
        <w:t>,</w:t>
      </w:r>
      <w:r w:rsidRPr="00174DB0">
        <w:t xml:space="preserve"> 2004;</w:t>
      </w:r>
      <w:r>
        <w:t xml:space="preserve"> </w:t>
      </w:r>
      <w:r w:rsidRPr="00174DB0">
        <w:t>86:</w:t>
      </w:r>
      <w:r>
        <w:t xml:space="preserve"> </w:t>
      </w:r>
      <w:r w:rsidRPr="00174DB0">
        <w:t>172</w:t>
      </w:r>
      <w:r>
        <w:t>-</w:t>
      </w:r>
      <w:r w:rsidRPr="00174DB0">
        <w:t>178.</w:t>
      </w:r>
    </w:p>
  </w:footnote>
  <w:footnote w:id="20">
    <w:p w14:paraId="5785732F" w14:textId="7A7DAD33" w:rsidR="002A4EAE" w:rsidRDefault="002A4EAE" w:rsidP="00D112A1">
      <w:pPr>
        <w:pStyle w:val="FootnoteText"/>
      </w:pPr>
      <w:r>
        <w:rPr>
          <w:rStyle w:val="FootnoteReference"/>
        </w:rPr>
        <w:footnoteRef/>
      </w:r>
      <w:r>
        <w:t xml:space="preserve"> </w:t>
      </w:r>
      <w:r w:rsidRPr="00174DB0">
        <w:t>Garg</w:t>
      </w:r>
      <w:r>
        <w:t>,</w:t>
      </w:r>
      <w:r w:rsidRPr="00174DB0">
        <w:t xml:space="preserve"> G</w:t>
      </w:r>
      <w:r>
        <w:t xml:space="preserve">. et al. </w:t>
      </w:r>
      <w:r w:rsidRPr="00174DB0">
        <w:t>Patients Presenting with Metastases: Stage IV Uveal Melanoma, an International Study</w:t>
      </w:r>
      <w:r>
        <w:t>,</w:t>
      </w:r>
      <w:r w:rsidRPr="00174DB0">
        <w:t xml:space="preserve"> </w:t>
      </w:r>
      <w:r w:rsidRPr="00D112A1">
        <w:rPr>
          <w:i/>
          <w:iCs/>
        </w:rPr>
        <w:t xml:space="preserve">Br J </w:t>
      </w:r>
      <w:r w:rsidRPr="00D112A1">
        <w:rPr>
          <w:i/>
          <w:iCs/>
        </w:rPr>
        <w:t>Ophthalmol</w:t>
      </w:r>
      <w:r>
        <w:t>,</w:t>
      </w:r>
      <w:r w:rsidRPr="00D112A1">
        <w:t xml:space="preserve"> </w:t>
      </w:r>
      <w:r>
        <w:t>2022; 106(4): 510-517.</w:t>
      </w:r>
    </w:p>
  </w:footnote>
  <w:footnote w:id="21">
    <w:p w14:paraId="214907B4" w14:textId="51AC895F" w:rsidR="002A4EAE" w:rsidRDefault="002A4EAE" w:rsidP="00D112A1">
      <w:pPr>
        <w:pStyle w:val="FootnoteText"/>
      </w:pPr>
      <w:r>
        <w:rPr>
          <w:rStyle w:val="FootnoteReference"/>
        </w:rPr>
        <w:footnoteRef/>
      </w:r>
      <w:r>
        <w:t xml:space="preserve"> </w:t>
      </w:r>
      <w:r w:rsidRPr="00174DB0">
        <w:t>Tosi</w:t>
      </w:r>
      <w:r>
        <w:t>,</w:t>
      </w:r>
      <w:r w:rsidRPr="00174DB0">
        <w:t xml:space="preserve"> A</w:t>
      </w:r>
      <w:r>
        <w:t>.</w:t>
      </w:r>
      <w:r w:rsidRPr="00174DB0">
        <w:t xml:space="preserve"> et al. The Immune Cell Landscape of Metastatic Uveal Melanoma Correlates with Overall Survival</w:t>
      </w:r>
      <w:r>
        <w:t>,</w:t>
      </w:r>
      <w:r w:rsidRPr="00174DB0">
        <w:t xml:space="preserve"> </w:t>
      </w:r>
      <w:r w:rsidRPr="00D112A1">
        <w:rPr>
          <w:i/>
          <w:iCs/>
        </w:rPr>
        <w:t>J Exp Clin Cancer Res</w:t>
      </w:r>
      <w:r>
        <w:t>, 2021; 40(1): 154.</w:t>
      </w:r>
    </w:p>
  </w:footnote>
  <w:footnote w:id="22">
    <w:p w14:paraId="2FA10819" w14:textId="1F3AD59D" w:rsidR="002A4EAE" w:rsidRDefault="002A4EAE">
      <w:pPr>
        <w:pStyle w:val="FootnoteText"/>
      </w:pPr>
      <w:r>
        <w:rPr>
          <w:rStyle w:val="FootnoteReference"/>
        </w:rPr>
        <w:footnoteRef/>
      </w:r>
      <w:r>
        <w:t xml:space="preserve"> </w:t>
      </w:r>
      <w:r w:rsidRPr="00174DB0">
        <w:t>Pan</w:t>
      </w:r>
      <w:r>
        <w:t>,</w:t>
      </w:r>
      <w:r w:rsidRPr="00174DB0">
        <w:t xml:space="preserve"> H</w:t>
      </w:r>
      <w:r>
        <w:t xml:space="preserve">. et al. </w:t>
      </w:r>
      <w:r w:rsidRPr="00174DB0">
        <w:t>Immunological Analyses Reveal an Immune Subtype of Uveal Melanoma with a Poor Prognosis</w:t>
      </w:r>
      <w:r>
        <w:t>,</w:t>
      </w:r>
      <w:r w:rsidRPr="00174DB0">
        <w:t xml:space="preserve"> </w:t>
      </w:r>
      <w:r w:rsidRPr="00D112A1">
        <w:rPr>
          <w:i/>
          <w:iCs/>
        </w:rPr>
        <w:t>Aging (Albany NY)</w:t>
      </w:r>
      <w:r>
        <w:t>,</w:t>
      </w:r>
      <w:r w:rsidRPr="00174DB0">
        <w:t xml:space="preserve"> 2020;</w:t>
      </w:r>
      <w:r>
        <w:t xml:space="preserve"> </w:t>
      </w:r>
      <w:r w:rsidRPr="00174DB0">
        <w:t>12(2):</w:t>
      </w:r>
      <w:r>
        <w:t xml:space="preserve"> </w:t>
      </w:r>
      <w:r w:rsidRPr="00174DB0">
        <w:t>1446-1464.</w:t>
      </w:r>
    </w:p>
  </w:footnote>
  <w:footnote w:id="23">
    <w:p w14:paraId="437231DC" w14:textId="24FF3C64" w:rsidR="002A4EAE" w:rsidRDefault="002A4EAE">
      <w:pPr>
        <w:pStyle w:val="FootnoteText"/>
      </w:pPr>
      <w:r>
        <w:rPr>
          <w:rStyle w:val="FootnoteReference"/>
        </w:rPr>
        <w:footnoteRef/>
      </w:r>
      <w:r>
        <w:t xml:space="preserve"> </w:t>
      </w:r>
      <w:r w:rsidRPr="00174DB0">
        <w:t>Rothermel</w:t>
      </w:r>
      <w:r>
        <w:t>,</w:t>
      </w:r>
      <w:r w:rsidRPr="00174DB0">
        <w:t xml:space="preserve"> L</w:t>
      </w:r>
      <w:r>
        <w:t>.</w:t>
      </w:r>
      <w:r w:rsidRPr="00174DB0">
        <w:t>D</w:t>
      </w:r>
      <w:r>
        <w:t>. et al.</w:t>
      </w:r>
      <w:r w:rsidRPr="00174DB0">
        <w:t xml:space="preserve"> Identification of an Immunogenic Subset of Metastatic Uveal Melanoma</w:t>
      </w:r>
      <w:r>
        <w:t>,</w:t>
      </w:r>
      <w:r w:rsidRPr="00174DB0">
        <w:t xml:space="preserve"> </w:t>
      </w:r>
      <w:r w:rsidRPr="003E1E2B">
        <w:rPr>
          <w:i/>
          <w:iCs/>
        </w:rPr>
        <w:t>Clin Cancer Res</w:t>
      </w:r>
      <w:r>
        <w:t>,</w:t>
      </w:r>
      <w:r w:rsidRPr="00174DB0">
        <w:t xml:space="preserve"> 2016;</w:t>
      </w:r>
      <w:r>
        <w:t xml:space="preserve"> </w:t>
      </w:r>
      <w:r w:rsidRPr="00174DB0">
        <w:t>22(9):</w:t>
      </w:r>
      <w:r>
        <w:t xml:space="preserve"> </w:t>
      </w:r>
      <w:r w:rsidRPr="00174DB0">
        <w:t>2237-</w:t>
      </w:r>
      <w:r>
        <w:t>22</w:t>
      </w:r>
      <w:r w:rsidRPr="00174DB0">
        <w:t>49.</w:t>
      </w:r>
    </w:p>
  </w:footnote>
  <w:footnote w:id="24">
    <w:p w14:paraId="11B1E383" w14:textId="4BF040FE" w:rsidR="002A4EAE" w:rsidRDefault="002A4EAE">
      <w:pPr>
        <w:pStyle w:val="FootnoteText"/>
      </w:pPr>
      <w:r>
        <w:rPr>
          <w:rStyle w:val="FootnoteReference"/>
        </w:rPr>
        <w:footnoteRef/>
      </w:r>
      <w:r>
        <w:t xml:space="preserve"> </w:t>
      </w:r>
      <w:r w:rsidRPr="00174DB0">
        <w:t>Singh</w:t>
      </w:r>
      <w:r>
        <w:t>,</w:t>
      </w:r>
      <w:r w:rsidRPr="00174DB0">
        <w:t xml:space="preserve"> A</w:t>
      </w:r>
      <w:r>
        <w:t>.</w:t>
      </w:r>
      <w:r w:rsidRPr="00174DB0">
        <w:t>D</w:t>
      </w:r>
      <w:r>
        <w:t>. et al.</w:t>
      </w:r>
      <w:r w:rsidRPr="00174DB0">
        <w:t xml:space="preserve"> Uveal Melanoma: Trends </w:t>
      </w:r>
      <w:r w:rsidRPr="00174DB0">
        <w:t>In Incidence, Treatment, and Survival</w:t>
      </w:r>
      <w:r>
        <w:t>,</w:t>
      </w:r>
      <w:r w:rsidRPr="00174DB0">
        <w:t xml:space="preserve"> </w:t>
      </w:r>
      <w:r w:rsidRPr="003E1E2B">
        <w:rPr>
          <w:i/>
          <w:iCs/>
        </w:rPr>
        <w:t>Ophthalmology</w:t>
      </w:r>
      <w:r>
        <w:rPr>
          <w:i/>
          <w:iCs/>
        </w:rPr>
        <w:t xml:space="preserve">, </w:t>
      </w:r>
      <w:r w:rsidRPr="003E1E2B">
        <w:t>2011</w:t>
      </w:r>
      <w:r w:rsidRPr="00174DB0">
        <w:t>; 118 (9): 1881</w:t>
      </w:r>
      <w:r>
        <w:t>-</w:t>
      </w:r>
      <w:r w:rsidRPr="00174DB0">
        <w:t>1885.</w:t>
      </w:r>
    </w:p>
  </w:footnote>
  <w:footnote w:id="25">
    <w:p w14:paraId="5D96F4A5" w14:textId="753019FB" w:rsidR="002A4EAE" w:rsidRDefault="002A4EAE">
      <w:pPr>
        <w:pStyle w:val="FootnoteText"/>
      </w:pPr>
      <w:r>
        <w:rPr>
          <w:rStyle w:val="FootnoteReference"/>
        </w:rPr>
        <w:footnoteRef/>
      </w:r>
      <w:r>
        <w:t xml:space="preserve"> </w:t>
      </w:r>
      <w:r w:rsidRPr="00174DB0">
        <w:t>Aronow</w:t>
      </w:r>
      <w:r>
        <w:t>,</w:t>
      </w:r>
      <w:r w:rsidRPr="00174DB0">
        <w:t xml:space="preserve"> M</w:t>
      </w:r>
      <w:r>
        <w:t>.</w:t>
      </w:r>
      <w:r w:rsidRPr="00174DB0">
        <w:t>E</w:t>
      </w:r>
      <w:r>
        <w:t>. et al.</w:t>
      </w:r>
      <w:r w:rsidRPr="00174DB0">
        <w:t xml:space="preserve"> Uveal Melanoma: 5-Year Update on Incidence, Treatment, and Survival (SEER 1973-2013)</w:t>
      </w:r>
      <w:r>
        <w:t>,</w:t>
      </w:r>
      <w:r w:rsidRPr="00174DB0">
        <w:t xml:space="preserve"> </w:t>
      </w:r>
      <w:r w:rsidRPr="003E1E2B">
        <w:rPr>
          <w:i/>
          <w:iCs/>
        </w:rPr>
        <w:t>Ocul Oncol Pathol</w:t>
      </w:r>
      <w:r>
        <w:t>,</w:t>
      </w:r>
      <w:r w:rsidRPr="00174DB0">
        <w:t xml:space="preserve"> 2018;</w:t>
      </w:r>
      <w:r>
        <w:t xml:space="preserve"> </w:t>
      </w:r>
      <w:r w:rsidRPr="00174DB0">
        <w:t>4:</w:t>
      </w:r>
      <w:r>
        <w:t xml:space="preserve"> </w:t>
      </w:r>
      <w:r w:rsidRPr="00174DB0">
        <w:t>145</w:t>
      </w:r>
      <w:r>
        <w:t>-1</w:t>
      </w:r>
      <w:r w:rsidRPr="00174DB0">
        <w:t>51</w:t>
      </w:r>
      <w:r>
        <w:t>.</w:t>
      </w:r>
    </w:p>
  </w:footnote>
  <w:footnote w:id="26">
    <w:p w14:paraId="11719742" w14:textId="387E7BF3" w:rsidR="002A4EAE" w:rsidRDefault="002A4EAE">
      <w:pPr>
        <w:pStyle w:val="FootnoteText"/>
      </w:pPr>
      <w:r>
        <w:rPr>
          <w:rStyle w:val="FootnoteReference"/>
        </w:rPr>
        <w:footnoteRef/>
      </w:r>
      <w:r>
        <w:t xml:space="preserve"> </w:t>
      </w:r>
      <w:r w:rsidRPr="00174DB0">
        <w:t>Rantala</w:t>
      </w:r>
      <w:r>
        <w:t>,</w:t>
      </w:r>
      <w:r w:rsidRPr="00174DB0">
        <w:t xml:space="preserve"> E</w:t>
      </w:r>
      <w:r>
        <w:t>.</w:t>
      </w:r>
      <w:r w:rsidRPr="00174DB0">
        <w:t>S</w:t>
      </w:r>
      <w:r>
        <w:t xml:space="preserve">. et al. </w:t>
      </w:r>
      <w:r w:rsidRPr="00174DB0">
        <w:t xml:space="preserve">Overall Survival after Treatment for Metastatic Uveal Melanoma: </w:t>
      </w:r>
      <w:r w:rsidRPr="00174DB0">
        <w:t>a Systematic Review and Meta‐Analysis</w:t>
      </w:r>
      <w:r>
        <w:t>,</w:t>
      </w:r>
      <w:r w:rsidRPr="00174DB0">
        <w:t xml:space="preserve"> </w:t>
      </w:r>
      <w:r w:rsidRPr="003E1E2B">
        <w:rPr>
          <w:i/>
          <w:iCs/>
        </w:rPr>
        <w:t>Melanoma Res</w:t>
      </w:r>
      <w:r>
        <w:t>,</w:t>
      </w:r>
      <w:r w:rsidRPr="00174DB0">
        <w:t xml:space="preserve"> 2019;</w:t>
      </w:r>
      <w:r>
        <w:t xml:space="preserve"> </w:t>
      </w:r>
      <w:r w:rsidRPr="00174DB0">
        <w:t>29:</w:t>
      </w:r>
      <w:r>
        <w:t xml:space="preserve"> </w:t>
      </w:r>
      <w:r w:rsidRPr="00174DB0">
        <w:t>561‐568</w:t>
      </w:r>
      <w:r>
        <w:t>.</w:t>
      </w:r>
    </w:p>
  </w:footnote>
  <w:footnote w:id="27">
    <w:p w14:paraId="20588706" w14:textId="5AC16F53" w:rsidR="002A4EAE" w:rsidRDefault="002A4EAE">
      <w:pPr>
        <w:pStyle w:val="FootnoteText"/>
      </w:pPr>
      <w:r>
        <w:rPr>
          <w:rStyle w:val="FootnoteReference"/>
        </w:rPr>
        <w:footnoteRef/>
      </w:r>
      <w:r>
        <w:t xml:space="preserve"> </w:t>
      </w:r>
      <w:r w:rsidRPr="00174DB0">
        <w:t>Kuk</w:t>
      </w:r>
      <w:r>
        <w:t>,</w:t>
      </w:r>
      <w:r w:rsidRPr="00174DB0">
        <w:t xml:space="preserve"> D</w:t>
      </w:r>
      <w:r>
        <w:t>.</w:t>
      </w:r>
      <w:r w:rsidRPr="00174DB0">
        <w:t xml:space="preserve"> et al. Prognosis of Mucosal, Uveal, Acral, </w:t>
      </w:r>
      <w:r w:rsidRPr="00174DB0">
        <w:t xml:space="preserve">Nonacral Cutaneous, and Unknown Primary Melanoma </w:t>
      </w:r>
      <w:r w:rsidRPr="00174DB0">
        <w:t>From the Time of First Metastasis</w:t>
      </w:r>
      <w:r>
        <w:t>,</w:t>
      </w:r>
      <w:r w:rsidRPr="00174DB0">
        <w:t xml:space="preserve"> </w:t>
      </w:r>
      <w:r w:rsidRPr="003E1E2B">
        <w:rPr>
          <w:i/>
          <w:iCs/>
        </w:rPr>
        <w:t>Oncologist</w:t>
      </w:r>
      <w:r>
        <w:t>,</w:t>
      </w:r>
      <w:r w:rsidRPr="00174DB0">
        <w:t xml:space="preserve"> 2016;</w:t>
      </w:r>
      <w:r>
        <w:t xml:space="preserve"> </w:t>
      </w:r>
      <w:r w:rsidRPr="00174DB0">
        <w:t>21(7):</w:t>
      </w:r>
      <w:r>
        <w:t xml:space="preserve"> </w:t>
      </w:r>
      <w:r w:rsidRPr="00174DB0">
        <w:t>848-854.</w:t>
      </w:r>
    </w:p>
  </w:footnote>
  <w:footnote w:id="28">
    <w:p w14:paraId="2842006E" w14:textId="6192BB72" w:rsidR="002A4EAE" w:rsidRDefault="002A4EAE">
      <w:pPr>
        <w:pStyle w:val="FootnoteText"/>
      </w:pPr>
      <w:r>
        <w:rPr>
          <w:rStyle w:val="FootnoteReference"/>
        </w:rPr>
        <w:footnoteRef/>
      </w:r>
      <w:r>
        <w:t xml:space="preserve"> </w:t>
      </w:r>
      <w:r w:rsidRPr="00174DB0">
        <w:t>Diener-West</w:t>
      </w:r>
      <w:r>
        <w:t>,</w:t>
      </w:r>
      <w:r w:rsidRPr="00174DB0">
        <w:t xml:space="preserve"> M</w:t>
      </w:r>
      <w:r>
        <w:t xml:space="preserve">. et al. </w:t>
      </w:r>
      <w:r w:rsidRPr="00174DB0">
        <w:t xml:space="preserve">Development of Metastatic Disease after </w:t>
      </w:r>
      <w:r w:rsidRPr="00174DB0">
        <w:t>Enrollment in the COMS Trials for Treatment of Choroidal Melanoma: Collaborative Ocular Melanoma Study Group Report No. 26</w:t>
      </w:r>
      <w:r>
        <w:t>,</w:t>
      </w:r>
      <w:r w:rsidRPr="00174DB0">
        <w:t xml:space="preserve"> </w:t>
      </w:r>
      <w:r w:rsidRPr="003E1E2B">
        <w:rPr>
          <w:i/>
          <w:iCs/>
        </w:rPr>
        <w:t>Arch Ophthalmol</w:t>
      </w:r>
      <w:r>
        <w:t>,</w:t>
      </w:r>
      <w:r w:rsidRPr="00174DB0">
        <w:t xml:space="preserve"> 2005;</w:t>
      </w:r>
      <w:r>
        <w:t xml:space="preserve"> </w:t>
      </w:r>
      <w:r w:rsidRPr="00174DB0">
        <w:t>123(12):</w:t>
      </w:r>
      <w:r>
        <w:t xml:space="preserve"> </w:t>
      </w:r>
      <w:r w:rsidRPr="00174DB0">
        <w:t>1639-</w:t>
      </w:r>
      <w:r>
        <w:t>16</w:t>
      </w:r>
      <w:r w:rsidRPr="00174DB0">
        <w:t>43.</w:t>
      </w:r>
    </w:p>
  </w:footnote>
  <w:footnote w:id="29">
    <w:p w14:paraId="6A2DE35C" w14:textId="4B40A8DB" w:rsidR="002A4EAE" w:rsidRDefault="002A4EAE">
      <w:pPr>
        <w:pStyle w:val="FootnoteText"/>
      </w:pPr>
      <w:r>
        <w:rPr>
          <w:rStyle w:val="FootnoteReference"/>
        </w:rPr>
        <w:footnoteRef/>
      </w:r>
      <w:r>
        <w:t xml:space="preserve"> </w:t>
      </w:r>
      <w:r w:rsidRPr="003A72F4">
        <w:rPr>
          <w:color w:val="000000"/>
        </w:rPr>
        <w:t xml:space="preserve">United States </w:t>
      </w:r>
      <w:r w:rsidRPr="003E1E2B">
        <w:t xml:space="preserve">Food and Drug Administration </w:t>
      </w:r>
      <w:r>
        <w:t>(</w:t>
      </w:r>
      <w:r w:rsidRPr="007A3F06">
        <w:t>FDA</w:t>
      </w:r>
      <w:r>
        <w:t>) FDA</w:t>
      </w:r>
      <w:r w:rsidRPr="007A3F06">
        <w:t xml:space="preserve"> Approval Press Release for </w:t>
      </w:r>
      <w:r w:rsidRPr="007A3F06">
        <w:t>Tebentafusp</w:t>
      </w:r>
      <w:r>
        <w:t>,</w:t>
      </w:r>
      <w:r w:rsidRPr="003E1E2B">
        <w:t xml:space="preserve"> 26</w:t>
      </w:r>
      <w:r>
        <w:t xml:space="preserve"> January </w:t>
      </w:r>
      <w:r w:rsidRPr="003E1E2B">
        <w:t>2022</w:t>
      </w:r>
      <w:r>
        <w:t>. Available at</w:t>
      </w:r>
      <w:r w:rsidRPr="007A3F06">
        <w:t xml:space="preserve">: </w:t>
      </w:r>
      <w:hyperlink r:id="rId1" w:history="1">
        <w:r w:rsidRPr="000B6FD0">
          <w:rPr>
            <w:rStyle w:val="Hyperlink"/>
          </w:rPr>
          <w:t>https://www.fda.gov/drugs/resources-information-approved-drugs/fda-approves-tebentafusp-tebn-unresectable-or-metastatic-uveal-melanoma</w:t>
        </w:r>
      </w:hyperlink>
      <w:r>
        <w:t xml:space="preserve"> (</w:t>
      </w:r>
      <w:r w:rsidRPr="003E1E2B">
        <w:t>Accessed 14</w:t>
      </w:r>
      <w:r>
        <w:t xml:space="preserve"> February </w:t>
      </w:r>
      <w:r w:rsidRPr="003E1E2B">
        <w:t>2022</w:t>
      </w:r>
      <w:r>
        <w:t>).</w:t>
      </w:r>
    </w:p>
  </w:footnote>
  <w:footnote w:id="30">
    <w:p w14:paraId="166C6FCD" w14:textId="25FEFDD1" w:rsidR="002A4EAE" w:rsidRDefault="002A4EAE">
      <w:pPr>
        <w:pStyle w:val="FootnoteText"/>
      </w:pPr>
      <w:r>
        <w:rPr>
          <w:rStyle w:val="FootnoteReference"/>
        </w:rPr>
        <w:footnoteRef/>
      </w:r>
      <w:r>
        <w:t xml:space="preserve"> </w:t>
      </w:r>
      <w:r w:rsidRPr="00897513">
        <w:t xml:space="preserve">United States </w:t>
      </w:r>
      <w:r w:rsidRPr="003E1E2B">
        <w:t xml:space="preserve">National Comprehensive Cancer Network </w:t>
      </w:r>
      <w:r>
        <w:t xml:space="preserve">(NCCN) </w:t>
      </w:r>
      <w:r w:rsidRPr="007A3F06">
        <w:t>NCCN Guidelines for Uveal Melanoma</w:t>
      </w:r>
      <w:r>
        <w:t>,</w:t>
      </w:r>
      <w:r w:rsidRPr="007A3F06">
        <w:t xml:space="preserve"> Version 2.2021. </w:t>
      </w:r>
      <w:r>
        <w:t xml:space="preserve">Available at: </w:t>
      </w:r>
      <w:hyperlink r:id="rId2" w:history="1">
        <w:r w:rsidRPr="000B6FD0">
          <w:rPr>
            <w:rStyle w:val="Hyperlink"/>
          </w:rPr>
          <w:t>https://www.nccn.org/professionals/physician_gls/pdf/uveal.pdf</w:t>
        </w:r>
      </w:hyperlink>
      <w:r>
        <w:t xml:space="preserve"> (</w:t>
      </w:r>
      <w:r w:rsidRPr="003E1E2B">
        <w:t>Accessed 14</w:t>
      </w:r>
      <w:r>
        <w:t xml:space="preserve"> February </w:t>
      </w:r>
      <w:r w:rsidRPr="003E1E2B">
        <w:t>2022</w:t>
      </w:r>
      <w:r>
        <w:t>).</w:t>
      </w:r>
    </w:p>
  </w:footnote>
  <w:footnote w:id="31">
    <w:p w14:paraId="0DC4A5C8" w14:textId="1452AB46" w:rsidR="002A4EAE" w:rsidRDefault="002A4EAE">
      <w:pPr>
        <w:pStyle w:val="FootnoteText"/>
      </w:pPr>
      <w:r>
        <w:rPr>
          <w:rStyle w:val="FootnoteReference"/>
        </w:rPr>
        <w:footnoteRef/>
      </w:r>
      <w:r>
        <w:t xml:space="preserve"> </w:t>
      </w:r>
      <w:r w:rsidRPr="007A3F06">
        <w:t>Rodriguez-Vidal</w:t>
      </w:r>
      <w:r>
        <w:t>,</w:t>
      </w:r>
      <w:r w:rsidRPr="007A3F06">
        <w:t xml:space="preserve"> C</w:t>
      </w:r>
      <w:r>
        <w:t xml:space="preserve">. </w:t>
      </w:r>
      <w:r w:rsidRPr="007A3F06">
        <w:t>et al. Treatment of Metastatic Uveal Melanoma: Systematic Review</w:t>
      </w:r>
      <w:r>
        <w:t>,</w:t>
      </w:r>
      <w:r w:rsidRPr="007A3F06">
        <w:t xml:space="preserve"> </w:t>
      </w:r>
      <w:r w:rsidRPr="003E1E2B">
        <w:rPr>
          <w:i/>
          <w:iCs/>
        </w:rPr>
        <w:t>Cancers (Basel)</w:t>
      </w:r>
      <w:r>
        <w:t>,</w:t>
      </w:r>
      <w:r w:rsidRPr="007A3F06">
        <w:t xml:space="preserve"> 2020;</w:t>
      </w:r>
      <w:r>
        <w:t xml:space="preserve"> </w:t>
      </w:r>
      <w:r w:rsidRPr="007A3F06">
        <w:t>12(9):</w:t>
      </w:r>
      <w:r>
        <w:t xml:space="preserve"> </w:t>
      </w:r>
      <w:r w:rsidRPr="007A3F06">
        <w:t>2557.</w:t>
      </w:r>
    </w:p>
  </w:footnote>
  <w:footnote w:id="32">
    <w:p w14:paraId="513DB322" w14:textId="211A6AF1" w:rsidR="002A4EAE" w:rsidRDefault="002A4EAE">
      <w:pPr>
        <w:pStyle w:val="FootnoteText"/>
      </w:pPr>
      <w:r>
        <w:rPr>
          <w:rStyle w:val="FootnoteReference"/>
        </w:rPr>
        <w:footnoteRef/>
      </w:r>
      <w:r>
        <w:t xml:space="preserve"> </w:t>
      </w:r>
      <w:r w:rsidRPr="007A3F06">
        <w:t>Pföhler</w:t>
      </w:r>
      <w:r>
        <w:t>,</w:t>
      </w:r>
      <w:r w:rsidRPr="007A3F06">
        <w:t xml:space="preserve"> C</w:t>
      </w:r>
      <w:r>
        <w:t xml:space="preserve">. et al. </w:t>
      </w:r>
      <w:r w:rsidRPr="007A3F06">
        <w:t>Treosulfan and Gemcitabine in Metastatic Uveal Melanoma Patients: Results of a Multicenter Feasibility Study</w:t>
      </w:r>
      <w:r>
        <w:t>,</w:t>
      </w:r>
      <w:r w:rsidRPr="007A3F06">
        <w:t xml:space="preserve"> </w:t>
      </w:r>
      <w:r w:rsidRPr="00C048CA">
        <w:rPr>
          <w:i/>
          <w:iCs/>
        </w:rPr>
        <w:t xml:space="preserve">Anticancer </w:t>
      </w:r>
      <w:r w:rsidRPr="00C048CA">
        <w:rPr>
          <w:i/>
          <w:iCs/>
        </w:rPr>
        <w:t>Drug</w:t>
      </w:r>
      <w:r>
        <w:t>,</w:t>
      </w:r>
      <w:r w:rsidRPr="007A3F06">
        <w:t>. 2003;</w:t>
      </w:r>
      <w:r>
        <w:t xml:space="preserve"> </w:t>
      </w:r>
      <w:r w:rsidRPr="007A3F06">
        <w:t>14:</w:t>
      </w:r>
      <w:r>
        <w:t xml:space="preserve"> </w:t>
      </w:r>
      <w:r w:rsidRPr="007A3F06">
        <w:t>337</w:t>
      </w:r>
      <w:r>
        <w:t>-</w:t>
      </w:r>
      <w:r w:rsidRPr="007A3F06">
        <w:t>340.</w:t>
      </w:r>
    </w:p>
  </w:footnote>
  <w:footnote w:id="33">
    <w:p w14:paraId="1AC99728" w14:textId="370B86E0" w:rsidR="002A4EAE" w:rsidRDefault="002A4EAE">
      <w:pPr>
        <w:pStyle w:val="FootnoteText"/>
      </w:pPr>
      <w:r>
        <w:rPr>
          <w:rStyle w:val="FootnoteReference"/>
        </w:rPr>
        <w:footnoteRef/>
      </w:r>
      <w:r>
        <w:t xml:space="preserve"> </w:t>
      </w:r>
      <w:r w:rsidRPr="007A3F06">
        <w:t>Agarwala</w:t>
      </w:r>
      <w:r>
        <w:t>,</w:t>
      </w:r>
      <w:r w:rsidRPr="007A3F06">
        <w:t xml:space="preserve"> S</w:t>
      </w:r>
      <w:r>
        <w:t>.</w:t>
      </w:r>
      <w:r w:rsidRPr="007A3F06">
        <w:t>S</w:t>
      </w:r>
      <w:r>
        <w:t xml:space="preserve">. et al. </w:t>
      </w:r>
      <w:r w:rsidRPr="007A3F06">
        <w:t xml:space="preserve">Metastatic Melanoma to the Liver: </w:t>
      </w:r>
      <w:r w:rsidRPr="007A3F06">
        <w:t>a Contemporary and Comprehensive Review of Surgical, Systemic, and Regional Therapeutic Options</w:t>
      </w:r>
      <w:r>
        <w:t>,</w:t>
      </w:r>
      <w:r w:rsidRPr="007A3F06">
        <w:t xml:space="preserve"> </w:t>
      </w:r>
      <w:r w:rsidRPr="00C048CA">
        <w:rPr>
          <w:i/>
          <w:iCs/>
        </w:rPr>
        <w:t>Cancer</w:t>
      </w:r>
      <w:r>
        <w:t>,</w:t>
      </w:r>
      <w:r w:rsidRPr="007A3F06">
        <w:t xml:space="preserve"> 2014;</w:t>
      </w:r>
      <w:r>
        <w:t xml:space="preserve"> </w:t>
      </w:r>
      <w:r w:rsidRPr="007A3F06">
        <w:t>120(6):</w:t>
      </w:r>
      <w:r>
        <w:t xml:space="preserve"> </w:t>
      </w:r>
      <w:r w:rsidRPr="007A3F06">
        <w:t>781</w:t>
      </w:r>
      <w:r>
        <w:t>-</w:t>
      </w:r>
      <w:r w:rsidRPr="007A3F06">
        <w:t>789.</w:t>
      </w:r>
    </w:p>
  </w:footnote>
  <w:footnote w:id="34">
    <w:p w14:paraId="2C9B4CFA" w14:textId="48D53CF1" w:rsidR="002A4EAE" w:rsidRDefault="002A4EAE">
      <w:pPr>
        <w:pStyle w:val="FootnoteText"/>
      </w:pPr>
      <w:r>
        <w:rPr>
          <w:rStyle w:val="FootnoteReference"/>
        </w:rPr>
        <w:footnoteRef/>
      </w:r>
      <w:r>
        <w:t xml:space="preserve"> A</w:t>
      </w:r>
      <w:r w:rsidRPr="00C048CA">
        <w:t xml:space="preserve">nti-programmed death (ligand)-1 </w:t>
      </w:r>
      <w:r>
        <w:t>or a</w:t>
      </w:r>
      <w:r w:rsidRPr="007A3F06">
        <w:t>nti-PD-(L)1</w:t>
      </w:r>
      <w:r>
        <w:t xml:space="preserve">: </w:t>
      </w:r>
      <w:r w:rsidRPr="007A3F06">
        <w:t>medicines that target the programmed death 1 (PD-1) protein or its ligand (PD-L1).</w:t>
      </w:r>
    </w:p>
  </w:footnote>
  <w:footnote w:id="35">
    <w:p w14:paraId="48745DDF" w14:textId="7AD04EA4" w:rsidR="002A4EAE" w:rsidRDefault="002A4EAE">
      <w:pPr>
        <w:pStyle w:val="FootnoteText"/>
      </w:pPr>
      <w:r>
        <w:rPr>
          <w:rStyle w:val="FootnoteReference"/>
        </w:rPr>
        <w:footnoteRef/>
      </w:r>
      <w:r>
        <w:t xml:space="preserve"> A</w:t>
      </w:r>
      <w:r w:rsidRPr="00C048CA">
        <w:t xml:space="preserve">nti-cytotoxic T-lymphocyte-associated antigen 4 </w:t>
      </w:r>
      <w:r>
        <w:t>or a</w:t>
      </w:r>
      <w:r w:rsidRPr="007A3F06">
        <w:t>nti-CTLA4</w:t>
      </w:r>
      <w:r>
        <w:t>:</w:t>
      </w:r>
      <w:r w:rsidRPr="007A3F06">
        <w:t xml:space="preserve"> medicines that target the cytotoxic T</w:t>
      </w:r>
      <w:r>
        <w:noBreakHyphen/>
      </w:r>
      <w:r w:rsidRPr="007A3F06">
        <w:t>lymphocyte-associated antigen-4 (CTLA4) protein.</w:t>
      </w:r>
    </w:p>
  </w:footnote>
  <w:footnote w:id="36">
    <w:p w14:paraId="273C8E43" w14:textId="1E917C19" w:rsidR="002A4EAE" w:rsidRDefault="002A4EAE">
      <w:pPr>
        <w:pStyle w:val="FootnoteText"/>
      </w:pPr>
      <w:r>
        <w:rPr>
          <w:rStyle w:val="FootnoteReference"/>
        </w:rPr>
        <w:footnoteRef/>
      </w:r>
      <w:r>
        <w:t xml:space="preserve"> </w:t>
      </w:r>
      <w:r w:rsidRPr="007A3F06">
        <w:t>Pelster</w:t>
      </w:r>
      <w:r>
        <w:t>,</w:t>
      </w:r>
      <w:r w:rsidRPr="007A3F06">
        <w:t xml:space="preserve"> M</w:t>
      </w:r>
      <w:r>
        <w:t>.</w:t>
      </w:r>
      <w:r w:rsidRPr="007A3F06">
        <w:t>S</w:t>
      </w:r>
      <w:r>
        <w:t xml:space="preserve">. et al. </w:t>
      </w:r>
      <w:r w:rsidRPr="007A3F06">
        <w:t xml:space="preserve">Nivolumab and Ipilimumab in Metastatic Uveal Melanoma: Results </w:t>
      </w:r>
      <w:r>
        <w:t>f</w:t>
      </w:r>
      <w:r w:rsidRPr="007A3F06">
        <w:t>rom a Single-Arm Phase II Study</w:t>
      </w:r>
      <w:r>
        <w:t>,</w:t>
      </w:r>
      <w:r w:rsidRPr="007A3F06">
        <w:t xml:space="preserve"> </w:t>
      </w:r>
      <w:r w:rsidRPr="00C048CA">
        <w:rPr>
          <w:i/>
          <w:iCs/>
        </w:rPr>
        <w:t>J Clin Oncol</w:t>
      </w:r>
      <w:r>
        <w:t>,</w:t>
      </w:r>
      <w:r w:rsidRPr="007A3F06">
        <w:t xml:space="preserve"> 2021;</w:t>
      </w:r>
      <w:r>
        <w:t xml:space="preserve"> </w:t>
      </w:r>
      <w:r w:rsidRPr="007A3F06">
        <w:t>39(6):</w:t>
      </w:r>
      <w:r>
        <w:t xml:space="preserve"> </w:t>
      </w:r>
      <w:r w:rsidRPr="007A3F06">
        <w:t>599-607.</w:t>
      </w:r>
    </w:p>
  </w:footnote>
  <w:footnote w:id="37">
    <w:p w14:paraId="17F362D2" w14:textId="4388584E" w:rsidR="0043337F" w:rsidRPr="00362C15" w:rsidRDefault="0043337F">
      <w:pPr>
        <w:pStyle w:val="FootnoteText"/>
        <w:rPr>
          <w:lang w:val="en-GB"/>
        </w:rPr>
      </w:pPr>
      <w:r>
        <w:rPr>
          <w:rStyle w:val="FootnoteReference"/>
        </w:rPr>
        <w:footnoteRef/>
      </w:r>
      <w:r>
        <w:t xml:space="preserve"> </w:t>
      </w:r>
      <w:r w:rsidR="00921051">
        <w:rPr>
          <w:lang w:val="en-GB"/>
        </w:rPr>
        <w:t>Immunocore is a biotechnology company and innovator of tebentafusp.</w:t>
      </w:r>
    </w:p>
  </w:footnote>
  <w:footnote w:id="38">
    <w:p w14:paraId="4B1D58BE" w14:textId="5D9F88B0" w:rsidR="002A4EAE" w:rsidRDefault="002A4EAE">
      <w:pPr>
        <w:pStyle w:val="FootnoteText"/>
      </w:pPr>
      <w:r>
        <w:rPr>
          <w:rStyle w:val="FootnoteReference"/>
        </w:rPr>
        <w:footnoteRef/>
      </w:r>
      <w:r>
        <w:t xml:space="preserve"> </w:t>
      </w:r>
      <w:r w:rsidRPr="007A3F06">
        <w:t>Damato</w:t>
      </w:r>
      <w:r>
        <w:t>,</w:t>
      </w:r>
      <w:r w:rsidRPr="007A3F06">
        <w:t xml:space="preserve"> B</w:t>
      </w:r>
      <w:r>
        <w:t>.</w:t>
      </w:r>
      <w:r w:rsidRPr="007A3F06">
        <w:t>E</w:t>
      </w:r>
      <w:r>
        <w:t>. et al.</w:t>
      </w:r>
      <w:r w:rsidRPr="007A3F06">
        <w:t xml:space="preserve"> Tebentafusp: T Cell Redirection for the Treatment of Metastatic Uveal Melanoma</w:t>
      </w:r>
      <w:r>
        <w:t>,</w:t>
      </w:r>
      <w:r w:rsidRPr="007A3F06">
        <w:t xml:space="preserve"> </w:t>
      </w:r>
      <w:r w:rsidRPr="00C048CA">
        <w:rPr>
          <w:i/>
          <w:iCs/>
        </w:rPr>
        <w:t>Cancers</w:t>
      </w:r>
      <w:r>
        <w:t>,</w:t>
      </w:r>
      <w:r w:rsidRPr="007A3F06">
        <w:t xml:space="preserve"> 2019; 11(7):</w:t>
      </w:r>
      <w:r>
        <w:t xml:space="preserve"> </w:t>
      </w:r>
      <w:r w:rsidRPr="007A3F06">
        <w:t>971</w:t>
      </w:r>
      <w:r>
        <w:t>.</w:t>
      </w:r>
    </w:p>
  </w:footnote>
  <w:footnote w:id="39">
    <w:p w14:paraId="52A31D17" w14:textId="27F59C90" w:rsidR="002A4EAE" w:rsidRDefault="002A4EAE" w:rsidP="00C048CA">
      <w:pPr>
        <w:pStyle w:val="FootnoteText"/>
      </w:pPr>
      <w:r>
        <w:rPr>
          <w:rStyle w:val="FootnoteReference"/>
        </w:rPr>
        <w:footnoteRef/>
      </w:r>
      <w:r>
        <w:t xml:space="preserve"> </w:t>
      </w:r>
      <w:r w:rsidRPr="007A3F06">
        <w:t>Gonzalez-Galarza</w:t>
      </w:r>
      <w:r>
        <w:t>,</w:t>
      </w:r>
      <w:r w:rsidRPr="007A3F06">
        <w:t xml:space="preserve"> F</w:t>
      </w:r>
      <w:r>
        <w:t>.</w:t>
      </w:r>
      <w:r w:rsidRPr="007A3F06">
        <w:t>F</w:t>
      </w:r>
      <w:r>
        <w:t>. et al.</w:t>
      </w:r>
      <w:r w:rsidRPr="007A3F06">
        <w:t xml:space="preserve"> Allele Frequency Net Database (AFND) 2020 Update: Gold-Standard Data Classification, Open Access Genotype Data and New Query Tools., </w:t>
      </w:r>
      <w:r w:rsidRPr="00C048CA">
        <w:rPr>
          <w:i/>
          <w:iCs/>
        </w:rPr>
        <w:t>Nucleic Acids Res</w:t>
      </w:r>
      <w:r>
        <w:t>, 2020; 48(D1): D783-D788.</w:t>
      </w:r>
    </w:p>
  </w:footnote>
  <w:footnote w:id="40">
    <w:p w14:paraId="506AD623" w14:textId="632ABB43" w:rsidR="002A4EAE" w:rsidRDefault="002A4EAE">
      <w:pPr>
        <w:pStyle w:val="FootnoteText"/>
      </w:pPr>
      <w:r>
        <w:rPr>
          <w:rStyle w:val="FootnoteReference"/>
        </w:rPr>
        <w:footnoteRef/>
      </w:r>
      <w:r>
        <w:t xml:space="preserve"> </w:t>
      </w:r>
      <w:r w:rsidRPr="007A3F06">
        <w:t>Nathan</w:t>
      </w:r>
      <w:r>
        <w:t>,</w:t>
      </w:r>
      <w:r w:rsidRPr="007A3F06">
        <w:t xml:space="preserve"> P</w:t>
      </w:r>
      <w:r>
        <w:t xml:space="preserve">. et al. </w:t>
      </w:r>
      <w:r w:rsidRPr="007A3F06">
        <w:t xml:space="preserve">Overall Survival Benefit with </w:t>
      </w:r>
      <w:r w:rsidRPr="007A3F06">
        <w:t>Tebentafusp in Metastatic Uveal Melanoma</w:t>
      </w:r>
      <w:r>
        <w:t>,</w:t>
      </w:r>
      <w:r w:rsidRPr="007A3F06">
        <w:t xml:space="preserve"> </w:t>
      </w:r>
      <w:r w:rsidRPr="00C048CA">
        <w:rPr>
          <w:i/>
          <w:iCs/>
        </w:rPr>
        <w:t>N Engl J Med</w:t>
      </w:r>
      <w:r>
        <w:t>,</w:t>
      </w:r>
      <w:r w:rsidRPr="007A3F06">
        <w:t xml:space="preserve"> 2021;</w:t>
      </w:r>
      <w:r>
        <w:t xml:space="preserve"> </w:t>
      </w:r>
      <w:r w:rsidRPr="007A3F06">
        <w:t>385(13):</w:t>
      </w:r>
      <w:r>
        <w:t xml:space="preserve"> </w:t>
      </w:r>
      <w:r w:rsidRPr="007A3F06">
        <w:t>1196-1206.</w:t>
      </w:r>
    </w:p>
  </w:footnote>
  <w:footnote w:id="41">
    <w:p w14:paraId="1F636C94" w14:textId="42DD377E" w:rsidR="002A4EAE" w:rsidRPr="0089264D" w:rsidRDefault="002A4EAE">
      <w:pPr>
        <w:pStyle w:val="FootnoteText"/>
        <w:rPr>
          <w:lang w:val="en-GB"/>
        </w:rPr>
      </w:pPr>
      <w:r>
        <w:rPr>
          <w:rStyle w:val="FootnoteReference"/>
        </w:rPr>
        <w:footnoteRef/>
      </w:r>
      <w:r>
        <w:t xml:space="preserve"> </w:t>
      </w:r>
      <w:r>
        <w:rPr>
          <w:lang w:val="en-GB"/>
        </w:rPr>
        <w:t>See the Product Information for full</w:t>
      </w:r>
      <w:r w:rsidR="00856E21">
        <w:rPr>
          <w:lang w:val="en-GB"/>
        </w:rPr>
        <w:t>.</w:t>
      </w:r>
    </w:p>
  </w:footnote>
  <w:footnote w:id="42">
    <w:p w14:paraId="606ADAC3" w14:textId="77777777" w:rsidR="002A4EAE" w:rsidRDefault="002A4EAE" w:rsidP="00424B61">
      <w:pPr>
        <w:pStyle w:val="FootnoteText"/>
      </w:pPr>
      <w:r>
        <w:rPr>
          <w:rStyle w:val="FootnoteReference"/>
        </w:rPr>
        <w:footnoteRef/>
      </w:r>
      <w:r>
        <w:t xml:space="preserve"> </w:t>
      </w:r>
      <w:r w:rsidRPr="00E229D2">
        <w:rPr>
          <w:b/>
          <w:bCs/>
        </w:rPr>
        <w:t>Cytochrome P450 (CYP)</w:t>
      </w:r>
      <w:r>
        <w:t xml:space="preserve"> enzymes: CYPs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7E5745F3" w14:textId="77777777" w:rsidR="002A4EAE" w:rsidRDefault="002A4EAE" w:rsidP="00424B61">
      <w:pPr>
        <w:pStyle w:val="FootnoteText"/>
      </w:pPr>
      <w:r>
        <w:t xml:space="preserve">Many drugs may increase or decrease the activity of various CYP isozymes either by inducing the biosynthesis of an isozyme (enzyme induction) or by directly inhibiting the activity of the CYP (enzyme inhibition). This is a major source of adverse drug </w:t>
      </w:r>
      <w:r>
        <w:t>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43">
    <w:p w14:paraId="3E62006D" w14:textId="0AF7906E" w:rsidR="002A4EAE" w:rsidRDefault="002A4EAE">
      <w:pPr>
        <w:pStyle w:val="FootnoteText"/>
      </w:pPr>
      <w:r>
        <w:rPr>
          <w:rStyle w:val="FootnoteReference"/>
        </w:rPr>
        <w:footnoteRef/>
      </w:r>
      <w:r>
        <w:t xml:space="preserve"> </w:t>
      </w:r>
      <w:r w:rsidRPr="009F6A25">
        <w:t>The </w:t>
      </w:r>
      <w:r w:rsidRPr="009F6A25">
        <w:rPr>
          <w:b/>
          <w:bCs/>
        </w:rPr>
        <w:t>International Council for Harmonisation of Technical Requirements for Registration of Pharmaceuticals for Human Use (ICH)</w:t>
      </w:r>
      <w:r w:rsidRPr="009F6A25">
        <w:t xml:space="preserve"> brings together regulatory authorities and the pharmaceutical industry. It makes recommendations towards achieving greater harmonisation in the interpretation and application of technical guidelines and requirements for pharmaceutical product registration.</w:t>
      </w:r>
    </w:p>
  </w:footnote>
  <w:footnote w:id="44">
    <w:p w14:paraId="3F059FEF" w14:textId="44C7D965" w:rsidR="002A4EAE" w:rsidRDefault="002A4EAE" w:rsidP="009F6A25">
      <w:pPr>
        <w:pStyle w:val="FootnoteText"/>
      </w:pPr>
      <w:r>
        <w:rPr>
          <w:rStyle w:val="FootnoteReference"/>
        </w:rPr>
        <w:footnoteRef/>
      </w:r>
      <w:r>
        <w:t xml:space="preserve"> European Medicines agency (EMA), </w:t>
      </w:r>
      <w:r w:rsidRPr="009F6A25">
        <w:t>Committee for medicinal products for human use (CHMP)</w:t>
      </w:r>
      <w:r>
        <w:t xml:space="preserve">, ICH Guideline S6 (R1) - Preclinical Safety Evaluation of Biotechnology-Derived Pharmaceuticals, </w:t>
      </w:r>
      <w:r w:rsidRPr="009F6A25">
        <w:t>EMA/CHMP/ICH/731268/1998</w:t>
      </w:r>
      <w:r>
        <w:t xml:space="preserve">, </w:t>
      </w:r>
      <w:r w:rsidRPr="009F6A25">
        <w:t>June 2011</w:t>
      </w:r>
      <w:r>
        <w:t>.</w:t>
      </w:r>
    </w:p>
  </w:footnote>
  <w:footnote w:id="45">
    <w:p w14:paraId="595383A4" w14:textId="3430E319" w:rsidR="002A4EAE" w:rsidRDefault="002A4EAE" w:rsidP="00D03155">
      <w:pPr>
        <w:pStyle w:val="FootnoteText"/>
      </w:pPr>
      <w:r>
        <w:rPr>
          <w:rStyle w:val="FootnoteReference"/>
        </w:rPr>
        <w:footnoteRef/>
      </w:r>
      <w:r>
        <w:t xml:space="preserve"> </w:t>
      </w:r>
      <w:r w:rsidRPr="00D03155">
        <w:rPr>
          <w:b/>
          <w:bCs/>
        </w:rPr>
        <w:t>Pregnancy Category C</w:t>
      </w:r>
      <w:r>
        <w:t xml:space="preserve">: Drugs which, owing to their pharmacological effects, have </w:t>
      </w:r>
      <w:r>
        <w:t xml:space="preserve">caused or may be suspected of causing, harmful effects on the human </w:t>
      </w:r>
      <w:r>
        <w:t>fetus or neonate without causing malformations. These effects may be reversible. Accompanying texts should be consulted for further details.</w:t>
      </w:r>
    </w:p>
    <w:p w14:paraId="2B4DA513" w14:textId="73EE0A69" w:rsidR="002A4EAE" w:rsidRDefault="002A4EAE" w:rsidP="00D03155">
      <w:pPr>
        <w:pStyle w:val="FootnoteText"/>
      </w:pPr>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footnote>
  <w:footnote w:id="46">
    <w:p w14:paraId="1411DC7F" w14:textId="77777777" w:rsidR="002A4EAE" w:rsidRDefault="002A4EAE" w:rsidP="009861C4">
      <w:pPr>
        <w:pStyle w:val="FootnoteText"/>
      </w:pPr>
      <w:r>
        <w:rPr>
          <w:rStyle w:val="FootnoteReference"/>
        </w:rPr>
        <w:footnoteRef/>
      </w:r>
      <w:r>
        <w:t xml:space="preserve"> The </w:t>
      </w:r>
      <w:r w:rsidRPr="00C048CA">
        <w:rPr>
          <w:b/>
          <w:bCs/>
        </w:rPr>
        <w:t>QT interval</w:t>
      </w:r>
      <w:r>
        <w:t xml:space="preserve"> is the time from the start of the QRS wave complex to the end of the corresponding T wave. It approximates to the time taken for ventricular depolarisation and repolarisation</w:t>
      </w:r>
      <w:r>
        <w:t>, that is to say, the period of ventricular systole from ventricular isovolumetric contraction to isovolumetric relaxation.</w:t>
      </w:r>
    </w:p>
    <w:p w14:paraId="39F2125E" w14:textId="3FE21A97" w:rsidR="002A4EAE" w:rsidRDefault="002A4EAE" w:rsidP="009861C4">
      <w:pPr>
        <w:pStyle w:val="FootnoteText"/>
      </w:pPr>
      <w:r>
        <w:t>The corrected QT interval (</w:t>
      </w:r>
      <w:r w:rsidRPr="00C048CA">
        <w:rPr>
          <w:b/>
          <w:bCs/>
        </w:rPr>
        <w:t>QTc</w:t>
      </w:r>
      <w:r>
        <w:t xml:space="preserve">) estimates the QT interval at a standard heart rate. This allows comparison of QT values over time at different heart rates and improves detection of patients at increased risk of arrhythmias. The </w:t>
      </w:r>
      <w:r w:rsidRPr="00C048CA">
        <w:rPr>
          <w:b/>
          <w:bCs/>
        </w:rPr>
        <w:t>QTcF</w:t>
      </w:r>
      <w:r>
        <w:t xml:space="preserve"> is the QT interval corrected for heart rate according to Fridericia’s formula.</w:t>
      </w:r>
    </w:p>
  </w:footnote>
  <w:footnote w:id="47">
    <w:p w14:paraId="47C8FB02" w14:textId="6840B18B" w:rsidR="002A4EAE" w:rsidRDefault="002A4EAE">
      <w:pPr>
        <w:pStyle w:val="FootnoteText"/>
      </w:pPr>
      <w:r>
        <w:rPr>
          <w:rStyle w:val="FootnoteReference"/>
        </w:rPr>
        <w:footnoteRef/>
      </w:r>
      <w:r>
        <w:t xml:space="preserve"> </w:t>
      </w:r>
      <w:r w:rsidRPr="00E229D2">
        <w:t>United States Food and Drug Administration (FDA) Prescribing Information</w:t>
      </w:r>
      <w:r>
        <w:t xml:space="preserve"> for </w:t>
      </w:r>
      <w:r w:rsidRPr="00E229D2">
        <w:t>Kimmtrak (Tebentafusp-tebn)</w:t>
      </w:r>
      <w:r>
        <w:t xml:space="preserve">, </w:t>
      </w:r>
      <w:r w:rsidRPr="009F6A25">
        <w:t>Revised</w:t>
      </w:r>
      <w:r>
        <w:t xml:space="preserve"> in January </w:t>
      </w:r>
      <w:r w:rsidRPr="009F6A25">
        <w:t>2022</w:t>
      </w:r>
      <w:r>
        <w:t xml:space="preserve">. Available at: </w:t>
      </w:r>
      <w:hyperlink r:id="rId3" w:history="1">
        <w:r w:rsidRPr="004C7F66">
          <w:rPr>
            <w:rStyle w:val="Hyperlink"/>
          </w:rPr>
          <w:t>https://www.accessdata.fda.gov/drugsatfda_docs/label/2022/761228s000lbl.pdf</w:t>
        </w:r>
      </w:hyperlink>
      <w:r>
        <w:t xml:space="preserve"> (</w:t>
      </w:r>
      <w:r w:rsidRPr="00F01613">
        <w:t>Accessed 14</w:t>
      </w:r>
      <w:r>
        <w:t xml:space="preserve"> February </w:t>
      </w:r>
      <w:r w:rsidRPr="00F01613">
        <w:t>2022</w:t>
      </w:r>
      <w:r>
        <w:t>).</w:t>
      </w:r>
    </w:p>
  </w:footnote>
  <w:footnote w:id="48">
    <w:p w14:paraId="537391D4" w14:textId="1D8B0690" w:rsidR="002A4EAE" w:rsidRDefault="002A4EAE">
      <w:pPr>
        <w:pStyle w:val="FootnoteText"/>
      </w:pPr>
      <w:r>
        <w:rPr>
          <w:rStyle w:val="FootnoteReference"/>
        </w:rPr>
        <w:footnoteRef/>
      </w:r>
      <w:r>
        <w:t xml:space="preserve"> </w:t>
      </w:r>
      <w:r w:rsidRPr="00D47A02">
        <w:t xml:space="preserve">The </w:t>
      </w:r>
      <w:r w:rsidRPr="00D47A02">
        <w:rPr>
          <w:b/>
          <w:bCs/>
        </w:rPr>
        <w:t xml:space="preserve">Response Evaluation Criteria </w:t>
      </w:r>
      <w:r w:rsidRPr="00D47A02">
        <w:rPr>
          <w:b/>
          <w:bCs/>
        </w:rPr>
        <w:t>In Solid Tumours (RECIST)</w:t>
      </w:r>
      <w:r w:rsidRPr="00D47A02">
        <w:t xml:space="preserve"> is a voluntary international standard with unified and easily applicable criteria to define when a patient's tumour has improved ('respond'), stayed the same ('stabilise'), or worsened ('progress') during treatment. The criteria were published in February 2000 by an international collaboration including the European Organisation for Research and Treatment of Cancer (EORTC), National Cancer Institute (NCI) of the United States, and the National Cancer Institute of Canada Clinical Trials Group. Today, the majority of clinical trials evaluating cancer treatments for objective response in solid tumours use RECIST. These criteria were developed and published in February 2000, and subsequently updated in 2009.</w:t>
      </w:r>
    </w:p>
  </w:footnote>
  <w:footnote w:id="49">
    <w:p w14:paraId="2944B456" w14:textId="4309B120" w:rsidR="002A4EAE" w:rsidRDefault="002A4EAE">
      <w:pPr>
        <w:pStyle w:val="FootnoteText"/>
      </w:pPr>
      <w:r>
        <w:rPr>
          <w:rStyle w:val="FootnoteReference"/>
        </w:rPr>
        <w:footnoteRef/>
      </w:r>
      <w:r>
        <w:t xml:space="preserve"> </w:t>
      </w:r>
      <w:r w:rsidRPr="00F01613">
        <w:t>Eisenhauer</w:t>
      </w:r>
      <w:r>
        <w:t>,</w:t>
      </w:r>
      <w:r w:rsidRPr="00F01613">
        <w:t xml:space="preserve"> E</w:t>
      </w:r>
      <w:r>
        <w:t>.</w:t>
      </w:r>
      <w:r w:rsidRPr="00F01613">
        <w:t>A</w:t>
      </w:r>
      <w:r>
        <w:t xml:space="preserve">. et al. </w:t>
      </w:r>
      <w:r w:rsidRPr="00F01613">
        <w:t>New Response Evaluation Criteria in Solid Tumours: Revised RECIST Guideline (Version 1.1)</w:t>
      </w:r>
      <w:r>
        <w:t>,</w:t>
      </w:r>
      <w:r w:rsidRPr="00F01613">
        <w:t xml:space="preserve"> </w:t>
      </w:r>
      <w:r w:rsidRPr="003B07BC">
        <w:rPr>
          <w:i/>
          <w:iCs/>
        </w:rPr>
        <w:t>Eur J Cancer</w:t>
      </w:r>
      <w:r>
        <w:t>,</w:t>
      </w:r>
      <w:r w:rsidRPr="00F01613">
        <w:t xml:space="preserve"> 2009;</w:t>
      </w:r>
      <w:r>
        <w:t xml:space="preserve"> </w:t>
      </w:r>
      <w:r w:rsidRPr="00F01613">
        <w:t>45(2):</w:t>
      </w:r>
      <w:r>
        <w:t xml:space="preserve"> </w:t>
      </w:r>
      <w:r w:rsidRPr="00F01613">
        <w:t>228-</w:t>
      </w:r>
      <w:r>
        <w:t>2</w:t>
      </w:r>
      <w:r w:rsidRPr="00F01613">
        <w:t>47.</w:t>
      </w:r>
    </w:p>
  </w:footnote>
  <w:footnote w:id="50">
    <w:p w14:paraId="2B3F11AA" w14:textId="1EDFB13A" w:rsidR="002A4EAE" w:rsidRDefault="002A4EAE">
      <w:pPr>
        <w:pStyle w:val="FootnoteText"/>
      </w:pPr>
      <w:r>
        <w:rPr>
          <w:rStyle w:val="FootnoteReference"/>
        </w:rPr>
        <w:footnoteRef/>
      </w:r>
      <w:r>
        <w:t xml:space="preserve"> </w:t>
      </w:r>
      <w:r w:rsidRPr="00B07E34">
        <w:t xml:space="preserve">Hodi, F.S. et al. Evaluation of Immune-Related Response Criteria and RECIST v1.1 in Patients with Advanced Melanoma Treated with Pembrolizumab, </w:t>
      </w:r>
      <w:r w:rsidRPr="00B07E34">
        <w:rPr>
          <w:i/>
          <w:iCs/>
        </w:rPr>
        <w:t>J Clin Oncol</w:t>
      </w:r>
      <w:r w:rsidRPr="00B07E34">
        <w:t>, 2016; 34(13): 1510-1517.</w:t>
      </w:r>
    </w:p>
  </w:footnote>
  <w:footnote w:id="51">
    <w:p w14:paraId="5940E9D3" w14:textId="13D79EFD" w:rsidR="002A4EAE" w:rsidRDefault="002A4EAE">
      <w:pPr>
        <w:pStyle w:val="FootnoteText"/>
      </w:pPr>
      <w:r>
        <w:rPr>
          <w:rStyle w:val="FootnoteReference"/>
        </w:rPr>
        <w:footnoteRef/>
      </w:r>
      <w:r>
        <w:t xml:space="preserve"> </w:t>
      </w:r>
      <w:r w:rsidRPr="00F01613">
        <w:t>Middleton</w:t>
      </w:r>
      <w:r>
        <w:t>,</w:t>
      </w:r>
      <w:r w:rsidRPr="00F01613">
        <w:t xml:space="preserve"> M</w:t>
      </w:r>
      <w:r>
        <w:t xml:space="preserve">. </w:t>
      </w:r>
      <w:r w:rsidRPr="00F01613">
        <w:t>et al. A Phase I/</w:t>
      </w:r>
      <w:r w:rsidRPr="00F01613">
        <w:t>IIa Study of IMCgp100: Partial and Complete Durable Responses with a Novel First-in-Class Immunotherapy for Advanced Melanoma</w:t>
      </w:r>
      <w:r>
        <w:t>,</w:t>
      </w:r>
      <w:r w:rsidRPr="00F01613">
        <w:t xml:space="preserve"> American Academy for Cancer Research Annual Meeting, Philadelphia, PA. April 2015.</w:t>
      </w:r>
    </w:p>
  </w:footnote>
  <w:footnote w:id="52">
    <w:p w14:paraId="0DF4DD31" w14:textId="1CFA40F8" w:rsidR="002A4EAE" w:rsidRDefault="002A4EAE">
      <w:pPr>
        <w:pStyle w:val="FootnoteText"/>
      </w:pPr>
      <w:r>
        <w:rPr>
          <w:rStyle w:val="FootnoteReference"/>
        </w:rPr>
        <w:footnoteRef/>
      </w:r>
      <w:r>
        <w:t xml:space="preserve"> </w:t>
      </w:r>
      <w:r w:rsidRPr="00F01613">
        <w:t>Middleton</w:t>
      </w:r>
      <w:r>
        <w:t>,</w:t>
      </w:r>
      <w:r w:rsidRPr="00F01613">
        <w:t xml:space="preserve"> M</w:t>
      </w:r>
      <w:r>
        <w:t>.</w:t>
      </w:r>
      <w:r w:rsidRPr="00F01613">
        <w:t xml:space="preserve"> et al. Safety, Pharmacokinetics and Efficacy of IMCgp100, a First-in-Class Soluble TCR-</w:t>
      </w:r>
      <w:r>
        <w:t>A</w:t>
      </w:r>
      <w:r w:rsidRPr="00F01613">
        <w:t>ntiCD3 Bispecific T Cell Redirector with Solid Tumour Activity: Results from the FIH Study in Melanoma</w:t>
      </w:r>
      <w:r>
        <w:t>,</w:t>
      </w:r>
      <w:r w:rsidRPr="00F01613">
        <w:t xml:space="preserve"> American Society for Clinical Oncology, 2016 Annual Meeting, Chicago, USA.</w:t>
      </w:r>
    </w:p>
  </w:footnote>
  <w:footnote w:id="53">
    <w:p w14:paraId="67F19612" w14:textId="3819E2AA" w:rsidR="002A4EAE" w:rsidRDefault="002A4EAE">
      <w:pPr>
        <w:pStyle w:val="FootnoteText"/>
      </w:pPr>
      <w:r>
        <w:rPr>
          <w:rStyle w:val="FootnoteReference"/>
        </w:rPr>
        <w:footnoteRef/>
      </w:r>
      <w:r>
        <w:t xml:space="preserve"> </w:t>
      </w:r>
      <w:r w:rsidRPr="00F01613">
        <w:t>Wolchok</w:t>
      </w:r>
      <w:r>
        <w:t>,</w:t>
      </w:r>
      <w:r w:rsidRPr="00F01613">
        <w:t xml:space="preserve"> J</w:t>
      </w:r>
      <w:r>
        <w:t>.</w:t>
      </w:r>
      <w:r w:rsidRPr="00F01613">
        <w:t>D</w:t>
      </w:r>
      <w:r>
        <w:t>. et al. et al.</w:t>
      </w:r>
      <w:r w:rsidRPr="00F01613">
        <w:t xml:space="preserve"> Guidelines for the Evaluation of Immune Therapy Activity in Solid Tumors: Immune-Related Response Criteria</w:t>
      </w:r>
      <w:r>
        <w:t>,</w:t>
      </w:r>
      <w:r w:rsidRPr="00F01613">
        <w:t xml:space="preserve"> </w:t>
      </w:r>
      <w:r w:rsidRPr="00B07E34">
        <w:rPr>
          <w:i/>
          <w:iCs/>
        </w:rPr>
        <w:t>Clin Cancer Res</w:t>
      </w:r>
      <w:r>
        <w:t>,</w:t>
      </w:r>
      <w:r w:rsidRPr="00F01613">
        <w:t xml:space="preserve"> 2009</w:t>
      </w:r>
      <w:r>
        <w:t xml:space="preserve">; </w:t>
      </w:r>
      <w:r w:rsidRPr="00F01613">
        <w:t>15(23):</w:t>
      </w:r>
      <w:r>
        <w:t xml:space="preserve"> </w:t>
      </w:r>
      <w:r w:rsidRPr="00F01613">
        <w:t>7412-</w:t>
      </w:r>
      <w:r>
        <w:t>74</w:t>
      </w:r>
      <w:r w:rsidRPr="00F01613">
        <w:t>20.</w:t>
      </w:r>
    </w:p>
  </w:footnote>
  <w:footnote w:id="54">
    <w:p w14:paraId="0C5E2294" w14:textId="3B326A41" w:rsidR="002A4EAE" w:rsidRDefault="002A4EAE" w:rsidP="003A6B05">
      <w:pPr>
        <w:pStyle w:val="FootnoteText"/>
      </w:pPr>
      <w:r>
        <w:rPr>
          <w:rStyle w:val="FootnoteReference"/>
        </w:rPr>
        <w:footnoteRef/>
      </w:r>
      <w:r>
        <w:t xml:space="preserve"> </w:t>
      </w:r>
      <w:r w:rsidRPr="00F01613">
        <w:t xml:space="preserve">One patient with ECOG 2 was enrolled, in deviation from these criteria, and was randomised into the </w:t>
      </w:r>
      <w:r w:rsidR="00EC2FAE" w:rsidRPr="00EC2FAE">
        <w:t xml:space="preserve">investigator’s choice of treatment </w:t>
      </w:r>
      <w:r w:rsidRPr="00F01613">
        <w:t>arm. This is unlikely to have meaningfully altered study outcomes.</w:t>
      </w:r>
    </w:p>
  </w:footnote>
  <w:footnote w:id="55">
    <w:p w14:paraId="401096E6" w14:textId="5D3204E3" w:rsidR="002A4EAE" w:rsidRDefault="002A4EAE">
      <w:pPr>
        <w:pStyle w:val="FootnoteText"/>
      </w:pPr>
      <w:r>
        <w:rPr>
          <w:rStyle w:val="FootnoteReference"/>
        </w:rPr>
        <w:footnoteRef/>
      </w:r>
      <w:r>
        <w:t xml:space="preserve"> </w:t>
      </w:r>
      <w:r w:rsidRPr="00D47A02">
        <w:t xml:space="preserve">Randomised clinical trials analysed by the </w:t>
      </w:r>
      <w:r w:rsidRPr="00EE3CAF">
        <w:rPr>
          <w:b/>
          <w:bCs/>
        </w:rPr>
        <w:t>intent-to-treat (ITT)</w:t>
      </w:r>
      <w:r w:rsidRPr="00D47A02">
        <w:t xml:space="preserve"> approach provide the unbiased comparisons among the treatment groups. In the ITT population, none of the patients are excluded and the patients are analysed according to the randomisation scheme.</w:t>
      </w:r>
    </w:p>
  </w:footnote>
  <w:footnote w:id="56">
    <w:p w14:paraId="28AF3EAF" w14:textId="3F06971D" w:rsidR="002A4EAE" w:rsidRDefault="002A4EAE">
      <w:pPr>
        <w:pStyle w:val="FootnoteText"/>
      </w:pPr>
      <w:r>
        <w:rPr>
          <w:rStyle w:val="FootnoteReference"/>
        </w:rPr>
        <w:footnoteRef/>
      </w:r>
      <w:r>
        <w:t xml:space="preserve"> </w:t>
      </w:r>
      <w:r w:rsidRPr="00F01613">
        <w:t xml:space="preserve">The study design incorporated a dual primary endpoint of </w:t>
      </w:r>
      <w:bookmarkStart w:id="64" w:name="_Hlk117539334"/>
      <w:r>
        <w:t>overall survival</w:t>
      </w:r>
      <w:bookmarkEnd w:id="64"/>
      <w:r>
        <w:t xml:space="preserve"> </w:t>
      </w:r>
      <w:r w:rsidRPr="00F01613">
        <w:t xml:space="preserve">in a subset of the </w:t>
      </w:r>
      <w:r>
        <w:t>intention-to-treat (</w:t>
      </w:r>
      <w:r w:rsidRPr="00F01613">
        <w:t>ITT</w:t>
      </w:r>
      <w:r>
        <w:t>)</w:t>
      </w:r>
      <w:r w:rsidRPr="00F01613">
        <w:t xml:space="preserve"> (all patients randomised to </w:t>
      </w:r>
      <w:r w:rsidRPr="00F01613">
        <w:t xml:space="preserve">tebentafusp who developed a rash during the first week of treatment) versus all patients randomised to investigator’s choice (the </w:t>
      </w:r>
      <w:r>
        <w:t>r</w:t>
      </w:r>
      <w:r w:rsidRPr="00590B50">
        <w:t xml:space="preserve">andomised analysis set </w:t>
      </w:r>
      <w:r>
        <w:t>(</w:t>
      </w:r>
      <w:r w:rsidRPr="00F01613">
        <w:t>RAS</w:t>
      </w:r>
      <w:r>
        <w:t>)</w:t>
      </w:r>
      <w:r w:rsidRPr="00F01613">
        <w:t>). This endpoint was added to the protocol in response to single-arm data from Phase I Study IMCgp100‐102 t</w:t>
      </w:r>
      <w:r>
        <w:t>o</w:t>
      </w:r>
      <w:r w:rsidRPr="00F01613">
        <w:t xml:space="preserve"> suggest an association between rash (an early and on‐target pharmacodynamic biomarker), and tebentafusp activity. This endpoint was prioritised in the statistical analysis, but the statistical design did not incorporate comparison between it and the other primary endpoint: </w:t>
      </w:r>
      <w:r w:rsidR="00EC2FAE" w:rsidRPr="00EC2FAE">
        <w:t>overall survival</w:t>
      </w:r>
      <w:r w:rsidRPr="00F01613">
        <w:t xml:space="preserve"> in the ITT. </w:t>
      </w:r>
      <w:r w:rsidR="00EC2FAE" w:rsidRPr="00EC2FAE">
        <w:t>Overall survival</w:t>
      </w:r>
      <w:r w:rsidRPr="00F01613">
        <w:t xml:space="preserve"> in the RAS analysis set may have been relevant to the Delegate’s considerations if </w:t>
      </w:r>
      <w:r w:rsidR="00EC2FAE" w:rsidRPr="00EC2FAE">
        <w:t>overall survival</w:t>
      </w:r>
      <w:r w:rsidRPr="00F01613">
        <w:t xml:space="preserve"> in the ITT had not reached statistical significance or had been unfavourable. As this was not the case, results in the RAS analysis set are not discussed further.</w:t>
      </w:r>
    </w:p>
  </w:footnote>
  <w:footnote w:id="57">
    <w:p w14:paraId="4CDE752F" w14:textId="6B23D83E" w:rsidR="002A4EAE" w:rsidRDefault="002A4EAE">
      <w:pPr>
        <w:pStyle w:val="FootnoteText"/>
      </w:pPr>
      <w:r>
        <w:rPr>
          <w:rStyle w:val="FootnoteReference"/>
        </w:rPr>
        <w:footnoteRef/>
      </w:r>
      <w:r>
        <w:t xml:space="preserve"> </w:t>
      </w:r>
      <w:r w:rsidRPr="00F01613">
        <w:t>Mantel</w:t>
      </w:r>
      <w:r>
        <w:t>,</w:t>
      </w:r>
      <w:r w:rsidRPr="00F01613">
        <w:t xml:space="preserve"> N. Evaluation of Survival Data and Two New Rank Order Statistics Arising in Its Consideration</w:t>
      </w:r>
      <w:r>
        <w:t>,</w:t>
      </w:r>
      <w:r w:rsidRPr="00F01613">
        <w:t xml:space="preserve"> </w:t>
      </w:r>
      <w:r w:rsidRPr="00B07E34">
        <w:rPr>
          <w:i/>
          <w:iCs/>
        </w:rPr>
        <w:t>Cancer Chemother Rep</w:t>
      </w:r>
      <w:r>
        <w:t>,</w:t>
      </w:r>
      <w:r w:rsidRPr="00F01613">
        <w:t xml:space="preserve"> 1966;</w:t>
      </w:r>
      <w:r>
        <w:t xml:space="preserve"> </w:t>
      </w:r>
      <w:r w:rsidRPr="00F01613">
        <w:t>50(3):</w:t>
      </w:r>
      <w:r>
        <w:t xml:space="preserve"> </w:t>
      </w:r>
      <w:r w:rsidRPr="00F01613">
        <w:t>163-</w:t>
      </w:r>
      <w:r>
        <w:t>1</w:t>
      </w:r>
      <w:r w:rsidRPr="00F01613">
        <w:t>70.</w:t>
      </w:r>
    </w:p>
  </w:footnote>
  <w:footnote w:id="58">
    <w:p w14:paraId="50EE013C" w14:textId="287B94A5" w:rsidR="002A4EAE" w:rsidRDefault="002A4EAE">
      <w:pPr>
        <w:pStyle w:val="FootnoteText"/>
      </w:pPr>
      <w:r>
        <w:rPr>
          <w:rStyle w:val="FootnoteReference"/>
        </w:rPr>
        <w:footnoteRef/>
      </w:r>
      <w:r>
        <w:t xml:space="preserve"> </w:t>
      </w:r>
      <w:r w:rsidRPr="00F01613">
        <w:t>Cox</w:t>
      </w:r>
      <w:r>
        <w:t>,</w:t>
      </w:r>
      <w:r w:rsidRPr="00F01613">
        <w:t xml:space="preserve"> D</w:t>
      </w:r>
      <w:r>
        <w:t>.R.</w:t>
      </w:r>
      <w:r w:rsidRPr="00F01613">
        <w:t xml:space="preserve"> Regression Models and </w:t>
      </w:r>
      <w:r w:rsidRPr="00F01613">
        <w:t>Life-Tables</w:t>
      </w:r>
      <w:r>
        <w:t>,</w:t>
      </w:r>
      <w:r w:rsidRPr="00F01613">
        <w:t xml:space="preserve"> </w:t>
      </w:r>
      <w:r w:rsidRPr="00E27567">
        <w:rPr>
          <w:i/>
          <w:iCs/>
        </w:rPr>
        <w:t>J. R. Stat. Soc</w:t>
      </w:r>
      <w:r w:rsidRPr="00F01613">
        <w:t>, Series B</w:t>
      </w:r>
      <w:r>
        <w:t>,</w:t>
      </w:r>
      <w:r w:rsidRPr="00F01613">
        <w:t xml:space="preserve"> 1972, 34: 187-220.</w:t>
      </w:r>
    </w:p>
  </w:footnote>
  <w:footnote w:id="59">
    <w:p w14:paraId="16F30DA1" w14:textId="30474D73" w:rsidR="002A4EAE" w:rsidRDefault="002A4EAE">
      <w:pPr>
        <w:pStyle w:val="FootnoteText"/>
      </w:pPr>
      <w:r>
        <w:rPr>
          <w:rStyle w:val="FootnoteReference"/>
        </w:rPr>
        <w:footnoteRef/>
      </w:r>
      <w:r>
        <w:t xml:space="preserve"> </w:t>
      </w:r>
      <w:r w:rsidRPr="00F01613">
        <w:t>Efron</w:t>
      </w:r>
      <w:r>
        <w:t>,</w:t>
      </w:r>
      <w:r w:rsidRPr="00F01613">
        <w:t xml:space="preserve"> B</w:t>
      </w:r>
      <w:r>
        <w:t>. T</w:t>
      </w:r>
      <w:r w:rsidRPr="00F01613">
        <w:t>he Efficiency of Cox's Likelihood Function for Censored Data</w:t>
      </w:r>
      <w:r>
        <w:t>,</w:t>
      </w:r>
      <w:r w:rsidRPr="00F01613">
        <w:t xml:space="preserve"> </w:t>
      </w:r>
      <w:r w:rsidRPr="006670F2">
        <w:rPr>
          <w:i/>
          <w:iCs/>
        </w:rPr>
        <w:t>J Am Stat Assoc</w:t>
      </w:r>
      <w:r>
        <w:t>,</w:t>
      </w:r>
      <w:r w:rsidRPr="00F01613">
        <w:t xml:space="preserve"> </w:t>
      </w:r>
      <w:r>
        <w:t xml:space="preserve">1977; </w:t>
      </w:r>
      <w:r w:rsidRPr="00F01613">
        <w:t>72 (359): 557</w:t>
      </w:r>
      <w:r>
        <w:noBreakHyphen/>
      </w:r>
      <w:r w:rsidRPr="00F01613">
        <w:t>565.</w:t>
      </w:r>
    </w:p>
  </w:footnote>
  <w:footnote w:id="60">
    <w:p w14:paraId="3A3EFBAD" w14:textId="6294B754" w:rsidR="002A4EAE" w:rsidRDefault="002A4EAE">
      <w:pPr>
        <w:pStyle w:val="FootnoteText"/>
      </w:pPr>
      <w:r>
        <w:rPr>
          <w:rStyle w:val="FootnoteReference"/>
        </w:rPr>
        <w:footnoteRef/>
      </w:r>
      <w:r>
        <w:t xml:space="preserve"> </w:t>
      </w:r>
      <w:r w:rsidRPr="00F01613">
        <w:t>Kaplan, E.L. and Meier</w:t>
      </w:r>
      <w:r>
        <w:t xml:space="preserve">, P. </w:t>
      </w:r>
      <w:r w:rsidRPr="00F01613">
        <w:t>Nonparametric Estimation from Incomplete Observations</w:t>
      </w:r>
      <w:r>
        <w:t>,</w:t>
      </w:r>
      <w:r w:rsidRPr="00F01613">
        <w:t xml:space="preserve"> </w:t>
      </w:r>
      <w:r w:rsidRPr="006670F2">
        <w:rPr>
          <w:i/>
          <w:iCs/>
        </w:rPr>
        <w:t>J Am Stat Assoc</w:t>
      </w:r>
      <w:r w:rsidRPr="00F01613">
        <w:t>, 1958</w:t>
      </w:r>
      <w:r>
        <w:t xml:space="preserve">; </w:t>
      </w:r>
      <w:r w:rsidRPr="00F01613">
        <w:t>53</w:t>
      </w:r>
      <w:r>
        <w:t>(</w:t>
      </w:r>
      <w:r w:rsidRPr="00F01613">
        <w:t>282</w:t>
      </w:r>
      <w:r>
        <w:t xml:space="preserve">); </w:t>
      </w:r>
      <w:r w:rsidRPr="00F01613">
        <w:t>457</w:t>
      </w:r>
      <w:r>
        <w:t>-4</w:t>
      </w:r>
      <w:r w:rsidRPr="00F01613">
        <w:t>81.</w:t>
      </w:r>
    </w:p>
  </w:footnote>
  <w:footnote w:id="61">
    <w:p w14:paraId="11616930" w14:textId="4E3F21C0" w:rsidR="002A4EAE" w:rsidRDefault="002A4EAE" w:rsidP="00F01613">
      <w:pPr>
        <w:pStyle w:val="FootnoteText"/>
      </w:pPr>
      <w:r>
        <w:rPr>
          <w:rStyle w:val="FootnoteReference"/>
        </w:rPr>
        <w:footnoteRef/>
      </w:r>
      <w:r>
        <w:t xml:space="preserve"> Cochran, W.G. Some Methods for Strengthening the Common χ2 Tests, </w:t>
      </w:r>
      <w:r w:rsidRPr="00E27567">
        <w:rPr>
          <w:i/>
          <w:iCs/>
        </w:rPr>
        <w:t>Biometrics</w:t>
      </w:r>
      <w:r>
        <w:t>, 1954; 10(4): 417-451.</w:t>
      </w:r>
    </w:p>
  </w:footnote>
  <w:footnote w:id="62">
    <w:p w14:paraId="2DE4DA16" w14:textId="7E49F5D7" w:rsidR="002A4EAE" w:rsidRDefault="002A4EAE">
      <w:pPr>
        <w:pStyle w:val="FootnoteText"/>
      </w:pPr>
      <w:r>
        <w:rPr>
          <w:rStyle w:val="FootnoteReference"/>
        </w:rPr>
        <w:footnoteRef/>
      </w:r>
      <w:r>
        <w:t xml:space="preserve"> </w:t>
      </w:r>
      <w:r w:rsidRPr="00F01613">
        <w:t>Mantel</w:t>
      </w:r>
      <w:r>
        <w:t>,</w:t>
      </w:r>
      <w:r w:rsidRPr="00F01613">
        <w:t xml:space="preserve"> N</w:t>
      </w:r>
      <w:r>
        <w:t>.</w:t>
      </w:r>
      <w:r w:rsidRPr="00F01613">
        <w:t xml:space="preserve"> and Haenszel</w:t>
      </w:r>
      <w:r>
        <w:t>,</w:t>
      </w:r>
      <w:r w:rsidRPr="00F01613">
        <w:t xml:space="preserve"> W</w:t>
      </w:r>
      <w:r>
        <w:t>.</w:t>
      </w:r>
      <w:r w:rsidRPr="00F01613">
        <w:t xml:space="preserve"> Statistical Aspects of the Analysis of Data from Retrospective Studies of Disease</w:t>
      </w:r>
      <w:r>
        <w:t>,</w:t>
      </w:r>
      <w:r w:rsidRPr="00F01613">
        <w:t xml:space="preserve"> </w:t>
      </w:r>
      <w:r w:rsidRPr="006670F2">
        <w:rPr>
          <w:i/>
          <w:iCs/>
        </w:rPr>
        <w:t>J Natl Cancer Inst</w:t>
      </w:r>
      <w:r>
        <w:t xml:space="preserve">, </w:t>
      </w:r>
      <w:r w:rsidRPr="00F01613">
        <w:t>1959</w:t>
      </w:r>
      <w:r>
        <w:t xml:space="preserve">; </w:t>
      </w:r>
      <w:r w:rsidRPr="00F01613">
        <w:t>22 (4): 719</w:t>
      </w:r>
      <w:r>
        <w:t>-</w:t>
      </w:r>
      <w:r w:rsidRPr="00F01613">
        <w:t>748.</w:t>
      </w:r>
    </w:p>
  </w:footnote>
  <w:footnote w:id="63">
    <w:p w14:paraId="6FF1B2A9" w14:textId="7C05D318" w:rsidR="002A4EAE" w:rsidRDefault="002A4EAE">
      <w:pPr>
        <w:pStyle w:val="FootnoteText"/>
      </w:pPr>
      <w:r>
        <w:rPr>
          <w:rStyle w:val="FootnoteReference"/>
        </w:rPr>
        <w:footnoteRef/>
      </w:r>
      <w:r>
        <w:t xml:space="preserve"> </w:t>
      </w:r>
      <w:r w:rsidRPr="00F01613">
        <w:t>O’Brien</w:t>
      </w:r>
      <w:r>
        <w:t>,</w:t>
      </w:r>
      <w:r w:rsidRPr="00F01613">
        <w:t xml:space="preserve"> </w:t>
      </w:r>
      <w:r w:rsidRPr="00F01613">
        <w:t>P</w:t>
      </w:r>
      <w:r>
        <w:t>.</w:t>
      </w:r>
      <w:r w:rsidRPr="00F01613">
        <w:t>C</w:t>
      </w:r>
      <w:r>
        <w:t>. and</w:t>
      </w:r>
      <w:r w:rsidRPr="00F01613">
        <w:t xml:space="preserve"> Fleming</w:t>
      </w:r>
      <w:r>
        <w:t>,</w:t>
      </w:r>
      <w:r w:rsidRPr="00F01613">
        <w:t xml:space="preserve"> T</w:t>
      </w:r>
      <w:r>
        <w:t>.</w:t>
      </w:r>
      <w:r w:rsidRPr="00F01613">
        <w:t>R</w:t>
      </w:r>
      <w:r>
        <w:t>.</w:t>
      </w:r>
      <w:r w:rsidRPr="00F01613">
        <w:t xml:space="preserve"> A Multiple Testing Procedure for Clinical Trials</w:t>
      </w:r>
      <w:r>
        <w:t>,</w:t>
      </w:r>
      <w:r w:rsidRPr="00F01613">
        <w:t xml:space="preserve"> </w:t>
      </w:r>
      <w:r w:rsidRPr="006670F2">
        <w:rPr>
          <w:i/>
          <w:iCs/>
        </w:rPr>
        <w:t>Biometrics</w:t>
      </w:r>
      <w:r>
        <w:t>,</w:t>
      </w:r>
      <w:r w:rsidRPr="00F01613">
        <w:t xml:space="preserve"> 1979;</w:t>
      </w:r>
      <w:r>
        <w:t xml:space="preserve"> </w:t>
      </w:r>
      <w:r w:rsidRPr="00F01613">
        <w:t>35(3):</w:t>
      </w:r>
      <w:r>
        <w:t xml:space="preserve"> </w:t>
      </w:r>
      <w:r w:rsidRPr="00F01613">
        <w:t>549</w:t>
      </w:r>
      <w:r>
        <w:noBreakHyphen/>
        <w:t>5</w:t>
      </w:r>
      <w:r w:rsidRPr="00F01613">
        <w:t>56</w:t>
      </w:r>
      <w:r>
        <w:t>.</w:t>
      </w:r>
    </w:p>
  </w:footnote>
  <w:footnote w:id="64">
    <w:p w14:paraId="2C216971" w14:textId="178CD37C" w:rsidR="002A4EAE" w:rsidRDefault="002A4EAE">
      <w:pPr>
        <w:pStyle w:val="FootnoteText"/>
      </w:pPr>
      <w:r>
        <w:rPr>
          <w:rStyle w:val="FootnoteReference"/>
        </w:rPr>
        <w:footnoteRef/>
      </w:r>
      <w:r>
        <w:t xml:space="preserve"> </w:t>
      </w:r>
      <w:r w:rsidRPr="00F01613">
        <w:t>Lan</w:t>
      </w:r>
      <w:r>
        <w:t>,</w:t>
      </w:r>
      <w:r w:rsidRPr="00F01613">
        <w:t xml:space="preserve"> K</w:t>
      </w:r>
      <w:r>
        <w:t>.</w:t>
      </w:r>
      <w:r w:rsidRPr="00F01613">
        <w:t>K</w:t>
      </w:r>
      <w:r>
        <w:t>. and</w:t>
      </w:r>
      <w:r w:rsidRPr="00F01613">
        <w:t xml:space="preserve"> </w:t>
      </w:r>
      <w:r w:rsidRPr="00F01613">
        <w:t>DeMets</w:t>
      </w:r>
      <w:r>
        <w:t>,</w:t>
      </w:r>
      <w:r w:rsidRPr="00F01613">
        <w:t xml:space="preserve"> D</w:t>
      </w:r>
      <w:r>
        <w:t>.</w:t>
      </w:r>
      <w:r w:rsidRPr="00F01613">
        <w:t>L</w:t>
      </w:r>
      <w:r>
        <w:t>.</w:t>
      </w:r>
      <w:r w:rsidRPr="00F01613">
        <w:t xml:space="preserve"> Discrete Sequential Boundaries for Clinical Trials</w:t>
      </w:r>
      <w:r>
        <w:t>,</w:t>
      </w:r>
      <w:r w:rsidRPr="00F01613">
        <w:t xml:space="preserve"> </w:t>
      </w:r>
      <w:r w:rsidRPr="006670F2">
        <w:rPr>
          <w:i/>
          <w:iCs/>
        </w:rPr>
        <w:t>Biometrika</w:t>
      </w:r>
      <w:r>
        <w:t>,</w:t>
      </w:r>
      <w:r w:rsidRPr="00F01613">
        <w:t xml:space="preserve"> 1983;</w:t>
      </w:r>
      <w:r>
        <w:t xml:space="preserve"> </w:t>
      </w:r>
      <w:r w:rsidRPr="00F01613">
        <w:t>70(3):</w:t>
      </w:r>
      <w:r>
        <w:t xml:space="preserve"> </w:t>
      </w:r>
      <w:r w:rsidRPr="00F01613">
        <w:t>659</w:t>
      </w:r>
      <w:r>
        <w:noBreakHyphen/>
        <w:t>6</w:t>
      </w:r>
      <w:r w:rsidRPr="00F01613">
        <w:t>63</w:t>
      </w:r>
      <w:r>
        <w:t>.</w:t>
      </w:r>
    </w:p>
  </w:footnote>
  <w:footnote w:id="65">
    <w:p w14:paraId="3F070137" w14:textId="099A7E34" w:rsidR="002A4EAE" w:rsidRDefault="002A4EAE">
      <w:pPr>
        <w:pStyle w:val="FootnoteText"/>
      </w:pPr>
      <w:r>
        <w:rPr>
          <w:rStyle w:val="FootnoteReference"/>
        </w:rPr>
        <w:footnoteRef/>
      </w:r>
      <w:r>
        <w:t xml:space="preserve"> </w:t>
      </w:r>
      <w:r w:rsidRPr="00EE3CAF">
        <w:rPr>
          <w:b/>
          <w:bCs/>
        </w:rPr>
        <w:t>Good Clinical Practice (GCP)</w:t>
      </w:r>
      <w:r w:rsidRPr="00EE3CAF">
        <w:t xml:space="preserve"> is a code of international standards and guidance following the International Council on Harmonisation (ICH) concerning the design, conduct, performance, monitoring, auditing, recording, analysis and reporting of clinical trials. Good Clinical Practice provides assurance that a study’s results are credible and accurate and that the rights and confidentiality of the study subjects are protected.</w:t>
      </w:r>
    </w:p>
  </w:footnote>
  <w:footnote w:id="66">
    <w:p w14:paraId="273E1290" w14:textId="3BA6A4A1" w:rsidR="002A4EAE" w:rsidRDefault="002A4EAE" w:rsidP="00EE3CAF">
      <w:pPr>
        <w:pStyle w:val="FootnoteText"/>
      </w:pPr>
      <w:r>
        <w:rPr>
          <w:rStyle w:val="FootnoteReference"/>
        </w:rPr>
        <w:footnoteRef/>
      </w:r>
      <w:r>
        <w:t xml:space="preserve"> </w:t>
      </w:r>
      <w:r w:rsidRPr="00EE3CAF">
        <w:rPr>
          <w:b/>
          <w:bCs/>
        </w:rPr>
        <w:t xml:space="preserve">ECOG </w:t>
      </w:r>
      <w:bookmarkStart w:id="71" w:name="_Hlk113377154"/>
      <w:r w:rsidRPr="00EE3CAF">
        <w:rPr>
          <w:b/>
          <w:bCs/>
        </w:rPr>
        <w:t>Performance Status</w:t>
      </w:r>
      <w:bookmarkEnd w:id="71"/>
      <w:r>
        <w:t>: The Eastern Cooperative Oncology Group (ECOG) has developed criteria used by doctors and researchers to assess how a patient's disease is progressing, assess how the disease affects the daily living abilities of the patient, and determine appropriate treatment and prognosis. The following are used:</w:t>
      </w:r>
    </w:p>
    <w:p w14:paraId="135AE6C5" w14:textId="77777777" w:rsidR="002A4EAE" w:rsidRDefault="002A4EAE" w:rsidP="00EE3CAF">
      <w:pPr>
        <w:pStyle w:val="FootnoteText"/>
      </w:pPr>
      <w:r>
        <w:t>0 - Fully active, able to carry on all pre-disease performance without restriction</w:t>
      </w:r>
    </w:p>
    <w:p w14:paraId="2153DFD8" w14:textId="77777777" w:rsidR="002A4EAE" w:rsidRDefault="002A4EAE" w:rsidP="00EE3CAF">
      <w:pPr>
        <w:pStyle w:val="FootnoteText"/>
      </w:pPr>
      <w:r>
        <w:t xml:space="preserve">1- Restricted in physically strenuous activity but ambulatory and able to carry out work of a light or sedentary nature, for example, light </w:t>
      </w:r>
      <w:r>
        <w:t>house work, office work</w:t>
      </w:r>
    </w:p>
    <w:p w14:paraId="29BF37DD" w14:textId="77777777" w:rsidR="002A4EAE" w:rsidRDefault="002A4EAE" w:rsidP="00EE3CAF">
      <w:pPr>
        <w:pStyle w:val="FootnoteText"/>
      </w:pPr>
      <w:r>
        <w:t>2 - Ambulatory and capable of all selfcare but unable to carry out any work activities. Up and about more than 50% of waking hours</w:t>
      </w:r>
    </w:p>
    <w:p w14:paraId="27CEDD52" w14:textId="77777777" w:rsidR="002A4EAE" w:rsidRDefault="002A4EAE" w:rsidP="00EE3CAF">
      <w:pPr>
        <w:pStyle w:val="FootnoteText"/>
      </w:pPr>
      <w:r>
        <w:t>3 - Capable of only limited selfcare, confined to bed or chair more than 50% of waking hours</w:t>
      </w:r>
    </w:p>
    <w:p w14:paraId="460D69EE" w14:textId="77777777" w:rsidR="002A4EAE" w:rsidRDefault="002A4EAE" w:rsidP="00EE3CAF">
      <w:pPr>
        <w:pStyle w:val="FootnoteText"/>
      </w:pPr>
      <w:r>
        <w:t>4 - Completely disabled. Cannot carry on any selfcare. Totally confined to bed or chair</w:t>
      </w:r>
    </w:p>
    <w:p w14:paraId="13987CB9" w14:textId="0BA5B2D2" w:rsidR="002A4EAE" w:rsidRDefault="002A4EAE" w:rsidP="00EE3CAF">
      <w:pPr>
        <w:pStyle w:val="FootnoteText"/>
      </w:pPr>
      <w:r>
        <w:t>5 – Dead</w:t>
      </w:r>
    </w:p>
  </w:footnote>
  <w:footnote w:id="67">
    <w:p w14:paraId="4BC8723F" w14:textId="56502AE8" w:rsidR="002A4EAE" w:rsidRDefault="002A4EAE">
      <w:pPr>
        <w:pStyle w:val="FootnoteText"/>
      </w:pPr>
      <w:r>
        <w:rPr>
          <w:rStyle w:val="FootnoteReference"/>
        </w:rPr>
        <w:footnoteRef/>
      </w:r>
      <w:r>
        <w:t xml:space="preserve"> </w:t>
      </w:r>
      <w:r w:rsidRPr="00F01613">
        <w:t>Lee</w:t>
      </w:r>
      <w:r>
        <w:t>,</w:t>
      </w:r>
      <w:r w:rsidRPr="00F01613">
        <w:t xml:space="preserve"> D</w:t>
      </w:r>
      <w:r>
        <w:t>.</w:t>
      </w:r>
      <w:r w:rsidRPr="00F01613">
        <w:t>W</w:t>
      </w:r>
      <w:r>
        <w:t>. et al</w:t>
      </w:r>
      <w:r w:rsidRPr="00F01613">
        <w:t>. Current Concepts in the Diagnosis and Management of Cytokine Release Syndrome</w:t>
      </w:r>
      <w:r>
        <w:t>,</w:t>
      </w:r>
      <w:r w:rsidRPr="00F01613">
        <w:t xml:space="preserve"> </w:t>
      </w:r>
      <w:r w:rsidRPr="006670F2">
        <w:rPr>
          <w:i/>
          <w:iCs/>
        </w:rPr>
        <w:t>Blood</w:t>
      </w:r>
      <w:r>
        <w:t xml:space="preserve">, </w:t>
      </w:r>
      <w:r w:rsidRPr="00F01613">
        <w:t>2014;</w:t>
      </w:r>
      <w:r>
        <w:t xml:space="preserve"> </w:t>
      </w:r>
      <w:r w:rsidRPr="00F01613">
        <w:t>124(2):</w:t>
      </w:r>
      <w:r>
        <w:t xml:space="preserve"> </w:t>
      </w:r>
      <w:r w:rsidRPr="00F01613">
        <w:t>188-</w:t>
      </w:r>
      <w:r>
        <w:t>1</w:t>
      </w:r>
      <w:r w:rsidRPr="00F01613">
        <w:t>95.</w:t>
      </w:r>
    </w:p>
  </w:footnote>
  <w:footnote w:id="68">
    <w:p w14:paraId="64EB473A" w14:textId="4084E557" w:rsidR="002A4EAE" w:rsidRDefault="002A4EAE">
      <w:pPr>
        <w:pStyle w:val="FootnoteText"/>
      </w:pPr>
      <w:r>
        <w:rPr>
          <w:rStyle w:val="FootnoteReference"/>
        </w:rPr>
        <w:footnoteRef/>
      </w:r>
      <w:r>
        <w:t xml:space="preserve"> </w:t>
      </w:r>
      <w:r w:rsidRPr="009710DB">
        <w:t xml:space="preserve">The </w:t>
      </w:r>
      <w:r w:rsidRPr="009710DB">
        <w:rPr>
          <w:b/>
          <w:bCs/>
        </w:rPr>
        <w:t>Medical Dictionary for Regulatory Activities (MedDRA)</w:t>
      </w:r>
      <w:r w:rsidRPr="009710DB">
        <w:t xml:space="preserve"> is a single standardised international medical terminology, developed as a project of the International Council for Harmonisation of Technical Requirements for Pharmaceuticals for Human Use (ICH) which can be used for regulatory communication and evaluation of data pertaining to medicinal products for human use. As a result, MedDRA is designed for use in the registration, </w:t>
      </w:r>
      <w:r w:rsidRPr="009710DB">
        <w:t>documentation and safety monitoring of medicinal products through all phases of the development cycle (that is, from clinical trials to post-marketing surveillance). Furthermore, MedDRA supports ICH electronic communication within the ICH’s Electronic Common Technical Document (eCTD) and the E2B Individual Case Safety Report.</w:t>
      </w:r>
    </w:p>
  </w:footnote>
  <w:footnote w:id="69">
    <w:p w14:paraId="2900943B" w14:textId="77777777" w:rsidR="002A4EAE" w:rsidRDefault="002A4EAE" w:rsidP="000F64C7">
      <w:pPr>
        <w:pStyle w:val="FootnoteText"/>
      </w:pPr>
      <w:r>
        <w:rPr>
          <w:rStyle w:val="FootnoteReference"/>
        </w:rPr>
        <w:footnoteRef/>
      </w:r>
      <w:r>
        <w:t xml:space="preserve"> </w:t>
      </w:r>
      <w:r w:rsidRPr="00F01613">
        <w:t>United States National Cancer Institute</w:t>
      </w:r>
      <w:r>
        <w:t xml:space="preserve"> (NIH)</w:t>
      </w:r>
      <w:r w:rsidRPr="00F01613">
        <w:t>. Common Terminology Criteria for Adverse Events</w:t>
      </w:r>
      <w:r>
        <w:t>,</w:t>
      </w:r>
      <w:r w:rsidRPr="00F01613">
        <w:t xml:space="preserve"> Version</w:t>
      </w:r>
      <w:r>
        <w:t> </w:t>
      </w:r>
      <w:r w:rsidRPr="00F01613">
        <w:t xml:space="preserve">4.03. </w:t>
      </w:r>
      <w:r>
        <w:t xml:space="preserve">Available at: </w:t>
      </w:r>
      <w:hyperlink r:id="rId4" w:anchor="ctc_v40" w:history="1">
        <w:r w:rsidRPr="001C01D5">
          <w:rPr>
            <w:rStyle w:val="Hyperlink"/>
          </w:rPr>
          <w:t>https://ctep.cancer.gov/protocolDevelopment/electronic_applications/ctc.htm#ctc_v40</w:t>
        </w:r>
      </w:hyperlink>
      <w:r>
        <w:t>.</w:t>
      </w:r>
    </w:p>
  </w:footnote>
  <w:footnote w:id="70">
    <w:p w14:paraId="7E90A567" w14:textId="48653330" w:rsidR="002A4EAE" w:rsidRDefault="002A4EAE">
      <w:pPr>
        <w:pStyle w:val="FootnoteText"/>
      </w:pPr>
      <w:r>
        <w:rPr>
          <w:rStyle w:val="FootnoteReference"/>
        </w:rPr>
        <w:footnoteRef/>
      </w:r>
      <w:r>
        <w:t xml:space="preserve"> </w:t>
      </w:r>
      <w:r w:rsidRPr="00F01613">
        <w:t>Shimabukuro‐</w:t>
      </w:r>
      <w:r w:rsidRPr="00F01613">
        <w:t>Vornhagen</w:t>
      </w:r>
      <w:r>
        <w:t>,</w:t>
      </w:r>
      <w:r w:rsidRPr="00F01613">
        <w:t xml:space="preserve"> A</w:t>
      </w:r>
      <w:r>
        <w:t>.</w:t>
      </w:r>
      <w:r w:rsidRPr="00F01613">
        <w:t xml:space="preserve"> et al., Cytokine Release Syndrome</w:t>
      </w:r>
      <w:r>
        <w:t>,</w:t>
      </w:r>
      <w:r w:rsidRPr="00F01613">
        <w:t xml:space="preserve"> </w:t>
      </w:r>
      <w:r w:rsidRPr="006670F2">
        <w:rPr>
          <w:i/>
          <w:iCs/>
        </w:rPr>
        <w:t>J Immunother Cancer</w:t>
      </w:r>
      <w:r>
        <w:t>,</w:t>
      </w:r>
      <w:r w:rsidRPr="00F01613">
        <w:t xml:space="preserve"> 2018; 6:</w:t>
      </w:r>
      <w:r>
        <w:t xml:space="preserve"> </w:t>
      </w:r>
      <w:r w:rsidRPr="00F01613">
        <w:t>56.</w:t>
      </w:r>
    </w:p>
  </w:footnote>
  <w:footnote w:id="71">
    <w:p w14:paraId="6F73A0D4" w14:textId="2749FB49" w:rsidR="002A4EAE" w:rsidRDefault="002A4EAE">
      <w:pPr>
        <w:pStyle w:val="FootnoteText"/>
      </w:pPr>
      <w:r>
        <w:rPr>
          <w:rStyle w:val="FootnoteReference"/>
        </w:rPr>
        <w:footnoteRef/>
      </w:r>
      <w:r>
        <w:t xml:space="preserve"> </w:t>
      </w:r>
      <w:r w:rsidRPr="009710DB">
        <w:rPr>
          <w:b/>
          <w:bCs/>
        </w:rPr>
        <w:t>Common Terminology Criteria (CTC)</w:t>
      </w:r>
      <w:r w:rsidRPr="009710DB">
        <w:t xml:space="preserve"> is a standardised classification of side effects used in assessing drugs for cancer </w:t>
      </w:r>
      <w:r w:rsidRPr="009710DB">
        <w:t>therapy, in particular. Specific conditions and symptoms may have values or descriptive comment for each level, but the general guideline is 1 – Mild, 2 – Moderate, 3 – Severe, 4 - Life threatening, 5 - Death.</w:t>
      </w:r>
    </w:p>
  </w:footnote>
  <w:footnote w:id="72">
    <w:p w14:paraId="7AC36EA9" w14:textId="3021B43B" w:rsidR="002A4EAE" w:rsidRDefault="002A4EAE">
      <w:pPr>
        <w:pStyle w:val="FootnoteText"/>
      </w:pPr>
      <w:r>
        <w:rPr>
          <w:rStyle w:val="FootnoteReference"/>
        </w:rPr>
        <w:footnoteRef/>
      </w:r>
      <w:r>
        <w:t xml:space="preserve"> </w:t>
      </w:r>
      <w:r w:rsidRPr="00F01613">
        <w:t>Lee</w:t>
      </w:r>
      <w:r>
        <w:t>,</w:t>
      </w:r>
      <w:r w:rsidRPr="00F01613">
        <w:t xml:space="preserve"> D</w:t>
      </w:r>
      <w:r>
        <w:t>.</w:t>
      </w:r>
      <w:r w:rsidRPr="00F01613">
        <w:t>W</w:t>
      </w:r>
      <w:r>
        <w:t>.</w:t>
      </w:r>
      <w:r w:rsidRPr="00F01613">
        <w:t xml:space="preserve"> et al. ASTCT Consensus Grading for Cytokine Release Syndrome and Neurologic Toxicity Associated with Immune Effector Cells</w:t>
      </w:r>
      <w:r>
        <w:t>,</w:t>
      </w:r>
      <w:r w:rsidRPr="00F01613">
        <w:t xml:space="preserve"> </w:t>
      </w:r>
      <w:r w:rsidRPr="006670F2">
        <w:rPr>
          <w:i/>
          <w:iCs/>
        </w:rPr>
        <w:t>Biol Blood Marrow Transplant</w:t>
      </w:r>
      <w:r>
        <w:t>,</w:t>
      </w:r>
      <w:r w:rsidRPr="00F01613">
        <w:t xml:space="preserve"> 2019;</w:t>
      </w:r>
      <w:r>
        <w:t xml:space="preserve"> </w:t>
      </w:r>
      <w:r w:rsidRPr="00F01613">
        <w:t>25:</w:t>
      </w:r>
      <w:r>
        <w:t xml:space="preserve"> </w:t>
      </w:r>
      <w:r w:rsidRPr="00F01613">
        <w:t>25-38.</w:t>
      </w:r>
    </w:p>
  </w:footnote>
  <w:footnote w:id="73">
    <w:p w14:paraId="64A0507D" w14:textId="4A758058" w:rsidR="002A4EAE" w:rsidRDefault="002A4EAE">
      <w:pPr>
        <w:pStyle w:val="FootnoteText"/>
      </w:pPr>
      <w:r>
        <w:rPr>
          <w:rStyle w:val="FootnoteReference"/>
        </w:rPr>
        <w:footnoteRef/>
      </w:r>
      <w:r>
        <w:t xml:space="preserve"> </w:t>
      </w:r>
      <w:r w:rsidRPr="009710DB">
        <w:rPr>
          <w:b/>
          <w:bCs/>
        </w:rPr>
        <w:t>Standardised MedDRA Queries (SMQs)</w:t>
      </w:r>
      <w:r w:rsidRPr="009710DB">
        <w:t xml:space="preserve"> are groupings of terms from one or more MedDRA System Organ Classes (SOCs) that relate to a defined medical condition or area of interest. They are intended to aid in case identification.</w:t>
      </w:r>
    </w:p>
  </w:footnote>
  <w:footnote w:id="74">
    <w:p w14:paraId="35CFD94E" w14:textId="72286B0E" w:rsidR="002A4EAE" w:rsidRDefault="002A4EAE" w:rsidP="00F01613">
      <w:pPr>
        <w:pStyle w:val="FootnoteText"/>
      </w:pPr>
      <w:r>
        <w:rPr>
          <w:rStyle w:val="FootnoteReference"/>
        </w:rPr>
        <w:footnoteRef/>
      </w:r>
      <w:r>
        <w:t xml:space="preserve"> Zheng, P.P. et al. Elusive Neurotoxicity in T Cell‐Boosting Anticancer Therapies, </w:t>
      </w:r>
      <w:r w:rsidRPr="006670F2">
        <w:rPr>
          <w:i/>
          <w:iCs/>
        </w:rPr>
        <w:t>Trends Immunol</w:t>
      </w:r>
      <w:r>
        <w:t>, 2019: 274</w:t>
      </w:r>
      <w:r>
        <w:noBreakHyphen/>
        <w:t>278.</w:t>
      </w:r>
    </w:p>
  </w:footnote>
  <w:footnote w:id="75">
    <w:p w14:paraId="064478F2" w14:textId="5E111A6B" w:rsidR="002A4EAE" w:rsidRDefault="002A4EAE">
      <w:pPr>
        <w:pStyle w:val="FootnoteText"/>
      </w:pPr>
      <w:r>
        <w:rPr>
          <w:rStyle w:val="FootnoteReference"/>
        </w:rPr>
        <w:footnoteRef/>
      </w:r>
      <w:r>
        <w:t xml:space="preserve"> </w:t>
      </w:r>
      <w:r w:rsidRPr="00F01613">
        <w:t>Simon</w:t>
      </w:r>
      <w:r>
        <w:t>,</w:t>
      </w:r>
      <w:r w:rsidRPr="00F01613">
        <w:t xml:space="preserve"> R</w:t>
      </w:r>
      <w:r>
        <w:t>.</w:t>
      </w:r>
      <w:r w:rsidRPr="00F01613">
        <w:t>M</w:t>
      </w:r>
      <w:r>
        <w:t>. and</w:t>
      </w:r>
      <w:r w:rsidRPr="00F01613">
        <w:t xml:space="preserve"> </w:t>
      </w:r>
      <w:r w:rsidRPr="00F01613">
        <w:t>Makuch</w:t>
      </w:r>
      <w:r>
        <w:t>,</w:t>
      </w:r>
      <w:r w:rsidRPr="00F01613">
        <w:t xml:space="preserve"> R</w:t>
      </w:r>
      <w:r>
        <w:t>.</w:t>
      </w:r>
      <w:r w:rsidRPr="00F01613">
        <w:t>W. A Non-parametric Graphical Representation of the Relationship between Survival and the Occurrence of an Event: Application to Responder versus Non-responder bias</w:t>
      </w:r>
      <w:r>
        <w:t>,</w:t>
      </w:r>
      <w:r w:rsidRPr="00F01613">
        <w:t xml:space="preserve"> </w:t>
      </w:r>
      <w:r w:rsidRPr="00897513">
        <w:rPr>
          <w:i/>
          <w:iCs/>
        </w:rPr>
        <w:t>Stat Med</w:t>
      </w:r>
      <w:r w:rsidRPr="00F01613">
        <w:t>, 1984</w:t>
      </w:r>
      <w:r>
        <w:t xml:space="preserve">; </w:t>
      </w:r>
      <w:r w:rsidRPr="00F01613">
        <w:t>3</w:t>
      </w:r>
      <w:r>
        <w:t>(</w:t>
      </w:r>
      <w:r w:rsidRPr="00F01613">
        <w:t>1</w:t>
      </w:r>
      <w:r>
        <w:t>)</w:t>
      </w:r>
      <w:r w:rsidRPr="00F01613">
        <w:t>, 35-44</w:t>
      </w:r>
      <w:r>
        <w:t>.</w:t>
      </w:r>
    </w:p>
  </w:footnote>
  <w:footnote w:id="76">
    <w:p w14:paraId="0035CC09" w14:textId="64550E63" w:rsidR="002A4EAE" w:rsidRDefault="002A4EAE">
      <w:pPr>
        <w:pStyle w:val="FootnoteText"/>
      </w:pPr>
      <w:r>
        <w:rPr>
          <w:rStyle w:val="FootnoteReference"/>
        </w:rPr>
        <w:footnoteRef/>
      </w:r>
      <w:r>
        <w:t xml:space="preserve"> European Medicines Agency (EMA) </w:t>
      </w:r>
      <w:r>
        <w:t xml:space="preserve">Kimmtrak (Tebentafusp) An Overview of Kimmtrak and Why It is Authorised in the EU, EMEA/H/C/004929, EMA/128686/2022. Available at: </w:t>
      </w:r>
      <w:hyperlink r:id="rId5" w:history="1">
        <w:r w:rsidRPr="001C01D5">
          <w:rPr>
            <w:rStyle w:val="Hyperlink"/>
          </w:rPr>
          <w:t>https://www.ema.europa.eu/en/medicines/human/EPAR/kimmtrak</w:t>
        </w:r>
      </w:hyperlink>
      <w:r>
        <w:t>.</w:t>
      </w:r>
    </w:p>
  </w:footnote>
  <w:footnote w:id="77">
    <w:p w14:paraId="6227D7E1" w14:textId="52FFCD51" w:rsidR="002A4EAE" w:rsidRDefault="002A4EAE">
      <w:pPr>
        <w:pStyle w:val="FootnoteText"/>
      </w:pPr>
      <w:r>
        <w:rPr>
          <w:rStyle w:val="FootnoteReference"/>
        </w:rPr>
        <w:footnoteRef/>
      </w:r>
      <w:r>
        <w:t xml:space="preserve"> </w:t>
      </w:r>
      <w:r w:rsidRPr="00F01613">
        <w:t>Mantel</w:t>
      </w:r>
      <w:r>
        <w:t>,</w:t>
      </w:r>
      <w:r w:rsidRPr="00F01613">
        <w:t xml:space="preserve"> N</w:t>
      </w:r>
      <w:r>
        <w:t xml:space="preserve">. and </w:t>
      </w:r>
      <w:r w:rsidRPr="00F01613">
        <w:t>Byar</w:t>
      </w:r>
      <w:r>
        <w:t>,</w:t>
      </w:r>
      <w:r w:rsidRPr="00F01613">
        <w:t xml:space="preserve"> D</w:t>
      </w:r>
      <w:r>
        <w:t>.</w:t>
      </w:r>
      <w:r w:rsidRPr="00F01613">
        <w:t>P</w:t>
      </w:r>
      <w:r>
        <w:t>.</w:t>
      </w:r>
      <w:r w:rsidRPr="00F01613">
        <w:t xml:space="preserve"> </w:t>
      </w:r>
      <w:r>
        <w:t>E</w:t>
      </w:r>
      <w:r w:rsidRPr="00F01613">
        <w:t xml:space="preserve">valuation of Response-Time Data Involving Transient States: </w:t>
      </w:r>
      <w:r w:rsidRPr="00F01613">
        <w:t>an Illustration Using Heart-Transplant Data</w:t>
      </w:r>
      <w:r>
        <w:t>,</w:t>
      </w:r>
      <w:r w:rsidRPr="00F01613">
        <w:t xml:space="preserve"> </w:t>
      </w:r>
      <w:r w:rsidRPr="00897513">
        <w:rPr>
          <w:i/>
          <w:iCs/>
        </w:rPr>
        <w:t>J Am Stat Assoc</w:t>
      </w:r>
      <w:r>
        <w:t>,</w:t>
      </w:r>
      <w:r w:rsidRPr="00F01613">
        <w:t xml:space="preserve"> 1974;</w:t>
      </w:r>
      <w:r>
        <w:t xml:space="preserve"> </w:t>
      </w:r>
      <w:r w:rsidRPr="00F01613">
        <w:t>69(345):</w:t>
      </w:r>
      <w:r>
        <w:t xml:space="preserve"> </w:t>
      </w:r>
      <w:r w:rsidRPr="00F01613">
        <w:t>81</w:t>
      </w:r>
      <w:r>
        <w:t>-8</w:t>
      </w:r>
      <w:r w:rsidRPr="00F01613">
        <w:t>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60AC9" w14:textId="77777777" w:rsidR="002A4EAE" w:rsidRDefault="002A4EAE"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30A68" w14:textId="77777777" w:rsidR="002A4EAE" w:rsidRDefault="002A4EAE">
    <w:pPr>
      <w:rPr>
        <w:noProof/>
        <w:lang w:eastAsia="en-AU"/>
      </w:rPr>
    </w:pPr>
    <w:r w:rsidRPr="00347824">
      <w:rPr>
        <w:noProof/>
        <w:lang w:val="en-GB" w:eastAsia="en-GB"/>
      </w:rPr>
      <w:drawing>
        <wp:anchor distT="0" distB="0" distL="114300" distR="114300" simplePos="0" relativeHeight="251659264" behindDoc="1" locked="0" layoutInCell="1" allowOverlap="1" wp14:anchorId="2C1BBB2B" wp14:editId="3EE83A9C">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CE4A4" w14:textId="77777777" w:rsidR="002A4EAE" w:rsidRDefault="002A4E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382DF" w14:textId="77777777" w:rsidR="002A4EAE" w:rsidRDefault="002A4EAE">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A26C4" w14:textId="77777777" w:rsidR="002A4EAE" w:rsidRDefault="002A4EAE">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D8DC7" w14:textId="77777777" w:rsidR="002A4EAE" w:rsidRDefault="002A4EA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CEFA6" w14:textId="77777777" w:rsidR="002A4EAE" w:rsidRDefault="002A4EAE"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DB56B" w14:textId="77777777" w:rsidR="002A4EAE" w:rsidRDefault="002A4EAE" w:rsidP="006E08B3">
    <w:r>
      <w:t>Therapeutic Goods Administration</w:t>
    </w:r>
  </w:p>
  <w:p w14:paraId="51057F5F" w14:textId="77777777" w:rsidR="002A4EAE" w:rsidRDefault="002A4EAE"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6F641F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E9108CD"/>
    <w:multiLevelType w:val="hybridMultilevel"/>
    <w:tmpl w:val="02B079DA"/>
    <w:lvl w:ilvl="0" w:tplc="32EAC798">
      <w:start w:val="1"/>
      <w:numFmt w:val="bullet"/>
      <w:pStyle w:val="Bulletlis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6E8023C"/>
    <w:multiLevelType w:val="hybridMultilevel"/>
    <w:tmpl w:val="60AABDE4"/>
    <w:lvl w:ilvl="0" w:tplc="899A42F0">
      <w:start w:val="1"/>
      <w:numFmt w:val="lowerRoman"/>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EF08D6"/>
    <w:multiLevelType w:val="hybridMultilevel"/>
    <w:tmpl w:val="F93ABDF0"/>
    <w:lvl w:ilvl="0" w:tplc="A4ACFE2A">
      <w:start w:val="1"/>
      <w:numFmt w:val="bullet"/>
      <w:pStyle w:val="Tabletextbulleted"/>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381F4D"/>
    <w:multiLevelType w:val="hybridMultilevel"/>
    <w:tmpl w:val="F604A1F2"/>
    <w:lvl w:ilvl="0" w:tplc="4BC8A140">
      <w:start w:val="1"/>
      <w:numFmt w:val="decimal"/>
      <w:pStyle w:val="ListNumb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5B847486">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FB924FF"/>
    <w:multiLevelType w:val="hybridMultilevel"/>
    <w:tmpl w:val="093825D4"/>
    <w:lvl w:ilvl="0" w:tplc="3FAAE4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3"/>
  </w:num>
  <w:num w:numId="4">
    <w:abstractNumId w:val="2"/>
  </w:num>
  <w:num w:numId="5">
    <w:abstractNumId w:val="6"/>
  </w:num>
  <w:num w:numId="6">
    <w:abstractNumId w:val="5"/>
  </w:num>
  <w:num w:numId="7">
    <w:abstractNumId w:val="1"/>
  </w:num>
  <w:num w:numId="8">
    <w:abstractNumId w:val="7"/>
  </w:num>
  <w:num w:numId="9">
    <w:abstractNumId w:val="0"/>
  </w:num>
  <w:num w:numId="10">
    <w:abstractNumId w:val="4"/>
  </w:num>
  <w:num w:numId="11">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D30"/>
    <w:rsid w:val="00002031"/>
    <w:rsid w:val="0000456C"/>
    <w:rsid w:val="00004734"/>
    <w:rsid w:val="00006B22"/>
    <w:rsid w:val="00006FAB"/>
    <w:rsid w:val="00007B97"/>
    <w:rsid w:val="0001276A"/>
    <w:rsid w:val="00012DE3"/>
    <w:rsid w:val="000246AE"/>
    <w:rsid w:val="00025C67"/>
    <w:rsid w:val="00044772"/>
    <w:rsid w:val="0004541C"/>
    <w:rsid w:val="0005559E"/>
    <w:rsid w:val="000604D6"/>
    <w:rsid w:val="000734D8"/>
    <w:rsid w:val="00077775"/>
    <w:rsid w:val="00090471"/>
    <w:rsid w:val="00096AA7"/>
    <w:rsid w:val="000A3AED"/>
    <w:rsid w:val="000B0ECB"/>
    <w:rsid w:val="000B3532"/>
    <w:rsid w:val="000B3A75"/>
    <w:rsid w:val="000C00C2"/>
    <w:rsid w:val="000C690F"/>
    <w:rsid w:val="000D1295"/>
    <w:rsid w:val="000D391B"/>
    <w:rsid w:val="000D3D6D"/>
    <w:rsid w:val="000D4FC7"/>
    <w:rsid w:val="000E6196"/>
    <w:rsid w:val="000E6F28"/>
    <w:rsid w:val="000F4869"/>
    <w:rsid w:val="000F5155"/>
    <w:rsid w:val="000F5B42"/>
    <w:rsid w:val="000F64C7"/>
    <w:rsid w:val="000F6E6F"/>
    <w:rsid w:val="0010099C"/>
    <w:rsid w:val="0010601F"/>
    <w:rsid w:val="0010606F"/>
    <w:rsid w:val="0010788A"/>
    <w:rsid w:val="00107A31"/>
    <w:rsid w:val="00110EA5"/>
    <w:rsid w:val="0011144E"/>
    <w:rsid w:val="00112F56"/>
    <w:rsid w:val="00117C1F"/>
    <w:rsid w:val="00117C80"/>
    <w:rsid w:val="001212BF"/>
    <w:rsid w:val="00122C2E"/>
    <w:rsid w:val="00124ACD"/>
    <w:rsid w:val="00125318"/>
    <w:rsid w:val="001305A2"/>
    <w:rsid w:val="00133238"/>
    <w:rsid w:val="00133A1B"/>
    <w:rsid w:val="0014197B"/>
    <w:rsid w:val="001447CD"/>
    <w:rsid w:val="001516B1"/>
    <w:rsid w:val="00154EBB"/>
    <w:rsid w:val="00155F4C"/>
    <w:rsid w:val="00156316"/>
    <w:rsid w:val="001603A6"/>
    <w:rsid w:val="00161181"/>
    <w:rsid w:val="00161D56"/>
    <w:rsid w:val="00162D14"/>
    <w:rsid w:val="00163780"/>
    <w:rsid w:val="00165389"/>
    <w:rsid w:val="00174DB0"/>
    <w:rsid w:val="0017613A"/>
    <w:rsid w:val="0017693F"/>
    <w:rsid w:val="00180CDD"/>
    <w:rsid w:val="0018110E"/>
    <w:rsid w:val="00181684"/>
    <w:rsid w:val="001843C6"/>
    <w:rsid w:val="001850E0"/>
    <w:rsid w:val="00185407"/>
    <w:rsid w:val="001A03AF"/>
    <w:rsid w:val="001A2158"/>
    <w:rsid w:val="001A525F"/>
    <w:rsid w:val="001A5A00"/>
    <w:rsid w:val="001A66B8"/>
    <w:rsid w:val="001B09F9"/>
    <w:rsid w:val="001B1DA4"/>
    <w:rsid w:val="001B5C90"/>
    <w:rsid w:val="001B6448"/>
    <w:rsid w:val="001C32CD"/>
    <w:rsid w:val="001C3BAB"/>
    <w:rsid w:val="001C7332"/>
    <w:rsid w:val="001D2984"/>
    <w:rsid w:val="001E07CF"/>
    <w:rsid w:val="001E10CF"/>
    <w:rsid w:val="001E359E"/>
    <w:rsid w:val="001E59F1"/>
    <w:rsid w:val="001F2CEE"/>
    <w:rsid w:val="001F34DA"/>
    <w:rsid w:val="001F49EB"/>
    <w:rsid w:val="001F6CBA"/>
    <w:rsid w:val="00200045"/>
    <w:rsid w:val="00201D4E"/>
    <w:rsid w:val="0020544C"/>
    <w:rsid w:val="002076C9"/>
    <w:rsid w:val="00220B8A"/>
    <w:rsid w:val="00222799"/>
    <w:rsid w:val="002257F3"/>
    <w:rsid w:val="002314EA"/>
    <w:rsid w:val="00233456"/>
    <w:rsid w:val="002339A5"/>
    <w:rsid w:val="00250271"/>
    <w:rsid w:val="00250F35"/>
    <w:rsid w:val="00257494"/>
    <w:rsid w:val="00257848"/>
    <w:rsid w:val="002578E8"/>
    <w:rsid w:val="0027084A"/>
    <w:rsid w:val="00271E85"/>
    <w:rsid w:val="00280265"/>
    <w:rsid w:val="00280D26"/>
    <w:rsid w:val="00286434"/>
    <w:rsid w:val="00286C59"/>
    <w:rsid w:val="00291957"/>
    <w:rsid w:val="002942D1"/>
    <w:rsid w:val="0029501A"/>
    <w:rsid w:val="002A3721"/>
    <w:rsid w:val="002A4EAE"/>
    <w:rsid w:val="002B1638"/>
    <w:rsid w:val="002B3624"/>
    <w:rsid w:val="002B51CD"/>
    <w:rsid w:val="002D0952"/>
    <w:rsid w:val="002D446A"/>
    <w:rsid w:val="002E2A38"/>
    <w:rsid w:val="002E40B3"/>
    <w:rsid w:val="002E4C9A"/>
    <w:rsid w:val="002F11F8"/>
    <w:rsid w:val="002F3F56"/>
    <w:rsid w:val="002F44B5"/>
    <w:rsid w:val="002F5122"/>
    <w:rsid w:val="00301C3E"/>
    <w:rsid w:val="00311AC0"/>
    <w:rsid w:val="003176FC"/>
    <w:rsid w:val="00324E45"/>
    <w:rsid w:val="0032583B"/>
    <w:rsid w:val="00327883"/>
    <w:rsid w:val="00327F30"/>
    <w:rsid w:val="00332715"/>
    <w:rsid w:val="00335504"/>
    <w:rsid w:val="00340C18"/>
    <w:rsid w:val="003442FD"/>
    <w:rsid w:val="00347824"/>
    <w:rsid w:val="00350567"/>
    <w:rsid w:val="003521E8"/>
    <w:rsid w:val="00362C15"/>
    <w:rsid w:val="00370CE3"/>
    <w:rsid w:val="00371E8F"/>
    <w:rsid w:val="003728F3"/>
    <w:rsid w:val="003735BC"/>
    <w:rsid w:val="0037496E"/>
    <w:rsid w:val="00383221"/>
    <w:rsid w:val="00386150"/>
    <w:rsid w:val="003874CE"/>
    <w:rsid w:val="00387655"/>
    <w:rsid w:val="00390900"/>
    <w:rsid w:val="003A6B05"/>
    <w:rsid w:val="003A72F4"/>
    <w:rsid w:val="003A7F6C"/>
    <w:rsid w:val="003B07BC"/>
    <w:rsid w:val="003B4D60"/>
    <w:rsid w:val="003B7E39"/>
    <w:rsid w:val="003C0386"/>
    <w:rsid w:val="003C4BE9"/>
    <w:rsid w:val="003C58DC"/>
    <w:rsid w:val="003D1E62"/>
    <w:rsid w:val="003E0B99"/>
    <w:rsid w:val="003E1E2B"/>
    <w:rsid w:val="003E2486"/>
    <w:rsid w:val="003E3208"/>
    <w:rsid w:val="003F0B04"/>
    <w:rsid w:val="003F11BF"/>
    <w:rsid w:val="0040134E"/>
    <w:rsid w:val="00424B61"/>
    <w:rsid w:val="00425BE1"/>
    <w:rsid w:val="00431E29"/>
    <w:rsid w:val="0043337F"/>
    <w:rsid w:val="004334C7"/>
    <w:rsid w:val="00433FFA"/>
    <w:rsid w:val="00440A2D"/>
    <w:rsid w:val="004416D7"/>
    <w:rsid w:val="00441C3F"/>
    <w:rsid w:val="00444D1A"/>
    <w:rsid w:val="0045186A"/>
    <w:rsid w:val="00454BDC"/>
    <w:rsid w:val="004564A7"/>
    <w:rsid w:val="00456765"/>
    <w:rsid w:val="00460036"/>
    <w:rsid w:val="004617BF"/>
    <w:rsid w:val="00463382"/>
    <w:rsid w:val="00463658"/>
    <w:rsid w:val="004637A0"/>
    <w:rsid w:val="004722CC"/>
    <w:rsid w:val="00490483"/>
    <w:rsid w:val="004936E4"/>
    <w:rsid w:val="00494E60"/>
    <w:rsid w:val="00497487"/>
    <w:rsid w:val="004A2771"/>
    <w:rsid w:val="004A6189"/>
    <w:rsid w:val="004A7390"/>
    <w:rsid w:val="004B7B76"/>
    <w:rsid w:val="004C239D"/>
    <w:rsid w:val="004C2B1B"/>
    <w:rsid w:val="004C2DCA"/>
    <w:rsid w:val="004C4FBE"/>
    <w:rsid w:val="004C61D2"/>
    <w:rsid w:val="004D6622"/>
    <w:rsid w:val="004F0C4A"/>
    <w:rsid w:val="004F0F38"/>
    <w:rsid w:val="004F264D"/>
    <w:rsid w:val="004F47D6"/>
    <w:rsid w:val="00500337"/>
    <w:rsid w:val="00501921"/>
    <w:rsid w:val="00505417"/>
    <w:rsid w:val="00506C45"/>
    <w:rsid w:val="00514497"/>
    <w:rsid w:val="0052149B"/>
    <w:rsid w:val="00523A21"/>
    <w:rsid w:val="00530354"/>
    <w:rsid w:val="00534E23"/>
    <w:rsid w:val="0053625B"/>
    <w:rsid w:val="005434C6"/>
    <w:rsid w:val="00543B39"/>
    <w:rsid w:val="00544000"/>
    <w:rsid w:val="00545CDB"/>
    <w:rsid w:val="00546154"/>
    <w:rsid w:val="00550096"/>
    <w:rsid w:val="005545C8"/>
    <w:rsid w:val="00555280"/>
    <w:rsid w:val="00557FF9"/>
    <w:rsid w:val="00562327"/>
    <w:rsid w:val="005711D5"/>
    <w:rsid w:val="00576378"/>
    <w:rsid w:val="00577130"/>
    <w:rsid w:val="00577945"/>
    <w:rsid w:val="00577E38"/>
    <w:rsid w:val="00581F29"/>
    <w:rsid w:val="00585322"/>
    <w:rsid w:val="005857C6"/>
    <w:rsid w:val="00590B50"/>
    <w:rsid w:val="00592F6E"/>
    <w:rsid w:val="00593AD1"/>
    <w:rsid w:val="005A68B6"/>
    <w:rsid w:val="005A6EF3"/>
    <w:rsid w:val="005A79F5"/>
    <w:rsid w:val="005C494B"/>
    <w:rsid w:val="005C5570"/>
    <w:rsid w:val="005C5B66"/>
    <w:rsid w:val="005C79A4"/>
    <w:rsid w:val="005D5442"/>
    <w:rsid w:val="00603F32"/>
    <w:rsid w:val="00604924"/>
    <w:rsid w:val="00605AD4"/>
    <w:rsid w:val="006136D7"/>
    <w:rsid w:val="0062178B"/>
    <w:rsid w:val="006251C6"/>
    <w:rsid w:val="00625A6E"/>
    <w:rsid w:val="00632398"/>
    <w:rsid w:val="00640FC3"/>
    <w:rsid w:val="00642020"/>
    <w:rsid w:val="00642D6B"/>
    <w:rsid w:val="006430EE"/>
    <w:rsid w:val="00643CE5"/>
    <w:rsid w:val="0065337B"/>
    <w:rsid w:val="0065419D"/>
    <w:rsid w:val="006603BC"/>
    <w:rsid w:val="006604D8"/>
    <w:rsid w:val="00664A5B"/>
    <w:rsid w:val="006670F2"/>
    <w:rsid w:val="0066735C"/>
    <w:rsid w:val="00674958"/>
    <w:rsid w:val="006763D2"/>
    <w:rsid w:val="00680C08"/>
    <w:rsid w:val="006901BA"/>
    <w:rsid w:val="00690F4C"/>
    <w:rsid w:val="006916A0"/>
    <w:rsid w:val="006931B1"/>
    <w:rsid w:val="006A15C0"/>
    <w:rsid w:val="006A58A8"/>
    <w:rsid w:val="006B0B91"/>
    <w:rsid w:val="006C03CA"/>
    <w:rsid w:val="006C3E2A"/>
    <w:rsid w:val="006C642F"/>
    <w:rsid w:val="006D03E5"/>
    <w:rsid w:val="006D5D3E"/>
    <w:rsid w:val="006D7C69"/>
    <w:rsid w:val="006E08B3"/>
    <w:rsid w:val="006E7D4A"/>
    <w:rsid w:val="006F17AC"/>
    <w:rsid w:val="006F25B8"/>
    <w:rsid w:val="006F572E"/>
    <w:rsid w:val="007046D6"/>
    <w:rsid w:val="00705DB0"/>
    <w:rsid w:val="0072292E"/>
    <w:rsid w:val="00722B57"/>
    <w:rsid w:val="007261CB"/>
    <w:rsid w:val="00730F8A"/>
    <w:rsid w:val="00735A8C"/>
    <w:rsid w:val="0074163C"/>
    <w:rsid w:val="0074253D"/>
    <w:rsid w:val="00744121"/>
    <w:rsid w:val="0074429B"/>
    <w:rsid w:val="007577B1"/>
    <w:rsid w:val="007615BC"/>
    <w:rsid w:val="00762F05"/>
    <w:rsid w:val="007652FF"/>
    <w:rsid w:val="007703EF"/>
    <w:rsid w:val="00770CAC"/>
    <w:rsid w:val="00770EF1"/>
    <w:rsid w:val="0077131A"/>
    <w:rsid w:val="00773EF7"/>
    <w:rsid w:val="00774E1D"/>
    <w:rsid w:val="007765D8"/>
    <w:rsid w:val="0077675A"/>
    <w:rsid w:val="00780355"/>
    <w:rsid w:val="007806A6"/>
    <w:rsid w:val="007819FD"/>
    <w:rsid w:val="007828E5"/>
    <w:rsid w:val="00785717"/>
    <w:rsid w:val="00785721"/>
    <w:rsid w:val="00793A59"/>
    <w:rsid w:val="007A3F06"/>
    <w:rsid w:val="007A4661"/>
    <w:rsid w:val="007A46F5"/>
    <w:rsid w:val="007A6505"/>
    <w:rsid w:val="007B6132"/>
    <w:rsid w:val="007B6E9F"/>
    <w:rsid w:val="007C1216"/>
    <w:rsid w:val="007C1AF7"/>
    <w:rsid w:val="007C6B9B"/>
    <w:rsid w:val="007D53B6"/>
    <w:rsid w:val="007F510F"/>
    <w:rsid w:val="007F517C"/>
    <w:rsid w:val="00804D99"/>
    <w:rsid w:val="00805D27"/>
    <w:rsid w:val="00806DCB"/>
    <w:rsid w:val="008110BC"/>
    <w:rsid w:val="00821776"/>
    <w:rsid w:val="008321F5"/>
    <w:rsid w:val="00832369"/>
    <w:rsid w:val="00833ED8"/>
    <w:rsid w:val="00834660"/>
    <w:rsid w:val="00836BC2"/>
    <w:rsid w:val="00845CC3"/>
    <w:rsid w:val="0085156D"/>
    <w:rsid w:val="00852B28"/>
    <w:rsid w:val="0085641B"/>
    <w:rsid w:val="00856E21"/>
    <w:rsid w:val="00857136"/>
    <w:rsid w:val="00865B03"/>
    <w:rsid w:val="00875041"/>
    <w:rsid w:val="00875A6B"/>
    <w:rsid w:val="00885B11"/>
    <w:rsid w:val="00886D15"/>
    <w:rsid w:val="00887DD8"/>
    <w:rsid w:val="00891BA9"/>
    <w:rsid w:val="0089264D"/>
    <w:rsid w:val="00895B9A"/>
    <w:rsid w:val="00896018"/>
    <w:rsid w:val="008960DD"/>
    <w:rsid w:val="0089635C"/>
    <w:rsid w:val="00897513"/>
    <w:rsid w:val="008A2B9D"/>
    <w:rsid w:val="008A3D9F"/>
    <w:rsid w:val="008A5E0B"/>
    <w:rsid w:val="008A6D59"/>
    <w:rsid w:val="008B4B03"/>
    <w:rsid w:val="008B596F"/>
    <w:rsid w:val="008C159F"/>
    <w:rsid w:val="008C1623"/>
    <w:rsid w:val="008C1850"/>
    <w:rsid w:val="008C51A9"/>
    <w:rsid w:val="008E7846"/>
    <w:rsid w:val="008F02E5"/>
    <w:rsid w:val="008F1CCC"/>
    <w:rsid w:val="008F25C8"/>
    <w:rsid w:val="008F2967"/>
    <w:rsid w:val="008F309B"/>
    <w:rsid w:val="008F6943"/>
    <w:rsid w:val="00901F5B"/>
    <w:rsid w:val="00902A21"/>
    <w:rsid w:val="0091523F"/>
    <w:rsid w:val="00920330"/>
    <w:rsid w:val="00921051"/>
    <w:rsid w:val="009219D7"/>
    <w:rsid w:val="00922D53"/>
    <w:rsid w:val="00923B70"/>
    <w:rsid w:val="00924482"/>
    <w:rsid w:val="00930237"/>
    <w:rsid w:val="00937C17"/>
    <w:rsid w:val="00940A89"/>
    <w:rsid w:val="00941F77"/>
    <w:rsid w:val="00946EA5"/>
    <w:rsid w:val="009556D7"/>
    <w:rsid w:val="00960520"/>
    <w:rsid w:val="00963C08"/>
    <w:rsid w:val="009710DB"/>
    <w:rsid w:val="009752A5"/>
    <w:rsid w:val="00985193"/>
    <w:rsid w:val="0098585A"/>
    <w:rsid w:val="009861C4"/>
    <w:rsid w:val="00986B45"/>
    <w:rsid w:val="00994B3D"/>
    <w:rsid w:val="009A4CED"/>
    <w:rsid w:val="009A690D"/>
    <w:rsid w:val="009B1D12"/>
    <w:rsid w:val="009B416B"/>
    <w:rsid w:val="009C4BD5"/>
    <w:rsid w:val="009D7B77"/>
    <w:rsid w:val="009E0BB0"/>
    <w:rsid w:val="009E35BB"/>
    <w:rsid w:val="009E3FBB"/>
    <w:rsid w:val="009E5A87"/>
    <w:rsid w:val="009F2673"/>
    <w:rsid w:val="009F6A25"/>
    <w:rsid w:val="009F7353"/>
    <w:rsid w:val="00A04F85"/>
    <w:rsid w:val="00A05FA4"/>
    <w:rsid w:val="00A102E4"/>
    <w:rsid w:val="00A1219C"/>
    <w:rsid w:val="00A12C42"/>
    <w:rsid w:val="00A14DF7"/>
    <w:rsid w:val="00A22D57"/>
    <w:rsid w:val="00A3246D"/>
    <w:rsid w:val="00A36FA7"/>
    <w:rsid w:val="00A37BA6"/>
    <w:rsid w:val="00A44DDB"/>
    <w:rsid w:val="00A45CA3"/>
    <w:rsid w:val="00A475B7"/>
    <w:rsid w:val="00A47AF7"/>
    <w:rsid w:val="00A47C3E"/>
    <w:rsid w:val="00A50226"/>
    <w:rsid w:val="00A60BAD"/>
    <w:rsid w:val="00A77F87"/>
    <w:rsid w:val="00A80B5B"/>
    <w:rsid w:val="00A84E36"/>
    <w:rsid w:val="00A964D1"/>
    <w:rsid w:val="00AA0ED0"/>
    <w:rsid w:val="00AC2B40"/>
    <w:rsid w:val="00AC2BB2"/>
    <w:rsid w:val="00AC2C3C"/>
    <w:rsid w:val="00AC512D"/>
    <w:rsid w:val="00AD0083"/>
    <w:rsid w:val="00AD3935"/>
    <w:rsid w:val="00AE1769"/>
    <w:rsid w:val="00AE65EB"/>
    <w:rsid w:val="00AE67A7"/>
    <w:rsid w:val="00AF1D94"/>
    <w:rsid w:val="00AF2313"/>
    <w:rsid w:val="00AF60C5"/>
    <w:rsid w:val="00B009C6"/>
    <w:rsid w:val="00B01548"/>
    <w:rsid w:val="00B05F24"/>
    <w:rsid w:val="00B07E34"/>
    <w:rsid w:val="00B130C5"/>
    <w:rsid w:val="00B13EBD"/>
    <w:rsid w:val="00B1406F"/>
    <w:rsid w:val="00B2060E"/>
    <w:rsid w:val="00B21D29"/>
    <w:rsid w:val="00B25034"/>
    <w:rsid w:val="00B33588"/>
    <w:rsid w:val="00B33863"/>
    <w:rsid w:val="00B37D17"/>
    <w:rsid w:val="00B4175E"/>
    <w:rsid w:val="00B41C85"/>
    <w:rsid w:val="00B452CE"/>
    <w:rsid w:val="00B54C25"/>
    <w:rsid w:val="00B70E66"/>
    <w:rsid w:val="00B76B91"/>
    <w:rsid w:val="00B77EB1"/>
    <w:rsid w:val="00B811C6"/>
    <w:rsid w:val="00B855B0"/>
    <w:rsid w:val="00B92E08"/>
    <w:rsid w:val="00BB0B78"/>
    <w:rsid w:val="00BB11D5"/>
    <w:rsid w:val="00BB75D6"/>
    <w:rsid w:val="00BC1B01"/>
    <w:rsid w:val="00BC3E99"/>
    <w:rsid w:val="00BC622A"/>
    <w:rsid w:val="00BE0A78"/>
    <w:rsid w:val="00BE6542"/>
    <w:rsid w:val="00BE798D"/>
    <w:rsid w:val="00BE79F0"/>
    <w:rsid w:val="00BF046D"/>
    <w:rsid w:val="00BF1190"/>
    <w:rsid w:val="00BF3774"/>
    <w:rsid w:val="00BF5D04"/>
    <w:rsid w:val="00BF7063"/>
    <w:rsid w:val="00C009AA"/>
    <w:rsid w:val="00C0279C"/>
    <w:rsid w:val="00C048CA"/>
    <w:rsid w:val="00C1164D"/>
    <w:rsid w:val="00C16861"/>
    <w:rsid w:val="00C34133"/>
    <w:rsid w:val="00C346AB"/>
    <w:rsid w:val="00C404A6"/>
    <w:rsid w:val="00C40A36"/>
    <w:rsid w:val="00C44419"/>
    <w:rsid w:val="00C45E7B"/>
    <w:rsid w:val="00C471B1"/>
    <w:rsid w:val="00C525A2"/>
    <w:rsid w:val="00C52E24"/>
    <w:rsid w:val="00C53E63"/>
    <w:rsid w:val="00C6316B"/>
    <w:rsid w:val="00C634A9"/>
    <w:rsid w:val="00C6357B"/>
    <w:rsid w:val="00C64586"/>
    <w:rsid w:val="00C70A36"/>
    <w:rsid w:val="00C70D53"/>
    <w:rsid w:val="00C73D0B"/>
    <w:rsid w:val="00C74F5C"/>
    <w:rsid w:val="00C772FF"/>
    <w:rsid w:val="00C80137"/>
    <w:rsid w:val="00C801AF"/>
    <w:rsid w:val="00C80256"/>
    <w:rsid w:val="00C94CD4"/>
    <w:rsid w:val="00C9747E"/>
    <w:rsid w:val="00CA27EA"/>
    <w:rsid w:val="00CA3C16"/>
    <w:rsid w:val="00CB6BC0"/>
    <w:rsid w:val="00CC1B7C"/>
    <w:rsid w:val="00CC5044"/>
    <w:rsid w:val="00CC695D"/>
    <w:rsid w:val="00CC727F"/>
    <w:rsid w:val="00CD6E55"/>
    <w:rsid w:val="00CF15C3"/>
    <w:rsid w:val="00CF2B6F"/>
    <w:rsid w:val="00CF2F3E"/>
    <w:rsid w:val="00CF58B6"/>
    <w:rsid w:val="00CF5DAD"/>
    <w:rsid w:val="00D0062D"/>
    <w:rsid w:val="00D017ED"/>
    <w:rsid w:val="00D03155"/>
    <w:rsid w:val="00D040D3"/>
    <w:rsid w:val="00D04C65"/>
    <w:rsid w:val="00D112A1"/>
    <w:rsid w:val="00D153D8"/>
    <w:rsid w:val="00D201D2"/>
    <w:rsid w:val="00D20749"/>
    <w:rsid w:val="00D212F3"/>
    <w:rsid w:val="00D224FE"/>
    <w:rsid w:val="00D23139"/>
    <w:rsid w:val="00D26203"/>
    <w:rsid w:val="00D33A78"/>
    <w:rsid w:val="00D425BB"/>
    <w:rsid w:val="00D453FA"/>
    <w:rsid w:val="00D47A02"/>
    <w:rsid w:val="00D56348"/>
    <w:rsid w:val="00D6493E"/>
    <w:rsid w:val="00D7195D"/>
    <w:rsid w:val="00D72CBA"/>
    <w:rsid w:val="00D7301E"/>
    <w:rsid w:val="00D73939"/>
    <w:rsid w:val="00D8019C"/>
    <w:rsid w:val="00D83AE1"/>
    <w:rsid w:val="00D854AC"/>
    <w:rsid w:val="00D855D4"/>
    <w:rsid w:val="00D902C9"/>
    <w:rsid w:val="00D93466"/>
    <w:rsid w:val="00DA1124"/>
    <w:rsid w:val="00DA64CB"/>
    <w:rsid w:val="00DB06B8"/>
    <w:rsid w:val="00DB43A5"/>
    <w:rsid w:val="00DB6124"/>
    <w:rsid w:val="00DB750B"/>
    <w:rsid w:val="00DB75B7"/>
    <w:rsid w:val="00DC0A2F"/>
    <w:rsid w:val="00DC1948"/>
    <w:rsid w:val="00DC6E02"/>
    <w:rsid w:val="00DC6EA6"/>
    <w:rsid w:val="00DD28CD"/>
    <w:rsid w:val="00DD2C64"/>
    <w:rsid w:val="00DE02AE"/>
    <w:rsid w:val="00DE39D1"/>
    <w:rsid w:val="00DE5364"/>
    <w:rsid w:val="00DF1D7F"/>
    <w:rsid w:val="00DF4BE4"/>
    <w:rsid w:val="00DF7C6F"/>
    <w:rsid w:val="00E02382"/>
    <w:rsid w:val="00E02FB4"/>
    <w:rsid w:val="00E13FC7"/>
    <w:rsid w:val="00E20571"/>
    <w:rsid w:val="00E229D2"/>
    <w:rsid w:val="00E235F7"/>
    <w:rsid w:val="00E23659"/>
    <w:rsid w:val="00E239D4"/>
    <w:rsid w:val="00E26130"/>
    <w:rsid w:val="00E27567"/>
    <w:rsid w:val="00E33D42"/>
    <w:rsid w:val="00E4082D"/>
    <w:rsid w:val="00E40B22"/>
    <w:rsid w:val="00E44ED1"/>
    <w:rsid w:val="00E45619"/>
    <w:rsid w:val="00E4588F"/>
    <w:rsid w:val="00E46DA3"/>
    <w:rsid w:val="00E51BB1"/>
    <w:rsid w:val="00E55CB0"/>
    <w:rsid w:val="00E624A5"/>
    <w:rsid w:val="00E64BA4"/>
    <w:rsid w:val="00E7344E"/>
    <w:rsid w:val="00E82665"/>
    <w:rsid w:val="00E90E77"/>
    <w:rsid w:val="00EA6D30"/>
    <w:rsid w:val="00EB0798"/>
    <w:rsid w:val="00EB36D6"/>
    <w:rsid w:val="00EB40AD"/>
    <w:rsid w:val="00EB586E"/>
    <w:rsid w:val="00EB5FC8"/>
    <w:rsid w:val="00EC10C0"/>
    <w:rsid w:val="00EC2FAE"/>
    <w:rsid w:val="00EC463D"/>
    <w:rsid w:val="00EC7A85"/>
    <w:rsid w:val="00ED2922"/>
    <w:rsid w:val="00ED3CAD"/>
    <w:rsid w:val="00ED5A41"/>
    <w:rsid w:val="00EE1DE8"/>
    <w:rsid w:val="00EE27C2"/>
    <w:rsid w:val="00EE3CAF"/>
    <w:rsid w:val="00EF4BAD"/>
    <w:rsid w:val="00EF59DC"/>
    <w:rsid w:val="00EF6CAB"/>
    <w:rsid w:val="00F01613"/>
    <w:rsid w:val="00F033EC"/>
    <w:rsid w:val="00F04F68"/>
    <w:rsid w:val="00F10F6D"/>
    <w:rsid w:val="00F12670"/>
    <w:rsid w:val="00F14B27"/>
    <w:rsid w:val="00F20C34"/>
    <w:rsid w:val="00F2721B"/>
    <w:rsid w:val="00F3148D"/>
    <w:rsid w:val="00F325C5"/>
    <w:rsid w:val="00F32FE0"/>
    <w:rsid w:val="00F35298"/>
    <w:rsid w:val="00F42056"/>
    <w:rsid w:val="00F47333"/>
    <w:rsid w:val="00F47E37"/>
    <w:rsid w:val="00F53C07"/>
    <w:rsid w:val="00F54B65"/>
    <w:rsid w:val="00F63DBF"/>
    <w:rsid w:val="00F640B6"/>
    <w:rsid w:val="00F66DF2"/>
    <w:rsid w:val="00F80E40"/>
    <w:rsid w:val="00F848D9"/>
    <w:rsid w:val="00F931CE"/>
    <w:rsid w:val="00F97E3A"/>
    <w:rsid w:val="00FA206D"/>
    <w:rsid w:val="00FA4BBA"/>
    <w:rsid w:val="00FA5069"/>
    <w:rsid w:val="00FA5B82"/>
    <w:rsid w:val="00FA639E"/>
    <w:rsid w:val="00FB4056"/>
    <w:rsid w:val="00FC1FCA"/>
    <w:rsid w:val="00FC25E4"/>
    <w:rsid w:val="00FC4EF7"/>
    <w:rsid w:val="00FC788A"/>
    <w:rsid w:val="00FD0824"/>
    <w:rsid w:val="00FD119B"/>
    <w:rsid w:val="00FD1AC7"/>
    <w:rsid w:val="00FD1EDC"/>
    <w:rsid w:val="00FD35ED"/>
    <w:rsid w:val="00FE1421"/>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75EA654D"/>
  <w15:docId w15:val="{A807E1E7-2088-4CFF-BD9B-5EC465AAC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qFormat="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6B0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customStyle="1" w:styleId="FigureCaption">
    <w:name w:val="Figure Caption"/>
    <w:basedOn w:val="Normal"/>
    <w:qFormat/>
    <w:rsid w:val="00222799"/>
    <w:pPr>
      <w:adjustRightInd w:val="0"/>
      <w:snapToGrid w:val="0"/>
      <w:spacing w:before="180" w:after="180"/>
    </w:pPr>
    <w:rPr>
      <w:rFonts w:eastAsia="MS Mincho"/>
      <w:szCs w:val="20"/>
      <w:lang w:eastAsia="ja-JP"/>
    </w:rPr>
  </w:style>
  <w:style w:type="paragraph" w:customStyle="1" w:styleId="TableCaption">
    <w:name w:val="Table Caption"/>
    <w:basedOn w:val="FigureCaption"/>
    <w:qFormat/>
    <w:rsid w:val="00222799"/>
    <w:pPr>
      <w:spacing w:before="0" w:after="0" w:line="240" w:lineRule="auto"/>
    </w:pPr>
    <w:rPr>
      <w:sz w:val="17"/>
    </w:rPr>
  </w:style>
  <w:style w:type="table" w:customStyle="1" w:styleId="TableTGA2">
    <w:name w:val="Table TGA 2"/>
    <w:basedOn w:val="TableNormal"/>
    <w:uiPriority w:val="99"/>
    <w:rsid w:val="00222799"/>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222799"/>
    <w:pPr>
      <w:adjustRightInd w:val="0"/>
      <w:snapToGrid w:val="0"/>
      <w:spacing w:before="180" w:after="180"/>
    </w:pPr>
    <w:rPr>
      <w:rFonts w:eastAsia="MS Mincho"/>
      <w:b/>
      <w:szCs w:val="20"/>
      <w:lang w:eastAsia="ja-JP"/>
    </w:rPr>
  </w:style>
  <w:style w:type="paragraph" w:customStyle="1" w:styleId="Addressee">
    <w:name w:val="Addressee"/>
    <w:basedOn w:val="Normal"/>
    <w:qFormat/>
    <w:rsid w:val="00222799"/>
    <w:pPr>
      <w:adjustRightInd w:val="0"/>
      <w:snapToGrid w:val="0"/>
      <w:spacing w:before="180" w:after="180"/>
    </w:pPr>
    <w:rPr>
      <w:rFonts w:eastAsia="MS Mincho"/>
      <w:szCs w:val="20"/>
      <w:lang w:eastAsia="ja-JP"/>
    </w:rPr>
  </w:style>
  <w:style w:type="character" w:customStyle="1" w:styleId="ABN">
    <w:name w:val="ABN"/>
    <w:basedOn w:val="DefaultParagraphFont"/>
    <w:uiPriority w:val="1"/>
    <w:qFormat/>
    <w:rsid w:val="00222799"/>
    <w:rPr>
      <w:rFonts w:ascii="Arial" w:hAnsi="Arial"/>
      <w:color w:val="002C47"/>
      <w:sz w:val="14"/>
    </w:rPr>
  </w:style>
  <w:style w:type="paragraph" w:customStyle="1" w:styleId="BodyCopy">
    <w:name w:val="Body Copy"/>
    <w:basedOn w:val="Normal"/>
    <w:qFormat/>
    <w:rsid w:val="00222799"/>
    <w:pPr>
      <w:adjustRightInd w:val="0"/>
      <w:snapToGrid w:val="0"/>
      <w:spacing w:before="180" w:after="180"/>
    </w:pPr>
    <w:rPr>
      <w:rFonts w:eastAsia="MS Mincho"/>
      <w:szCs w:val="20"/>
      <w:lang w:eastAsia="ja-JP"/>
    </w:rPr>
  </w:style>
  <w:style w:type="paragraph" w:styleId="ListParagraph">
    <w:name w:val="List Paragraph"/>
    <w:basedOn w:val="Normal"/>
    <w:link w:val="ListParagraphChar"/>
    <w:uiPriority w:val="34"/>
    <w:qFormat/>
    <w:rsid w:val="00222799"/>
    <w:pPr>
      <w:adjustRightInd w:val="0"/>
      <w:snapToGrid w:val="0"/>
      <w:spacing w:before="180" w:after="180"/>
      <w:ind w:left="720"/>
      <w:contextualSpacing/>
    </w:pPr>
    <w:rPr>
      <w:rFonts w:eastAsia="MS Mincho"/>
      <w:szCs w:val="20"/>
      <w:lang w:eastAsia="ja-JP"/>
    </w:rPr>
  </w:style>
  <w:style w:type="paragraph" w:customStyle="1" w:styleId="Standard">
    <w:name w:val="Standard"/>
    <w:basedOn w:val="Normal"/>
    <w:link w:val="StandardChar"/>
    <w:qFormat/>
    <w:rsid w:val="00222799"/>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222799"/>
    <w:rPr>
      <w:rFonts w:ascii="Cambria" w:eastAsia="Times New Roman" w:hAnsi="Cambria" w:cs="Times New Roman"/>
      <w:snapToGrid w:val="0"/>
      <w:kern w:val="16"/>
      <w:sz w:val="23"/>
      <w:szCs w:val="24"/>
    </w:rPr>
  </w:style>
  <w:style w:type="paragraph" w:customStyle="1" w:styleId="Bulletpoint">
    <w:name w:val="Bullet point"/>
    <w:basedOn w:val="Standard"/>
    <w:rsid w:val="00222799"/>
    <w:pPr>
      <w:numPr>
        <w:numId w:val="5"/>
      </w:numPr>
      <w:tabs>
        <w:tab w:val="clear" w:pos="369"/>
        <w:tab w:val="left" w:pos="397"/>
        <w:tab w:val="num" w:pos="511"/>
        <w:tab w:val="num" w:pos="926"/>
      </w:tabs>
      <w:spacing w:after="180"/>
      <w:ind w:left="0" w:firstLine="0"/>
    </w:pPr>
    <w:rPr>
      <w:sz w:val="22"/>
    </w:rPr>
  </w:style>
  <w:style w:type="paragraph" w:customStyle="1" w:styleId="PISubsection">
    <w:name w:val="PI Subsection"/>
    <w:basedOn w:val="Standard"/>
    <w:next w:val="Standard"/>
    <w:rsid w:val="00222799"/>
    <w:pPr>
      <w:keepNext/>
      <w:spacing w:after="120"/>
    </w:pPr>
    <w:rPr>
      <w:b/>
      <w:i/>
      <w:kern w:val="2"/>
      <w:sz w:val="22"/>
    </w:rPr>
  </w:style>
  <w:style w:type="paragraph" w:customStyle="1" w:styleId="Tabletextbulleted">
    <w:name w:val="Table text (bulleted)"/>
    <w:basedOn w:val="Tabletext"/>
    <w:uiPriority w:val="1"/>
    <w:qFormat/>
    <w:rsid w:val="00222799"/>
    <w:pPr>
      <w:numPr>
        <w:numId w:val="6"/>
      </w:numPr>
      <w:spacing w:before="0" w:after="0" w:line="240" w:lineRule="auto"/>
      <w:ind w:right="170"/>
    </w:pPr>
    <w:rPr>
      <w:color w:val="000000" w:themeColor="text1"/>
      <w:szCs w:val="21"/>
      <w:lang w:eastAsia="en-AU"/>
    </w:rPr>
  </w:style>
  <w:style w:type="paragraph" w:customStyle="1" w:styleId="TableParagraph">
    <w:name w:val="Table Paragraph"/>
    <w:basedOn w:val="Normal"/>
    <w:uiPriority w:val="1"/>
    <w:qFormat/>
    <w:rsid w:val="00222799"/>
    <w:pPr>
      <w:widowControl w:val="0"/>
      <w:autoSpaceDE w:val="0"/>
      <w:autoSpaceDN w:val="0"/>
      <w:spacing w:before="0" w:after="0" w:line="240" w:lineRule="auto"/>
    </w:pPr>
    <w:rPr>
      <w:rFonts w:ascii="Calibri" w:eastAsia="Calibri" w:hAnsi="Calibri" w:cs="Calibri"/>
      <w:lang w:val="en-US"/>
    </w:rPr>
  </w:style>
  <w:style w:type="character" w:customStyle="1" w:styleId="ListParagraphChar">
    <w:name w:val="List Paragraph Char"/>
    <w:basedOn w:val="DefaultParagraphFont"/>
    <w:link w:val="ListParagraph"/>
    <w:uiPriority w:val="34"/>
    <w:rsid w:val="00222799"/>
    <w:rPr>
      <w:rFonts w:ascii="Cambria" w:eastAsia="MS Mincho" w:hAnsi="Cambria" w:cs="Times New Roman"/>
      <w:szCs w:val="20"/>
      <w:lang w:eastAsia="ja-JP"/>
    </w:rPr>
  </w:style>
  <w:style w:type="character" w:customStyle="1" w:styleId="TabletextChar">
    <w:name w:val="Table text Char"/>
    <w:basedOn w:val="DefaultParagraphFont"/>
    <w:link w:val="Tabletext"/>
    <w:rsid w:val="00222799"/>
    <w:rPr>
      <w:rFonts w:ascii="Cambria" w:eastAsia="Cambria" w:hAnsi="Cambria" w:cs="Times New Roman"/>
      <w:sz w:val="19"/>
    </w:rPr>
  </w:style>
  <w:style w:type="paragraph" w:customStyle="1" w:styleId="Bulletlist">
    <w:name w:val="Bullet list"/>
    <w:basedOn w:val="Standard"/>
    <w:link w:val="BulletlistChar"/>
    <w:qFormat/>
    <w:rsid w:val="00222799"/>
    <w:pPr>
      <w:numPr>
        <w:numId w:val="7"/>
      </w:numPr>
      <w:spacing w:after="180"/>
      <w:ind w:left="426" w:hanging="284"/>
    </w:pPr>
    <w:rPr>
      <w:kern w:val="2"/>
    </w:rPr>
  </w:style>
  <w:style w:type="character" w:customStyle="1" w:styleId="BulletlistChar">
    <w:name w:val="Bullet list Char"/>
    <w:basedOn w:val="StandardChar"/>
    <w:link w:val="Bulletlist"/>
    <w:rsid w:val="00222799"/>
    <w:rPr>
      <w:rFonts w:ascii="Cambria" w:eastAsia="Times New Roman" w:hAnsi="Cambria" w:cs="Times New Roman"/>
      <w:snapToGrid w:val="0"/>
      <w:kern w:val="2"/>
      <w:sz w:val="23"/>
      <w:szCs w:val="24"/>
    </w:rPr>
  </w:style>
  <w:style w:type="paragraph" w:styleId="ListNumber">
    <w:name w:val="List Number"/>
    <w:basedOn w:val="ListParagraph"/>
    <w:uiPriority w:val="99"/>
    <w:unhideWhenUsed/>
    <w:rsid w:val="00222799"/>
    <w:pPr>
      <w:numPr>
        <w:numId w:val="8"/>
      </w:numPr>
      <w:adjustRightInd/>
      <w:snapToGrid/>
      <w:spacing w:before="0" w:after="120" w:line="240" w:lineRule="auto"/>
      <w:ind w:left="426" w:hanging="426"/>
    </w:pPr>
    <w:rPr>
      <w:rFonts w:asciiTheme="minorHAnsi" w:eastAsia="Times New Roman" w:hAnsiTheme="minorHAnsi"/>
      <w:b/>
      <w:szCs w:val="22"/>
      <w:lang w:eastAsia="en-AU"/>
    </w:rPr>
  </w:style>
  <w:style w:type="paragraph" w:customStyle="1" w:styleId="Default">
    <w:name w:val="Default"/>
    <w:rsid w:val="00DC6EA6"/>
    <w:pPr>
      <w:autoSpaceDE w:val="0"/>
      <w:autoSpaceDN w:val="0"/>
      <w:adjustRightInd w:val="0"/>
      <w:spacing w:after="0" w:line="240" w:lineRule="auto"/>
    </w:pPr>
    <w:rPr>
      <w:rFonts w:ascii="Cambria" w:hAnsi="Cambria" w:cs="Cambria"/>
      <w:color w:val="000000"/>
      <w:sz w:val="24"/>
      <w:szCs w:val="24"/>
    </w:rPr>
  </w:style>
  <w:style w:type="paragraph" w:customStyle="1" w:styleId="TableText0">
    <w:name w:val="Table Text"/>
    <w:basedOn w:val="Normal"/>
    <w:next w:val="Normal"/>
    <w:rsid w:val="00D8019C"/>
    <w:pPr>
      <w:spacing w:before="60" w:after="60" w:line="259" w:lineRule="auto"/>
    </w:pPr>
    <w:rPr>
      <w:rFonts w:asciiTheme="minorHAnsi" w:eastAsia="Times New Roman"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551009">
      <w:bodyDiv w:val="1"/>
      <w:marLeft w:val="0"/>
      <w:marRight w:val="0"/>
      <w:marTop w:val="0"/>
      <w:marBottom w:val="0"/>
      <w:divBdr>
        <w:top w:val="none" w:sz="0" w:space="0" w:color="auto"/>
        <w:left w:val="none" w:sz="0" w:space="0" w:color="auto"/>
        <w:bottom w:val="none" w:sz="0" w:space="0" w:color="auto"/>
        <w:right w:val="none" w:sz="0" w:space="0" w:color="auto"/>
      </w:divBdr>
    </w:div>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907691400">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eader" Target="header2.xml"/><Relationship Id="rId18" Type="http://schemas.openxmlformats.org/officeDocument/2006/relationships/hyperlink" Target="https://www.tga.gov.au/priority-review-pathway-prescription-medicines" TargetMode="External"/><Relationship Id="rId26" Type="http://schemas.openxmlformats.org/officeDocument/2006/relationships/hyperlink" Target="https://www.tga.gov.au/tgas-risk-management-approach"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tga.gov.au/picmi-search-facility" TargetMode="External"/><Relationship Id="rId25" Type="http://schemas.openxmlformats.org/officeDocument/2006/relationships/hyperlink" Target="https://www.tga.gov.au/publication/risk-management-plans-medicines-and-biologicals" TargetMode="External"/><Relationship Id="rId33" Type="http://schemas.openxmlformats.org/officeDocument/2006/relationships/hyperlink" Target="https://www.tga.gov.au"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tga.gov.au/publication/orphan-drug-designation" TargetMode="External"/><Relationship Id="rId20" Type="http://schemas.openxmlformats.org/officeDocument/2006/relationships/image" Target="media/image3.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yperlink" Target="mailto:info@tga.gov.au" TargetMode="Externa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ga.gov.au/project-orbis" TargetMode="External"/><Relationship Id="rId23" Type="http://schemas.openxmlformats.org/officeDocument/2006/relationships/image" Target="media/image6.png"/><Relationship Id="rId28" Type="http://schemas.openxmlformats.org/officeDocument/2006/relationships/header" Target="header3.xml"/><Relationship Id="rId36" Type="http://schemas.openxmlformats.org/officeDocument/2006/relationships/footer" Target="footer3.xml"/><Relationship Id="rId10" Type="http://schemas.openxmlformats.org/officeDocument/2006/relationships/hyperlink" Target="mailto:tga.copyright@tga.gov.au" TargetMode="External"/><Relationship Id="rId19" Type="http://schemas.openxmlformats.org/officeDocument/2006/relationships/image" Target="media/image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tga.gov.au/australian-public-assessment-report-auspar-guidance" TargetMode="External"/><Relationship Id="rId14" Type="http://schemas.openxmlformats.org/officeDocument/2006/relationships/hyperlink" Target="https://www.tga.gov.au/black-triangle-scheme" TargetMode="External"/><Relationship Id="rId22" Type="http://schemas.openxmlformats.org/officeDocument/2006/relationships/image" Target="media/image5.png"/><Relationship Id="rId27" Type="http://schemas.openxmlformats.org/officeDocument/2006/relationships/hyperlink" Target="https://www.tga.gov.au/picmi-search-facility" TargetMode="External"/><Relationship Id="rId30" Type="http://schemas.openxmlformats.org/officeDocument/2006/relationships/header" Target="header5.xml"/><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3" Type="http://schemas.openxmlformats.org/officeDocument/2006/relationships/hyperlink" Target="https://www.accessdata.fda.gov/drugsatfda_docs/label/2022/761228s000lbl.pdf" TargetMode="External"/><Relationship Id="rId2" Type="http://schemas.openxmlformats.org/officeDocument/2006/relationships/hyperlink" Target="https://www.nccn.org/professionals/physician_gls/pdf/uveal.pdf" TargetMode="External"/><Relationship Id="rId1" Type="http://schemas.openxmlformats.org/officeDocument/2006/relationships/hyperlink" Target="https://www.fda.gov/drugs/resources-information-approved-drugs/fda-approves-tebentafusp-tebn-unresectable-or-metastatic-uveal-melanoma" TargetMode="External"/><Relationship Id="rId5" Type="http://schemas.openxmlformats.org/officeDocument/2006/relationships/hyperlink" Target="https://www.ema.europa.eu/en/medicines/human/EPAR/kimmtrak" TargetMode="External"/><Relationship Id="rId4" Type="http://schemas.openxmlformats.org/officeDocument/2006/relationships/hyperlink" Target="https://ctep.cancer.gov/protocolDevelopment/electronic_applications/ctc.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9EB2F-F907-4EA8-A092-25F31E5DB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45</Pages>
  <Words>14149</Words>
  <Characters>80796</Characters>
  <Application>Microsoft Office Word</Application>
  <DocSecurity>0</DocSecurity>
  <Lines>2019</Lines>
  <Paragraphs>1186</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 Therapeutic Goods Administration</Company>
  <LinksUpToDate>false</LinksUpToDate>
  <CharactersWithSpaces>93759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Kimmtrak</dc:title>
  <dc:subject>prescription medicines</dc:subject>
  <dc:creator>Therapeutic Goods Administration</dc:creator>
  <cp:keywords/>
  <cp:lastModifiedBy>LACK, Janet</cp:lastModifiedBy>
  <cp:revision>4</cp:revision>
  <cp:lastPrinted>2019-08-14T04:30:00Z</cp:lastPrinted>
  <dcterms:created xsi:type="dcterms:W3CDTF">2022-11-13T23:47:00Z</dcterms:created>
  <dcterms:modified xsi:type="dcterms:W3CDTF">2022-11-14T00:05:00Z</dcterms:modified>
  <cp:category/>
</cp:coreProperties>
</file>