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2EE93" w14:textId="0741C660" w:rsidR="00181C83" w:rsidRDefault="00181C83" w:rsidP="00181C83">
      <w:pPr>
        <w:tabs>
          <w:tab w:val="left" w:pos="284"/>
        </w:tabs>
        <w:spacing w:after="480"/>
      </w:pPr>
      <w:r>
        <w:rPr>
          <w:rFonts w:asciiTheme="minorHAnsi" w:hAnsiTheme="minorHAnsi"/>
          <w:noProof/>
        </w:rPr>
        <mc:AlternateContent>
          <mc:Choice Requires="wps">
            <w:drawing>
              <wp:inline distT="0" distB="0" distL="0" distR="0" wp14:anchorId="5DFE1643" wp14:editId="5A44F1B0">
                <wp:extent cx="252095" cy="252095"/>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2C0DE" w14:textId="77777777" w:rsidR="00DD4FE5" w:rsidRDefault="00DD4FE5" w:rsidP="00181C83">
                            <w:pPr>
                              <w:spacing w:after="0"/>
                              <w:rPr>
                                <w:rFonts w:ascii="Wingdings 3" w:hAnsi="Wingdings 3"/>
                                <w:sz w:val="24"/>
                              </w:rPr>
                            </w:pPr>
                            <w:r>
                              <w:rPr>
                                <w:rFonts w:ascii="SimSun" w:eastAsia="SimSun" w:hAnsi="SimSun" w:cs="Arial" w:hint="eastAsia"/>
                                <w:sz w:val="40"/>
                                <w:lang w:val="en-US"/>
                              </w:rPr>
                              <w:t>▼</w:t>
                            </w:r>
                          </w:p>
                        </w:txbxContent>
                      </wps:txbx>
                      <wps:bodyPr rot="0" vert="horz" wrap="square" lIns="0" tIns="0" rIns="0" bIns="0" anchor="t" anchorCtr="0" upright="1">
                        <a:noAutofit/>
                      </wps:bodyPr>
                    </wps:wsp>
                  </a:graphicData>
                </a:graphic>
              </wp:inline>
            </w:drawing>
          </mc:Choice>
          <mc:Fallback>
            <w:pict>
              <v:shapetype w14:anchorId="5DFE1643" id="_x0000_t202" coordsize="21600,21600" o:spt="202" path="m,l,21600r21600,l21600,xe">
                <v:stroke joinstyle="miter"/>
                <v:path gradientshapeok="t" o:connecttype="rect"/>
              </v:shapetype>
              <v:shape id="Text Box 3"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gl9gEAAN4DAAAOAAAAZHJzL2Uyb0RvYy54bWysU8Fu2zAMvQ/YPwi6L05SdNiMOEWXIsOA&#10;bivQ7gNkSbaFyaJGKbGzrx8lx2nR3Yb5IFAU+chHPm9uxt6yo8ZgwFV8tVhypp0EZVxb8R9P+3cf&#10;OAtROCUsOF3xkw78Zvv2zWbwpV5DB1ZpZATiQjn4incx+rIogux0L8ICvHb02AD2ItIV20KhGAi9&#10;t8V6uXxfDIDKI0gdAnnvpke+zfhNo2X83jRBR2YrTr3FfGI+63QW240oWxS+M/LchviHLnphHBW9&#10;QN2JKNgBzV9QvZEIAZq4kNAX0DRG6syB2KyWr9g8dsLrzIWGE/xlTOH/wcpvxwdkRlX8ijMnelrR&#10;kx4j+wQju0rTGXwoKejRU1gcyU1bzkyDvwf5MzAHu064Vt8iwtBpoai7VcosXqROOCGB1MNXUFRG&#10;HCJkoLHBPo2OhsEInbZ0umwmtSLJub5eLz9ecybp6WynCqKckz2G+FlDz5JRcaTFZ3BxvA9xCp1D&#10;Uq0A1qi9sTZfsK13FtlRkEj2+cv9vwqzLgU7SGkTYvJklonYRDGO9UiPiXoN6kR8ESbR0U9CRgf4&#10;m7OBBFfx8OsgUHNmvziaWVLnbOBs1LMhnKTUikfOJnMXJxUfPJq2I+RpKw5uaa6NyZyfuzj3SSLK&#10;UzsLPqn05T1HPf+W2z8AAAD//wMAUEsDBBQABgAIAAAAIQBj9U4M2QAAAAMBAAAPAAAAZHJzL2Rv&#10;d25yZXYueG1sTI9BT8JAEIXvJvyHzZB4MbAVE5TaLUHQmxxAwnnojm1Dd7bZ3dLy7131oJd5mbzJ&#10;e99ky8E04kLO15YV3E8TEMSF1TWXCg4fb5MnED4ga2wsk4IreVjmo5sMU2173tFlH0oRQ9inqKAK&#10;oU2l9EVFBv3UtsTR+7TOYIirK6V22Mdw08hZksylwZpjQ4UtrSsqzvvOKJhvXNfveH23Oby+47Yt&#10;Z8eX61Gp2/GwegYRaAh/x/CNH9Ehj0wn27H2olEQHwk/M3oPi0cQp1+VeSb/s+dfAAAA//8DAFBL&#10;AQItABQABgAIAAAAIQC2gziS/gAAAOEBAAATAAAAAAAAAAAAAAAAAAAAAABbQ29udGVudF9UeXBl&#10;c10ueG1sUEsBAi0AFAAGAAgAAAAhADj9If/WAAAAlAEAAAsAAAAAAAAAAAAAAAAALwEAAF9yZWxz&#10;Ly5yZWxzUEsBAi0AFAAGAAgAAAAhABT6GCX2AQAA3gMAAA4AAAAAAAAAAAAAAAAALgIAAGRycy9l&#10;Mm9Eb2MueG1sUEsBAi0AFAAGAAgAAAAhAGP1TgzZAAAAAwEAAA8AAAAAAAAAAAAAAAAAUAQAAGRy&#10;cy9kb3ducmV2LnhtbFBLBQYAAAAABAAEAPMAAABWBQAAAAA=&#10;" stroked="f">
                <v:textbox inset="0,0,0,0">
                  <w:txbxContent>
                    <w:p w14:paraId="2652C0DE" w14:textId="77777777" w:rsidR="00DD4FE5" w:rsidRDefault="00DD4FE5" w:rsidP="00181C83">
                      <w:pPr>
                        <w:spacing w:after="0"/>
                        <w:rPr>
                          <w:rFonts w:ascii="Wingdings 3" w:hAnsi="Wingdings 3"/>
                          <w:sz w:val="24"/>
                        </w:rPr>
                      </w:pPr>
                      <w:r>
                        <w:rPr>
                          <w:rFonts w:ascii="SimSun" w:eastAsia="SimSun" w:hAnsi="SimSun" w:cs="Arial" w:hint="eastAsia"/>
                          <w:sz w:val="40"/>
                          <w:lang w:val="en-US"/>
                        </w:rPr>
                        <w:t>▼</w:t>
                      </w:r>
                    </w:p>
                  </w:txbxContent>
                </v:textbox>
                <w10:anchorlock/>
              </v:shape>
            </w:pict>
          </mc:Fallback>
        </mc:AlternateContent>
      </w:r>
      <w:r>
        <w:t xml:space="preserve">This medicinal product is subject to additional monitoring in Australia. This will allow quick identification of new safety information. Healthcare professionals are asked to report any suspected adverse events at </w:t>
      </w:r>
      <w:hyperlink r:id="rId11" w:history="1">
        <w:r>
          <w:rPr>
            <w:rStyle w:val="Hyperlink"/>
          </w:rPr>
          <w:t>www.tga.gov.au/reporting-problems</w:t>
        </w:r>
      </w:hyperlink>
      <w:r>
        <w:t>.</w:t>
      </w:r>
    </w:p>
    <w:p w14:paraId="07C53A9F" w14:textId="77777777" w:rsidR="00A72126" w:rsidRDefault="00B4303F" w:rsidP="009E4238">
      <w:pPr>
        <w:pStyle w:val="NoSpacing"/>
        <w:pBdr>
          <w:top w:val="single" w:sz="12" w:space="1" w:color="auto"/>
          <w:left w:val="single" w:sz="12" w:space="4" w:color="auto"/>
          <w:bottom w:val="single" w:sz="12" w:space="1" w:color="auto"/>
          <w:right w:val="single" w:sz="12" w:space="4" w:color="auto"/>
        </w:pBdr>
        <w:rPr>
          <w:rStyle w:val="cf01"/>
          <w:rFonts w:asciiTheme="majorHAnsi" w:hAnsiTheme="majorHAnsi"/>
          <w:sz w:val="22"/>
          <w:szCs w:val="22"/>
        </w:rPr>
      </w:pPr>
      <w:r w:rsidRPr="00B4303F">
        <w:t>WARNING: C</w:t>
      </w:r>
      <w:r w:rsidRPr="00151399">
        <w:rPr>
          <w:rStyle w:val="cf01"/>
          <w:rFonts w:asciiTheme="majorHAnsi" w:hAnsiTheme="majorHAnsi"/>
          <w:sz w:val="22"/>
          <w:szCs w:val="22"/>
        </w:rPr>
        <w:t xml:space="preserve">YTOKINE RELEASE SYNDROME </w:t>
      </w:r>
    </w:p>
    <w:p w14:paraId="4649D4DC" w14:textId="3465F1B8" w:rsidR="00B4303F" w:rsidRPr="00A72126" w:rsidRDefault="00B4303F" w:rsidP="009E4238">
      <w:pPr>
        <w:pStyle w:val="NoSpacing"/>
        <w:pBdr>
          <w:top w:val="single" w:sz="12" w:space="1" w:color="auto"/>
          <w:left w:val="single" w:sz="12" w:space="4" w:color="auto"/>
          <w:bottom w:val="single" w:sz="12" w:space="1" w:color="auto"/>
          <w:right w:val="single" w:sz="12" w:space="4" w:color="auto"/>
        </w:pBdr>
      </w:pPr>
      <w:r w:rsidRPr="00151399">
        <w:rPr>
          <w:rStyle w:val="cf01"/>
          <w:rFonts w:asciiTheme="majorHAnsi" w:hAnsiTheme="majorHAnsi"/>
          <w:sz w:val="22"/>
          <w:szCs w:val="22"/>
        </w:rPr>
        <w:t xml:space="preserve">Cytokine Release Syndrome (CRS), which may be serious or life-threatening, can occur in patients receiving </w:t>
      </w:r>
      <w:proofErr w:type="spellStart"/>
      <w:r w:rsidRPr="00151399">
        <w:rPr>
          <w:rStyle w:val="cf01"/>
          <w:rFonts w:asciiTheme="majorHAnsi" w:hAnsiTheme="majorHAnsi"/>
          <w:sz w:val="22"/>
          <w:szCs w:val="22"/>
        </w:rPr>
        <w:t>tebentafusp</w:t>
      </w:r>
      <w:proofErr w:type="spellEnd"/>
      <w:r w:rsidRPr="00151399">
        <w:rPr>
          <w:rStyle w:val="cf01"/>
          <w:rFonts w:asciiTheme="majorHAnsi" w:hAnsiTheme="majorHAnsi"/>
          <w:sz w:val="22"/>
          <w:szCs w:val="22"/>
        </w:rPr>
        <w:t>. Only administer in an appropriate setting. Monitor for at least 16 hours following each of the first three infusions, and then as clinically indicated.</w:t>
      </w:r>
    </w:p>
    <w:p w14:paraId="7F93E056" w14:textId="6CD53AD5" w:rsidR="004032BD" w:rsidRPr="0094457C" w:rsidRDefault="004032BD" w:rsidP="76FFD3E5">
      <w:pPr>
        <w:pStyle w:val="Title"/>
        <w:spacing w:before="120"/>
      </w:pPr>
      <w:r>
        <w:t>Australian P</w:t>
      </w:r>
      <w:r w:rsidR="00677840">
        <w:t xml:space="preserve">roduct </w:t>
      </w:r>
      <w:r>
        <w:t>I</w:t>
      </w:r>
      <w:r w:rsidR="00677840">
        <w:t>nformation</w:t>
      </w:r>
      <w:r>
        <w:t xml:space="preserve"> – </w:t>
      </w:r>
      <w:r w:rsidR="00BF3C8C">
        <w:t>KIMMTRAK</w:t>
      </w:r>
      <w:r w:rsidR="00BF3C8C" w:rsidRPr="76FFD3E5">
        <w:rPr>
          <w:vertAlign w:val="superscript"/>
        </w:rPr>
        <w:t>®</w:t>
      </w:r>
      <w:r w:rsidR="007E693C">
        <w:t xml:space="preserve"> </w:t>
      </w:r>
      <w:r>
        <w:t>(</w:t>
      </w:r>
      <w:r w:rsidR="00BF3C8C">
        <w:t>Tebentafusp</w:t>
      </w:r>
      <w:r w:rsidR="0012555A">
        <w:t>)</w:t>
      </w:r>
      <w:r w:rsidR="00345816">
        <w:t xml:space="preserve"> concentra</w:t>
      </w:r>
      <w:r w:rsidR="009A398C">
        <w:t>T</w:t>
      </w:r>
      <w:r w:rsidR="00345816">
        <w:t>ed solution for infusion</w:t>
      </w:r>
    </w:p>
    <w:p w14:paraId="67122D30" w14:textId="5D6F4246" w:rsidR="001A3992" w:rsidRPr="000B4674" w:rsidRDefault="001A3992" w:rsidP="00954258">
      <w:pPr>
        <w:pStyle w:val="Heading1"/>
      </w:pPr>
      <w:r w:rsidRPr="00BA1C4E">
        <w:t>Name of the medicine</w:t>
      </w:r>
    </w:p>
    <w:p w14:paraId="104E4DC0" w14:textId="1BB3E5B5" w:rsidR="00383ACE" w:rsidRPr="00345816" w:rsidRDefault="009A398C">
      <w:proofErr w:type="spellStart"/>
      <w:r>
        <w:t>Tebentafusp</w:t>
      </w:r>
      <w:proofErr w:type="spellEnd"/>
    </w:p>
    <w:p w14:paraId="3F5C84A5" w14:textId="77777777" w:rsidR="001A3992" w:rsidRPr="00345816" w:rsidRDefault="001A3992" w:rsidP="00954258">
      <w:pPr>
        <w:pStyle w:val="Heading1"/>
      </w:pPr>
      <w:r w:rsidRPr="00345816">
        <w:t>Qualitative and quantitative composition</w:t>
      </w:r>
    </w:p>
    <w:p w14:paraId="36DA5A0A" w14:textId="04F37BC3" w:rsidR="00646FA9" w:rsidRDefault="007D5016">
      <w:r w:rsidRPr="2990A4E7">
        <w:rPr>
          <w:lang w:val="en"/>
        </w:rPr>
        <w:t xml:space="preserve">Each vial contains 0.1 milligrams of </w:t>
      </w:r>
      <w:proofErr w:type="spellStart"/>
      <w:r>
        <w:t>tebentafusp</w:t>
      </w:r>
      <w:proofErr w:type="spellEnd"/>
      <w:r w:rsidRPr="2990A4E7">
        <w:rPr>
          <w:lang w:val="en"/>
        </w:rPr>
        <w:t xml:space="preserve"> in </w:t>
      </w:r>
      <w:r w:rsidR="00EE602A" w:rsidRPr="2990A4E7">
        <w:rPr>
          <w:lang w:val="en"/>
        </w:rPr>
        <w:t xml:space="preserve">0.5 mL </w:t>
      </w:r>
      <w:r w:rsidR="009A398C" w:rsidRPr="2990A4E7">
        <w:rPr>
          <w:lang w:val="en"/>
        </w:rPr>
        <w:t xml:space="preserve">of </w:t>
      </w:r>
      <w:r w:rsidR="00EE602A" w:rsidRPr="2990A4E7">
        <w:rPr>
          <w:lang w:val="en"/>
        </w:rPr>
        <w:t>concentrate</w:t>
      </w:r>
      <w:r w:rsidR="00345816" w:rsidRPr="2990A4E7">
        <w:rPr>
          <w:lang w:val="en"/>
        </w:rPr>
        <w:t>d solution</w:t>
      </w:r>
      <w:r w:rsidR="00EE602A" w:rsidRPr="2990A4E7">
        <w:rPr>
          <w:lang w:val="en"/>
        </w:rPr>
        <w:t xml:space="preserve"> for infusion</w:t>
      </w:r>
      <w:r w:rsidR="00EE602A">
        <w:t xml:space="preserve">. </w:t>
      </w:r>
    </w:p>
    <w:p w14:paraId="5B599198" w14:textId="0F2185C4" w:rsidR="00497C85" w:rsidRPr="00646FA9" w:rsidRDefault="00497C85">
      <w:r w:rsidRPr="00345816">
        <w:rPr>
          <w:lang w:val="en"/>
        </w:rPr>
        <w:t xml:space="preserve">For the full list of excipients, see Section 6.1 </w:t>
      </w:r>
      <w:r w:rsidR="000B4674">
        <w:rPr>
          <w:lang w:val="en"/>
        </w:rPr>
        <w:fldChar w:fldCharType="begin"/>
      </w:r>
      <w:r w:rsidR="000B4674">
        <w:rPr>
          <w:lang w:val="en"/>
        </w:rPr>
        <w:instrText xml:space="preserve"> REF _Ref80367085 \h </w:instrText>
      </w:r>
      <w:r w:rsidR="000B4674">
        <w:rPr>
          <w:lang w:val="en"/>
        </w:rPr>
      </w:r>
      <w:r w:rsidR="000B4674">
        <w:rPr>
          <w:lang w:val="en"/>
        </w:rPr>
        <w:fldChar w:fldCharType="separate"/>
      </w:r>
      <w:r w:rsidR="00012F31" w:rsidRPr="00BA1C4E">
        <w:rPr>
          <w:lang w:val="en-US"/>
        </w:rPr>
        <w:t>List of excipients</w:t>
      </w:r>
      <w:r w:rsidR="000B4674">
        <w:rPr>
          <w:lang w:val="en"/>
        </w:rPr>
        <w:fldChar w:fldCharType="end"/>
      </w:r>
      <w:r w:rsidRPr="00345816">
        <w:rPr>
          <w:lang w:val="en"/>
        </w:rPr>
        <w:t>.</w:t>
      </w:r>
    </w:p>
    <w:p w14:paraId="16336464" w14:textId="3D31FBB7" w:rsidR="001A3992" w:rsidRDefault="001A3992" w:rsidP="00954258">
      <w:pPr>
        <w:pStyle w:val="Heading1"/>
      </w:pPr>
      <w:r w:rsidRPr="00497C85">
        <w:t>Pharmaceutical form</w:t>
      </w:r>
    </w:p>
    <w:p w14:paraId="7DE78F75" w14:textId="0D13B106" w:rsidR="00852599" w:rsidRPr="00852599" w:rsidRDefault="00852599" w:rsidP="00954258">
      <w:pPr>
        <w:rPr>
          <w:sz w:val="20"/>
          <w:szCs w:val="16"/>
        </w:rPr>
      </w:pPr>
      <w:r>
        <w:t>C</w:t>
      </w:r>
      <w:r w:rsidRPr="00852599">
        <w:t>oncentrated solution for infusion</w:t>
      </w:r>
      <w:r>
        <w:rPr>
          <w:sz w:val="20"/>
          <w:szCs w:val="16"/>
        </w:rPr>
        <w:t>.</w:t>
      </w:r>
    </w:p>
    <w:p w14:paraId="75F87250" w14:textId="0C8D8F26" w:rsidR="00383ACE" w:rsidRPr="00383ACE" w:rsidRDefault="007D5016" w:rsidP="00954258">
      <w:r>
        <w:t>Sterile, preservative-free, c</w:t>
      </w:r>
      <w:r w:rsidR="00383ACE" w:rsidRPr="00383ACE">
        <w:t>lear, colo</w:t>
      </w:r>
      <w:r>
        <w:t>u</w:t>
      </w:r>
      <w:r w:rsidR="00383ACE" w:rsidRPr="00383ACE">
        <w:t>rless to slightly yellowish solution in a single-dose vial.</w:t>
      </w:r>
    </w:p>
    <w:p w14:paraId="4C9F0095" w14:textId="77777777" w:rsidR="001A3992" w:rsidRPr="000B4674" w:rsidRDefault="001A3992" w:rsidP="00954258">
      <w:pPr>
        <w:pStyle w:val="Heading1"/>
      </w:pPr>
      <w:r w:rsidRPr="00BA1C4E">
        <w:t>Clinical particulars</w:t>
      </w:r>
    </w:p>
    <w:p w14:paraId="0AE62D13" w14:textId="586A5095" w:rsidR="001A3992" w:rsidRPr="00BA1C4E" w:rsidRDefault="001A3992" w:rsidP="00954258">
      <w:pPr>
        <w:pStyle w:val="Heading2"/>
      </w:pPr>
      <w:r w:rsidRPr="007F1FD7">
        <w:t xml:space="preserve">Therapeutic indications </w:t>
      </w:r>
    </w:p>
    <w:p w14:paraId="01A23C2C" w14:textId="2BD42775" w:rsidR="00383ACE" w:rsidRPr="00383ACE" w:rsidRDefault="00383ACE" w:rsidP="00954258">
      <w:r w:rsidRPr="00383ACE">
        <w:t>KIMMTRAK is indicated for the treatment of HLA-A*02:01-positive adult patients with unresectable or metastatic uveal melanoma.</w:t>
      </w:r>
    </w:p>
    <w:p w14:paraId="3B5BD651" w14:textId="66E521C6" w:rsidR="001A3992" w:rsidRDefault="001A3992" w:rsidP="00954258">
      <w:pPr>
        <w:pStyle w:val="Heading2"/>
      </w:pPr>
      <w:bookmarkStart w:id="0" w:name="_Ref80351853"/>
      <w:r w:rsidRPr="00497C85">
        <w:t>Dose and method of administration</w:t>
      </w:r>
      <w:bookmarkEnd w:id="0"/>
      <w:r w:rsidRPr="00497C85">
        <w:t xml:space="preserve"> </w:t>
      </w:r>
    </w:p>
    <w:p w14:paraId="4AE33E42" w14:textId="69DB68D6" w:rsidR="007D5016" w:rsidRDefault="007D5016">
      <w:r w:rsidRPr="007D5016">
        <w:t xml:space="preserve">KIMMTRAK should be administered under the supervision of a physician experienced in the use of anti-cancer agents. </w:t>
      </w:r>
    </w:p>
    <w:p w14:paraId="02AB3A36" w14:textId="1A19A6E6" w:rsidR="007D5016" w:rsidRPr="00000776" w:rsidRDefault="007D5016" w:rsidP="00954258">
      <w:pPr>
        <w:pStyle w:val="Heading3"/>
      </w:pPr>
      <w:r w:rsidRPr="00714C2C">
        <w:t>Dose</w:t>
      </w:r>
    </w:p>
    <w:p w14:paraId="063597E0" w14:textId="04D27496" w:rsidR="001261F8" w:rsidRDefault="00D5779A">
      <w:pPr>
        <w:rPr>
          <w:lang w:eastAsia="ja-JP"/>
        </w:rPr>
      </w:pPr>
      <w:r w:rsidRPr="2990A4E7">
        <w:rPr>
          <w:lang w:eastAsia="ja-JP"/>
        </w:rPr>
        <w:t>The recommended dose of KIMMTRAK is</w:t>
      </w:r>
      <w:r w:rsidR="001261F8">
        <w:rPr>
          <w:lang w:eastAsia="ja-JP"/>
        </w:rPr>
        <w:t xml:space="preserve">: </w:t>
      </w:r>
    </w:p>
    <w:p w14:paraId="1A56DA79" w14:textId="77777777" w:rsidR="001261F8" w:rsidRDefault="00D5779A" w:rsidP="001261F8">
      <w:pPr>
        <w:pStyle w:val="ListParagraph"/>
        <w:numPr>
          <w:ilvl w:val="0"/>
          <w:numId w:val="39"/>
        </w:numPr>
        <w:rPr>
          <w:lang w:eastAsia="ja-JP"/>
        </w:rPr>
      </w:pPr>
      <w:r w:rsidRPr="2990A4E7">
        <w:rPr>
          <w:lang w:eastAsia="ja-JP"/>
        </w:rPr>
        <w:t>20 micrograms on Day 1</w:t>
      </w:r>
    </w:p>
    <w:p w14:paraId="7BC7425B" w14:textId="7401844F" w:rsidR="001261F8" w:rsidRDefault="00D5779A" w:rsidP="001261F8">
      <w:pPr>
        <w:pStyle w:val="ListParagraph"/>
        <w:numPr>
          <w:ilvl w:val="0"/>
          <w:numId w:val="39"/>
        </w:numPr>
        <w:rPr>
          <w:lang w:eastAsia="ja-JP"/>
        </w:rPr>
      </w:pPr>
      <w:r w:rsidRPr="2990A4E7">
        <w:rPr>
          <w:lang w:eastAsia="ja-JP"/>
        </w:rPr>
        <w:t>30 micrograms on Day 8</w:t>
      </w:r>
    </w:p>
    <w:p w14:paraId="6FE0F392" w14:textId="11666186" w:rsidR="001261F8" w:rsidRDefault="00D5779A" w:rsidP="001261F8">
      <w:pPr>
        <w:pStyle w:val="ListParagraph"/>
        <w:numPr>
          <w:ilvl w:val="0"/>
          <w:numId w:val="39"/>
        </w:numPr>
        <w:rPr>
          <w:lang w:eastAsia="ja-JP"/>
        </w:rPr>
      </w:pPr>
      <w:r w:rsidRPr="2990A4E7">
        <w:rPr>
          <w:lang w:eastAsia="ja-JP"/>
        </w:rPr>
        <w:t>68 micrograms on Day 15</w:t>
      </w:r>
    </w:p>
    <w:p w14:paraId="2F877E04" w14:textId="4F1396C7" w:rsidR="001261F8" w:rsidRDefault="00D5779A" w:rsidP="001261F8">
      <w:pPr>
        <w:pStyle w:val="ListParagraph"/>
        <w:numPr>
          <w:ilvl w:val="0"/>
          <w:numId w:val="39"/>
        </w:numPr>
        <w:rPr>
          <w:lang w:eastAsia="ja-JP"/>
        </w:rPr>
      </w:pPr>
      <w:r w:rsidRPr="2990A4E7">
        <w:rPr>
          <w:lang w:eastAsia="ja-JP"/>
        </w:rPr>
        <w:t>68 micrograms once every week thereafter</w:t>
      </w:r>
    </w:p>
    <w:p w14:paraId="77AD2CB9" w14:textId="74E8B34C" w:rsidR="00D5779A" w:rsidRPr="00D5779A" w:rsidRDefault="001261F8" w:rsidP="001261F8">
      <w:pPr>
        <w:rPr>
          <w:lang w:eastAsia="ja-JP"/>
        </w:rPr>
      </w:pPr>
      <w:r>
        <w:rPr>
          <w:lang w:eastAsia="ja-JP"/>
        </w:rPr>
        <w:lastRenderedPageBreak/>
        <w:t>Give each dose by intravenous infusion over 15-20 minutes</w:t>
      </w:r>
      <w:r w:rsidRPr="2990A4E7">
        <w:rPr>
          <w:lang w:eastAsia="ja-JP"/>
        </w:rPr>
        <w:t xml:space="preserve">. </w:t>
      </w:r>
      <w:r w:rsidR="00D5779A" w:rsidRPr="2990A4E7">
        <w:rPr>
          <w:lang w:eastAsia="ja-JP"/>
        </w:rPr>
        <w:t xml:space="preserve">Continue treatment with KIMMTRAK </w:t>
      </w:r>
      <w:r>
        <w:rPr>
          <w:lang w:eastAsia="ja-JP"/>
        </w:rPr>
        <w:t>until disease progression or unacceptable toxicity occurs</w:t>
      </w:r>
      <w:r w:rsidR="00D5779A" w:rsidRPr="2990A4E7">
        <w:rPr>
          <w:lang w:eastAsia="ja-JP"/>
        </w:rPr>
        <w:t>.</w:t>
      </w:r>
    </w:p>
    <w:p w14:paraId="27F1184C" w14:textId="4CDFBCC1" w:rsidR="00D5779A" w:rsidRPr="00D5779A" w:rsidRDefault="00AD6866">
      <w:pPr>
        <w:rPr>
          <w:lang w:eastAsia="ja-JP"/>
        </w:rPr>
      </w:pPr>
      <w:r>
        <w:t>Administer the</w:t>
      </w:r>
      <w:r w:rsidR="001261F8">
        <w:t xml:space="preserve"> f</w:t>
      </w:r>
      <w:r w:rsidR="00D5779A" w:rsidRPr="00D5779A">
        <w:t xml:space="preserve">irst three doses of KIMMTRAK in </w:t>
      </w:r>
      <w:r w:rsidR="00D5779A" w:rsidRPr="00D5779A">
        <w:rPr>
          <w:lang w:eastAsia="ja-JP"/>
        </w:rPr>
        <w:t xml:space="preserve">a healthcare setting </w:t>
      </w:r>
      <w:r w:rsidR="00DC1C9E">
        <w:rPr>
          <w:lang w:eastAsia="ja-JP"/>
        </w:rPr>
        <w:t xml:space="preserve">with </w:t>
      </w:r>
      <w:r w:rsidR="001261F8">
        <w:rPr>
          <w:lang w:eastAsia="ja-JP"/>
        </w:rPr>
        <w:t xml:space="preserve">adequate resources (including </w:t>
      </w:r>
      <w:r w:rsidR="00DC1C9E">
        <w:rPr>
          <w:lang w:eastAsia="ja-JP"/>
        </w:rPr>
        <w:t xml:space="preserve">24-hour monitoring, </w:t>
      </w:r>
      <w:proofErr w:type="gramStart"/>
      <w:r w:rsidR="00D5779A" w:rsidRPr="00D5779A">
        <w:rPr>
          <w:lang w:eastAsia="ja-JP"/>
        </w:rPr>
        <w:t>medications</w:t>
      </w:r>
      <w:proofErr w:type="gramEnd"/>
      <w:r w:rsidR="00D5779A" w:rsidRPr="00D5779A">
        <w:rPr>
          <w:lang w:eastAsia="ja-JP"/>
        </w:rPr>
        <w:t xml:space="preserve"> and resuscitati</w:t>
      </w:r>
      <w:r w:rsidR="001261F8">
        <w:rPr>
          <w:lang w:eastAsia="ja-JP"/>
        </w:rPr>
        <w:t>on</w:t>
      </w:r>
      <w:r w:rsidR="00D5779A" w:rsidRPr="00D5779A">
        <w:rPr>
          <w:lang w:eastAsia="ja-JP"/>
        </w:rPr>
        <w:t xml:space="preserve"> equipment</w:t>
      </w:r>
      <w:r w:rsidR="001261F8">
        <w:rPr>
          <w:lang w:eastAsia="ja-JP"/>
        </w:rPr>
        <w:t>)</w:t>
      </w:r>
      <w:r w:rsidR="00D5779A" w:rsidRPr="00D5779A">
        <w:rPr>
          <w:lang w:eastAsia="ja-JP"/>
        </w:rPr>
        <w:t xml:space="preserve"> to manage cytokine release syndrome</w:t>
      </w:r>
      <w:r w:rsidR="001261F8">
        <w:rPr>
          <w:lang w:eastAsia="ja-JP"/>
        </w:rPr>
        <w:t xml:space="preserve"> (CRS)</w:t>
      </w:r>
      <w:r w:rsidR="00D5779A" w:rsidRPr="00D5779A">
        <w:rPr>
          <w:lang w:eastAsia="ja-JP"/>
        </w:rPr>
        <w:t xml:space="preserve">. </w:t>
      </w:r>
      <w:r>
        <w:rPr>
          <w:lang w:eastAsia="ja-JP"/>
        </w:rPr>
        <w:t>Monitor p</w:t>
      </w:r>
      <w:r w:rsidRPr="00D5779A">
        <w:rPr>
          <w:lang w:eastAsia="ja-JP"/>
        </w:rPr>
        <w:t xml:space="preserve">atients </w:t>
      </w:r>
      <w:r w:rsidR="00D5779A" w:rsidRPr="00D5779A">
        <w:rPr>
          <w:lang w:eastAsia="ja-JP"/>
        </w:rPr>
        <w:t xml:space="preserve">for </w:t>
      </w:r>
      <w:r w:rsidR="001261F8">
        <w:rPr>
          <w:lang w:eastAsia="ja-JP"/>
        </w:rPr>
        <w:t xml:space="preserve">CRS </w:t>
      </w:r>
      <w:r w:rsidR="00D5779A" w:rsidRPr="00D5779A">
        <w:rPr>
          <w:lang w:eastAsia="ja-JP"/>
        </w:rPr>
        <w:t>during infusion and for at least for 16 hours after infusion is complete</w:t>
      </w:r>
      <w:r w:rsidRPr="00AD6866">
        <w:t xml:space="preserve"> </w:t>
      </w:r>
      <w:r>
        <w:t>(see</w:t>
      </w:r>
      <w:r w:rsidR="00012F31">
        <w:t xml:space="preserve"> Section</w:t>
      </w:r>
      <w:r>
        <w:t xml:space="preserve"> 4.4 </w:t>
      </w:r>
      <w:r>
        <w:fldChar w:fldCharType="begin"/>
      </w:r>
      <w:r>
        <w:instrText xml:space="preserve"> REF _Ref80367115 \h </w:instrText>
      </w:r>
      <w:r>
        <w:fldChar w:fldCharType="separate"/>
      </w:r>
      <w:r w:rsidR="00012F31" w:rsidRPr="000B4674">
        <w:t>Special warnings and p</w:t>
      </w:r>
      <w:r w:rsidR="00012F31" w:rsidRPr="007F1FD7">
        <w:t>recautions for use</w:t>
      </w:r>
      <w:r>
        <w:fldChar w:fldCharType="end"/>
      </w:r>
      <w:r>
        <w:t>).</w:t>
      </w:r>
    </w:p>
    <w:p w14:paraId="30129A5F" w14:textId="62CC6CB9" w:rsidR="00D5779A" w:rsidRPr="00D5779A" w:rsidRDefault="001261F8">
      <w:pPr>
        <w:rPr>
          <w:lang w:eastAsia="ja-JP"/>
        </w:rPr>
      </w:pPr>
      <w:r>
        <w:rPr>
          <w:lang w:eastAsia="ja-JP"/>
        </w:rPr>
        <w:t>If the patient does not experience hypotension that is Grade 2 or worse (requiring medical intervention) in association with</w:t>
      </w:r>
      <w:r w:rsidRPr="00D5779A">
        <w:rPr>
          <w:lang w:eastAsia="ja-JP"/>
        </w:rPr>
        <w:t xml:space="preserve"> </w:t>
      </w:r>
      <w:r>
        <w:rPr>
          <w:lang w:eastAsia="ja-JP"/>
        </w:rPr>
        <w:t>the third infusion</w:t>
      </w:r>
      <w:r w:rsidR="00D5779A" w:rsidRPr="00D5779A">
        <w:rPr>
          <w:lang w:eastAsia="ja-JP"/>
        </w:rPr>
        <w:t xml:space="preserve">, subsequent doses can be administered in </w:t>
      </w:r>
      <w:r>
        <w:rPr>
          <w:lang w:eastAsia="ja-JP"/>
        </w:rPr>
        <w:t xml:space="preserve">an </w:t>
      </w:r>
      <w:r w:rsidR="00D5779A" w:rsidRPr="00D5779A">
        <w:rPr>
          <w:lang w:eastAsia="ja-JP"/>
        </w:rPr>
        <w:t>appropriate outpatient</w:t>
      </w:r>
      <w:r>
        <w:rPr>
          <w:lang w:eastAsia="ja-JP"/>
        </w:rPr>
        <w:t>/</w:t>
      </w:r>
      <w:r w:rsidR="00D5779A" w:rsidRPr="00D5779A">
        <w:rPr>
          <w:lang w:eastAsia="ja-JP"/>
        </w:rPr>
        <w:t xml:space="preserve">ambulatory care setting. Observe patients for a minimum of </w:t>
      </w:r>
      <w:r w:rsidR="00D5779A" w:rsidRPr="00D5779A">
        <w:rPr>
          <w:color w:val="000000" w:themeColor="text1"/>
        </w:rPr>
        <w:t>30 minutes following each infusion.</w:t>
      </w:r>
    </w:p>
    <w:p w14:paraId="54B8FD56" w14:textId="77777777" w:rsidR="00D5779A" w:rsidRPr="00E40498" w:rsidRDefault="00D5779A" w:rsidP="00954258">
      <w:pPr>
        <w:pStyle w:val="Heading4"/>
      </w:pPr>
      <w:r w:rsidRPr="00E40498">
        <w:t>Dose adjustments</w:t>
      </w:r>
    </w:p>
    <w:p w14:paraId="20FDBF9D" w14:textId="3DEA2DE0" w:rsidR="00D5779A" w:rsidRPr="0094457C" w:rsidRDefault="00A72A0B">
      <w:pPr>
        <w:rPr>
          <w:lang w:eastAsia="ja-JP"/>
        </w:rPr>
      </w:pPr>
      <w:r w:rsidRPr="004F4F00">
        <w:rPr>
          <w:lang w:eastAsia="ja-JP"/>
        </w:rPr>
        <w:t xml:space="preserve">Dose modifications for KIMMTRAK for adverse reactions are summarised </w:t>
      </w:r>
      <w:r w:rsidR="00D5779A" w:rsidRPr="00D5779A">
        <w:rPr>
          <w:lang w:eastAsia="ja-JP"/>
        </w:rPr>
        <w:t xml:space="preserve">in </w:t>
      </w:r>
      <w:r w:rsidR="006B2CD3">
        <w:rPr>
          <w:lang w:eastAsia="ja-JP"/>
        </w:rPr>
        <w:fldChar w:fldCharType="begin"/>
      </w:r>
      <w:r w:rsidR="006B2CD3">
        <w:rPr>
          <w:lang w:eastAsia="ja-JP"/>
        </w:rPr>
        <w:instrText xml:space="preserve"> REF _Ref80183034 \h  \* MERGEFORMAT </w:instrText>
      </w:r>
      <w:r w:rsidR="006B2CD3">
        <w:rPr>
          <w:lang w:eastAsia="ja-JP"/>
        </w:rPr>
      </w:r>
      <w:r w:rsidR="006B2CD3">
        <w:rPr>
          <w:lang w:eastAsia="ja-JP"/>
        </w:rPr>
        <w:fldChar w:fldCharType="separate"/>
      </w:r>
      <w:r w:rsidR="00012F31" w:rsidRPr="00714C2C">
        <w:rPr>
          <w:lang w:eastAsia="ja-JP"/>
        </w:rPr>
        <w:t xml:space="preserve">Table </w:t>
      </w:r>
      <w:r w:rsidR="00012F31">
        <w:rPr>
          <w:lang w:eastAsia="ja-JP"/>
        </w:rPr>
        <w:t>1</w:t>
      </w:r>
      <w:r w:rsidR="006B2CD3">
        <w:rPr>
          <w:lang w:eastAsia="ja-JP"/>
        </w:rPr>
        <w:fldChar w:fldCharType="end"/>
      </w:r>
      <w:r w:rsidR="00D5779A" w:rsidRPr="00D5779A">
        <w:rPr>
          <w:lang w:eastAsia="ja-JP"/>
        </w:rPr>
        <w:t xml:space="preserve">. </w:t>
      </w:r>
    </w:p>
    <w:p w14:paraId="41ACA78D" w14:textId="0384E99F" w:rsidR="00D5779A" w:rsidRDefault="006B2CD3" w:rsidP="00954258">
      <w:pPr>
        <w:pStyle w:val="Caption"/>
      </w:pPr>
      <w:bookmarkStart w:id="1" w:name="_Ref80183034"/>
      <w:r w:rsidRPr="00714C2C">
        <w:t xml:space="preserve">Table </w:t>
      </w:r>
      <w:r w:rsidRPr="00BA1C4E">
        <w:fldChar w:fldCharType="begin"/>
      </w:r>
      <w:r w:rsidRPr="00954258">
        <w:instrText xml:space="preserve"> SEQ Table \* ARABIC </w:instrText>
      </w:r>
      <w:r w:rsidRPr="00BA1C4E">
        <w:fldChar w:fldCharType="separate"/>
      </w:r>
      <w:r w:rsidR="00012F31">
        <w:rPr>
          <w:noProof/>
        </w:rPr>
        <w:t>1</w:t>
      </w:r>
      <w:r w:rsidRPr="00BA1C4E">
        <w:fldChar w:fldCharType="end"/>
      </w:r>
      <w:bookmarkEnd w:id="1"/>
      <w:r w:rsidR="00D5779A" w:rsidRPr="00954258">
        <w:t xml:space="preserve">: </w:t>
      </w:r>
      <w:r w:rsidR="00A72A0B" w:rsidRPr="004F4F00">
        <w:t xml:space="preserve">Dose modifications recommended </w:t>
      </w:r>
      <w:r w:rsidR="00A72A0B">
        <w:t>for</w:t>
      </w:r>
      <w:r w:rsidR="00A72A0B" w:rsidRPr="004F4F00">
        <w:t xml:space="preserve"> adverse reactions</w:t>
      </w:r>
    </w:p>
    <w:tbl>
      <w:tblPr>
        <w:tblStyle w:val="TableGrid"/>
        <w:tblW w:w="4999" w:type="pct"/>
        <w:tblLook w:val="04A0" w:firstRow="1" w:lastRow="0" w:firstColumn="1" w:lastColumn="0" w:noHBand="0" w:noVBand="1"/>
      </w:tblPr>
      <w:tblGrid>
        <w:gridCol w:w="1697"/>
        <w:gridCol w:w="2693"/>
        <w:gridCol w:w="4624"/>
      </w:tblGrid>
      <w:tr w:rsidR="000652B4" w:rsidRPr="000652B4" w14:paraId="0FE9BA75" w14:textId="77777777" w:rsidTr="00B55F74">
        <w:trPr>
          <w:tblHeader/>
        </w:trPr>
        <w:tc>
          <w:tcPr>
            <w:tcW w:w="941" w:type="pct"/>
          </w:tcPr>
          <w:p w14:paraId="32ECE8CA" w14:textId="77777777" w:rsidR="00A72A0B" w:rsidRPr="000652B4" w:rsidRDefault="00A72A0B" w:rsidP="00C1526B">
            <w:pPr>
              <w:pStyle w:val="C-BodyText"/>
              <w:widowControl w:val="0"/>
              <w:spacing w:before="0" w:after="0" w:line="240" w:lineRule="auto"/>
              <w:rPr>
                <w:rFonts w:asciiTheme="majorHAnsi" w:eastAsia="MS Mincho" w:hAnsiTheme="majorHAnsi"/>
                <w:b/>
                <w:bCs/>
                <w:sz w:val="22"/>
                <w:szCs w:val="22"/>
                <w:lang w:eastAsia="ja-JP"/>
              </w:rPr>
            </w:pPr>
            <w:r w:rsidRPr="000652B4">
              <w:rPr>
                <w:rFonts w:asciiTheme="majorHAnsi" w:eastAsia="MS Mincho" w:hAnsiTheme="majorHAnsi"/>
                <w:b/>
                <w:bCs/>
                <w:sz w:val="22"/>
                <w:szCs w:val="22"/>
                <w:lang w:eastAsia="ja-JP"/>
              </w:rPr>
              <w:t>Adverse reaction</w:t>
            </w:r>
          </w:p>
        </w:tc>
        <w:tc>
          <w:tcPr>
            <w:tcW w:w="1494" w:type="pct"/>
          </w:tcPr>
          <w:p w14:paraId="45AB5FCE" w14:textId="77777777" w:rsidR="00A72A0B" w:rsidRPr="000652B4" w:rsidRDefault="00A72A0B" w:rsidP="00C1526B">
            <w:pPr>
              <w:pStyle w:val="C-BodyText"/>
              <w:widowControl w:val="0"/>
              <w:spacing w:before="0" w:after="0" w:line="240" w:lineRule="auto"/>
              <w:rPr>
                <w:rFonts w:asciiTheme="majorHAnsi" w:eastAsia="MS Mincho" w:hAnsiTheme="majorHAnsi"/>
                <w:sz w:val="22"/>
                <w:szCs w:val="22"/>
                <w:lang w:eastAsia="ja-JP"/>
              </w:rPr>
            </w:pPr>
            <w:r w:rsidRPr="000652B4">
              <w:rPr>
                <w:rFonts w:asciiTheme="majorHAnsi" w:eastAsia="MS Mincho" w:hAnsiTheme="majorHAnsi"/>
                <w:b/>
                <w:bCs/>
                <w:sz w:val="22"/>
                <w:szCs w:val="22"/>
                <w:lang w:eastAsia="ja-JP"/>
              </w:rPr>
              <w:t>Severity</w:t>
            </w:r>
          </w:p>
        </w:tc>
        <w:tc>
          <w:tcPr>
            <w:tcW w:w="2565" w:type="pct"/>
          </w:tcPr>
          <w:p w14:paraId="5A87342E" w14:textId="2E669031" w:rsidR="00A72A0B" w:rsidRPr="000652B4" w:rsidRDefault="00E43F18" w:rsidP="00C1526B">
            <w:pPr>
              <w:pStyle w:val="C-BodyText"/>
              <w:widowControl w:val="0"/>
              <w:spacing w:before="0" w:after="0" w:line="240" w:lineRule="auto"/>
              <w:rPr>
                <w:rFonts w:asciiTheme="majorHAnsi" w:eastAsia="MS Mincho" w:hAnsiTheme="majorHAnsi"/>
                <w:sz w:val="22"/>
                <w:szCs w:val="22"/>
                <w:lang w:eastAsia="ja-JP"/>
              </w:rPr>
            </w:pPr>
            <w:r w:rsidRPr="000652B4">
              <w:rPr>
                <w:rFonts w:asciiTheme="majorHAnsi" w:eastAsia="MS Mincho" w:hAnsiTheme="majorHAnsi"/>
                <w:b/>
                <w:bCs/>
                <w:sz w:val="22"/>
                <w:szCs w:val="22"/>
                <w:lang w:eastAsia="ja-JP"/>
              </w:rPr>
              <w:t>KIMMTRAK d</w:t>
            </w:r>
            <w:r w:rsidR="00A72A0B" w:rsidRPr="000652B4">
              <w:rPr>
                <w:rFonts w:asciiTheme="majorHAnsi" w:eastAsia="MS Mincho" w:hAnsiTheme="majorHAnsi"/>
                <w:b/>
                <w:bCs/>
                <w:sz w:val="22"/>
                <w:szCs w:val="22"/>
                <w:lang w:eastAsia="ja-JP"/>
              </w:rPr>
              <w:t>ose modification</w:t>
            </w:r>
          </w:p>
        </w:tc>
      </w:tr>
      <w:tr w:rsidR="000652B4" w:rsidRPr="000652B4" w14:paraId="02E8509D" w14:textId="77777777" w:rsidTr="00B55F74">
        <w:tc>
          <w:tcPr>
            <w:tcW w:w="941" w:type="pct"/>
            <w:vMerge w:val="restart"/>
          </w:tcPr>
          <w:p w14:paraId="496742B6" w14:textId="5002DE7D" w:rsidR="000652B4" w:rsidRPr="00B31AEC" w:rsidRDefault="000652B4" w:rsidP="00B31AEC">
            <w:pPr>
              <w:pStyle w:val="C-BodyText"/>
              <w:widowControl w:val="0"/>
              <w:spacing w:before="0" w:after="0" w:line="240" w:lineRule="auto"/>
              <w:rPr>
                <w:rFonts w:asciiTheme="majorHAnsi" w:eastAsia="MS Mincho" w:hAnsiTheme="majorHAnsi"/>
                <w:b/>
                <w:bCs/>
                <w:sz w:val="22"/>
                <w:szCs w:val="22"/>
                <w:lang w:eastAsia="ja-JP"/>
              </w:rPr>
            </w:pPr>
            <w:r w:rsidRPr="006D287B">
              <w:rPr>
                <w:rFonts w:asciiTheme="majorHAnsi" w:eastAsia="MS Mincho" w:hAnsiTheme="majorHAnsi"/>
                <w:b/>
                <w:bCs/>
                <w:sz w:val="22"/>
                <w:szCs w:val="22"/>
                <w:lang w:eastAsia="ja-JP"/>
              </w:rPr>
              <w:t xml:space="preserve">Cytokine Release Syndrome (CRS) </w:t>
            </w:r>
          </w:p>
          <w:p w14:paraId="14A2C3A4" w14:textId="0CA0DF30" w:rsidR="000652B4" w:rsidRPr="000652B4" w:rsidRDefault="000652B4" w:rsidP="00B31AEC">
            <w:pPr>
              <w:pStyle w:val="C-BodyText"/>
              <w:widowControl w:val="0"/>
              <w:spacing w:before="0" w:after="0" w:line="240" w:lineRule="auto"/>
              <w:rPr>
                <w:rFonts w:asciiTheme="majorHAnsi" w:eastAsia="MS Mincho" w:hAnsiTheme="majorHAnsi"/>
                <w:sz w:val="22"/>
                <w:szCs w:val="22"/>
                <w:lang w:eastAsia="ja-JP"/>
              </w:rPr>
            </w:pPr>
            <w:r w:rsidRPr="006D287B">
              <w:rPr>
                <w:rFonts w:asciiTheme="majorHAnsi" w:eastAsia="MS Mincho" w:hAnsiTheme="majorHAnsi"/>
                <w:sz w:val="22"/>
                <w:szCs w:val="22"/>
                <w:lang w:eastAsia="ja-JP"/>
              </w:rPr>
              <w:t xml:space="preserve">[see Section 4.4 </w:t>
            </w:r>
            <w:r w:rsidRPr="006D287B">
              <w:rPr>
                <w:rFonts w:asciiTheme="majorHAnsi" w:eastAsia="MS Mincho" w:hAnsiTheme="majorHAnsi"/>
                <w:sz w:val="22"/>
                <w:szCs w:val="22"/>
                <w:lang w:eastAsia="ja-JP"/>
              </w:rPr>
              <w:fldChar w:fldCharType="begin"/>
            </w:r>
            <w:r w:rsidRPr="006D287B">
              <w:rPr>
                <w:rFonts w:asciiTheme="majorHAnsi" w:eastAsia="MS Mincho" w:hAnsiTheme="majorHAnsi"/>
                <w:sz w:val="22"/>
                <w:szCs w:val="22"/>
                <w:lang w:eastAsia="ja-JP"/>
              </w:rPr>
              <w:instrText xml:space="preserve"> REF _Ref80367115 \h  \* MERGEFORMAT </w:instrText>
            </w:r>
            <w:r w:rsidRPr="006D287B">
              <w:rPr>
                <w:rFonts w:asciiTheme="majorHAnsi" w:eastAsia="MS Mincho" w:hAnsiTheme="majorHAnsi"/>
                <w:sz w:val="22"/>
                <w:szCs w:val="22"/>
                <w:lang w:eastAsia="ja-JP"/>
              </w:rPr>
            </w:r>
            <w:r w:rsidRPr="006D287B">
              <w:rPr>
                <w:rFonts w:asciiTheme="majorHAnsi" w:eastAsia="MS Mincho" w:hAnsiTheme="majorHAnsi"/>
                <w:sz w:val="22"/>
                <w:szCs w:val="22"/>
                <w:lang w:eastAsia="ja-JP"/>
              </w:rPr>
              <w:fldChar w:fldCharType="separate"/>
            </w:r>
            <w:r w:rsidR="00012F31" w:rsidRPr="00B31AEC">
              <w:rPr>
                <w:rFonts w:asciiTheme="majorHAnsi" w:hAnsiTheme="majorHAnsi"/>
                <w:sz w:val="22"/>
                <w:szCs w:val="22"/>
              </w:rPr>
              <w:t>Special warnings and precautions for use</w:t>
            </w:r>
            <w:r w:rsidRPr="006D287B">
              <w:rPr>
                <w:rFonts w:asciiTheme="majorHAnsi" w:eastAsia="MS Mincho" w:hAnsiTheme="majorHAnsi"/>
                <w:sz w:val="22"/>
                <w:szCs w:val="22"/>
                <w:lang w:eastAsia="ja-JP"/>
              </w:rPr>
              <w:fldChar w:fldCharType="end"/>
            </w:r>
            <w:r w:rsidRPr="00B31AEC">
              <w:rPr>
                <w:rFonts w:asciiTheme="majorHAnsi" w:eastAsia="MS Mincho" w:hAnsiTheme="majorHAnsi"/>
                <w:sz w:val="22"/>
                <w:szCs w:val="22"/>
                <w:lang w:eastAsia="ja-JP"/>
              </w:rPr>
              <w:t>]</w:t>
            </w:r>
          </w:p>
        </w:tc>
        <w:tc>
          <w:tcPr>
            <w:tcW w:w="1494" w:type="pct"/>
          </w:tcPr>
          <w:p w14:paraId="5F0A8109" w14:textId="7615CAFC" w:rsidR="000652B4" w:rsidRPr="000652B4" w:rsidRDefault="000652B4" w:rsidP="006D287B">
            <w:pPr>
              <w:pStyle w:val="C-BodyText"/>
              <w:widowControl w:val="0"/>
              <w:spacing w:before="0" w:after="0" w:line="240" w:lineRule="auto"/>
              <w:rPr>
                <w:rFonts w:eastAsia="Calibri"/>
                <w:sz w:val="22"/>
                <w:szCs w:val="22"/>
              </w:rPr>
            </w:pPr>
            <w:r w:rsidRPr="006D287B">
              <w:rPr>
                <w:rFonts w:asciiTheme="majorHAnsi" w:eastAsia="MS Mincho" w:hAnsiTheme="majorHAnsi"/>
                <w:b/>
                <w:bCs/>
                <w:sz w:val="22"/>
                <w:szCs w:val="22"/>
                <w:lang w:eastAsia="ja-JP"/>
              </w:rPr>
              <w:t>Moderate</w:t>
            </w:r>
            <w:r w:rsidRPr="006D287B">
              <w:rPr>
                <w:rFonts w:asciiTheme="majorHAnsi" w:eastAsia="MS Mincho" w:hAnsiTheme="majorHAnsi"/>
                <w:sz w:val="22"/>
                <w:szCs w:val="22"/>
                <w:lang w:eastAsia="ja-JP"/>
              </w:rPr>
              <w:t xml:space="preserve">, defined as </w:t>
            </w:r>
            <w:r w:rsidRPr="006D287B">
              <w:rPr>
                <w:rFonts w:asciiTheme="majorHAnsi" w:eastAsia="Calibri" w:hAnsiTheme="majorHAnsi"/>
                <w:sz w:val="22"/>
                <w:szCs w:val="22"/>
              </w:rPr>
              <w:t>temperature ≥ 38°C plus at least one of:</w:t>
            </w:r>
          </w:p>
          <w:p w14:paraId="2C4A5CB2" w14:textId="10235A98" w:rsidR="000652B4" w:rsidRPr="00B31AEC" w:rsidRDefault="000652B4" w:rsidP="00534C88">
            <w:pPr>
              <w:pStyle w:val="C-BodyText"/>
              <w:widowControl w:val="0"/>
              <w:numPr>
                <w:ilvl w:val="0"/>
                <w:numId w:val="40"/>
              </w:numPr>
              <w:spacing w:before="0" w:after="0" w:line="240" w:lineRule="auto"/>
              <w:ind w:left="357" w:hanging="357"/>
              <w:rPr>
                <w:rFonts w:eastAsia="Calibri"/>
                <w:sz w:val="22"/>
                <w:szCs w:val="22"/>
              </w:rPr>
            </w:pPr>
            <w:r w:rsidRPr="006D287B">
              <w:rPr>
                <w:rFonts w:asciiTheme="majorHAnsi" w:eastAsia="Calibri" w:hAnsiTheme="majorHAnsi"/>
                <w:sz w:val="22"/>
                <w:szCs w:val="22"/>
              </w:rPr>
              <w:t>Hypotension that responds to fluids (does not require vasopressors)</w:t>
            </w:r>
          </w:p>
          <w:p w14:paraId="3BD2E94A" w14:textId="77777777" w:rsidR="000652B4" w:rsidRPr="000652B4" w:rsidRDefault="000652B4" w:rsidP="00534C88">
            <w:pPr>
              <w:pStyle w:val="C-BodyText"/>
              <w:widowControl w:val="0"/>
              <w:numPr>
                <w:ilvl w:val="0"/>
                <w:numId w:val="40"/>
              </w:numPr>
              <w:spacing w:before="0" w:after="0" w:line="240" w:lineRule="auto"/>
              <w:ind w:left="357" w:hanging="357"/>
              <w:rPr>
                <w:rFonts w:asciiTheme="majorHAnsi" w:eastAsia="MS Mincho" w:hAnsiTheme="majorHAnsi"/>
                <w:sz w:val="22"/>
                <w:szCs w:val="22"/>
                <w:lang w:eastAsia="ja-JP"/>
              </w:rPr>
            </w:pPr>
            <w:r w:rsidRPr="000652B4">
              <w:rPr>
                <w:rFonts w:asciiTheme="majorHAnsi" w:eastAsia="Calibri" w:hAnsiTheme="majorHAnsi"/>
                <w:sz w:val="22"/>
                <w:szCs w:val="22"/>
              </w:rPr>
              <w:t>Hypoxia requiring oxygen supplementation by low flow nasal cannula (≤ 6 L/min) or blow-by</w:t>
            </w:r>
          </w:p>
        </w:tc>
        <w:tc>
          <w:tcPr>
            <w:tcW w:w="2565" w:type="pct"/>
          </w:tcPr>
          <w:p w14:paraId="4D244203" w14:textId="77777777" w:rsidR="000652B4" w:rsidRPr="006D287B" w:rsidRDefault="000652B4">
            <w:pPr>
              <w:pStyle w:val="C-BodyText"/>
              <w:widowControl w:val="0"/>
              <w:numPr>
                <w:ilvl w:val="0"/>
                <w:numId w:val="40"/>
              </w:numPr>
              <w:spacing w:before="0" w:after="0" w:line="240" w:lineRule="auto"/>
              <w:ind w:left="357" w:hanging="357"/>
              <w:rPr>
                <w:rFonts w:asciiTheme="majorHAnsi" w:eastAsia="MS Mincho" w:hAnsiTheme="majorHAnsi"/>
                <w:sz w:val="22"/>
                <w:szCs w:val="22"/>
                <w:lang w:eastAsia="ja-JP"/>
              </w:rPr>
            </w:pPr>
            <w:r w:rsidRPr="000652B4">
              <w:rPr>
                <w:rFonts w:asciiTheme="majorHAnsi" w:eastAsia="Calibri" w:hAnsiTheme="majorHAnsi"/>
                <w:sz w:val="22"/>
                <w:szCs w:val="22"/>
              </w:rPr>
              <w:t xml:space="preserve">No dose </w:t>
            </w:r>
            <w:proofErr w:type="gramStart"/>
            <w:r w:rsidRPr="000652B4">
              <w:rPr>
                <w:rFonts w:asciiTheme="majorHAnsi" w:eastAsia="Calibri" w:hAnsiTheme="majorHAnsi"/>
                <w:sz w:val="22"/>
                <w:szCs w:val="22"/>
              </w:rPr>
              <w:t>change</w:t>
            </w:r>
            <w:proofErr w:type="gramEnd"/>
          </w:p>
          <w:p w14:paraId="254C8072" w14:textId="7D1B2E05" w:rsidR="00DC1C9E" w:rsidRPr="000652B4" w:rsidRDefault="00DC1C9E" w:rsidP="00534C88">
            <w:pPr>
              <w:pStyle w:val="C-BodyText"/>
              <w:widowControl w:val="0"/>
              <w:numPr>
                <w:ilvl w:val="0"/>
                <w:numId w:val="40"/>
              </w:numPr>
              <w:spacing w:before="0" w:after="0" w:line="240" w:lineRule="auto"/>
              <w:ind w:left="357" w:hanging="357"/>
              <w:rPr>
                <w:rFonts w:asciiTheme="majorHAnsi" w:eastAsia="MS Mincho" w:hAnsiTheme="majorHAnsi"/>
                <w:sz w:val="22"/>
                <w:szCs w:val="22"/>
                <w:lang w:eastAsia="ja-JP"/>
              </w:rPr>
            </w:pPr>
            <w:r>
              <w:rPr>
                <w:rFonts w:asciiTheme="majorHAnsi" w:eastAsia="Calibri" w:hAnsiTheme="majorHAnsi"/>
                <w:sz w:val="22"/>
                <w:szCs w:val="22"/>
              </w:rPr>
              <w:t xml:space="preserve">If persistent (lasting 2-3 hours), redefine as severe </w:t>
            </w:r>
            <w:r w:rsidR="00916A0C">
              <w:rPr>
                <w:rFonts w:asciiTheme="majorHAnsi" w:eastAsia="Calibri" w:hAnsiTheme="majorHAnsi"/>
                <w:sz w:val="22"/>
                <w:szCs w:val="22"/>
              </w:rPr>
              <w:t>CRS</w:t>
            </w:r>
          </w:p>
        </w:tc>
      </w:tr>
      <w:tr w:rsidR="000652B4" w:rsidRPr="000652B4" w14:paraId="39B15D85" w14:textId="77777777" w:rsidTr="00B55F74">
        <w:tc>
          <w:tcPr>
            <w:tcW w:w="941" w:type="pct"/>
            <w:vMerge/>
          </w:tcPr>
          <w:p w14:paraId="2569372E" w14:textId="77777777" w:rsidR="000652B4" w:rsidRPr="000652B4" w:rsidRDefault="000652B4" w:rsidP="006D287B">
            <w:pPr>
              <w:pStyle w:val="C-BodyText"/>
              <w:widowControl w:val="0"/>
              <w:spacing w:before="0" w:after="0" w:line="240" w:lineRule="auto"/>
              <w:rPr>
                <w:rFonts w:asciiTheme="majorHAnsi" w:eastAsia="MS Mincho" w:hAnsiTheme="majorHAnsi"/>
                <w:b/>
                <w:bCs/>
                <w:sz w:val="22"/>
                <w:szCs w:val="22"/>
                <w:lang w:eastAsia="ja-JP"/>
              </w:rPr>
            </w:pPr>
          </w:p>
        </w:tc>
        <w:tc>
          <w:tcPr>
            <w:tcW w:w="1494" w:type="pct"/>
          </w:tcPr>
          <w:p w14:paraId="754923F0" w14:textId="3255D7AC" w:rsidR="000652B4" w:rsidRPr="000652B4" w:rsidRDefault="000652B4" w:rsidP="006D287B">
            <w:pPr>
              <w:pStyle w:val="C-BodyText"/>
              <w:widowControl w:val="0"/>
              <w:spacing w:before="0" w:after="0" w:line="240" w:lineRule="auto"/>
              <w:rPr>
                <w:rFonts w:eastAsia="Calibri"/>
                <w:sz w:val="22"/>
                <w:szCs w:val="22"/>
              </w:rPr>
            </w:pPr>
            <w:r w:rsidRPr="006D287B">
              <w:rPr>
                <w:rFonts w:asciiTheme="majorHAnsi" w:eastAsia="MS Mincho" w:hAnsiTheme="majorHAnsi"/>
                <w:b/>
                <w:bCs/>
                <w:sz w:val="22"/>
                <w:szCs w:val="22"/>
                <w:lang w:eastAsia="ja-JP"/>
              </w:rPr>
              <w:t>Severe</w:t>
            </w:r>
            <w:r w:rsidRPr="006D287B">
              <w:rPr>
                <w:rFonts w:asciiTheme="majorHAnsi" w:eastAsia="MS Mincho" w:hAnsiTheme="majorHAnsi"/>
                <w:sz w:val="22"/>
                <w:szCs w:val="22"/>
                <w:lang w:eastAsia="ja-JP"/>
              </w:rPr>
              <w:t>, defined as</w:t>
            </w:r>
            <w:r w:rsidRPr="006D287B">
              <w:rPr>
                <w:rFonts w:asciiTheme="majorHAnsi" w:eastAsia="Calibri" w:hAnsiTheme="majorHAnsi"/>
                <w:sz w:val="22"/>
                <w:szCs w:val="22"/>
              </w:rPr>
              <w:t xml:space="preserve"> temperature ≥ 38°C plus at least one of:</w:t>
            </w:r>
          </w:p>
          <w:p w14:paraId="479A6B69" w14:textId="0D2BE8E0" w:rsidR="000652B4" w:rsidRPr="000652B4" w:rsidRDefault="000652B4" w:rsidP="006D287B">
            <w:pPr>
              <w:pStyle w:val="C-BodyText"/>
              <w:widowControl w:val="0"/>
              <w:numPr>
                <w:ilvl w:val="0"/>
                <w:numId w:val="40"/>
              </w:numPr>
              <w:spacing w:before="0" w:after="0" w:line="240" w:lineRule="auto"/>
              <w:ind w:left="360"/>
              <w:rPr>
                <w:rFonts w:asciiTheme="majorHAnsi" w:eastAsia="Calibri" w:hAnsiTheme="majorHAnsi"/>
                <w:sz w:val="22"/>
                <w:szCs w:val="22"/>
              </w:rPr>
            </w:pPr>
            <w:r w:rsidRPr="006D287B">
              <w:rPr>
                <w:rFonts w:asciiTheme="majorHAnsi" w:eastAsia="Calibri" w:hAnsiTheme="majorHAnsi"/>
                <w:sz w:val="22"/>
                <w:szCs w:val="22"/>
              </w:rPr>
              <w:t xml:space="preserve">As defined for moderate (above), and persistent (lasting 2 to 3 hours) or recurrent </w:t>
            </w:r>
          </w:p>
          <w:p w14:paraId="727CC7F4" w14:textId="3EC285F9" w:rsidR="000652B4" w:rsidRPr="00C1526B" w:rsidRDefault="000652B4" w:rsidP="00C1526B">
            <w:pPr>
              <w:pStyle w:val="C-BodyText"/>
              <w:widowControl w:val="0"/>
              <w:numPr>
                <w:ilvl w:val="0"/>
                <w:numId w:val="40"/>
              </w:numPr>
              <w:spacing w:before="0" w:after="0" w:line="240" w:lineRule="auto"/>
              <w:ind w:left="360"/>
              <w:rPr>
                <w:rFonts w:eastAsia="Calibri"/>
                <w:sz w:val="22"/>
                <w:szCs w:val="22"/>
              </w:rPr>
            </w:pPr>
            <w:proofErr w:type="spellStart"/>
            <w:r w:rsidRPr="00C1526B">
              <w:rPr>
                <w:rFonts w:asciiTheme="majorHAnsi" w:eastAsia="Calibri" w:hAnsiTheme="majorHAnsi"/>
                <w:sz w:val="22"/>
                <w:szCs w:val="22"/>
              </w:rPr>
              <w:t>Haemodynamic</w:t>
            </w:r>
            <w:proofErr w:type="spellEnd"/>
            <w:r w:rsidRPr="00C1526B">
              <w:rPr>
                <w:rFonts w:asciiTheme="majorHAnsi" w:eastAsia="Calibri" w:hAnsiTheme="majorHAnsi"/>
                <w:sz w:val="22"/>
                <w:szCs w:val="22"/>
              </w:rPr>
              <w:t xml:space="preserve"> instability requiring a vasopressor (with or without vasopressin)</w:t>
            </w:r>
          </w:p>
          <w:p w14:paraId="380FC48B" w14:textId="161016BD" w:rsidR="000652B4" w:rsidRPr="000652B4" w:rsidRDefault="000652B4" w:rsidP="006D287B">
            <w:pPr>
              <w:pStyle w:val="C-BodyText"/>
              <w:widowControl w:val="0"/>
              <w:numPr>
                <w:ilvl w:val="0"/>
                <w:numId w:val="40"/>
              </w:numPr>
              <w:spacing w:before="0" w:after="0" w:line="240" w:lineRule="auto"/>
              <w:ind w:left="360"/>
              <w:rPr>
                <w:rFonts w:asciiTheme="majorHAnsi" w:eastAsia="MS Mincho" w:hAnsiTheme="majorHAnsi"/>
                <w:sz w:val="22"/>
                <w:szCs w:val="22"/>
                <w:lang w:eastAsia="ja-JP"/>
              </w:rPr>
            </w:pPr>
            <w:r w:rsidRPr="000652B4">
              <w:rPr>
                <w:rFonts w:asciiTheme="majorHAnsi" w:eastAsia="Calibri" w:hAnsiTheme="majorHAnsi"/>
                <w:sz w:val="22"/>
                <w:szCs w:val="22"/>
              </w:rPr>
              <w:t>Hypoxia/respiratory distress requiring oxygen supplementation by</w:t>
            </w:r>
            <w:r w:rsidRPr="000652B4" w:rsidDel="00AE01B3">
              <w:rPr>
                <w:rFonts w:asciiTheme="majorHAnsi" w:eastAsia="Calibri" w:hAnsiTheme="majorHAnsi"/>
                <w:sz w:val="22"/>
                <w:szCs w:val="22"/>
              </w:rPr>
              <w:t xml:space="preserve"> </w:t>
            </w:r>
            <w:r w:rsidRPr="000652B4">
              <w:rPr>
                <w:rFonts w:asciiTheme="majorHAnsi" w:eastAsia="Calibri" w:hAnsiTheme="majorHAnsi"/>
                <w:sz w:val="22"/>
                <w:szCs w:val="22"/>
              </w:rPr>
              <w:t>high flow nasal cannula (&gt; 6 L/min) or face mask</w:t>
            </w:r>
          </w:p>
        </w:tc>
        <w:tc>
          <w:tcPr>
            <w:tcW w:w="2565" w:type="pct"/>
          </w:tcPr>
          <w:p w14:paraId="67C5E4E8" w14:textId="77777777" w:rsidR="000652B4" w:rsidRPr="006D287B" w:rsidRDefault="000652B4" w:rsidP="006D287B">
            <w:pPr>
              <w:pStyle w:val="C-BodyText"/>
              <w:widowControl w:val="0"/>
              <w:numPr>
                <w:ilvl w:val="0"/>
                <w:numId w:val="40"/>
              </w:numPr>
              <w:spacing w:before="0" w:after="0" w:line="240" w:lineRule="auto"/>
              <w:ind w:left="357" w:hanging="357"/>
              <w:rPr>
                <w:rFonts w:asciiTheme="majorHAnsi" w:hAnsiTheme="majorHAnsi"/>
                <w:sz w:val="22"/>
                <w:szCs w:val="22"/>
              </w:rPr>
            </w:pPr>
            <w:r w:rsidRPr="006D287B">
              <w:rPr>
                <w:rFonts w:asciiTheme="majorHAnsi" w:hAnsiTheme="majorHAnsi"/>
                <w:sz w:val="22"/>
                <w:szCs w:val="22"/>
              </w:rPr>
              <w:t>Withhold KIMMTRAK until CRS and sequelae have resolved</w:t>
            </w:r>
          </w:p>
          <w:p w14:paraId="6B68D902" w14:textId="77777777" w:rsidR="0057073B" w:rsidRPr="006D287B" w:rsidRDefault="000652B4">
            <w:pPr>
              <w:pStyle w:val="C-BodyText"/>
              <w:widowControl w:val="0"/>
              <w:numPr>
                <w:ilvl w:val="0"/>
                <w:numId w:val="40"/>
              </w:numPr>
              <w:spacing w:before="0" w:after="0" w:line="240" w:lineRule="auto"/>
              <w:ind w:left="357" w:hanging="357"/>
              <w:rPr>
                <w:rFonts w:asciiTheme="majorHAnsi" w:hAnsiTheme="majorHAnsi"/>
                <w:sz w:val="22"/>
                <w:szCs w:val="22"/>
              </w:rPr>
            </w:pPr>
            <w:r w:rsidRPr="006D287B">
              <w:rPr>
                <w:rFonts w:asciiTheme="majorHAnsi" w:eastAsia="MS Mincho" w:hAnsiTheme="majorHAnsi"/>
                <w:sz w:val="22"/>
                <w:szCs w:val="22"/>
                <w:lang w:eastAsia="ja-JP"/>
              </w:rPr>
              <w:t>Administer intravenous corticosteroid (</w:t>
            </w:r>
            <w:proofErr w:type="gramStart"/>
            <w:r w:rsidRPr="006D287B">
              <w:rPr>
                <w:rFonts w:asciiTheme="majorHAnsi" w:eastAsia="MS Mincho" w:hAnsiTheme="majorHAnsi"/>
                <w:sz w:val="22"/>
                <w:szCs w:val="22"/>
                <w:lang w:eastAsia="ja-JP"/>
              </w:rPr>
              <w:t>e.g.</w:t>
            </w:r>
            <w:proofErr w:type="gramEnd"/>
            <w:r w:rsidRPr="006D287B">
              <w:rPr>
                <w:rFonts w:asciiTheme="majorHAnsi" w:eastAsia="MS Mincho" w:hAnsiTheme="majorHAnsi"/>
                <w:sz w:val="22"/>
                <w:szCs w:val="22"/>
                <w:lang w:eastAsia="ja-JP"/>
              </w:rPr>
              <w:t xml:space="preserve"> 2 mg/kg/day methylprednisolone or equivalent)</w:t>
            </w:r>
            <w:r w:rsidR="0057073B" w:rsidRPr="00B35FA3">
              <w:rPr>
                <w:rFonts w:asciiTheme="majorHAnsi" w:eastAsia="MS Mincho" w:hAnsiTheme="majorHAnsi"/>
                <w:sz w:val="22"/>
                <w:szCs w:val="22"/>
                <w:lang w:eastAsia="ja-JP"/>
              </w:rPr>
              <w:t xml:space="preserve"> </w:t>
            </w:r>
          </w:p>
          <w:p w14:paraId="60550E48" w14:textId="1C8D14EF" w:rsidR="000652B4" w:rsidRPr="006D287B" w:rsidRDefault="0057073B" w:rsidP="006D287B">
            <w:pPr>
              <w:pStyle w:val="C-BodyText"/>
              <w:widowControl w:val="0"/>
              <w:numPr>
                <w:ilvl w:val="0"/>
                <w:numId w:val="40"/>
              </w:numPr>
              <w:spacing w:before="0" w:after="0" w:line="240" w:lineRule="auto"/>
              <w:ind w:left="357" w:hanging="357"/>
              <w:rPr>
                <w:rFonts w:asciiTheme="majorHAnsi" w:hAnsiTheme="majorHAnsi"/>
                <w:sz w:val="22"/>
                <w:szCs w:val="22"/>
              </w:rPr>
            </w:pPr>
            <w:r w:rsidRPr="00B35FA3">
              <w:rPr>
                <w:rFonts w:asciiTheme="majorHAnsi" w:eastAsia="MS Mincho" w:hAnsiTheme="majorHAnsi"/>
                <w:sz w:val="22"/>
                <w:szCs w:val="22"/>
                <w:lang w:eastAsia="ja-JP"/>
              </w:rPr>
              <w:t>C</w:t>
            </w:r>
            <w:r w:rsidRPr="00FE45F9">
              <w:rPr>
                <w:rFonts w:asciiTheme="majorHAnsi" w:eastAsia="MS Mincho" w:hAnsiTheme="majorHAnsi"/>
                <w:sz w:val="22"/>
                <w:szCs w:val="22"/>
                <w:lang w:eastAsia="ja-JP"/>
              </w:rPr>
              <w:t>onsider additional measures as per clinical practice</w:t>
            </w:r>
          </w:p>
          <w:p w14:paraId="454DD465" w14:textId="68736917" w:rsidR="000652B4" w:rsidRPr="006D287B" w:rsidRDefault="00712B3C" w:rsidP="006D287B">
            <w:pPr>
              <w:pStyle w:val="C-BodyText"/>
              <w:widowControl w:val="0"/>
              <w:numPr>
                <w:ilvl w:val="0"/>
                <w:numId w:val="40"/>
              </w:numPr>
              <w:spacing w:before="0" w:after="0" w:line="240" w:lineRule="auto"/>
              <w:ind w:left="357" w:hanging="357"/>
              <w:rPr>
                <w:rFonts w:asciiTheme="majorHAnsi" w:hAnsiTheme="majorHAnsi"/>
                <w:sz w:val="22"/>
                <w:szCs w:val="22"/>
              </w:rPr>
            </w:pPr>
            <w:r>
              <w:rPr>
                <w:rFonts w:asciiTheme="majorHAnsi" w:eastAsia="MS Mincho" w:hAnsiTheme="majorHAnsi"/>
                <w:sz w:val="22"/>
                <w:szCs w:val="22"/>
                <w:lang w:eastAsia="ja-JP"/>
              </w:rPr>
              <w:t>R</w:t>
            </w:r>
            <w:r w:rsidR="000652B4" w:rsidRPr="000652B4">
              <w:rPr>
                <w:rFonts w:asciiTheme="majorHAnsi" w:eastAsia="MS Mincho" w:hAnsiTheme="majorHAnsi"/>
                <w:sz w:val="22"/>
                <w:szCs w:val="22"/>
                <w:lang w:eastAsia="ja-JP"/>
              </w:rPr>
              <w:t>esume KIMMTRAK at same dose level</w:t>
            </w:r>
            <w:r w:rsidR="00811220">
              <w:rPr>
                <w:rFonts w:asciiTheme="majorHAnsi" w:eastAsia="MS Mincho" w:hAnsiTheme="majorHAnsi"/>
                <w:sz w:val="22"/>
                <w:szCs w:val="22"/>
                <w:lang w:eastAsia="ja-JP"/>
              </w:rPr>
              <w:t xml:space="preserve"> </w:t>
            </w:r>
            <w:r w:rsidR="000652B4" w:rsidRPr="006D287B">
              <w:rPr>
                <w:rFonts w:asciiTheme="majorHAnsi" w:eastAsia="MS Mincho" w:hAnsiTheme="majorHAnsi"/>
                <w:sz w:val="22"/>
                <w:szCs w:val="22"/>
                <w:vertAlign w:val="superscript"/>
                <w:lang w:eastAsia="ja-JP"/>
              </w:rPr>
              <w:t>b</w:t>
            </w:r>
            <w:r w:rsidR="000652B4" w:rsidRPr="000652B4">
              <w:rPr>
                <w:rFonts w:asciiTheme="majorHAnsi" w:eastAsia="MS Mincho" w:hAnsiTheme="majorHAnsi"/>
                <w:sz w:val="22"/>
                <w:szCs w:val="22"/>
                <w:lang w:eastAsia="ja-JP"/>
              </w:rPr>
              <w:t xml:space="preserve"> </w:t>
            </w:r>
          </w:p>
          <w:p w14:paraId="54A7854A" w14:textId="5EC2A808" w:rsidR="00B35FA3" w:rsidRPr="0057073B" w:rsidRDefault="000652B4" w:rsidP="00C1526B">
            <w:pPr>
              <w:pStyle w:val="C-BodyText"/>
              <w:widowControl w:val="0"/>
              <w:numPr>
                <w:ilvl w:val="0"/>
                <w:numId w:val="40"/>
              </w:numPr>
              <w:spacing w:before="0" w:after="0" w:line="240" w:lineRule="auto"/>
              <w:ind w:left="357" w:hanging="357"/>
              <w:rPr>
                <w:rFonts w:asciiTheme="majorHAnsi" w:eastAsia="MS Mincho" w:hAnsiTheme="majorHAnsi"/>
                <w:sz w:val="22"/>
                <w:szCs w:val="22"/>
                <w:lang w:eastAsia="ja-JP"/>
              </w:rPr>
            </w:pPr>
            <w:r w:rsidRPr="000652B4">
              <w:rPr>
                <w:rFonts w:asciiTheme="majorHAnsi" w:eastAsia="Calibri" w:hAnsiTheme="majorHAnsi"/>
                <w:sz w:val="22"/>
                <w:szCs w:val="22"/>
              </w:rPr>
              <w:t>Administer corticosteroid premedication (</w:t>
            </w:r>
            <w:proofErr w:type="gramStart"/>
            <w:r w:rsidRPr="000652B4">
              <w:rPr>
                <w:rFonts w:asciiTheme="majorHAnsi" w:eastAsia="Calibri" w:hAnsiTheme="majorHAnsi"/>
                <w:sz w:val="22"/>
                <w:szCs w:val="22"/>
              </w:rPr>
              <w:t>e.g.</w:t>
            </w:r>
            <w:proofErr w:type="gramEnd"/>
            <w:r w:rsidRPr="000652B4">
              <w:rPr>
                <w:rFonts w:asciiTheme="majorHAnsi" w:eastAsia="Calibri" w:hAnsiTheme="majorHAnsi"/>
                <w:sz w:val="22"/>
                <w:szCs w:val="22"/>
              </w:rPr>
              <w:t xml:space="preserve"> dexamethasone 4 mg or equivalent) at least 30 minutes prior to next dose</w:t>
            </w:r>
          </w:p>
        </w:tc>
      </w:tr>
      <w:tr w:rsidR="000652B4" w:rsidRPr="000652B4" w14:paraId="32A9C3B8" w14:textId="77777777" w:rsidTr="00B55F74">
        <w:tc>
          <w:tcPr>
            <w:tcW w:w="941" w:type="pct"/>
            <w:vMerge/>
          </w:tcPr>
          <w:p w14:paraId="645D97E6" w14:textId="77777777" w:rsidR="000652B4" w:rsidRPr="000652B4" w:rsidRDefault="000652B4" w:rsidP="006D287B">
            <w:pPr>
              <w:pStyle w:val="C-BodyText"/>
              <w:widowControl w:val="0"/>
              <w:spacing w:before="0" w:after="0" w:line="240" w:lineRule="auto"/>
              <w:rPr>
                <w:rFonts w:asciiTheme="majorHAnsi" w:eastAsia="MS Mincho" w:hAnsiTheme="majorHAnsi"/>
                <w:b/>
                <w:bCs/>
                <w:sz w:val="22"/>
                <w:szCs w:val="22"/>
                <w:lang w:eastAsia="ja-JP"/>
              </w:rPr>
            </w:pPr>
          </w:p>
        </w:tc>
        <w:tc>
          <w:tcPr>
            <w:tcW w:w="1494" w:type="pct"/>
          </w:tcPr>
          <w:p w14:paraId="476057CF" w14:textId="1CCBCAD0" w:rsidR="000652B4" w:rsidRPr="000652B4" w:rsidRDefault="000652B4" w:rsidP="006D287B">
            <w:pPr>
              <w:pStyle w:val="C-BodyText"/>
              <w:widowControl w:val="0"/>
              <w:spacing w:before="0" w:after="0" w:line="240" w:lineRule="auto"/>
              <w:rPr>
                <w:rFonts w:asciiTheme="majorHAnsi" w:eastAsia="Calibri" w:hAnsiTheme="majorHAnsi"/>
                <w:sz w:val="22"/>
                <w:szCs w:val="22"/>
              </w:rPr>
            </w:pPr>
            <w:r w:rsidRPr="000652B4">
              <w:rPr>
                <w:rFonts w:asciiTheme="majorHAnsi" w:eastAsia="MS Mincho" w:hAnsiTheme="majorHAnsi"/>
                <w:b/>
                <w:bCs/>
                <w:sz w:val="22"/>
                <w:szCs w:val="22"/>
                <w:lang w:eastAsia="ja-JP"/>
              </w:rPr>
              <w:t>Life threatening</w:t>
            </w:r>
            <w:r w:rsidRPr="000652B4">
              <w:rPr>
                <w:rFonts w:asciiTheme="majorHAnsi" w:eastAsia="MS Mincho" w:hAnsiTheme="majorHAnsi"/>
                <w:sz w:val="22"/>
                <w:szCs w:val="22"/>
                <w:lang w:eastAsia="ja-JP"/>
              </w:rPr>
              <w:t>, defined as</w:t>
            </w:r>
            <w:r w:rsidRPr="000652B4">
              <w:rPr>
                <w:rFonts w:asciiTheme="majorHAnsi" w:eastAsia="Calibri" w:hAnsiTheme="majorHAnsi"/>
                <w:sz w:val="22"/>
                <w:szCs w:val="22"/>
              </w:rPr>
              <w:t xml:space="preserve"> temperature ≥ 38°C plus at least one of:</w:t>
            </w:r>
          </w:p>
          <w:p w14:paraId="671F128D" w14:textId="77777777" w:rsidR="000652B4" w:rsidRPr="000652B4" w:rsidRDefault="000652B4" w:rsidP="006D287B">
            <w:pPr>
              <w:pStyle w:val="C-BodyText"/>
              <w:widowControl w:val="0"/>
              <w:numPr>
                <w:ilvl w:val="0"/>
                <w:numId w:val="40"/>
              </w:numPr>
              <w:spacing w:before="0" w:after="0" w:line="240" w:lineRule="auto"/>
              <w:ind w:left="360"/>
              <w:rPr>
                <w:rFonts w:asciiTheme="majorHAnsi" w:eastAsia="Calibri" w:hAnsiTheme="majorHAnsi"/>
                <w:sz w:val="22"/>
                <w:szCs w:val="22"/>
              </w:rPr>
            </w:pPr>
            <w:proofErr w:type="spellStart"/>
            <w:r w:rsidRPr="000652B4">
              <w:rPr>
                <w:rFonts w:asciiTheme="majorHAnsi" w:eastAsia="Calibri" w:hAnsiTheme="majorHAnsi"/>
                <w:sz w:val="22"/>
                <w:szCs w:val="22"/>
              </w:rPr>
              <w:t>Haemodynamic</w:t>
            </w:r>
            <w:proofErr w:type="spellEnd"/>
            <w:r w:rsidRPr="000652B4">
              <w:rPr>
                <w:rFonts w:asciiTheme="majorHAnsi" w:eastAsia="Calibri" w:hAnsiTheme="majorHAnsi"/>
                <w:sz w:val="22"/>
                <w:szCs w:val="22"/>
              </w:rPr>
              <w:t xml:space="preserve"> instability requiring multiple vasopressors other than vasopressin</w:t>
            </w:r>
          </w:p>
          <w:p w14:paraId="11469342" w14:textId="212852D5" w:rsidR="000652B4" w:rsidRPr="000652B4" w:rsidRDefault="000652B4" w:rsidP="00C1526B">
            <w:pPr>
              <w:pStyle w:val="C-BodyText"/>
              <w:widowControl w:val="0"/>
              <w:numPr>
                <w:ilvl w:val="0"/>
                <w:numId w:val="40"/>
              </w:numPr>
              <w:spacing w:before="0" w:after="0" w:line="240" w:lineRule="auto"/>
              <w:ind w:left="360"/>
              <w:rPr>
                <w:rFonts w:asciiTheme="majorHAnsi" w:eastAsia="MS Mincho" w:hAnsiTheme="majorHAnsi"/>
                <w:sz w:val="22"/>
                <w:szCs w:val="22"/>
                <w:lang w:eastAsia="ja-JP"/>
              </w:rPr>
            </w:pPr>
            <w:r w:rsidRPr="006D287B">
              <w:rPr>
                <w:rFonts w:asciiTheme="majorHAnsi" w:eastAsia="Calibri" w:hAnsiTheme="majorHAnsi"/>
                <w:sz w:val="22"/>
                <w:szCs w:val="22"/>
              </w:rPr>
              <w:t xml:space="preserve">Hypoxia/respiratory distress requiring </w:t>
            </w:r>
            <w:r w:rsidRPr="000652B4">
              <w:rPr>
                <w:rFonts w:asciiTheme="majorHAnsi" w:eastAsia="Calibri" w:hAnsiTheme="majorHAnsi"/>
                <w:sz w:val="22"/>
                <w:szCs w:val="22"/>
              </w:rPr>
              <w:t>positive pressure ventilation (e.g., CPAP, BiPAP, intubation and mechanical ventilation)</w:t>
            </w:r>
          </w:p>
        </w:tc>
        <w:tc>
          <w:tcPr>
            <w:tcW w:w="2565" w:type="pct"/>
          </w:tcPr>
          <w:p w14:paraId="2F5EB450" w14:textId="0B15B386" w:rsidR="000652B4" w:rsidRPr="006D287B" w:rsidRDefault="000652B4" w:rsidP="006D287B">
            <w:pPr>
              <w:pStyle w:val="C-BodyText"/>
              <w:widowControl w:val="0"/>
              <w:numPr>
                <w:ilvl w:val="0"/>
                <w:numId w:val="40"/>
              </w:numPr>
              <w:spacing w:before="0" w:after="0" w:line="240" w:lineRule="auto"/>
              <w:ind w:left="357" w:hanging="357"/>
              <w:rPr>
                <w:rFonts w:asciiTheme="majorHAnsi" w:eastAsia="MS Mincho" w:hAnsiTheme="majorHAnsi"/>
                <w:sz w:val="22"/>
                <w:szCs w:val="22"/>
                <w:lang w:eastAsia="ja-JP"/>
              </w:rPr>
            </w:pPr>
            <w:r w:rsidRPr="000652B4">
              <w:rPr>
                <w:rFonts w:asciiTheme="majorHAnsi" w:hAnsiTheme="majorHAnsi"/>
                <w:sz w:val="22"/>
                <w:szCs w:val="22"/>
              </w:rPr>
              <w:t>Permanently discontinue KIMMTRAK</w:t>
            </w:r>
          </w:p>
          <w:p w14:paraId="43E682A6" w14:textId="77777777" w:rsidR="000652B4" w:rsidRDefault="000652B4">
            <w:pPr>
              <w:pStyle w:val="C-BodyText"/>
              <w:widowControl w:val="0"/>
              <w:numPr>
                <w:ilvl w:val="0"/>
                <w:numId w:val="40"/>
              </w:numPr>
              <w:spacing w:before="0" w:after="0" w:line="240" w:lineRule="auto"/>
              <w:ind w:left="357" w:hanging="357"/>
              <w:rPr>
                <w:rFonts w:asciiTheme="majorHAnsi" w:eastAsia="MS Mincho" w:hAnsiTheme="majorHAnsi"/>
                <w:sz w:val="22"/>
                <w:szCs w:val="22"/>
                <w:lang w:eastAsia="ja-JP"/>
              </w:rPr>
            </w:pPr>
            <w:r w:rsidRPr="000652B4">
              <w:rPr>
                <w:rFonts w:asciiTheme="majorHAnsi" w:eastAsia="MS Mincho" w:hAnsiTheme="majorHAnsi"/>
                <w:sz w:val="22"/>
                <w:szCs w:val="22"/>
                <w:lang w:eastAsia="ja-JP"/>
              </w:rPr>
              <w:t>Administer intravenous corticosteroid (</w:t>
            </w:r>
            <w:proofErr w:type="gramStart"/>
            <w:r w:rsidRPr="000652B4">
              <w:rPr>
                <w:rFonts w:asciiTheme="majorHAnsi" w:eastAsia="MS Mincho" w:hAnsiTheme="majorHAnsi"/>
                <w:sz w:val="22"/>
                <w:szCs w:val="22"/>
                <w:lang w:eastAsia="ja-JP"/>
              </w:rPr>
              <w:t>e.g.</w:t>
            </w:r>
            <w:proofErr w:type="gramEnd"/>
            <w:r w:rsidRPr="000652B4">
              <w:rPr>
                <w:rFonts w:asciiTheme="majorHAnsi" w:eastAsia="MS Mincho" w:hAnsiTheme="majorHAnsi"/>
                <w:sz w:val="22"/>
                <w:szCs w:val="22"/>
                <w:lang w:eastAsia="ja-JP"/>
              </w:rPr>
              <w:t xml:space="preserve"> 2 mg/kg/day methylprednisolone or equivalent)</w:t>
            </w:r>
          </w:p>
          <w:p w14:paraId="57109826" w14:textId="43484881" w:rsidR="0093440E" w:rsidRPr="000652B4" w:rsidRDefault="0093440E" w:rsidP="00C1526B">
            <w:pPr>
              <w:pStyle w:val="C-BodyText"/>
              <w:widowControl w:val="0"/>
              <w:numPr>
                <w:ilvl w:val="0"/>
                <w:numId w:val="40"/>
              </w:numPr>
              <w:spacing w:before="0" w:after="0" w:line="240" w:lineRule="auto"/>
              <w:ind w:left="357" w:hanging="357"/>
              <w:rPr>
                <w:rFonts w:asciiTheme="majorHAnsi" w:eastAsia="MS Mincho" w:hAnsiTheme="majorHAnsi"/>
                <w:sz w:val="22"/>
                <w:szCs w:val="22"/>
                <w:lang w:eastAsia="ja-JP"/>
              </w:rPr>
            </w:pPr>
            <w:r w:rsidRPr="00B35FA3">
              <w:rPr>
                <w:rFonts w:asciiTheme="majorHAnsi" w:eastAsia="MS Mincho" w:hAnsiTheme="majorHAnsi"/>
                <w:sz w:val="22"/>
                <w:szCs w:val="22"/>
                <w:lang w:eastAsia="ja-JP"/>
              </w:rPr>
              <w:t xml:space="preserve">Consider </w:t>
            </w:r>
            <w:r w:rsidR="00B35FA3" w:rsidRPr="00B35FA3">
              <w:rPr>
                <w:rFonts w:asciiTheme="majorHAnsi" w:eastAsia="MS Mincho" w:hAnsiTheme="majorHAnsi"/>
                <w:sz w:val="22"/>
                <w:szCs w:val="22"/>
                <w:lang w:eastAsia="ja-JP"/>
              </w:rPr>
              <w:t>additional measures as per clinical practice</w:t>
            </w:r>
            <w:r>
              <w:rPr>
                <w:rFonts w:asciiTheme="majorHAnsi" w:eastAsia="MS Mincho" w:hAnsiTheme="majorHAnsi"/>
                <w:sz w:val="22"/>
                <w:szCs w:val="22"/>
                <w:lang w:eastAsia="ja-JP"/>
              </w:rPr>
              <w:t xml:space="preserve"> </w:t>
            </w:r>
          </w:p>
        </w:tc>
      </w:tr>
      <w:tr w:rsidR="000652B4" w:rsidRPr="000652B4" w14:paraId="33F6E003" w14:textId="77777777" w:rsidTr="00B55F74">
        <w:tc>
          <w:tcPr>
            <w:tcW w:w="941" w:type="pct"/>
            <w:vMerge w:val="restart"/>
          </w:tcPr>
          <w:p w14:paraId="7F61A2BD" w14:textId="69CF47D0" w:rsidR="000652B4" w:rsidRDefault="000652B4" w:rsidP="006D287B">
            <w:pPr>
              <w:pStyle w:val="C-BodyText"/>
              <w:widowControl w:val="0"/>
              <w:spacing w:before="0" w:after="0" w:line="240" w:lineRule="auto"/>
              <w:rPr>
                <w:rFonts w:asciiTheme="majorHAnsi" w:eastAsia="MS Mincho" w:hAnsiTheme="majorHAnsi"/>
                <w:b/>
                <w:bCs/>
                <w:sz w:val="22"/>
                <w:szCs w:val="22"/>
                <w:lang w:eastAsia="ja-JP"/>
              </w:rPr>
            </w:pPr>
            <w:r>
              <w:rPr>
                <w:rFonts w:asciiTheme="majorHAnsi" w:eastAsia="MS Mincho" w:hAnsiTheme="majorHAnsi"/>
                <w:b/>
                <w:bCs/>
                <w:sz w:val="22"/>
                <w:szCs w:val="22"/>
                <w:lang w:eastAsia="ja-JP"/>
              </w:rPr>
              <w:t>Skin reactions</w:t>
            </w:r>
          </w:p>
          <w:p w14:paraId="0B0CB0E7" w14:textId="2BE50723" w:rsidR="000652B4" w:rsidRPr="000652B4" w:rsidRDefault="000652B4" w:rsidP="006D287B">
            <w:pPr>
              <w:pStyle w:val="C-BodyText"/>
              <w:widowControl w:val="0"/>
              <w:spacing w:before="0" w:after="0" w:line="240" w:lineRule="auto"/>
              <w:rPr>
                <w:rFonts w:asciiTheme="majorHAnsi" w:eastAsia="MS Mincho" w:hAnsiTheme="majorHAnsi"/>
                <w:b/>
                <w:bCs/>
                <w:sz w:val="22"/>
                <w:szCs w:val="22"/>
                <w:lang w:eastAsia="ja-JP"/>
              </w:rPr>
            </w:pPr>
            <w:r w:rsidRPr="002D74FD">
              <w:rPr>
                <w:rFonts w:asciiTheme="majorHAnsi" w:eastAsia="MS Mincho" w:hAnsiTheme="majorHAnsi"/>
                <w:sz w:val="22"/>
                <w:szCs w:val="22"/>
                <w:lang w:eastAsia="ja-JP"/>
              </w:rPr>
              <w:t xml:space="preserve">[see Section 4.4 </w:t>
            </w:r>
            <w:r w:rsidRPr="002D74FD">
              <w:rPr>
                <w:rFonts w:asciiTheme="majorHAnsi" w:eastAsia="MS Mincho" w:hAnsiTheme="majorHAnsi"/>
                <w:sz w:val="22"/>
                <w:szCs w:val="22"/>
                <w:lang w:eastAsia="ja-JP"/>
              </w:rPr>
              <w:fldChar w:fldCharType="begin"/>
            </w:r>
            <w:r w:rsidRPr="002D74FD">
              <w:rPr>
                <w:rFonts w:asciiTheme="majorHAnsi" w:eastAsia="MS Mincho" w:hAnsiTheme="majorHAnsi"/>
                <w:sz w:val="22"/>
                <w:szCs w:val="22"/>
                <w:lang w:eastAsia="ja-JP"/>
              </w:rPr>
              <w:instrText xml:space="preserve"> REF _Ref80367115 \h  \* MERGEFORMAT </w:instrText>
            </w:r>
            <w:r w:rsidRPr="002D74FD">
              <w:rPr>
                <w:rFonts w:asciiTheme="majorHAnsi" w:eastAsia="MS Mincho" w:hAnsiTheme="majorHAnsi"/>
                <w:sz w:val="22"/>
                <w:szCs w:val="22"/>
                <w:lang w:eastAsia="ja-JP"/>
              </w:rPr>
            </w:r>
            <w:r w:rsidRPr="002D74FD">
              <w:rPr>
                <w:rFonts w:asciiTheme="majorHAnsi" w:eastAsia="MS Mincho" w:hAnsiTheme="majorHAnsi"/>
                <w:sz w:val="22"/>
                <w:szCs w:val="22"/>
                <w:lang w:eastAsia="ja-JP"/>
              </w:rPr>
              <w:fldChar w:fldCharType="separate"/>
            </w:r>
            <w:r w:rsidR="00012F31" w:rsidRPr="006D287B">
              <w:rPr>
                <w:rFonts w:asciiTheme="majorHAnsi" w:hAnsiTheme="majorHAnsi"/>
                <w:sz w:val="22"/>
                <w:szCs w:val="22"/>
              </w:rPr>
              <w:t>Special warnings and precautions for use</w:t>
            </w:r>
            <w:r w:rsidRPr="002D74FD">
              <w:rPr>
                <w:rFonts w:asciiTheme="majorHAnsi" w:eastAsia="MS Mincho" w:hAnsiTheme="majorHAnsi"/>
                <w:sz w:val="22"/>
                <w:szCs w:val="22"/>
                <w:lang w:eastAsia="ja-JP"/>
              </w:rPr>
              <w:fldChar w:fldCharType="end"/>
            </w:r>
            <w:r w:rsidRPr="002D74FD">
              <w:rPr>
                <w:rFonts w:asciiTheme="majorHAnsi" w:eastAsia="MS Mincho" w:hAnsiTheme="majorHAnsi"/>
                <w:sz w:val="22"/>
                <w:szCs w:val="22"/>
                <w:lang w:eastAsia="ja-JP"/>
              </w:rPr>
              <w:t>]</w:t>
            </w:r>
          </w:p>
        </w:tc>
        <w:tc>
          <w:tcPr>
            <w:tcW w:w="1494" w:type="pct"/>
          </w:tcPr>
          <w:p w14:paraId="00EB51F5" w14:textId="297FE064" w:rsidR="000652B4" w:rsidRPr="006D287B" w:rsidRDefault="000652B4" w:rsidP="006D287B">
            <w:pPr>
              <w:pStyle w:val="C-BodyText"/>
              <w:widowControl w:val="0"/>
              <w:spacing w:before="0" w:after="0" w:line="240" w:lineRule="auto"/>
              <w:rPr>
                <w:rFonts w:asciiTheme="majorHAnsi" w:eastAsia="MS Mincho" w:hAnsiTheme="majorHAnsi"/>
                <w:sz w:val="22"/>
                <w:szCs w:val="22"/>
                <w:lang w:eastAsia="ja-JP"/>
              </w:rPr>
            </w:pPr>
            <w:r w:rsidRPr="006D287B">
              <w:rPr>
                <w:rFonts w:asciiTheme="majorHAnsi" w:eastAsia="MS Mincho" w:hAnsiTheme="majorHAnsi"/>
                <w:sz w:val="22"/>
                <w:szCs w:val="22"/>
                <w:lang w:eastAsia="ja-JP"/>
              </w:rPr>
              <w:t>Grade 2 or 3</w:t>
            </w:r>
            <w:r w:rsidR="00FE28F2">
              <w:rPr>
                <w:rFonts w:asciiTheme="majorHAnsi" w:eastAsia="MS Mincho" w:hAnsiTheme="majorHAnsi"/>
                <w:sz w:val="22"/>
                <w:szCs w:val="22"/>
                <w:lang w:eastAsia="ja-JP"/>
              </w:rPr>
              <w:t xml:space="preserve"> </w:t>
            </w:r>
            <w:r w:rsidR="00FE28F2" w:rsidRPr="006D287B">
              <w:rPr>
                <w:rFonts w:asciiTheme="majorHAnsi" w:eastAsia="MS Mincho" w:hAnsiTheme="majorHAnsi"/>
                <w:sz w:val="22"/>
                <w:szCs w:val="22"/>
                <w:vertAlign w:val="superscript"/>
                <w:lang w:eastAsia="ja-JP"/>
              </w:rPr>
              <w:t>a</w:t>
            </w:r>
          </w:p>
        </w:tc>
        <w:tc>
          <w:tcPr>
            <w:tcW w:w="2565" w:type="pct"/>
          </w:tcPr>
          <w:p w14:paraId="1ADC10AD" w14:textId="01C0726F" w:rsidR="000652B4" w:rsidRDefault="000652B4" w:rsidP="006D287B">
            <w:pPr>
              <w:pStyle w:val="C-BodyText"/>
              <w:widowControl w:val="0"/>
              <w:numPr>
                <w:ilvl w:val="0"/>
                <w:numId w:val="40"/>
              </w:numPr>
              <w:spacing w:before="0" w:after="0" w:line="240" w:lineRule="auto"/>
              <w:ind w:left="357" w:hanging="357"/>
              <w:rPr>
                <w:rFonts w:asciiTheme="majorHAnsi" w:hAnsiTheme="majorHAnsi"/>
                <w:sz w:val="22"/>
                <w:szCs w:val="22"/>
              </w:rPr>
            </w:pPr>
            <w:r w:rsidRPr="000652B4">
              <w:rPr>
                <w:rFonts w:asciiTheme="majorHAnsi" w:hAnsiTheme="majorHAnsi"/>
                <w:sz w:val="22"/>
                <w:szCs w:val="22"/>
              </w:rPr>
              <w:t xml:space="preserve">Withhold KIMMTRAK until </w:t>
            </w:r>
            <w:r w:rsidR="00FE28F2">
              <w:rPr>
                <w:rFonts w:asciiTheme="majorHAnsi" w:hAnsiTheme="majorHAnsi"/>
                <w:sz w:val="22"/>
                <w:szCs w:val="22"/>
              </w:rPr>
              <w:t>≤</w:t>
            </w:r>
            <w:r w:rsidRPr="000652B4">
              <w:rPr>
                <w:rFonts w:asciiTheme="majorHAnsi" w:hAnsiTheme="majorHAnsi"/>
                <w:sz w:val="22"/>
                <w:szCs w:val="22"/>
              </w:rPr>
              <w:t xml:space="preserve">Grade 1 </w:t>
            </w:r>
            <w:r w:rsidR="00407F45">
              <w:rPr>
                <w:rFonts w:asciiTheme="majorHAnsi" w:hAnsiTheme="majorHAnsi"/>
                <w:sz w:val="22"/>
                <w:szCs w:val="22"/>
              </w:rPr>
              <w:t>or baseline</w:t>
            </w:r>
          </w:p>
          <w:p w14:paraId="10F5BA0D" w14:textId="77777777" w:rsidR="00ED4EAF" w:rsidRDefault="00ED4EAF">
            <w:pPr>
              <w:pStyle w:val="C-BodyText"/>
              <w:widowControl w:val="0"/>
              <w:numPr>
                <w:ilvl w:val="0"/>
                <w:numId w:val="40"/>
              </w:numPr>
              <w:spacing w:before="0" w:after="0" w:line="240" w:lineRule="auto"/>
              <w:ind w:left="357" w:hanging="357"/>
              <w:rPr>
                <w:rFonts w:asciiTheme="majorHAnsi" w:hAnsiTheme="majorHAnsi"/>
                <w:sz w:val="22"/>
                <w:szCs w:val="22"/>
              </w:rPr>
            </w:pPr>
            <w:r w:rsidRPr="000652B4">
              <w:rPr>
                <w:rFonts w:asciiTheme="majorHAnsi" w:hAnsiTheme="majorHAnsi"/>
                <w:sz w:val="22"/>
                <w:szCs w:val="22"/>
              </w:rPr>
              <w:t>For persistent reactions not responding to oral steroids, consider intravenous</w:t>
            </w:r>
            <w:r>
              <w:rPr>
                <w:rFonts w:asciiTheme="majorHAnsi" w:hAnsiTheme="majorHAnsi"/>
                <w:sz w:val="22"/>
                <w:szCs w:val="22"/>
              </w:rPr>
              <w:t xml:space="preserve"> </w:t>
            </w:r>
            <w:r w:rsidRPr="000652B4">
              <w:rPr>
                <w:rFonts w:asciiTheme="majorHAnsi" w:hAnsiTheme="majorHAnsi"/>
                <w:sz w:val="22"/>
                <w:szCs w:val="22"/>
              </w:rPr>
              <w:t>corticosteroid (e.g., 2 mg/kg/day</w:t>
            </w:r>
            <w:r>
              <w:rPr>
                <w:rFonts w:asciiTheme="majorHAnsi" w:hAnsiTheme="majorHAnsi"/>
                <w:sz w:val="22"/>
                <w:szCs w:val="22"/>
              </w:rPr>
              <w:t xml:space="preserve"> </w:t>
            </w:r>
            <w:r w:rsidRPr="000652B4">
              <w:rPr>
                <w:rFonts w:asciiTheme="majorHAnsi" w:hAnsiTheme="majorHAnsi"/>
                <w:sz w:val="22"/>
                <w:szCs w:val="22"/>
              </w:rPr>
              <w:t>methylprednisolone or equivalent)</w:t>
            </w:r>
          </w:p>
          <w:p w14:paraId="5EB3D4C8" w14:textId="4FA73A1A" w:rsidR="000652B4" w:rsidRPr="00ED4EAF" w:rsidRDefault="00712B3C" w:rsidP="006D287B">
            <w:pPr>
              <w:pStyle w:val="C-BodyText"/>
              <w:widowControl w:val="0"/>
              <w:numPr>
                <w:ilvl w:val="0"/>
                <w:numId w:val="40"/>
              </w:numPr>
              <w:spacing w:before="0" w:after="0" w:line="240" w:lineRule="auto"/>
              <w:ind w:left="357" w:hanging="357"/>
              <w:rPr>
                <w:rFonts w:asciiTheme="majorHAnsi" w:hAnsiTheme="majorHAnsi"/>
                <w:sz w:val="22"/>
                <w:szCs w:val="22"/>
              </w:rPr>
            </w:pPr>
            <w:r>
              <w:rPr>
                <w:rFonts w:asciiTheme="majorHAnsi" w:hAnsiTheme="majorHAnsi"/>
                <w:sz w:val="22"/>
                <w:szCs w:val="22"/>
              </w:rPr>
              <w:t>R</w:t>
            </w:r>
            <w:r w:rsidR="000652B4" w:rsidRPr="000652B4">
              <w:rPr>
                <w:rFonts w:asciiTheme="majorHAnsi" w:hAnsiTheme="majorHAnsi"/>
                <w:sz w:val="22"/>
                <w:szCs w:val="22"/>
              </w:rPr>
              <w:t>esume KIMMTRAK at same dose level</w:t>
            </w:r>
            <w:r w:rsidR="00811220">
              <w:rPr>
                <w:rFonts w:asciiTheme="majorHAnsi" w:hAnsiTheme="majorHAnsi"/>
                <w:sz w:val="22"/>
                <w:szCs w:val="22"/>
              </w:rPr>
              <w:t xml:space="preserve"> </w:t>
            </w:r>
            <w:r w:rsidR="000C580B" w:rsidRPr="006D287B">
              <w:rPr>
                <w:rFonts w:asciiTheme="majorHAnsi" w:hAnsiTheme="majorHAnsi"/>
                <w:sz w:val="22"/>
                <w:szCs w:val="22"/>
                <w:vertAlign w:val="superscript"/>
              </w:rPr>
              <w:t>b</w:t>
            </w:r>
          </w:p>
        </w:tc>
      </w:tr>
      <w:tr w:rsidR="000652B4" w:rsidRPr="000652B4" w14:paraId="1A6A5B6D" w14:textId="77777777" w:rsidTr="00B55F74">
        <w:tc>
          <w:tcPr>
            <w:tcW w:w="941" w:type="pct"/>
            <w:vMerge/>
          </w:tcPr>
          <w:p w14:paraId="29DA4B09" w14:textId="77777777" w:rsidR="000652B4" w:rsidRDefault="000652B4" w:rsidP="006D287B">
            <w:pPr>
              <w:pStyle w:val="C-BodyText"/>
              <w:widowControl w:val="0"/>
              <w:spacing w:before="0" w:after="0" w:line="240" w:lineRule="auto"/>
              <w:rPr>
                <w:rFonts w:asciiTheme="majorHAnsi" w:eastAsia="MS Mincho" w:hAnsiTheme="majorHAnsi"/>
                <w:b/>
                <w:bCs/>
                <w:sz w:val="22"/>
                <w:szCs w:val="22"/>
                <w:lang w:eastAsia="ja-JP"/>
              </w:rPr>
            </w:pPr>
          </w:p>
        </w:tc>
        <w:tc>
          <w:tcPr>
            <w:tcW w:w="1494" w:type="pct"/>
          </w:tcPr>
          <w:p w14:paraId="367D5650" w14:textId="722BE0C5" w:rsidR="000652B4" w:rsidRPr="006D287B" w:rsidRDefault="000652B4" w:rsidP="006D287B">
            <w:pPr>
              <w:pStyle w:val="C-BodyText"/>
              <w:widowControl w:val="0"/>
              <w:spacing w:before="0" w:after="0" w:line="240" w:lineRule="auto"/>
              <w:rPr>
                <w:rFonts w:asciiTheme="majorHAnsi" w:eastAsia="MS Mincho" w:hAnsiTheme="majorHAnsi"/>
                <w:sz w:val="22"/>
                <w:szCs w:val="22"/>
                <w:lang w:eastAsia="ja-JP"/>
              </w:rPr>
            </w:pPr>
            <w:r w:rsidRPr="006D287B">
              <w:rPr>
                <w:rFonts w:asciiTheme="majorHAnsi" w:eastAsia="MS Mincho" w:hAnsiTheme="majorHAnsi"/>
                <w:sz w:val="22"/>
                <w:szCs w:val="22"/>
                <w:lang w:eastAsia="ja-JP"/>
              </w:rPr>
              <w:t>Grade 4</w:t>
            </w:r>
            <w:r w:rsidR="00FE28F2">
              <w:rPr>
                <w:rFonts w:asciiTheme="majorHAnsi" w:eastAsia="MS Mincho" w:hAnsiTheme="majorHAnsi"/>
                <w:sz w:val="22"/>
                <w:szCs w:val="22"/>
                <w:lang w:eastAsia="ja-JP"/>
              </w:rPr>
              <w:t xml:space="preserve"> </w:t>
            </w:r>
            <w:r w:rsidR="00FE28F2" w:rsidRPr="002D74FD">
              <w:rPr>
                <w:rFonts w:asciiTheme="majorHAnsi" w:eastAsia="MS Mincho" w:hAnsiTheme="majorHAnsi"/>
                <w:sz w:val="22"/>
                <w:szCs w:val="22"/>
                <w:vertAlign w:val="superscript"/>
                <w:lang w:eastAsia="ja-JP"/>
              </w:rPr>
              <w:t>a</w:t>
            </w:r>
          </w:p>
        </w:tc>
        <w:tc>
          <w:tcPr>
            <w:tcW w:w="2565" w:type="pct"/>
          </w:tcPr>
          <w:p w14:paraId="5A6AD151" w14:textId="77777777" w:rsidR="00FE28F2" w:rsidRPr="006D287B" w:rsidRDefault="00FE28F2" w:rsidP="006D287B">
            <w:pPr>
              <w:pStyle w:val="C-BodyText"/>
              <w:widowControl w:val="0"/>
              <w:numPr>
                <w:ilvl w:val="0"/>
                <w:numId w:val="40"/>
              </w:numPr>
              <w:spacing w:before="0" w:after="0" w:line="240" w:lineRule="auto"/>
              <w:ind w:left="357" w:hanging="357"/>
              <w:rPr>
                <w:rFonts w:asciiTheme="majorHAnsi" w:hAnsiTheme="majorHAnsi"/>
                <w:sz w:val="22"/>
                <w:szCs w:val="22"/>
              </w:rPr>
            </w:pPr>
            <w:r w:rsidRPr="006D287B">
              <w:rPr>
                <w:rFonts w:asciiTheme="majorHAnsi" w:hAnsiTheme="majorHAnsi"/>
                <w:sz w:val="22"/>
                <w:szCs w:val="22"/>
              </w:rPr>
              <w:t>Permanently discontinue KIMMTRAK</w:t>
            </w:r>
          </w:p>
          <w:p w14:paraId="0164FDD4" w14:textId="4EECF73A" w:rsidR="000652B4" w:rsidRPr="000652B4" w:rsidRDefault="00FE28F2" w:rsidP="006D287B">
            <w:pPr>
              <w:pStyle w:val="C-BodyText"/>
              <w:widowControl w:val="0"/>
              <w:numPr>
                <w:ilvl w:val="0"/>
                <w:numId w:val="40"/>
              </w:numPr>
              <w:spacing w:before="0" w:after="0" w:line="240" w:lineRule="auto"/>
              <w:ind w:left="357" w:hanging="357"/>
              <w:rPr>
                <w:rFonts w:asciiTheme="majorHAnsi" w:hAnsiTheme="majorHAnsi"/>
                <w:sz w:val="22"/>
                <w:szCs w:val="22"/>
              </w:rPr>
            </w:pPr>
            <w:r w:rsidRPr="006D287B">
              <w:rPr>
                <w:rFonts w:asciiTheme="majorHAnsi" w:hAnsiTheme="majorHAnsi"/>
                <w:sz w:val="22"/>
                <w:szCs w:val="22"/>
              </w:rPr>
              <w:t>Administer intravenous corticosteroid (</w:t>
            </w:r>
            <w:proofErr w:type="gramStart"/>
            <w:r w:rsidRPr="006D287B">
              <w:rPr>
                <w:rFonts w:asciiTheme="majorHAnsi" w:hAnsiTheme="majorHAnsi"/>
                <w:sz w:val="22"/>
                <w:szCs w:val="22"/>
              </w:rPr>
              <w:t>e.g.</w:t>
            </w:r>
            <w:proofErr w:type="gramEnd"/>
            <w:r w:rsidRPr="006D287B">
              <w:rPr>
                <w:rFonts w:asciiTheme="majorHAnsi" w:hAnsiTheme="majorHAnsi"/>
                <w:sz w:val="22"/>
                <w:szCs w:val="22"/>
              </w:rPr>
              <w:t xml:space="preserve"> 2 mg/kg/day methylprednisolone or equivalent)</w:t>
            </w:r>
          </w:p>
        </w:tc>
      </w:tr>
      <w:tr w:rsidR="000652B4" w:rsidRPr="000652B4" w14:paraId="75B831FE" w14:textId="77777777" w:rsidTr="00B55F74">
        <w:tc>
          <w:tcPr>
            <w:tcW w:w="941" w:type="pct"/>
          </w:tcPr>
          <w:p w14:paraId="4F9A24DB" w14:textId="77777777" w:rsidR="000652B4" w:rsidRDefault="00407F45" w:rsidP="006D287B">
            <w:pPr>
              <w:pStyle w:val="C-BodyText"/>
              <w:widowControl w:val="0"/>
              <w:spacing w:before="0" w:after="0" w:line="240" w:lineRule="auto"/>
              <w:rPr>
                <w:rFonts w:asciiTheme="majorHAnsi" w:eastAsia="MS Mincho" w:hAnsiTheme="majorHAnsi"/>
                <w:b/>
                <w:bCs/>
                <w:sz w:val="22"/>
                <w:szCs w:val="22"/>
                <w:lang w:eastAsia="ja-JP"/>
              </w:rPr>
            </w:pPr>
            <w:r>
              <w:rPr>
                <w:rFonts w:asciiTheme="majorHAnsi" w:eastAsia="MS Mincho" w:hAnsiTheme="majorHAnsi"/>
                <w:b/>
                <w:bCs/>
                <w:sz w:val="22"/>
                <w:szCs w:val="22"/>
                <w:lang w:eastAsia="ja-JP"/>
              </w:rPr>
              <w:t>Elevated liver enzymes</w:t>
            </w:r>
          </w:p>
          <w:p w14:paraId="437D61E7" w14:textId="2895843B" w:rsidR="00407F45" w:rsidRDefault="00407F45" w:rsidP="006D287B">
            <w:pPr>
              <w:pStyle w:val="C-BodyText"/>
              <w:widowControl w:val="0"/>
              <w:spacing w:before="0" w:after="0" w:line="240" w:lineRule="auto"/>
              <w:rPr>
                <w:rFonts w:asciiTheme="majorHAnsi" w:eastAsia="MS Mincho" w:hAnsiTheme="majorHAnsi"/>
                <w:b/>
                <w:bCs/>
                <w:sz w:val="22"/>
                <w:szCs w:val="22"/>
                <w:lang w:eastAsia="ja-JP"/>
              </w:rPr>
            </w:pPr>
            <w:r w:rsidRPr="002D74FD">
              <w:rPr>
                <w:rFonts w:asciiTheme="majorHAnsi" w:eastAsia="MS Mincho" w:hAnsiTheme="majorHAnsi"/>
                <w:sz w:val="22"/>
                <w:szCs w:val="22"/>
                <w:lang w:eastAsia="ja-JP"/>
              </w:rPr>
              <w:t xml:space="preserve">[see Section 4.4 </w:t>
            </w:r>
            <w:r w:rsidRPr="002D74FD">
              <w:rPr>
                <w:rFonts w:asciiTheme="majorHAnsi" w:eastAsia="MS Mincho" w:hAnsiTheme="majorHAnsi"/>
                <w:sz w:val="22"/>
                <w:szCs w:val="22"/>
                <w:lang w:eastAsia="ja-JP"/>
              </w:rPr>
              <w:fldChar w:fldCharType="begin"/>
            </w:r>
            <w:r w:rsidRPr="002D74FD">
              <w:rPr>
                <w:rFonts w:asciiTheme="majorHAnsi" w:eastAsia="MS Mincho" w:hAnsiTheme="majorHAnsi"/>
                <w:sz w:val="22"/>
                <w:szCs w:val="22"/>
                <w:lang w:eastAsia="ja-JP"/>
              </w:rPr>
              <w:instrText xml:space="preserve"> REF _Ref80367115 \h  \* MERGEFORMAT </w:instrText>
            </w:r>
            <w:r w:rsidRPr="002D74FD">
              <w:rPr>
                <w:rFonts w:asciiTheme="majorHAnsi" w:eastAsia="MS Mincho" w:hAnsiTheme="majorHAnsi"/>
                <w:sz w:val="22"/>
                <w:szCs w:val="22"/>
                <w:lang w:eastAsia="ja-JP"/>
              </w:rPr>
            </w:r>
            <w:r w:rsidRPr="002D74FD">
              <w:rPr>
                <w:rFonts w:asciiTheme="majorHAnsi" w:eastAsia="MS Mincho" w:hAnsiTheme="majorHAnsi"/>
                <w:sz w:val="22"/>
                <w:szCs w:val="22"/>
                <w:lang w:eastAsia="ja-JP"/>
              </w:rPr>
              <w:fldChar w:fldCharType="separate"/>
            </w:r>
            <w:r w:rsidR="00012F31" w:rsidRPr="006D287B">
              <w:rPr>
                <w:rFonts w:asciiTheme="majorHAnsi" w:hAnsiTheme="majorHAnsi"/>
                <w:sz w:val="22"/>
                <w:szCs w:val="22"/>
              </w:rPr>
              <w:t>Special warnings and precautions for use</w:t>
            </w:r>
            <w:r w:rsidRPr="002D74FD">
              <w:rPr>
                <w:rFonts w:asciiTheme="majorHAnsi" w:eastAsia="MS Mincho" w:hAnsiTheme="majorHAnsi"/>
                <w:sz w:val="22"/>
                <w:szCs w:val="22"/>
                <w:lang w:eastAsia="ja-JP"/>
              </w:rPr>
              <w:fldChar w:fldCharType="end"/>
            </w:r>
            <w:r w:rsidRPr="002D74FD">
              <w:rPr>
                <w:rFonts w:asciiTheme="majorHAnsi" w:eastAsia="MS Mincho" w:hAnsiTheme="majorHAnsi"/>
                <w:sz w:val="22"/>
                <w:szCs w:val="22"/>
                <w:lang w:eastAsia="ja-JP"/>
              </w:rPr>
              <w:t>]</w:t>
            </w:r>
          </w:p>
        </w:tc>
        <w:tc>
          <w:tcPr>
            <w:tcW w:w="1494" w:type="pct"/>
          </w:tcPr>
          <w:p w14:paraId="3C21BF2C" w14:textId="294ED720" w:rsidR="000652B4" w:rsidRDefault="00407F45" w:rsidP="006D287B">
            <w:pPr>
              <w:pStyle w:val="C-BodyText"/>
              <w:widowControl w:val="0"/>
              <w:spacing w:before="0" w:after="0" w:line="240" w:lineRule="auto"/>
              <w:rPr>
                <w:rFonts w:asciiTheme="majorHAnsi" w:eastAsia="MS Mincho" w:hAnsiTheme="majorHAnsi"/>
                <w:b/>
                <w:bCs/>
                <w:sz w:val="22"/>
                <w:szCs w:val="22"/>
                <w:lang w:eastAsia="ja-JP"/>
              </w:rPr>
            </w:pPr>
            <w:r w:rsidRPr="002D74FD">
              <w:rPr>
                <w:rFonts w:asciiTheme="majorHAnsi" w:eastAsia="MS Mincho" w:hAnsiTheme="majorHAnsi"/>
                <w:sz w:val="22"/>
                <w:szCs w:val="22"/>
                <w:lang w:eastAsia="ja-JP"/>
              </w:rPr>
              <w:t xml:space="preserve">Grade </w:t>
            </w:r>
            <w:r>
              <w:rPr>
                <w:rFonts w:asciiTheme="majorHAnsi" w:eastAsia="MS Mincho" w:hAnsiTheme="majorHAnsi"/>
                <w:sz w:val="22"/>
                <w:szCs w:val="22"/>
                <w:lang w:eastAsia="ja-JP"/>
              </w:rPr>
              <w:t>3</w:t>
            </w:r>
            <w:r w:rsidRPr="002D74FD">
              <w:rPr>
                <w:rFonts w:asciiTheme="majorHAnsi" w:eastAsia="MS Mincho" w:hAnsiTheme="majorHAnsi"/>
                <w:sz w:val="22"/>
                <w:szCs w:val="22"/>
                <w:lang w:eastAsia="ja-JP"/>
              </w:rPr>
              <w:t xml:space="preserve"> or </w:t>
            </w:r>
            <w:r>
              <w:rPr>
                <w:rFonts w:asciiTheme="majorHAnsi" w:eastAsia="MS Mincho" w:hAnsiTheme="majorHAnsi"/>
                <w:sz w:val="22"/>
                <w:szCs w:val="22"/>
                <w:lang w:eastAsia="ja-JP"/>
              </w:rPr>
              <w:t xml:space="preserve">4 </w:t>
            </w:r>
            <w:r w:rsidRPr="002D74FD">
              <w:rPr>
                <w:rFonts w:asciiTheme="majorHAnsi" w:eastAsia="MS Mincho" w:hAnsiTheme="majorHAnsi"/>
                <w:sz w:val="22"/>
                <w:szCs w:val="22"/>
                <w:vertAlign w:val="superscript"/>
                <w:lang w:eastAsia="ja-JP"/>
              </w:rPr>
              <w:t>a</w:t>
            </w:r>
          </w:p>
        </w:tc>
        <w:tc>
          <w:tcPr>
            <w:tcW w:w="2565" w:type="pct"/>
          </w:tcPr>
          <w:p w14:paraId="1D2D0A53" w14:textId="77777777" w:rsidR="00407F45" w:rsidRDefault="00407F45" w:rsidP="006D287B">
            <w:pPr>
              <w:pStyle w:val="C-BodyText"/>
              <w:widowControl w:val="0"/>
              <w:numPr>
                <w:ilvl w:val="0"/>
                <w:numId w:val="40"/>
              </w:numPr>
              <w:spacing w:before="0" w:after="0" w:line="240" w:lineRule="auto"/>
              <w:ind w:left="357" w:hanging="357"/>
              <w:rPr>
                <w:rFonts w:asciiTheme="majorHAnsi" w:hAnsiTheme="majorHAnsi"/>
                <w:sz w:val="22"/>
                <w:szCs w:val="22"/>
              </w:rPr>
            </w:pPr>
            <w:r w:rsidRPr="002D74FD">
              <w:rPr>
                <w:rFonts w:asciiTheme="majorHAnsi" w:hAnsiTheme="majorHAnsi"/>
                <w:sz w:val="22"/>
                <w:szCs w:val="22"/>
              </w:rPr>
              <w:t xml:space="preserve">Withhold KIMMTRAK until </w:t>
            </w:r>
            <w:r>
              <w:rPr>
                <w:rFonts w:asciiTheme="majorHAnsi" w:hAnsiTheme="majorHAnsi"/>
                <w:sz w:val="22"/>
                <w:szCs w:val="22"/>
              </w:rPr>
              <w:t>≤</w:t>
            </w:r>
            <w:r w:rsidRPr="002D74FD">
              <w:rPr>
                <w:rFonts w:asciiTheme="majorHAnsi" w:hAnsiTheme="majorHAnsi"/>
                <w:sz w:val="22"/>
                <w:szCs w:val="22"/>
              </w:rPr>
              <w:t xml:space="preserve">Grade 1 </w:t>
            </w:r>
            <w:r>
              <w:rPr>
                <w:rFonts w:asciiTheme="majorHAnsi" w:hAnsiTheme="majorHAnsi"/>
                <w:sz w:val="22"/>
                <w:szCs w:val="22"/>
              </w:rPr>
              <w:t>or baseline</w:t>
            </w:r>
          </w:p>
          <w:p w14:paraId="145E58AA" w14:textId="77777777" w:rsidR="00916A0C" w:rsidRDefault="00407F45" w:rsidP="00916A0C">
            <w:pPr>
              <w:pStyle w:val="C-BodyText"/>
              <w:widowControl w:val="0"/>
              <w:numPr>
                <w:ilvl w:val="0"/>
                <w:numId w:val="40"/>
              </w:numPr>
              <w:spacing w:before="0" w:after="0" w:line="240" w:lineRule="auto"/>
              <w:ind w:left="357" w:hanging="357"/>
              <w:rPr>
                <w:rFonts w:asciiTheme="majorHAnsi" w:hAnsiTheme="majorHAnsi"/>
                <w:sz w:val="22"/>
                <w:szCs w:val="22"/>
              </w:rPr>
            </w:pPr>
            <w:r w:rsidRPr="00407F45">
              <w:rPr>
                <w:rFonts w:asciiTheme="majorHAnsi" w:hAnsiTheme="majorHAnsi"/>
                <w:sz w:val="22"/>
                <w:szCs w:val="22"/>
              </w:rPr>
              <w:t>Administer intravenous corticosteroids if no improvement within 24 hours</w:t>
            </w:r>
            <w:r w:rsidR="00916A0C" w:rsidRPr="00916A0C">
              <w:rPr>
                <w:rFonts w:asciiTheme="majorHAnsi" w:hAnsiTheme="majorHAnsi"/>
                <w:sz w:val="22"/>
                <w:szCs w:val="22"/>
              </w:rPr>
              <w:t xml:space="preserve"> </w:t>
            </w:r>
          </w:p>
          <w:p w14:paraId="75AFD62B" w14:textId="1CC32D60" w:rsidR="00ED4EAF" w:rsidRPr="00ED4EAF" w:rsidRDefault="00ED4EAF" w:rsidP="006D287B">
            <w:pPr>
              <w:pStyle w:val="C-BodyText"/>
              <w:widowControl w:val="0"/>
              <w:numPr>
                <w:ilvl w:val="0"/>
                <w:numId w:val="40"/>
              </w:numPr>
              <w:spacing w:before="0" w:after="0" w:line="240" w:lineRule="auto"/>
              <w:ind w:left="357" w:hanging="357"/>
              <w:rPr>
                <w:rFonts w:asciiTheme="majorHAnsi" w:hAnsiTheme="majorHAnsi"/>
                <w:sz w:val="22"/>
                <w:szCs w:val="22"/>
              </w:rPr>
            </w:pPr>
            <w:r>
              <w:rPr>
                <w:rFonts w:asciiTheme="majorHAnsi" w:hAnsiTheme="majorHAnsi"/>
                <w:sz w:val="22"/>
                <w:szCs w:val="22"/>
              </w:rPr>
              <w:t>R</w:t>
            </w:r>
            <w:r w:rsidRPr="000652B4">
              <w:rPr>
                <w:rFonts w:asciiTheme="majorHAnsi" w:hAnsiTheme="majorHAnsi"/>
                <w:sz w:val="22"/>
                <w:szCs w:val="22"/>
              </w:rPr>
              <w:t xml:space="preserve">esume KIMMTRAK </w:t>
            </w:r>
            <w:r>
              <w:rPr>
                <w:rFonts w:asciiTheme="majorHAnsi" w:hAnsiTheme="majorHAnsi"/>
                <w:sz w:val="22"/>
                <w:szCs w:val="22"/>
              </w:rPr>
              <w:t>at same dose level</w:t>
            </w:r>
            <w:r w:rsidR="00811220">
              <w:rPr>
                <w:rFonts w:asciiTheme="majorHAnsi" w:hAnsiTheme="majorHAnsi"/>
                <w:sz w:val="22"/>
                <w:szCs w:val="22"/>
              </w:rPr>
              <w:t xml:space="preserve">. If </w:t>
            </w:r>
            <w:r w:rsidR="009B01A1">
              <w:rPr>
                <w:rFonts w:asciiTheme="majorHAnsi" w:hAnsiTheme="majorHAnsi"/>
                <w:sz w:val="22"/>
                <w:szCs w:val="22"/>
              </w:rPr>
              <w:t>the event occur</w:t>
            </w:r>
            <w:r w:rsidR="00811220">
              <w:rPr>
                <w:rFonts w:asciiTheme="majorHAnsi" w:hAnsiTheme="majorHAnsi"/>
                <w:sz w:val="22"/>
                <w:szCs w:val="22"/>
              </w:rPr>
              <w:t>red</w:t>
            </w:r>
            <w:r w:rsidR="009B01A1">
              <w:rPr>
                <w:rFonts w:asciiTheme="majorHAnsi" w:hAnsiTheme="majorHAnsi"/>
                <w:sz w:val="22"/>
                <w:szCs w:val="22"/>
              </w:rPr>
              <w:t xml:space="preserve"> during dose</w:t>
            </w:r>
            <w:r>
              <w:rPr>
                <w:rFonts w:asciiTheme="majorHAnsi" w:hAnsiTheme="majorHAnsi"/>
                <w:sz w:val="22"/>
                <w:szCs w:val="22"/>
              </w:rPr>
              <w:t xml:space="preserve"> escalat</w:t>
            </w:r>
            <w:r w:rsidR="009B01A1">
              <w:rPr>
                <w:rFonts w:asciiTheme="majorHAnsi" w:hAnsiTheme="majorHAnsi"/>
                <w:sz w:val="22"/>
                <w:szCs w:val="22"/>
              </w:rPr>
              <w:t>ion</w:t>
            </w:r>
            <w:r w:rsidR="00811220">
              <w:rPr>
                <w:rFonts w:asciiTheme="majorHAnsi" w:hAnsiTheme="majorHAnsi"/>
                <w:sz w:val="22"/>
                <w:szCs w:val="22"/>
              </w:rPr>
              <w:t>,</w:t>
            </w:r>
            <w:r>
              <w:rPr>
                <w:rFonts w:asciiTheme="majorHAnsi" w:hAnsiTheme="majorHAnsi"/>
                <w:sz w:val="22"/>
                <w:szCs w:val="22"/>
              </w:rPr>
              <w:t xml:space="preserve"> </w:t>
            </w:r>
            <w:r w:rsidR="00811220">
              <w:rPr>
                <w:rFonts w:asciiTheme="majorHAnsi" w:hAnsiTheme="majorHAnsi"/>
                <w:sz w:val="22"/>
                <w:szCs w:val="22"/>
              </w:rPr>
              <w:t xml:space="preserve">escalate dose as planned, </w:t>
            </w:r>
            <w:proofErr w:type="gramStart"/>
            <w:r w:rsidR="00811220">
              <w:rPr>
                <w:rFonts w:asciiTheme="majorHAnsi" w:hAnsiTheme="majorHAnsi"/>
                <w:sz w:val="22"/>
                <w:szCs w:val="22"/>
              </w:rPr>
              <w:t>as long as</w:t>
            </w:r>
            <w:proofErr w:type="gramEnd"/>
            <w:r w:rsidR="00811220">
              <w:rPr>
                <w:rFonts w:asciiTheme="majorHAnsi" w:hAnsiTheme="majorHAnsi"/>
                <w:sz w:val="22"/>
                <w:szCs w:val="22"/>
              </w:rPr>
              <w:t xml:space="preserve"> there are </w:t>
            </w:r>
            <w:r>
              <w:rPr>
                <w:rFonts w:asciiTheme="majorHAnsi" w:hAnsiTheme="majorHAnsi"/>
                <w:sz w:val="22"/>
                <w:szCs w:val="22"/>
              </w:rPr>
              <w:t>no other concurrent ≥grade 3 adverse reactions</w:t>
            </w:r>
            <w:r w:rsidR="00811220">
              <w:rPr>
                <w:rFonts w:asciiTheme="majorHAnsi" w:hAnsiTheme="majorHAnsi"/>
                <w:sz w:val="22"/>
                <w:szCs w:val="22"/>
              </w:rPr>
              <w:t>.</w:t>
            </w:r>
          </w:p>
        </w:tc>
      </w:tr>
      <w:tr w:rsidR="00540897" w:rsidRPr="000652B4" w14:paraId="567B1064" w14:textId="77777777" w:rsidTr="00B55F74">
        <w:trPr>
          <w:trHeight w:val="1678"/>
        </w:trPr>
        <w:tc>
          <w:tcPr>
            <w:tcW w:w="941" w:type="pct"/>
            <w:vMerge w:val="restart"/>
          </w:tcPr>
          <w:p w14:paraId="279575EF" w14:textId="3E885B57" w:rsidR="00540897" w:rsidRPr="00540897" w:rsidRDefault="00540897" w:rsidP="006D287B">
            <w:pPr>
              <w:pStyle w:val="C-BodyText"/>
              <w:widowControl w:val="0"/>
              <w:spacing w:before="0" w:after="0" w:line="240" w:lineRule="auto"/>
              <w:rPr>
                <w:rFonts w:asciiTheme="majorHAnsi" w:eastAsia="MS Mincho" w:hAnsiTheme="majorHAnsi"/>
                <w:b/>
                <w:bCs/>
                <w:sz w:val="22"/>
                <w:szCs w:val="22"/>
                <w:lang w:eastAsia="ja-JP"/>
              </w:rPr>
            </w:pPr>
            <w:r>
              <w:rPr>
                <w:rFonts w:asciiTheme="majorHAnsi" w:eastAsia="MS Mincho" w:hAnsiTheme="majorHAnsi"/>
                <w:b/>
                <w:bCs/>
                <w:sz w:val="22"/>
                <w:szCs w:val="22"/>
                <w:lang w:eastAsia="ja-JP"/>
              </w:rPr>
              <w:t>Other adverse reactions</w:t>
            </w:r>
          </w:p>
          <w:p w14:paraId="31500E8D" w14:textId="1959A798" w:rsidR="00540897" w:rsidRDefault="00540897" w:rsidP="006D287B">
            <w:pPr>
              <w:pStyle w:val="C-BodyText"/>
              <w:widowControl w:val="0"/>
              <w:spacing w:before="0" w:after="0" w:line="240" w:lineRule="auto"/>
              <w:rPr>
                <w:rFonts w:asciiTheme="majorHAnsi" w:eastAsia="MS Mincho" w:hAnsiTheme="majorHAnsi"/>
                <w:b/>
                <w:bCs/>
                <w:sz w:val="22"/>
                <w:szCs w:val="22"/>
                <w:lang w:eastAsia="ja-JP"/>
              </w:rPr>
            </w:pPr>
            <w:r w:rsidRPr="006D287B">
              <w:rPr>
                <w:rFonts w:asciiTheme="majorHAnsi" w:eastAsia="MS Mincho" w:hAnsiTheme="majorHAnsi"/>
                <w:sz w:val="22"/>
                <w:szCs w:val="22"/>
                <w:lang w:eastAsia="ja-JP"/>
              </w:rPr>
              <w:t>[</w:t>
            </w:r>
            <w:r>
              <w:rPr>
                <w:rFonts w:asciiTheme="majorHAnsi" w:eastAsia="MS Mincho" w:hAnsiTheme="majorHAnsi"/>
                <w:sz w:val="22"/>
                <w:szCs w:val="22"/>
                <w:lang w:eastAsia="ja-JP"/>
              </w:rPr>
              <w:t>see</w:t>
            </w:r>
            <w:r w:rsidRPr="00540897">
              <w:rPr>
                <w:rFonts w:asciiTheme="majorHAnsi" w:eastAsia="MS Mincho" w:hAnsiTheme="majorHAnsi"/>
                <w:sz w:val="22"/>
                <w:szCs w:val="22"/>
                <w:lang w:eastAsia="ja-JP"/>
              </w:rPr>
              <w:t xml:space="preserve"> Section 4.8 </w:t>
            </w:r>
            <w:r w:rsidRPr="00FB39CF">
              <w:rPr>
                <w:rFonts w:asciiTheme="majorHAnsi" w:eastAsia="MS Mincho" w:hAnsiTheme="majorHAnsi"/>
                <w:sz w:val="22"/>
                <w:szCs w:val="22"/>
                <w:lang w:eastAsia="ja-JP"/>
              </w:rPr>
              <w:fldChar w:fldCharType="begin"/>
            </w:r>
            <w:r w:rsidRPr="00540897">
              <w:rPr>
                <w:rFonts w:asciiTheme="majorHAnsi" w:eastAsia="MS Mincho" w:hAnsiTheme="majorHAnsi"/>
                <w:sz w:val="22"/>
                <w:szCs w:val="22"/>
                <w:lang w:eastAsia="ja-JP"/>
              </w:rPr>
              <w:instrText xml:space="preserve"> REF _Ref98430191 \h  \* MERGEFORMAT </w:instrText>
            </w:r>
            <w:r w:rsidRPr="00FB39CF">
              <w:rPr>
                <w:rFonts w:asciiTheme="majorHAnsi" w:eastAsia="MS Mincho" w:hAnsiTheme="majorHAnsi"/>
                <w:sz w:val="22"/>
                <w:szCs w:val="22"/>
                <w:lang w:eastAsia="ja-JP"/>
              </w:rPr>
            </w:r>
            <w:r w:rsidRPr="00FB39CF">
              <w:rPr>
                <w:rFonts w:asciiTheme="majorHAnsi" w:eastAsia="MS Mincho" w:hAnsiTheme="majorHAnsi"/>
                <w:sz w:val="22"/>
                <w:szCs w:val="22"/>
                <w:lang w:eastAsia="ja-JP"/>
              </w:rPr>
              <w:fldChar w:fldCharType="separate"/>
            </w:r>
            <w:r w:rsidR="00012F31" w:rsidRPr="006D287B">
              <w:rPr>
                <w:rFonts w:asciiTheme="majorHAnsi" w:hAnsiTheme="majorHAnsi"/>
                <w:sz w:val="22"/>
                <w:szCs w:val="22"/>
              </w:rPr>
              <w:t>Adverse effects (Undesirable effects)</w:t>
            </w:r>
            <w:r w:rsidRPr="00FB39CF">
              <w:rPr>
                <w:rFonts w:asciiTheme="majorHAnsi" w:eastAsia="MS Mincho" w:hAnsiTheme="majorHAnsi"/>
                <w:sz w:val="22"/>
                <w:szCs w:val="22"/>
                <w:lang w:eastAsia="ja-JP"/>
              </w:rPr>
              <w:fldChar w:fldCharType="end"/>
            </w:r>
            <w:r>
              <w:rPr>
                <w:rFonts w:asciiTheme="majorHAnsi" w:eastAsia="MS Mincho" w:hAnsiTheme="majorHAnsi"/>
                <w:sz w:val="22"/>
                <w:szCs w:val="22"/>
                <w:lang w:eastAsia="ja-JP"/>
              </w:rPr>
              <w:t>]</w:t>
            </w:r>
          </w:p>
        </w:tc>
        <w:tc>
          <w:tcPr>
            <w:tcW w:w="1494" w:type="pct"/>
          </w:tcPr>
          <w:p w14:paraId="674B13D5" w14:textId="0BB87B45" w:rsidR="00540897" w:rsidRDefault="00540897" w:rsidP="006D287B">
            <w:pPr>
              <w:pStyle w:val="C-BodyText"/>
              <w:widowControl w:val="0"/>
              <w:spacing w:before="0" w:after="0" w:line="240" w:lineRule="auto"/>
              <w:rPr>
                <w:rFonts w:asciiTheme="majorHAnsi" w:eastAsia="MS Mincho" w:hAnsiTheme="majorHAnsi"/>
                <w:b/>
                <w:bCs/>
                <w:sz w:val="22"/>
                <w:szCs w:val="22"/>
                <w:lang w:eastAsia="ja-JP"/>
              </w:rPr>
            </w:pPr>
            <w:r w:rsidRPr="002D74FD">
              <w:rPr>
                <w:rFonts w:asciiTheme="majorHAnsi" w:eastAsia="MS Mincho" w:hAnsiTheme="majorHAnsi"/>
                <w:sz w:val="22"/>
                <w:szCs w:val="22"/>
                <w:lang w:eastAsia="ja-JP"/>
              </w:rPr>
              <w:t>Grade 3</w:t>
            </w:r>
            <w:r>
              <w:rPr>
                <w:rFonts w:asciiTheme="majorHAnsi" w:eastAsia="MS Mincho" w:hAnsiTheme="majorHAnsi"/>
                <w:sz w:val="22"/>
                <w:szCs w:val="22"/>
                <w:lang w:eastAsia="ja-JP"/>
              </w:rPr>
              <w:t xml:space="preserve"> </w:t>
            </w:r>
            <w:r w:rsidRPr="002D74FD">
              <w:rPr>
                <w:rFonts w:asciiTheme="majorHAnsi" w:eastAsia="MS Mincho" w:hAnsiTheme="majorHAnsi"/>
                <w:sz w:val="22"/>
                <w:szCs w:val="22"/>
                <w:vertAlign w:val="superscript"/>
                <w:lang w:eastAsia="ja-JP"/>
              </w:rPr>
              <w:t>a</w:t>
            </w:r>
          </w:p>
        </w:tc>
        <w:tc>
          <w:tcPr>
            <w:tcW w:w="2565" w:type="pct"/>
          </w:tcPr>
          <w:p w14:paraId="33ACD198" w14:textId="77777777" w:rsidR="00540897" w:rsidRDefault="00540897" w:rsidP="006D287B">
            <w:pPr>
              <w:pStyle w:val="C-BodyText"/>
              <w:widowControl w:val="0"/>
              <w:numPr>
                <w:ilvl w:val="0"/>
                <w:numId w:val="40"/>
              </w:numPr>
              <w:spacing w:before="0" w:after="0" w:line="240" w:lineRule="auto"/>
              <w:ind w:left="357" w:hanging="357"/>
              <w:rPr>
                <w:rFonts w:asciiTheme="majorHAnsi" w:hAnsiTheme="majorHAnsi"/>
                <w:sz w:val="22"/>
                <w:szCs w:val="22"/>
              </w:rPr>
            </w:pPr>
            <w:r w:rsidRPr="002D74FD">
              <w:rPr>
                <w:rFonts w:asciiTheme="majorHAnsi" w:hAnsiTheme="majorHAnsi"/>
                <w:sz w:val="22"/>
                <w:szCs w:val="22"/>
              </w:rPr>
              <w:t xml:space="preserve">Withhold KIMMTRAK until </w:t>
            </w:r>
            <w:r>
              <w:rPr>
                <w:rFonts w:asciiTheme="majorHAnsi" w:hAnsiTheme="majorHAnsi"/>
                <w:sz w:val="22"/>
                <w:szCs w:val="22"/>
              </w:rPr>
              <w:t>≤</w:t>
            </w:r>
            <w:r w:rsidRPr="002D74FD">
              <w:rPr>
                <w:rFonts w:asciiTheme="majorHAnsi" w:hAnsiTheme="majorHAnsi"/>
                <w:sz w:val="22"/>
                <w:szCs w:val="22"/>
              </w:rPr>
              <w:t xml:space="preserve">Grade 1 </w:t>
            </w:r>
            <w:r>
              <w:rPr>
                <w:rFonts w:asciiTheme="majorHAnsi" w:hAnsiTheme="majorHAnsi"/>
                <w:sz w:val="22"/>
                <w:szCs w:val="22"/>
              </w:rPr>
              <w:t>or baseline</w:t>
            </w:r>
          </w:p>
          <w:p w14:paraId="4644BFB3" w14:textId="60946290" w:rsidR="00540897" w:rsidRPr="00540897" w:rsidRDefault="00540897" w:rsidP="006D287B">
            <w:pPr>
              <w:pStyle w:val="C-BodyText"/>
              <w:widowControl w:val="0"/>
              <w:numPr>
                <w:ilvl w:val="0"/>
                <w:numId w:val="40"/>
              </w:numPr>
              <w:spacing w:before="0" w:after="0" w:line="240" w:lineRule="auto"/>
              <w:ind w:left="357" w:hanging="357"/>
              <w:rPr>
                <w:rFonts w:asciiTheme="majorHAnsi" w:hAnsiTheme="majorHAnsi"/>
                <w:sz w:val="22"/>
                <w:szCs w:val="22"/>
              </w:rPr>
            </w:pPr>
            <w:r>
              <w:rPr>
                <w:rFonts w:asciiTheme="majorHAnsi" w:hAnsiTheme="majorHAnsi"/>
                <w:sz w:val="22"/>
                <w:szCs w:val="22"/>
              </w:rPr>
              <w:t>R</w:t>
            </w:r>
            <w:r w:rsidRPr="002D74FD">
              <w:rPr>
                <w:rFonts w:asciiTheme="majorHAnsi" w:hAnsiTheme="majorHAnsi"/>
                <w:sz w:val="22"/>
                <w:szCs w:val="22"/>
              </w:rPr>
              <w:t>esume KIMMTRAK at same dose level</w:t>
            </w:r>
            <w:r>
              <w:rPr>
                <w:rFonts w:asciiTheme="majorHAnsi" w:hAnsiTheme="majorHAnsi"/>
                <w:sz w:val="22"/>
                <w:szCs w:val="22"/>
              </w:rPr>
              <w:t xml:space="preserve"> </w:t>
            </w:r>
            <w:r w:rsidRPr="002D74FD">
              <w:rPr>
                <w:rFonts w:asciiTheme="majorHAnsi" w:hAnsiTheme="majorHAnsi"/>
                <w:sz w:val="22"/>
                <w:szCs w:val="22"/>
                <w:vertAlign w:val="superscript"/>
              </w:rPr>
              <w:t>b</w:t>
            </w:r>
          </w:p>
        </w:tc>
      </w:tr>
      <w:tr w:rsidR="00540897" w:rsidRPr="000652B4" w14:paraId="765BB713" w14:textId="77777777" w:rsidTr="00B55F74">
        <w:tc>
          <w:tcPr>
            <w:tcW w:w="941" w:type="pct"/>
            <w:vMerge/>
          </w:tcPr>
          <w:p w14:paraId="27547886" w14:textId="77777777" w:rsidR="00540897" w:rsidRDefault="00540897" w:rsidP="006D287B">
            <w:pPr>
              <w:pStyle w:val="C-BodyText"/>
              <w:widowControl w:val="0"/>
              <w:spacing w:before="0" w:after="0" w:line="240" w:lineRule="auto"/>
              <w:rPr>
                <w:rFonts w:asciiTheme="majorHAnsi" w:eastAsia="MS Mincho" w:hAnsiTheme="majorHAnsi"/>
                <w:b/>
                <w:bCs/>
                <w:sz w:val="22"/>
                <w:szCs w:val="22"/>
                <w:lang w:eastAsia="ja-JP"/>
              </w:rPr>
            </w:pPr>
          </w:p>
        </w:tc>
        <w:tc>
          <w:tcPr>
            <w:tcW w:w="1494" w:type="pct"/>
          </w:tcPr>
          <w:p w14:paraId="6EA081DF" w14:textId="6D55EEB6" w:rsidR="00540897" w:rsidRDefault="00540897" w:rsidP="006D287B">
            <w:pPr>
              <w:pStyle w:val="C-BodyText"/>
              <w:widowControl w:val="0"/>
              <w:spacing w:before="0" w:after="0" w:line="240" w:lineRule="auto"/>
              <w:rPr>
                <w:rFonts w:asciiTheme="majorHAnsi" w:eastAsia="MS Mincho" w:hAnsiTheme="majorHAnsi"/>
                <w:b/>
                <w:bCs/>
                <w:sz w:val="22"/>
                <w:szCs w:val="22"/>
                <w:lang w:eastAsia="ja-JP"/>
              </w:rPr>
            </w:pPr>
            <w:r w:rsidRPr="002D74FD">
              <w:rPr>
                <w:rFonts w:asciiTheme="majorHAnsi" w:eastAsia="MS Mincho" w:hAnsiTheme="majorHAnsi"/>
                <w:sz w:val="22"/>
                <w:szCs w:val="22"/>
                <w:lang w:eastAsia="ja-JP"/>
              </w:rPr>
              <w:t>Grade 4</w:t>
            </w:r>
            <w:r>
              <w:rPr>
                <w:rFonts w:asciiTheme="majorHAnsi" w:eastAsia="MS Mincho" w:hAnsiTheme="majorHAnsi"/>
                <w:sz w:val="22"/>
                <w:szCs w:val="22"/>
                <w:lang w:eastAsia="ja-JP"/>
              </w:rPr>
              <w:t xml:space="preserve"> </w:t>
            </w:r>
            <w:r w:rsidRPr="002D74FD">
              <w:rPr>
                <w:rFonts w:asciiTheme="majorHAnsi" w:eastAsia="MS Mincho" w:hAnsiTheme="majorHAnsi"/>
                <w:sz w:val="22"/>
                <w:szCs w:val="22"/>
                <w:vertAlign w:val="superscript"/>
                <w:lang w:eastAsia="ja-JP"/>
              </w:rPr>
              <w:t>a</w:t>
            </w:r>
          </w:p>
        </w:tc>
        <w:tc>
          <w:tcPr>
            <w:tcW w:w="2565" w:type="pct"/>
          </w:tcPr>
          <w:p w14:paraId="1EA33602" w14:textId="7B190243" w:rsidR="00540897" w:rsidRPr="000652B4" w:rsidRDefault="00540897" w:rsidP="006D287B">
            <w:pPr>
              <w:pStyle w:val="C-BodyText"/>
              <w:widowControl w:val="0"/>
              <w:numPr>
                <w:ilvl w:val="0"/>
                <w:numId w:val="40"/>
              </w:numPr>
              <w:spacing w:before="0" w:after="0" w:line="240" w:lineRule="auto"/>
              <w:ind w:left="357" w:hanging="357"/>
              <w:rPr>
                <w:rFonts w:asciiTheme="majorHAnsi" w:hAnsiTheme="majorHAnsi"/>
                <w:sz w:val="22"/>
                <w:szCs w:val="22"/>
              </w:rPr>
            </w:pPr>
            <w:r w:rsidRPr="00540897">
              <w:rPr>
                <w:rFonts w:asciiTheme="majorHAnsi" w:hAnsiTheme="majorHAnsi"/>
                <w:sz w:val="22"/>
                <w:szCs w:val="22"/>
              </w:rPr>
              <w:t>Permanently discontinue KIMMTRAK</w:t>
            </w:r>
          </w:p>
        </w:tc>
      </w:tr>
    </w:tbl>
    <w:p w14:paraId="37DB82A2" w14:textId="77777777" w:rsidR="000C580B" w:rsidRDefault="000C580B" w:rsidP="006D287B">
      <w:pPr>
        <w:spacing w:after="0"/>
        <w:ind w:left="284" w:hanging="284"/>
        <w:rPr>
          <w:sz w:val="20"/>
          <w:szCs w:val="20"/>
        </w:rPr>
      </w:pPr>
      <w:r w:rsidRPr="006D287B">
        <w:rPr>
          <w:vertAlign w:val="superscript"/>
          <w:lang w:val="en-GB"/>
        </w:rPr>
        <w:t>a</w:t>
      </w:r>
      <w:r>
        <w:tab/>
      </w:r>
      <w:r w:rsidR="000652B4" w:rsidRPr="00B31AEC">
        <w:rPr>
          <w:sz w:val="20"/>
          <w:szCs w:val="20"/>
        </w:rPr>
        <w:t>National Cancer Institute Common Terminology Criteria for Adverse Events (CTCAE) version 4.03 (NCI CTCAEv4.03)</w:t>
      </w:r>
    </w:p>
    <w:p w14:paraId="602CE854" w14:textId="6A15A605" w:rsidR="00A72A0B" w:rsidRPr="00B31AEC" w:rsidRDefault="000C580B" w:rsidP="00C1526B">
      <w:pPr>
        <w:spacing w:after="0"/>
        <w:ind w:left="284" w:hanging="284"/>
        <w:rPr>
          <w:b/>
          <w:bCs/>
          <w:sz w:val="20"/>
          <w:szCs w:val="20"/>
        </w:rPr>
      </w:pPr>
      <w:r w:rsidRPr="006D287B">
        <w:rPr>
          <w:sz w:val="20"/>
          <w:szCs w:val="20"/>
          <w:vertAlign w:val="superscript"/>
        </w:rPr>
        <w:t>b</w:t>
      </w:r>
      <w:r>
        <w:rPr>
          <w:sz w:val="20"/>
          <w:szCs w:val="20"/>
        </w:rPr>
        <w:tab/>
      </w:r>
      <w:r w:rsidR="009B01A1">
        <w:rPr>
          <w:sz w:val="20"/>
          <w:szCs w:val="20"/>
        </w:rPr>
        <w:t>I</w:t>
      </w:r>
      <w:r w:rsidRPr="00C1526B">
        <w:rPr>
          <w:sz w:val="20"/>
          <w:szCs w:val="20"/>
        </w:rPr>
        <w:t>f event occurred during initial dose escalation</w:t>
      </w:r>
      <w:r w:rsidR="009B01A1">
        <w:rPr>
          <w:sz w:val="20"/>
          <w:szCs w:val="20"/>
        </w:rPr>
        <w:t>,</w:t>
      </w:r>
      <w:r w:rsidR="009B01A1" w:rsidRPr="009B01A1">
        <w:rPr>
          <w:sz w:val="20"/>
          <w:szCs w:val="20"/>
        </w:rPr>
        <w:t xml:space="preserve"> </w:t>
      </w:r>
      <w:r w:rsidR="009B01A1">
        <w:rPr>
          <w:sz w:val="20"/>
          <w:szCs w:val="20"/>
        </w:rPr>
        <w:t>d</w:t>
      </w:r>
      <w:r w:rsidR="009B01A1" w:rsidRPr="00007FF6">
        <w:rPr>
          <w:sz w:val="20"/>
          <w:szCs w:val="20"/>
        </w:rPr>
        <w:t>o not continue to the next dose level</w:t>
      </w:r>
      <w:r w:rsidRPr="00B31AEC">
        <w:rPr>
          <w:sz w:val="20"/>
          <w:szCs w:val="20"/>
        </w:rPr>
        <w:t>: only resume escalation once current dose level is tolerated.</w:t>
      </w:r>
      <w:r w:rsidR="00811220">
        <w:rPr>
          <w:sz w:val="20"/>
          <w:szCs w:val="20"/>
        </w:rPr>
        <w:t xml:space="preserve"> If event occurred after escalation has been completed (at 68 mcg weekly dose) </w:t>
      </w:r>
      <w:proofErr w:type="gramStart"/>
      <w:r w:rsidR="00811220">
        <w:rPr>
          <w:sz w:val="20"/>
          <w:szCs w:val="20"/>
        </w:rPr>
        <w:t>continue on</w:t>
      </w:r>
      <w:proofErr w:type="gramEnd"/>
      <w:r w:rsidR="00811220">
        <w:rPr>
          <w:sz w:val="20"/>
          <w:szCs w:val="20"/>
        </w:rPr>
        <w:t xml:space="preserve"> 68 mcg dose. </w:t>
      </w:r>
    </w:p>
    <w:p w14:paraId="627C8720" w14:textId="77777777" w:rsidR="00AD3542" w:rsidRDefault="00AD3542" w:rsidP="00954258">
      <w:pPr>
        <w:rPr>
          <w:lang w:eastAsia="ja-JP"/>
        </w:rPr>
      </w:pPr>
    </w:p>
    <w:p w14:paraId="381AA9A3" w14:textId="00C328BC" w:rsidR="00383ACE" w:rsidRPr="00E40498" w:rsidRDefault="00D5779A" w:rsidP="00B31AEC">
      <w:pPr>
        <w:pStyle w:val="Heading3"/>
      </w:pPr>
      <w:r w:rsidRPr="00FB39CF">
        <w:lastRenderedPageBreak/>
        <w:t xml:space="preserve">Method of </w:t>
      </w:r>
      <w:r w:rsidR="006B2CD3" w:rsidRPr="00B8026E">
        <w:t>a</w:t>
      </w:r>
      <w:r w:rsidRPr="00B8026E">
        <w:t>dministration</w:t>
      </w:r>
    </w:p>
    <w:p w14:paraId="7C71FA33" w14:textId="77777777" w:rsidR="00FB39CF" w:rsidRDefault="00FB39CF" w:rsidP="00FB39CF">
      <w:pPr>
        <w:pStyle w:val="Heading4"/>
      </w:pPr>
      <w:r>
        <w:t xml:space="preserve">Equipment </w:t>
      </w:r>
    </w:p>
    <w:p w14:paraId="2F5EFF42" w14:textId="59FE5BEF" w:rsidR="00FB39CF" w:rsidRPr="007F1FD7" w:rsidRDefault="00FB39CF" w:rsidP="006D287B">
      <w:r>
        <w:t>Gather the following equipment</w:t>
      </w:r>
      <w:r w:rsidRPr="00E40498">
        <w:t xml:space="preserve"> prior to preparing KIMMTRAK for administration:</w:t>
      </w:r>
    </w:p>
    <w:p w14:paraId="1F6F6AF0" w14:textId="0E19BD0A" w:rsidR="00FB39CF" w:rsidRPr="00E40498" w:rsidRDefault="00FB39CF" w:rsidP="00FB39CF">
      <w:pPr>
        <w:pStyle w:val="ListParagraph"/>
        <w:numPr>
          <w:ilvl w:val="0"/>
          <w:numId w:val="31"/>
        </w:numPr>
      </w:pPr>
      <w:r w:rsidRPr="00E40498">
        <w:t>1 mL sterile syringes with graduations of 2 decimal places</w:t>
      </w:r>
    </w:p>
    <w:p w14:paraId="3E239068" w14:textId="22083EA5" w:rsidR="005E7C0E" w:rsidRPr="00E40498" w:rsidRDefault="00FB39CF" w:rsidP="00FB39CF">
      <w:pPr>
        <w:pStyle w:val="ListParagraph"/>
        <w:numPr>
          <w:ilvl w:val="0"/>
          <w:numId w:val="31"/>
        </w:numPr>
      </w:pPr>
      <w:r w:rsidRPr="00E40498">
        <w:t>Sterile needles</w:t>
      </w:r>
    </w:p>
    <w:p w14:paraId="3D222C88" w14:textId="25C0A994" w:rsidR="00FB39CF" w:rsidRPr="00E40498" w:rsidRDefault="005B0380" w:rsidP="005C5ACF">
      <w:pPr>
        <w:pStyle w:val="ListParagraph"/>
        <w:numPr>
          <w:ilvl w:val="0"/>
          <w:numId w:val="31"/>
        </w:numPr>
      </w:pPr>
      <w:r>
        <w:t>Locally sourced h</w:t>
      </w:r>
      <w:r w:rsidR="00FB39CF" w:rsidRPr="00E40498">
        <w:t xml:space="preserve">uman </w:t>
      </w:r>
      <w:r w:rsidR="00FB39CF">
        <w:t>a</w:t>
      </w:r>
      <w:r w:rsidR="00FB39CF" w:rsidRPr="00E40498">
        <w:t>lbumin</w:t>
      </w:r>
      <w:r w:rsidR="00FB39CF">
        <w:t xml:space="preserve"> (</w:t>
      </w:r>
      <w:r w:rsidR="00294D15">
        <w:t>see</w:t>
      </w:r>
      <w:r w:rsidR="005E7C0E">
        <w:t xml:space="preserve"> </w:t>
      </w:r>
      <w:r w:rsidR="005E7C0E">
        <w:fldChar w:fldCharType="begin"/>
      </w:r>
      <w:r w:rsidR="005E7C0E">
        <w:instrText xml:space="preserve"> REF _Ref100052675 \h </w:instrText>
      </w:r>
      <w:r w:rsidR="005E7C0E">
        <w:fldChar w:fldCharType="separate"/>
      </w:r>
      <w:r w:rsidR="00012F31">
        <w:t xml:space="preserve">Table </w:t>
      </w:r>
      <w:r w:rsidR="00012F31">
        <w:rPr>
          <w:noProof/>
        </w:rPr>
        <w:t>2</w:t>
      </w:r>
      <w:r w:rsidR="005E7C0E">
        <w:fldChar w:fldCharType="end"/>
      </w:r>
      <w:r w:rsidR="00294D15">
        <w:t xml:space="preserve">) </w:t>
      </w:r>
    </w:p>
    <w:p w14:paraId="71301518" w14:textId="51031C46" w:rsidR="00FB39CF" w:rsidRPr="00E40498" w:rsidRDefault="00FB39CF" w:rsidP="006D287B">
      <w:pPr>
        <w:pStyle w:val="ListParagraph"/>
        <w:numPr>
          <w:ilvl w:val="0"/>
          <w:numId w:val="31"/>
        </w:numPr>
      </w:pPr>
      <w:r w:rsidRPr="00E40498">
        <w:t>A 100 mL infusion bag containing sodium chloride 9 mg/mL (0.9%) solution for injection</w:t>
      </w:r>
      <w:r w:rsidR="005E7C0E">
        <w:t xml:space="preserve">. </w:t>
      </w:r>
      <w:r w:rsidRPr="00E40498">
        <w:t xml:space="preserve">The infusion bag should be constructed of </w:t>
      </w:r>
      <w:r w:rsidR="008A14D5" w:rsidRPr="00E40498">
        <w:t>polyvinyl chloride (PVC)</w:t>
      </w:r>
      <w:r w:rsidR="008A14D5">
        <w:t xml:space="preserve"> or </w:t>
      </w:r>
      <w:r w:rsidRPr="00E40498">
        <w:t>polyolefins (PO)</w:t>
      </w:r>
      <w:r w:rsidR="008A14D5">
        <w:t>,</w:t>
      </w:r>
      <w:r w:rsidRPr="00E40498">
        <w:t xml:space="preserve"> such as polyethylene (PE) and polypropylene (PP)</w:t>
      </w:r>
    </w:p>
    <w:p w14:paraId="65FA333E" w14:textId="646AFED5" w:rsidR="00FB39CF" w:rsidRDefault="00FB39CF" w:rsidP="006D287B">
      <w:pPr>
        <w:pStyle w:val="ListParagraph"/>
        <w:numPr>
          <w:ilvl w:val="0"/>
          <w:numId w:val="31"/>
        </w:numPr>
      </w:pPr>
      <w:r w:rsidRPr="00E40498">
        <w:t>A sterile, non-pyrogenic, low protein</w:t>
      </w:r>
      <w:r w:rsidR="008A14D5">
        <w:t>-</w:t>
      </w:r>
      <w:r w:rsidRPr="00E40498">
        <w:t>binding 0.2 micron in-line filter infusion set</w:t>
      </w:r>
    </w:p>
    <w:p w14:paraId="46E58301" w14:textId="6A7357BF" w:rsidR="00E04925" w:rsidRPr="007F1FD7" w:rsidRDefault="00E04925" w:rsidP="00954258">
      <w:pPr>
        <w:pStyle w:val="Heading4"/>
      </w:pPr>
      <w:r w:rsidRPr="000B4674">
        <w:t>Preparation</w:t>
      </w:r>
    </w:p>
    <w:p w14:paraId="61B4CDB6" w14:textId="4EEB70D3" w:rsidR="00FB39CF" w:rsidRPr="006D287B" w:rsidRDefault="00B8026E" w:rsidP="006D287B">
      <w:r w:rsidRPr="00E40498">
        <w:rPr>
          <w:lang w:eastAsia="ja-JP"/>
        </w:rPr>
        <w:t xml:space="preserve">A </w:t>
      </w:r>
      <w:r>
        <w:rPr>
          <w:lang w:eastAsia="ja-JP"/>
        </w:rPr>
        <w:t>two</w:t>
      </w:r>
      <w:r w:rsidRPr="00E40498">
        <w:rPr>
          <w:lang w:eastAsia="ja-JP"/>
        </w:rPr>
        <w:t xml:space="preserve">-step </w:t>
      </w:r>
      <w:r>
        <w:rPr>
          <w:lang w:eastAsia="ja-JP"/>
        </w:rPr>
        <w:t xml:space="preserve">dilution </w:t>
      </w:r>
      <w:r w:rsidRPr="00E40498">
        <w:rPr>
          <w:lang w:eastAsia="ja-JP"/>
        </w:rPr>
        <w:t>process is required for preparation of the final KIMMTRAK dose</w:t>
      </w:r>
      <w:r>
        <w:rPr>
          <w:lang w:eastAsia="ja-JP"/>
        </w:rPr>
        <w:t xml:space="preserve"> for infusion.</w:t>
      </w:r>
      <w:r w:rsidRPr="00FB39CF" w:rsidDel="00FB39CF">
        <w:t xml:space="preserve"> </w:t>
      </w:r>
      <w:r w:rsidRPr="00E40498">
        <w:rPr>
          <w:rFonts w:eastAsia="MS Mincho"/>
          <w:lang w:eastAsia="ja-JP"/>
        </w:rPr>
        <w:t>Use aseptic technique for dilution and preparation of solutions</w:t>
      </w:r>
      <w:r w:rsidR="00AF19BD">
        <w:rPr>
          <w:rFonts w:eastAsia="MS Mincho"/>
          <w:lang w:eastAsia="ja-JP"/>
        </w:rPr>
        <w:t xml:space="preserve"> for intravenous infusion</w:t>
      </w:r>
      <w:r w:rsidRPr="00E40498">
        <w:rPr>
          <w:rFonts w:eastAsia="MS Mincho"/>
          <w:lang w:eastAsia="ja-JP"/>
        </w:rPr>
        <w:t>.</w:t>
      </w:r>
      <w:r>
        <w:rPr>
          <w:rFonts w:eastAsia="MS Mincho"/>
          <w:lang w:eastAsia="ja-JP"/>
        </w:rPr>
        <w:t xml:space="preserve"> </w:t>
      </w:r>
      <w:r>
        <w:t>Visually inspect p</w:t>
      </w:r>
      <w:r w:rsidRPr="00EA7387">
        <w:t>arenteral drug products and infusion bags for particulate matter and discoloration prior to administration, whenever solution and container permit.</w:t>
      </w:r>
    </w:p>
    <w:p w14:paraId="3368ACFA" w14:textId="6604D1DD" w:rsidR="00E40498" w:rsidRPr="00AF19BD" w:rsidRDefault="00E40498" w:rsidP="00FB39CF">
      <w:r w:rsidRPr="00AF19BD">
        <w:t>Closed system transfer devices (CSTDs) must not be used for dose preparation of KIMMTRAK solution for infusion.</w:t>
      </w:r>
    </w:p>
    <w:p w14:paraId="28C10E48" w14:textId="77777777" w:rsidR="00E40498" w:rsidRPr="00E40498" w:rsidRDefault="00E40498" w:rsidP="00954258">
      <w:pPr>
        <w:rPr>
          <w:b/>
          <w:bCs/>
          <w:lang w:eastAsia="ja-JP"/>
        </w:rPr>
      </w:pPr>
      <w:bookmarkStart w:id="2" w:name="_Hlk58412767"/>
      <w:r w:rsidRPr="00E40498">
        <w:rPr>
          <w:b/>
          <w:bCs/>
          <w:lang w:eastAsia="ja-JP"/>
        </w:rPr>
        <w:t>Step 1: Prepare the infusion bag</w:t>
      </w:r>
    </w:p>
    <w:p w14:paraId="6B055E6A" w14:textId="47D556FE" w:rsidR="00E40498" w:rsidRPr="00E40498" w:rsidRDefault="00AF19BD" w:rsidP="00AF19BD">
      <w:pPr>
        <w:rPr>
          <w:lang w:eastAsia="ja-JP"/>
        </w:rPr>
      </w:pPr>
      <w:r>
        <w:rPr>
          <w:lang w:eastAsia="ja-JP"/>
        </w:rPr>
        <w:t xml:space="preserve">To prevent adsorption of </w:t>
      </w:r>
      <w:proofErr w:type="spellStart"/>
      <w:r>
        <w:rPr>
          <w:lang w:eastAsia="ja-JP"/>
        </w:rPr>
        <w:t>tebentafusp</w:t>
      </w:r>
      <w:proofErr w:type="spellEnd"/>
      <w:r>
        <w:rPr>
          <w:lang w:eastAsia="ja-JP"/>
        </w:rPr>
        <w:t xml:space="preserve"> to the infusion bag and other components of the drug delivery system, prepare a solution of </w:t>
      </w:r>
      <w:r w:rsidR="008A14D5" w:rsidRPr="00527FC8">
        <w:rPr>
          <w:rFonts w:eastAsia="Calibri"/>
        </w:rPr>
        <w:t xml:space="preserve">250 mcg/mL </w:t>
      </w:r>
      <w:r>
        <w:rPr>
          <w:lang w:eastAsia="ja-JP"/>
        </w:rPr>
        <w:t>human albumin in 0.9% sodium chloride as follows</w:t>
      </w:r>
      <w:r w:rsidR="00E40498" w:rsidRPr="00E40498">
        <w:rPr>
          <w:lang w:eastAsia="ja-JP"/>
        </w:rPr>
        <w:t>:</w:t>
      </w:r>
    </w:p>
    <w:p w14:paraId="26646BF9" w14:textId="34E97D1D" w:rsidR="00C66FD8" w:rsidRDefault="00E40498" w:rsidP="006D287B">
      <w:pPr>
        <w:pStyle w:val="ListParagraph"/>
        <w:numPr>
          <w:ilvl w:val="0"/>
          <w:numId w:val="32"/>
        </w:numPr>
        <w:ind w:left="714" w:hanging="357"/>
      </w:pPr>
      <w:r w:rsidRPr="00E40498">
        <w:rPr>
          <w:lang w:eastAsia="ja-JP"/>
        </w:rPr>
        <w:t xml:space="preserve">Using a 1 mL </w:t>
      </w:r>
      <w:r w:rsidR="00AF19BD">
        <w:rPr>
          <w:lang w:eastAsia="ja-JP"/>
        </w:rPr>
        <w:t xml:space="preserve">sterile </w:t>
      </w:r>
      <w:r w:rsidRPr="00E40498">
        <w:rPr>
          <w:lang w:eastAsia="ja-JP"/>
        </w:rPr>
        <w:t xml:space="preserve">syringe </w:t>
      </w:r>
      <w:r w:rsidR="00AF19BD" w:rsidRPr="00E40498">
        <w:t>with graduations of 2 decimal places</w:t>
      </w:r>
      <w:r w:rsidR="00AF19BD" w:rsidRPr="00E40498">
        <w:rPr>
          <w:lang w:eastAsia="ja-JP"/>
        </w:rPr>
        <w:t xml:space="preserve"> </w:t>
      </w:r>
      <w:r w:rsidRPr="00E40498">
        <w:rPr>
          <w:lang w:eastAsia="ja-JP"/>
        </w:rPr>
        <w:t xml:space="preserve">and a sterile needle, withdraw the calculated volume of </w:t>
      </w:r>
      <w:r w:rsidR="005B0380">
        <w:rPr>
          <w:lang w:eastAsia="ja-JP"/>
        </w:rPr>
        <w:t xml:space="preserve">source </w:t>
      </w:r>
      <w:r w:rsidRPr="00E40498">
        <w:rPr>
          <w:lang w:eastAsia="ja-JP"/>
        </w:rPr>
        <w:t>human albumin into the syringe (see</w:t>
      </w:r>
      <w:r w:rsidR="00012F31">
        <w:rPr>
          <w:lang w:eastAsia="ja-JP"/>
        </w:rPr>
        <w:t xml:space="preserve"> </w:t>
      </w:r>
      <w:r w:rsidR="00012F31">
        <w:rPr>
          <w:lang w:eastAsia="ja-JP"/>
        </w:rPr>
        <w:fldChar w:fldCharType="begin"/>
      </w:r>
      <w:r w:rsidR="00012F31">
        <w:rPr>
          <w:lang w:eastAsia="ja-JP"/>
        </w:rPr>
        <w:instrText xml:space="preserve"> REF _Ref100052675 \h </w:instrText>
      </w:r>
      <w:r w:rsidR="00012F31">
        <w:rPr>
          <w:lang w:eastAsia="ja-JP"/>
        </w:rPr>
      </w:r>
      <w:r w:rsidR="00012F31">
        <w:rPr>
          <w:lang w:eastAsia="ja-JP"/>
        </w:rPr>
        <w:fldChar w:fldCharType="separate"/>
      </w:r>
      <w:r w:rsidR="00012F31">
        <w:t xml:space="preserve">Table </w:t>
      </w:r>
      <w:r w:rsidR="00012F31">
        <w:rPr>
          <w:noProof/>
        </w:rPr>
        <w:t>2</w:t>
      </w:r>
      <w:r w:rsidR="00012F31">
        <w:rPr>
          <w:lang w:eastAsia="ja-JP"/>
        </w:rPr>
        <w:fldChar w:fldCharType="end"/>
      </w:r>
      <w:r w:rsidRPr="00E40498">
        <w:rPr>
          <w:lang w:eastAsia="ja-JP"/>
        </w:rPr>
        <w:t xml:space="preserve"> </w:t>
      </w:r>
      <w:r w:rsidR="00523E2F">
        <w:rPr>
          <w:lang w:eastAsia="ja-JP"/>
        </w:rPr>
        <w:t>for calculation examples</w:t>
      </w:r>
      <w:r w:rsidRPr="00E40498">
        <w:rPr>
          <w:lang w:eastAsia="ja-JP"/>
        </w:rPr>
        <w:t xml:space="preserve">) and add to </w:t>
      </w:r>
      <w:r w:rsidRPr="00BC5CCD">
        <w:rPr>
          <w:lang w:eastAsia="ja-JP"/>
        </w:rPr>
        <w:t xml:space="preserve">the 100 mL </w:t>
      </w:r>
      <w:r w:rsidR="00AF19BD">
        <w:rPr>
          <w:lang w:eastAsia="ja-JP"/>
        </w:rPr>
        <w:t xml:space="preserve">bag containing </w:t>
      </w:r>
      <w:r w:rsidRPr="00BC5CCD">
        <w:rPr>
          <w:lang w:eastAsia="ja-JP"/>
        </w:rPr>
        <w:t>0.9%</w:t>
      </w:r>
      <w:r w:rsidRPr="00BC5CCD">
        <w:rPr>
          <w:rFonts w:eastAsia="Segoe UI"/>
        </w:rPr>
        <w:t xml:space="preserve"> s</w:t>
      </w:r>
      <w:r w:rsidRPr="00BC5CCD">
        <w:t xml:space="preserve">odium chloride </w:t>
      </w:r>
      <w:r w:rsidR="00AF19BD">
        <w:t xml:space="preserve">solution for </w:t>
      </w:r>
      <w:r w:rsidRPr="00BC5CCD">
        <w:t>injection,</w:t>
      </w:r>
      <w:r w:rsidRPr="00BC5CCD" w:rsidDel="00A1452D">
        <w:t xml:space="preserve"> </w:t>
      </w:r>
      <w:r w:rsidRPr="00E40498">
        <w:rPr>
          <w:lang w:eastAsia="ja-JP"/>
        </w:rPr>
        <w:t xml:space="preserve">to </w:t>
      </w:r>
      <w:r w:rsidR="00AF19BD">
        <w:rPr>
          <w:lang w:eastAsia="ja-JP"/>
        </w:rPr>
        <w:t>achieve</w:t>
      </w:r>
      <w:r w:rsidR="00AF19BD" w:rsidRPr="00E40498">
        <w:rPr>
          <w:lang w:eastAsia="ja-JP"/>
        </w:rPr>
        <w:t xml:space="preserve"> </w:t>
      </w:r>
      <w:r w:rsidRPr="00E40498">
        <w:rPr>
          <w:lang w:eastAsia="ja-JP"/>
        </w:rPr>
        <w:t xml:space="preserve">a final </w:t>
      </w:r>
      <w:r w:rsidRPr="00714C2C">
        <w:rPr>
          <w:rStyle w:val="normaltextrun"/>
          <w:rFonts w:eastAsia="MS Mincho"/>
          <w:color w:val="000000"/>
          <w:shd w:val="clear" w:color="auto" w:fill="FFFFFF"/>
        </w:rPr>
        <w:t xml:space="preserve">human albumin concentration </w:t>
      </w:r>
      <w:r w:rsidR="00AF19BD">
        <w:rPr>
          <w:rStyle w:val="normaltextrun"/>
          <w:rFonts w:eastAsia="MS Mincho"/>
          <w:color w:val="000000"/>
          <w:shd w:val="clear" w:color="auto" w:fill="FFFFFF"/>
        </w:rPr>
        <w:t>of 250</w:t>
      </w:r>
      <w:r w:rsidRPr="00E40498">
        <w:rPr>
          <w:lang w:eastAsia="ja-JP"/>
        </w:rPr>
        <w:t> mcg/</w:t>
      </w:r>
      <w:proofErr w:type="spellStart"/>
      <w:r w:rsidRPr="00E40498">
        <w:rPr>
          <w:lang w:eastAsia="ja-JP"/>
        </w:rPr>
        <w:t>mL</w:t>
      </w:r>
      <w:r w:rsidRPr="005C5ACF">
        <w:rPr>
          <w:lang w:eastAsia="ja-JP"/>
        </w:rPr>
        <w:t>.</w:t>
      </w:r>
      <w:proofErr w:type="spellEnd"/>
      <w:r w:rsidR="00C66FD8" w:rsidRPr="006D287B">
        <w:rPr>
          <w:lang w:eastAsia="ja-JP"/>
        </w:rPr>
        <w:t xml:space="preserve"> </w:t>
      </w:r>
      <w:r w:rsidR="00C66FD8" w:rsidRPr="00954258">
        <w:rPr>
          <w:u w:val="single"/>
          <w:lang w:eastAsia="ja-JP"/>
        </w:rPr>
        <w:t xml:space="preserve">Do </w:t>
      </w:r>
      <w:r w:rsidR="00C66FD8">
        <w:rPr>
          <w:u w:val="single"/>
          <w:lang w:eastAsia="ja-JP"/>
        </w:rPr>
        <w:t>not</w:t>
      </w:r>
      <w:r w:rsidR="00C66FD8" w:rsidRPr="00954258">
        <w:rPr>
          <w:u w:val="single"/>
          <w:lang w:eastAsia="ja-JP"/>
        </w:rPr>
        <w:t xml:space="preserve"> shake the infusion bag</w:t>
      </w:r>
      <w:r w:rsidR="00C66FD8" w:rsidRPr="00480507">
        <w:rPr>
          <w:lang w:eastAsia="ja-JP"/>
        </w:rPr>
        <w:t>.</w:t>
      </w:r>
      <w:bookmarkStart w:id="3" w:name="_Ref80346966"/>
      <w:bookmarkStart w:id="4" w:name="_Ref98948306"/>
    </w:p>
    <w:p w14:paraId="293DEBEC" w14:textId="3FB9EC51" w:rsidR="00E40498" w:rsidRPr="00954258" w:rsidRDefault="00E04925" w:rsidP="00954258">
      <w:pPr>
        <w:pStyle w:val="Caption"/>
        <w:rPr>
          <w:rFonts w:eastAsia="MS Mincho"/>
          <w:lang w:eastAsia="ja-JP"/>
        </w:rPr>
      </w:pPr>
      <w:bookmarkStart w:id="5" w:name="_Ref100052675"/>
      <w:r>
        <w:t xml:space="preserve">Table </w:t>
      </w:r>
      <w:r>
        <w:fldChar w:fldCharType="begin"/>
      </w:r>
      <w:r>
        <w:instrText xml:space="preserve"> SEQ Table \* ARABIC </w:instrText>
      </w:r>
      <w:r>
        <w:fldChar w:fldCharType="separate"/>
      </w:r>
      <w:r w:rsidR="00012F31">
        <w:rPr>
          <w:noProof/>
        </w:rPr>
        <w:t>2</w:t>
      </w:r>
      <w:r>
        <w:fldChar w:fldCharType="end"/>
      </w:r>
      <w:bookmarkEnd w:id="3"/>
      <w:bookmarkEnd w:id="5"/>
      <w:r w:rsidR="00E40498" w:rsidRPr="00E40498">
        <w:rPr>
          <w:rFonts w:eastAsia="MS Mincho"/>
          <w:lang w:eastAsia="ja-JP"/>
        </w:rPr>
        <w:t xml:space="preserve">: Examples of </w:t>
      </w:r>
      <w:r w:rsidR="00C66FD8">
        <w:rPr>
          <w:rFonts w:eastAsia="MS Mincho"/>
          <w:lang w:eastAsia="ja-JP"/>
        </w:rPr>
        <w:t xml:space="preserve">locally available </w:t>
      </w:r>
      <w:r w:rsidR="00294D15">
        <w:rPr>
          <w:rFonts w:eastAsia="MS Mincho"/>
          <w:lang w:eastAsia="ja-JP"/>
        </w:rPr>
        <w:t>h</w:t>
      </w:r>
      <w:r w:rsidR="00E40498" w:rsidRPr="00E40498">
        <w:rPr>
          <w:rFonts w:eastAsia="MS Mincho"/>
          <w:lang w:eastAsia="ja-JP"/>
        </w:rPr>
        <w:t xml:space="preserve">uman </w:t>
      </w:r>
      <w:r w:rsidR="00294D15">
        <w:rPr>
          <w:rFonts w:eastAsia="MS Mincho"/>
          <w:lang w:eastAsia="ja-JP"/>
        </w:rPr>
        <w:t>a</w:t>
      </w:r>
      <w:r w:rsidR="00E40498" w:rsidRPr="00E40498">
        <w:rPr>
          <w:rFonts w:eastAsia="MS Mincho"/>
          <w:lang w:eastAsia="ja-JP"/>
        </w:rPr>
        <w:t xml:space="preserve">lbumin </w:t>
      </w:r>
      <w:r w:rsidR="00294D15">
        <w:rPr>
          <w:rFonts w:eastAsia="MS Mincho"/>
          <w:lang w:eastAsia="ja-JP"/>
        </w:rPr>
        <w:t>c</w:t>
      </w:r>
      <w:r w:rsidR="00294D15" w:rsidRPr="00E40498">
        <w:rPr>
          <w:rFonts w:eastAsia="MS Mincho"/>
          <w:lang w:eastAsia="ja-JP"/>
        </w:rPr>
        <w:t>oncentration</w:t>
      </w:r>
      <w:r w:rsidR="00A01F5F">
        <w:rPr>
          <w:rFonts w:eastAsia="MS Mincho"/>
          <w:lang w:eastAsia="ja-JP"/>
        </w:rPr>
        <w:t>s</w:t>
      </w:r>
      <w:r w:rsidR="00294D15" w:rsidRPr="00E40498">
        <w:rPr>
          <w:rFonts w:eastAsia="MS Mincho"/>
          <w:lang w:eastAsia="ja-JP"/>
        </w:rPr>
        <w:t xml:space="preserve"> </w:t>
      </w:r>
      <w:r w:rsidR="00E40498" w:rsidRPr="00E40498">
        <w:rPr>
          <w:rFonts w:eastAsia="MS Mincho"/>
          <w:lang w:eastAsia="ja-JP"/>
        </w:rPr>
        <w:t xml:space="preserve">and </w:t>
      </w:r>
      <w:r w:rsidR="00A01F5F">
        <w:rPr>
          <w:rFonts w:eastAsia="MS Mincho"/>
          <w:lang w:eastAsia="ja-JP"/>
        </w:rPr>
        <w:t xml:space="preserve">corresponding </w:t>
      </w:r>
      <w:r w:rsidR="00294D15">
        <w:rPr>
          <w:rFonts w:eastAsia="MS Mincho"/>
          <w:lang w:eastAsia="ja-JP"/>
        </w:rPr>
        <w:t>volumes</w:t>
      </w:r>
      <w:bookmarkEnd w:id="4"/>
      <w:r w:rsidR="00294D15">
        <w:rPr>
          <w:rFonts w:eastAsia="MS Mincho"/>
          <w:lang w:eastAsia="ja-JP"/>
        </w:rPr>
        <w:t xml:space="preserve"> to use for preparation of </w:t>
      </w:r>
      <w:r w:rsidR="00294D15" w:rsidRPr="00294D15">
        <w:rPr>
          <w:rFonts w:eastAsia="MS Mincho"/>
          <w:lang w:eastAsia="ja-JP"/>
        </w:rPr>
        <w:t>250 mcg/mL human albumin</w:t>
      </w:r>
      <w:r w:rsidR="00294D15">
        <w:rPr>
          <w:rFonts w:eastAsia="MS Mincho"/>
          <w:lang w:eastAsia="ja-JP"/>
        </w:rPr>
        <w:t xml:space="preserve"> solution</w:t>
      </w:r>
    </w:p>
    <w:tbl>
      <w:tblPr>
        <w:tblStyle w:val="TableGrid"/>
        <w:tblW w:w="5000" w:type="pct"/>
        <w:tblLook w:val="04A0" w:firstRow="1" w:lastRow="0" w:firstColumn="1" w:lastColumn="0" w:noHBand="0" w:noVBand="1"/>
      </w:tblPr>
      <w:tblGrid>
        <w:gridCol w:w="2972"/>
        <w:gridCol w:w="6044"/>
      </w:tblGrid>
      <w:tr w:rsidR="00E40498" w:rsidRPr="00E04925" w14:paraId="5B035C75" w14:textId="77777777" w:rsidTr="006D287B">
        <w:trPr>
          <w:trHeight w:val="265"/>
        </w:trPr>
        <w:tc>
          <w:tcPr>
            <w:tcW w:w="1648" w:type="pct"/>
            <w:tcBorders>
              <w:top w:val="single" w:sz="4" w:space="0" w:color="auto"/>
              <w:left w:val="single" w:sz="4" w:space="0" w:color="auto"/>
              <w:bottom w:val="single" w:sz="4" w:space="0" w:color="auto"/>
              <w:right w:val="single" w:sz="4" w:space="0" w:color="auto"/>
            </w:tcBorders>
            <w:shd w:val="clear" w:color="auto" w:fill="auto"/>
            <w:hideMark/>
          </w:tcPr>
          <w:p w14:paraId="47908ACF" w14:textId="5AABA3FC" w:rsidR="00E40498" w:rsidRPr="006D287B" w:rsidRDefault="005B0380" w:rsidP="001C49B1">
            <w:pPr>
              <w:pStyle w:val="C-BodyText"/>
              <w:spacing w:before="0" w:after="0" w:line="240" w:lineRule="auto"/>
              <w:jc w:val="center"/>
              <w:rPr>
                <w:rFonts w:asciiTheme="majorHAnsi" w:eastAsia="MS Mincho" w:hAnsiTheme="majorHAnsi"/>
                <w:sz w:val="22"/>
                <w:szCs w:val="22"/>
                <w:lang w:eastAsia="ja-JP"/>
              </w:rPr>
            </w:pPr>
            <w:r>
              <w:rPr>
                <w:rFonts w:asciiTheme="majorHAnsi" w:eastAsia="Calibri" w:hAnsiTheme="majorHAnsi"/>
                <w:sz w:val="22"/>
                <w:szCs w:val="22"/>
              </w:rPr>
              <w:t>Source h</w:t>
            </w:r>
            <w:r w:rsidR="00E40498" w:rsidRPr="006D287B">
              <w:rPr>
                <w:rFonts w:asciiTheme="majorHAnsi" w:eastAsia="Calibri" w:hAnsiTheme="majorHAnsi"/>
                <w:sz w:val="22"/>
                <w:szCs w:val="22"/>
              </w:rPr>
              <w:t>uman albumin concentration</w:t>
            </w:r>
            <w:r w:rsidR="00294D15" w:rsidRPr="006D287B">
              <w:rPr>
                <w:rFonts w:asciiTheme="majorHAnsi" w:eastAsia="Calibri" w:hAnsiTheme="majorHAnsi"/>
                <w:sz w:val="22"/>
                <w:szCs w:val="22"/>
              </w:rPr>
              <w:t>*</w:t>
            </w:r>
          </w:p>
        </w:tc>
        <w:tc>
          <w:tcPr>
            <w:tcW w:w="3352" w:type="pct"/>
            <w:tcBorders>
              <w:top w:val="single" w:sz="4" w:space="0" w:color="auto"/>
              <w:left w:val="single" w:sz="4" w:space="0" w:color="auto"/>
              <w:bottom w:val="single" w:sz="4" w:space="0" w:color="auto"/>
              <w:right w:val="single" w:sz="4" w:space="0" w:color="auto"/>
            </w:tcBorders>
            <w:shd w:val="clear" w:color="auto" w:fill="auto"/>
            <w:hideMark/>
          </w:tcPr>
          <w:p w14:paraId="0F2A0B62" w14:textId="7714EFB6" w:rsidR="00E40498" w:rsidRPr="006D287B" w:rsidRDefault="00AF19BD" w:rsidP="001C49B1">
            <w:pPr>
              <w:pStyle w:val="C-BodyText"/>
              <w:spacing w:before="0" w:after="0" w:line="240" w:lineRule="auto"/>
              <w:jc w:val="center"/>
              <w:rPr>
                <w:rFonts w:asciiTheme="majorHAnsi" w:eastAsia="MS Mincho" w:hAnsiTheme="majorHAnsi"/>
                <w:sz w:val="22"/>
                <w:szCs w:val="22"/>
                <w:lang w:eastAsia="ja-JP"/>
              </w:rPr>
            </w:pPr>
            <w:r w:rsidRPr="006D287B">
              <w:rPr>
                <w:rFonts w:asciiTheme="majorHAnsi" w:eastAsia="Calibri" w:hAnsiTheme="majorHAnsi"/>
                <w:sz w:val="22"/>
                <w:szCs w:val="22"/>
              </w:rPr>
              <w:t>Volume of human albumin</w:t>
            </w:r>
            <w:r w:rsidR="00E40498" w:rsidRPr="006D287B">
              <w:rPr>
                <w:rFonts w:asciiTheme="majorHAnsi" w:eastAsia="Calibri" w:hAnsiTheme="majorHAnsi"/>
                <w:sz w:val="22"/>
                <w:szCs w:val="22"/>
              </w:rPr>
              <w:t xml:space="preserve"> </w:t>
            </w:r>
            <w:r w:rsidRPr="006D287B">
              <w:rPr>
                <w:rFonts w:asciiTheme="majorHAnsi" w:eastAsia="Calibri" w:hAnsiTheme="majorHAnsi"/>
                <w:sz w:val="22"/>
                <w:szCs w:val="22"/>
              </w:rPr>
              <w:t>to add</w:t>
            </w:r>
            <w:r w:rsidR="00E40498" w:rsidRPr="006D287B">
              <w:rPr>
                <w:rFonts w:asciiTheme="majorHAnsi" w:eastAsia="Calibri" w:hAnsiTheme="majorHAnsi"/>
                <w:sz w:val="22"/>
                <w:szCs w:val="22"/>
              </w:rPr>
              <w:t xml:space="preserve"> to 100 mL bag </w:t>
            </w:r>
            <w:r w:rsidR="00294D15" w:rsidRPr="006D287B">
              <w:rPr>
                <w:rFonts w:asciiTheme="majorHAnsi" w:eastAsia="Calibri" w:hAnsiTheme="majorHAnsi"/>
                <w:sz w:val="22"/>
                <w:szCs w:val="22"/>
              </w:rPr>
              <w:t xml:space="preserve">of 0.9% sodium chloride to achieve final concentration of 250 mcg/mL </w:t>
            </w:r>
            <w:r w:rsidR="00E40498" w:rsidRPr="006D287B">
              <w:rPr>
                <w:rFonts w:asciiTheme="majorHAnsi" w:eastAsia="Calibri" w:hAnsiTheme="majorHAnsi"/>
                <w:sz w:val="22"/>
                <w:szCs w:val="22"/>
              </w:rPr>
              <w:t xml:space="preserve">human albumin </w:t>
            </w:r>
          </w:p>
        </w:tc>
      </w:tr>
      <w:tr w:rsidR="00E40498" w:rsidRPr="00E04925" w14:paraId="10FE46C9" w14:textId="77777777" w:rsidTr="006D287B">
        <w:trPr>
          <w:trHeight w:val="191"/>
        </w:trPr>
        <w:tc>
          <w:tcPr>
            <w:tcW w:w="1648" w:type="pct"/>
            <w:tcBorders>
              <w:top w:val="single" w:sz="4" w:space="0" w:color="auto"/>
              <w:left w:val="single" w:sz="4" w:space="0" w:color="auto"/>
              <w:bottom w:val="single" w:sz="4" w:space="0" w:color="auto"/>
              <w:right w:val="single" w:sz="4" w:space="0" w:color="auto"/>
            </w:tcBorders>
          </w:tcPr>
          <w:p w14:paraId="2AFED4A3" w14:textId="793D09E2" w:rsidR="00E40498" w:rsidRPr="00954258" w:rsidRDefault="00E40498" w:rsidP="001C49B1">
            <w:pPr>
              <w:pStyle w:val="C-BodyText"/>
              <w:spacing w:before="0" w:after="0" w:line="240" w:lineRule="auto"/>
              <w:jc w:val="center"/>
              <w:rPr>
                <w:rFonts w:asciiTheme="majorHAnsi" w:eastAsia="Calibri" w:hAnsiTheme="majorHAnsi"/>
                <w:sz w:val="22"/>
                <w:szCs w:val="22"/>
              </w:rPr>
            </w:pPr>
            <w:r w:rsidRPr="00954258">
              <w:rPr>
                <w:rFonts w:asciiTheme="majorHAnsi" w:eastAsia="Calibri" w:hAnsiTheme="majorHAnsi"/>
                <w:sz w:val="22"/>
                <w:szCs w:val="22"/>
              </w:rPr>
              <w:t>4% (40 g/L)</w:t>
            </w:r>
          </w:p>
        </w:tc>
        <w:tc>
          <w:tcPr>
            <w:tcW w:w="3352" w:type="pct"/>
            <w:tcBorders>
              <w:top w:val="single" w:sz="4" w:space="0" w:color="auto"/>
              <w:left w:val="single" w:sz="4" w:space="0" w:color="auto"/>
              <w:bottom w:val="single" w:sz="4" w:space="0" w:color="auto"/>
              <w:right w:val="single" w:sz="4" w:space="0" w:color="auto"/>
            </w:tcBorders>
          </w:tcPr>
          <w:p w14:paraId="0D304CC8" w14:textId="35B10B2E" w:rsidR="00E40498" w:rsidRPr="00954258" w:rsidRDefault="00E40498" w:rsidP="001C49B1">
            <w:pPr>
              <w:pStyle w:val="C-BodyText"/>
              <w:spacing w:before="0" w:after="0" w:line="240" w:lineRule="auto"/>
              <w:jc w:val="center"/>
              <w:rPr>
                <w:rFonts w:asciiTheme="majorHAnsi" w:eastAsia="Calibri" w:hAnsiTheme="majorHAnsi"/>
                <w:sz w:val="22"/>
                <w:szCs w:val="22"/>
              </w:rPr>
            </w:pPr>
            <w:r w:rsidRPr="00954258">
              <w:rPr>
                <w:rFonts w:asciiTheme="majorHAnsi" w:eastAsia="Calibri" w:hAnsiTheme="majorHAnsi"/>
                <w:sz w:val="22"/>
                <w:szCs w:val="22"/>
              </w:rPr>
              <w:t>0.63 mL</w:t>
            </w:r>
          </w:p>
        </w:tc>
      </w:tr>
      <w:tr w:rsidR="00E40498" w:rsidRPr="00E04925" w14:paraId="2427909E" w14:textId="77777777" w:rsidTr="006D287B">
        <w:trPr>
          <w:trHeight w:val="191"/>
        </w:trPr>
        <w:tc>
          <w:tcPr>
            <w:tcW w:w="1648" w:type="pct"/>
            <w:tcBorders>
              <w:top w:val="single" w:sz="4" w:space="0" w:color="auto"/>
              <w:left w:val="single" w:sz="4" w:space="0" w:color="auto"/>
              <w:bottom w:val="single" w:sz="4" w:space="0" w:color="auto"/>
              <w:right w:val="single" w:sz="4" w:space="0" w:color="auto"/>
            </w:tcBorders>
            <w:hideMark/>
          </w:tcPr>
          <w:p w14:paraId="05EE545B" w14:textId="6406A2B9" w:rsidR="00E40498" w:rsidRPr="00954258" w:rsidRDefault="00E40498" w:rsidP="001C49B1">
            <w:pPr>
              <w:pStyle w:val="C-BodyText"/>
              <w:spacing w:before="0" w:after="0" w:line="240" w:lineRule="auto"/>
              <w:jc w:val="center"/>
              <w:rPr>
                <w:rFonts w:asciiTheme="majorHAnsi" w:eastAsia="MS Mincho" w:hAnsiTheme="majorHAnsi"/>
                <w:sz w:val="22"/>
                <w:szCs w:val="22"/>
                <w:lang w:eastAsia="ja-JP"/>
              </w:rPr>
            </w:pPr>
            <w:r w:rsidRPr="00954258">
              <w:rPr>
                <w:rFonts w:asciiTheme="majorHAnsi" w:eastAsia="Calibri" w:hAnsiTheme="majorHAnsi"/>
                <w:sz w:val="22"/>
                <w:szCs w:val="22"/>
              </w:rPr>
              <w:t>5% (50 g/L)</w:t>
            </w:r>
          </w:p>
        </w:tc>
        <w:tc>
          <w:tcPr>
            <w:tcW w:w="3352" w:type="pct"/>
            <w:tcBorders>
              <w:top w:val="single" w:sz="4" w:space="0" w:color="auto"/>
              <w:left w:val="single" w:sz="4" w:space="0" w:color="auto"/>
              <w:bottom w:val="single" w:sz="4" w:space="0" w:color="auto"/>
              <w:right w:val="single" w:sz="4" w:space="0" w:color="auto"/>
            </w:tcBorders>
            <w:hideMark/>
          </w:tcPr>
          <w:p w14:paraId="2326D78A" w14:textId="6D9D8A31" w:rsidR="00E40498" w:rsidRPr="00954258" w:rsidRDefault="00E40498" w:rsidP="001C49B1">
            <w:pPr>
              <w:pStyle w:val="C-BodyText"/>
              <w:spacing w:before="0" w:after="0" w:line="240" w:lineRule="auto"/>
              <w:jc w:val="center"/>
              <w:rPr>
                <w:rFonts w:asciiTheme="majorHAnsi" w:eastAsia="MS Mincho" w:hAnsiTheme="majorHAnsi"/>
                <w:sz w:val="22"/>
                <w:szCs w:val="22"/>
                <w:lang w:eastAsia="ja-JP"/>
              </w:rPr>
            </w:pPr>
            <w:r w:rsidRPr="00954258">
              <w:rPr>
                <w:rFonts w:asciiTheme="majorHAnsi" w:eastAsia="Calibri" w:hAnsiTheme="majorHAnsi"/>
                <w:sz w:val="22"/>
                <w:szCs w:val="22"/>
              </w:rPr>
              <w:t>0.50 mL</w:t>
            </w:r>
          </w:p>
        </w:tc>
      </w:tr>
      <w:tr w:rsidR="00E40498" w:rsidRPr="00E04925" w14:paraId="597830C9" w14:textId="77777777" w:rsidTr="006D287B">
        <w:trPr>
          <w:trHeight w:val="265"/>
        </w:trPr>
        <w:tc>
          <w:tcPr>
            <w:tcW w:w="1648" w:type="pct"/>
            <w:tcBorders>
              <w:top w:val="single" w:sz="4" w:space="0" w:color="auto"/>
              <w:left w:val="single" w:sz="4" w:space="0" w:color="auto"/>
              <w:bottom w:val="single" w:sz="4" w:space="0" w:color="auto"/>
              <w:right w:val="single" w:sz="4" w:space="0" w:color="auto"/>
            </w:tcBorders>
            <w:hideMark/>
          </w:tcPr>
          <w:p w14:paraId="1CE3BBD1" w14:textId="4FCB64B9" w:rsidR="00E40498" w:rsidRPr="00954258" w:rsidRDefault="00E40498" w:rsidP="001C49B1">
            <w:pPr>
              <w:pStyle w:val="C-BodyText"/>
              <w:spacing w:before="0" w:after="0" w:line="240" w:lineRule="auto"/>
              <w:jc w:val="center"/>
              <w:rPr>
                <w:rFonts w:asciiTheme="majorHAnsi" w:eastAsia="MS Mincho" w:hAnsiTheme="majorHAnsi"/>
                <w:sz w:val="22"/>
                <w:szCs w:val="22"/>
                <w:lang w:eastAsia="ja-JP"/>
              </w:rPr>
            </w:pPr>
            <w:r w:rsidRPr="00954258">
              <w:rPr>
                <w:rFonts w:asciiTheme="majorHAnsi" w:eastAsia="Calibri" w:hAnsiTheme="majorHAnsi"/>
                <w:sz w:val="22"/>
                <w:szCs w:val="22"/>
              </w:rPr>
              <w:t>20% (200 g/L)</w:t>
            </w:r>
          </w:p>
        </w:tc>
        <w:tc>
          <w:tcPr>
            <w:tcW w:w="3352" w:type="pct"/>
            <w:tcBorders>
              <w:top w:val="single" w:sz="4" w:space="0" w:color="auto"/>
              <w:left w:val="single" w:sz="4" w:space="0" w:color="auto"/>
              <w:bottom w:val="single" w:sz="4" w:space="0" w:color="auto"/>
              <w:right w:val="single" w:sz="4" w:space="0" w:color="auto"/>
            </w:tcBorders>
            <w:hideMark/>
          </w:tcPr>
          <w:p w14:paraId="67A9002A" w14:textId="48E3EED7" w:rsidR="00E40498" w:rsidRPr="00954258" w:rsidRDefault="00E40498" w:rsidP="001C49B1">
            <w:pPr>
              <w:pStyle w:val="C-BodyText"/>
              <w:spacing w:before="0" w:after="0" w:line="240" w:lineRule="auto"/>
              <w:jc w:val="center"/>
              <w:rPr>
                <w:rFonts w:asciiTheme="majorHAnsi" w:eastAsia="MS Mincho" w:hAnsiTheme="majorHAnsi"/>
                <w:sz w:val="22"/>
                <w:szCs w:val="22"/>
                <w:lang w:eastAsia="ja-JP"/>
              </w:rPr>
            </w:pPr>
            <w:r w:rsidRPr="00954258">
              <w:rPr>
                <w:rFonts w:asciiTheme="majorHAnsi" w:eastAsia="Calibri" w:hAnsiTheme="majorHAnsi"/>
                <w:sz w:val="22"/>
                <w:szCs w:val="22"/>
              </w:rPr>
              <w:t>0.13 mL</w:t>
            </w:r>
          </w:p>
        </w:tc>
      </w:tr>
      <w:tr w:rsidR="00E40498" w:rsidRPr="00E04925" w14:paraId="349D5CCC" w14:textId="77777777" w:rsidTr="006D287B">
        <w:trPr>
          <w:trHeight w:val="265"/>
        </w:trPr>
        <w:tc>
          <w:tcPr>
            <w:tcW w:w="1648" w:type="pct"/>
            <w:tcBorders>
              <w:top w:val="single" w:sz="4" w:space="0" w:color="auto"/>
              <w:left w:val="single" w:sz="4" w:space="0" w:color="auto"/>
              <w:bottom w:val="single" w:sz="4" w:space="0" w:color="auto"/>
              <w:right w:val="single" w:sz="4" w:space="0" w:color="auto"/>
            </w:tcBorders>
            <w:hideMark/>
          </w:tcPr>
          <w:p w14:paraId="72F46D94" w14:textId="6B4E7B94" w:rsidR="00E40498" w:rsidRPr="00954258" w:rsidRDefault="00E40498" w:rsidP="001C49B1">
            <w:pPr>
              <w:pStyle w:val="C-BodyText"/>
              <w:spacing w:before="0" w:after="0" w:line="240" w:lineRule="auto"/>
              <w:jc w:val="center"/>
              <w:rPr>
                <w:rFonts w:asciiTheme="majorHAnsi" w:eastAsia="MS Mincho" w:hAnsiTheme="majorHAnsi"/>
                <w:sz w:val="22"/>
                <w:szCs w:val="22"/>
                <w:lang w:eastAsia="ja-JP"/>
              </w:rPr>
            </w:pPr>
            <w:r w:rsidRPr="00954258">
              <w:rPr>
                <w:rFonts w:asciiTheme="majorHAnsi" w:eastAsia="Calibri" w:hAnsiTheme="majorHAnsi"/>
                <w:sz w:val="22"/>
                <w:szCs w:val="22"/>
              </w:rPr>
              <w:t>25% (250 g/L)</w:t>
            </w:r>
          </w:p>
        </w:tc>
        <w:tc>
          <w:tcPr>
            <w:tcW w:w="3352" w:type="pct"/>
            <w:tcBorders>
              <w:top w:val="single" w:sz="4" w:space="0" w:color="auto"/>
              <w:left w:val="single" w:sz="4" w:space="0" w:color="auto"/>
              <w:bottom w:val="single" w:sz="4" w:space="0" w:color="auto"/>
              <w:right w:val="single" w:sz="4" w:space="0" w:color="auto"/>
            </w:tcBorders>
            <w:hideMark/>
          </w:tcPr>
          <w:p w14:paraId="261CA973" w14:textId="3CE7D5ED" w:rsidR="00E40498" w:rsidRPr="006D287B" w:rsidRDefault="00E04925" w:rsidP="006D287B">
            <w:pPr>
              <w:pStyle w:val="C-BodyText"/>
              <w:spacing w:before="0" w:after="0" w:line="240" w:lineRule="auto"/>
              <w:jc w:val="center"/>
              <w:rPr>
                <w:rFonts w:eastAsia="Calibri"/>
                <w:sz w:val="22"/>
                <w:szCs w:val="22"/>
              </w:rPr>
            </w:pPr>
            <w:r w:rsidRPr="006D287B">
              <w:rPr>
                <w:rFonts w:asciiTheme="majorHAnsi" w:eastAsia="Calibri" w:hAnsiTheme="majorHAnsi"/>
                <w:sz w:val="22"/>
                <w:szCs w:val="22"/>
              </w:rPr>
              <w:t xml:space="preserve">0.10 </w:t>
            </w:r>
            <w:r w:rsidR="00E40498" w:rsidRPr="006D287B">
              <w:rPr>
                <w:rFonts w:asciiTheme="majorHAnsi" w:eastAsia="Calibri" w:hAnsiTheme="majorHAnsi"/>
                <w:sz w:val="22"/>
                <w:szCs w:val="22"/>
              </w:rPr>
              <w:t>mL</w:t>
            </w:r>
          </w:p>
        </w:tc>
      </w:tr>
    </w:tbl>
    <w:bookmarkEnd w:id="2"/>
    <w:p w14:paraId="2FBBE94D" w14:textId="2506B400" w:rsidR="00A13E43" w:rsidRDefault="00294D15" w:rsidP="006D287B">
      <w:pPr>
        <w:rPr>
          <w:lang w:eastAsia="ja-JP"/>
        </w:rPr>
      </w:pPr>
      <w:r>
        <w:t>*</w:t>
      </w:r>
      <w:r w:rsidR="00A01F5F">
        <w:t xml:space="preserve"> </w:t>
      </w:r>
      <w:r>
        <w:t>U</w:t>
      </w:r>
      <w:r w:rsidRPr="00E40498">
        <w:t xml:space="preserve">se </w:t>
      </w:r>
      <w:r w:rsidR="00A01F5F">
        <w:t xml:space="preserve">whatever </w:t>
      </w:r>
      <w:r>
        <w:t xml:space="preserve">source </w:t>
      </w:r>
      <w:r w:rsidRPr="00E40498">
        <w:t xml:space="preserve">concentration </w:t>
      </w:r>
      <w:r>
        <w:t xml:space="preserve">of human albumin is locally </w:t>
      </w:r>
      <w:r w:rsidRPr="005B0380">
        <w:t>available</w:t>
      </w:r>
      <w:r w:rsidR="005B0380" w:rsidRPr="005B0380">
        <w:t>. I</w:t>
      </w:r>
      <w:r w:rsidR="0098383E" w:rsidRPr="005B0380">
        <w:t xml:space="preserve">f </w:t>
      </w:r>
      <w:r w:rsidR="0098383E" w:rsidRPr="006D287B">
        <w:t>the source concentration</w:t>
      </w:r>
      <w:r w:rsidR="0098383E" w:rsidRPr="005B0380">
        <w:t xml:space="preserve"> is not represented in this table of examples</w:t>
      </w:r>
      <w:r w:rsidR="005B0380" w:rsidRPr="006D287B">
        <w:t xml:space="preserve">, </w:t>
      </w:r>
      <w:r w:rsidR="00811220">
        <w:t xml:space="preserve">manually </w:t>
      </w:r>
      <w:r w:rsidR="005B0380" w:rsidRPr="006D287B">
        <w:t>calculate the appropriate volume to use</w:t>
      </w:r>
      <w:r w:rsidRPr="005B0380">
        <w:t>.</w:t>
      </w:r>
    </w:p>
    <w:p w14:paraId="13C1B464" w14:textId="0D3421BF" w:rsidR="00480507" w:rsidRDefault="00E40498" w:rsidP="00954258">
      <w:pPr>
        <w:pStyle w:val="ListParagraph"/>
        <w:numPr>
          <w:ilvl w:val="0"/>
          <w:numId w:val="32"/>
        </w:numPr>
        <w:rPr>
          <w:lang w:eastAsia="ja-JP"/>
        </w:rPr>
      </w:pPr>
      <w:r w:rsidRPr="00E40498">
        <w:rPr>
          <w:lang w:eastAsia="ja-JP"/>
        </w:rPr>
        <w:t>Gently h</w:t>
      </w:r>
      <w:bookmarkStart w:id="6" w:name="_Ref99031305"/>
      <w:r w:rsidRPr="00E40498">
        <w:rPr>
          <w:lang w:eastAsia="ja-JP"/>
        </w:rPr>
        <w:t>omogeni</w:t>
      </w:r>
      <w:r w:rsidR="00E04925">
        <w:rPr>
          <w:lang w:eastAsia="ja-JP"/>
        </w:rPr>
        <w:t>s</w:t>
      </w:r>
      <w:r w:rsidRPr="00E40498">
        <w:rPr>
          <w:lang w:eastAsia="ja-JP"/>
        </w:rPr>
        <w:t xml:space="preserve">e the </w:t>
      </w:r>
      <w:r w:rsidR="00A01F5F" w:rsidRPr="00140935">
        <w:rPr>
          <w:rFonts w:asciiTheme="majorHAnsi" w:eastAsia="Calibri" w:hAnsiTheme="majorHAnsi"/>
        </w:rPr>
        <w:t xml:space="preserve">250 mcg/mL human albumin </w:t>
      </w:r>
      <w:r w:rsidRPr="00E40498">
        <w:rPr>
          <w:lang w:eastAsia="ja-JP"/>
        </w:rPr>
        <w:t>solution by completing the following steps:</w:t>
      </w:r>
      <w:bookmarkEnd w:id="6"/>
    </w:p>
    <w:p w14:paraId="613DC5CA" w14:textId="1FEDECC4" w:rsidR="00480507" w:rsidRDefault="00100EDA" w:rsidP="00954258">
      <w:pPr>
        <w:pStyle w:val="ListParagraph"/>
        <w:numPr>
          <w:ilvl w:val="0"/>
          <w:numId w:val="33"/>
        </w:numPr>
        <w:ind w:left="1276" w:hanging="425"/>
        <w:rPr>
          <w:lang w:eastAsia="ja-JP"/>
        </w:rPr>
      </w:pPr>
      <w:r>
        <w:rPr>
          <w:lang w:eastAsia="ja-JP"/>
        </w:rPr>
        <w:lastRenderedPageBreak/>
        <w:t>Gently i</w:t>
      </w:r>
      <w:r w:rsidR="00E40498" w:rsidRPr="00480507">
        <w:rPr>
          <w:lang w:eastAsia="ja-JP"/>
        </w:rPr>
        <w:t xml:space="preserve">nvert the infusion bag so that the </w:t>
      </w:r>
      <w:r w:rsidR="00A01F5F">
        <w:rPr>
          <w:lang w:eastAsia="ja-JP"/>
        </w:rPr>
        <w:t xml:space="preserve">bag is upside down, with the </w:t>
      </w:r>
      <w:r w:rsidR="00E40498" w:rsidRPr="00480507">
        <w:rPr>
          <w:lang w:eastAsia="ja-JP"/>
        </w:rPr>
        <w:t>entry port positioned at the top</w:t>
      </w:r>
      <w:r w:rsidR="00A01F5F">
        <w:rPr>
          <w:lang w:eastAsia="ja-JP"/>
        </w:rPr>
        <w:t xml:space="preserve">. Then </w:t>
      </w:r>
      <w:r w:rsidR="00E40498" w:rsidRPr="00480507">
        <w:rPr>
          <w:lang w:eastAsia="ja-JP"/>
        </w:rPr>
        <w:t xml:space="preserve">tap the side of </w:t>
      </w:r>
      <w:r w:rsidR="00A01F5F">
        <w:rPr>
          <w:lang w:eastAsia="ja-JP"/>
        </w:rPr>
        <w:t xml:space="preserve">the </w:t>
      </w:r>
      <w:r w:rsidR="00E40498" w:rsidRPr="00480507">
        <w:rPr>
          <w:lang w:eastAsia="ja-JP"/>
        </w:rPr>
        <w:t xml:space="preserve">port tubing to ensure that any residual </w:t>
      </w:r>
      <w:r w:rsidR="00A01F5F">
        <w:rPr>
          <w:lang w:eastAsia="ja-JP"/>
        </w:rPr>
        <w:t xml:space="preserve">concentrated albumin </w:t>
      </w:r>
      <w:r w:rsidR="00E40498" w:rsidRPr="00480507">
        <w:rPr>
          <w:lang w:eastAsia="ja-JP"/>
        </w:rPr>
        <w:t>solution is released into the bulk solution.</w:t>
      </w:r>
    </w:p>
    <w:p w14:paraId="6048E215" w14:textId="5A345BB7" w:rsidR="00480507" w:rsidRDefault="00100EDA" w:rsidP="00954258">
      <w:pPr>
        <w:pStyle w:val="ListParagraph"/>
        <w:numPr>
          <w:ilvl w:val="0"/>
          <w:numId w:val="33"/>
        </w:numPr>
        <w:ind w:left="1276" w:hanging="425"/>
        <w:rPr>
          <w:lang w:eastAsia="ja-JP"/>
        </w:rPr>
      </w:pPr>
      <w:r>
        <w:rPr>
          <w:lang w:eastAsia="ja-JP"/>
        </w:rPr>
        <w:t>G</w:t>
      </w:r>
      <w:r w:rsidR="00E40498" w:rsidRPr="00480507">
        <w:rPr>
          <w:lang w:eastAsia="ja-JP"/>
        </w:rPr>
        <w:t>ently rotat</w:t>
      </w:r>
      <w:r>
        <w:rPr>
          <w:lang w:eastAsia="ja-JP"/>
        </w:rPr>
        <w:t>e</w:t>
      </w:r>
      <w:r w:rsidR="00E40498" w:rsidRPr="00480507">
        <w:rPr>
          <w:lang w:eastAsia="ja-JP"/>
        </w:rPr>
        <w:t xml:space="preserve"> the bag lengthwise </w:t>
      </w:r>
      <w:r w:rsidR="00A01F5F">
        <w:rPr>
          <w:lang w:eastAsia="ja-JP"/>
        </w:rPr>
        <w:t>(360 degrees</w:t>
      </w:r>
      <w:r w:rsidR="005B0380">
        <w:rPr>
          <w:lang w:eastAsia="ja-JP"/>
        </w:rPr>
        <w:t>:</w:t>
      </w:r>
      <w:r w:rsidR="00A01F5F">
        <w:rPr>
          <w:lang w:eastAsia="ja-JP"/>
        </w:rPr>
        <w:t xml:space="preserve"> from upside</w:t>
      </w:r>
      <w:r w:rsidR="005B0380">
        <w:rPr>
          <w:lang w:eastAsia="ja-JP"/>
        </w:rPr>
        <w:t>-</w:t>
      </w:r>
      <w:r w:rsidR="00A01F5F">
        <w:rPr>
          <w:lang w:eastAsia="ja-JP"/>
        </w:rPr>
        <w:t>down to right</w:t>
      </w:r>
      <w:r w:rsidR="005B0380">
        <w:rPr>
          <w:lang w:eastAsia="ja-JP"/>
        </w:rPr>
        <w:t>-</w:t>
      </w:r>
      <w:r w:rsidR="00A01F5F">
        <w:rPr>
          <w:lang w:eastAsia="ja-JP"/>
        </w:rPr>
        <w:t>side</w:t>
      </w:r>
      <w:r w:rsidR="005B0380">
        <w:rPr>
          <w:lang w:eastAsia="ja-JP"/>
        </w:rPr>
        <w:t>-</w:t>
      </w:r>
      <w:r w:rsidR="00A01F5F">
        <w:rPr>
          <w:lang w:eastAsia="ja-JP"/>
        </w:rPr>
        <w:t xml:space="preserve">up, and back again) </w:t>
      </w:r>
      <w:r w:rsidR="00E40498" w:rsidRPr="00480507">
        <w:rPr>
          <w:lang w:eastAsia="ja-JP"/>
        </w:rPr>
        <w:t xml:space="preserve">at least 5 times. </w:t>
      </w:r>
    </w:p>
    <w:p w14:paraId="01756B6A" w14:textId="25AF6A74" w:rsidR="00C66FD8" w:rsidRPr="006D287B" w:rsidRDefault="00E40498" w:rsidP="006D287B">
      <w:pPr>
        <w:pStyle w:val="ListParagraph"/>
        <w:numPr>
          <w:ilvl w:val="0"/>
          <w:numId w:val="33"/>
        </w:numPr>
        <w:ind w:left="1276" w:hanging="425"/>
        <w:rPr>
          <w:b/>
          <w:bCs/>
          <w:lang w:eastAsia="ja-JP"/>
        </w:rPr>
      </w:pPr>
      <w:r w:rsidRPr="00480507">
        <w:rPr>
          <w:lang w:eastAsia="ja-JP"/>
        </w:rPr>
        <w:t>Repeat (</w:t>
      </w:r>
      <w:proofErr w:type="spellStart"/>
      <w:r w:rsidRPr="00480507">
        <w:rPr>
          <w:lang w:eastAsia="ja-JP"/>
        </w:rPr>
        <w:t>i</w:t>
      </w:r>
      <w:proofErr w:type="spellEnd"/>
      <w:r w:rsidRPr="00480507">
        <w:rPr>
          <w:lang w:eastAsia="ja-JP"/>
        </w:rPr>
        <w:t>) and (ii) an additional three times.</w:t>
      </w:r>
      <w:bookmarkStart w:id="7" w:name="_Hlk76114407"/>
    </w:p>
    <w:p w14:paraId="470AEE41" w14:textId="5F274B02" w:rsidR="00E40498" w:rsidRPr="00E40498" w:rsidRDefault="00E40498" w:rsidP="00954258">
      <w:pPr>
        <w:rPr>
          <w:b/>
          <w:bCs/>
          <w:lang w:eastAsia="ja-JP"/>
        </w:rPr>
      </w:pPr>
      <w:r w:rsidRPr="00E40498">
        <w:rPr>
          <w:b/>
          <w:bCs/>
          <w:lang w:eastAsia="ja-JP"/>
        </w:rPr>
        <w:t>Step 2: Preparation of KIMMTRAK solution for infusion</w:t>
      </w:r>
    </w:p>
    <w:bookmarkEnd w:id="7"/>
    <w:p w14:paraId="5FAE30E7" w14:textId="559397FD" w:rsidR="00A01F5F" w:rsidRPr="006D287B" w:rsidRDefault="00A01F5F" w:rsidP="006D287B">
      <w:pPr>
        <w:rPr>
          <w:u w:val="single"/>
          <w:lang w:eastAsia="ja-JP"/>
        </w:rPr>
      </w:pPr>
      <w:r w:rsidRPr="006D287B">
        <w:rPr>
          <w:rFonts w:eastAsia="MS Mincho"/>
          <w:u w:val="single"/>
          <w:lang w:eastAsia="ja-JP"/>
        </w:rPr>
        <w:t xml:space="preserve">Do </w:t>
      </w:r>
      <w:r w:rsidR="00FC5FB0">
        <w:rPr>
          <w:rFonts w:eastAsia="MS Mincho"/>
          <w:u w:val="single"/>
          <w:lang w:eastAsia="ja-JP"/>
        </w:rPr>
        <w:t>not</w:t>
      </w:r>
      <w:r w:rsidRPr="006D287B">
        <w:rPr>
          <w:rFonts w:eastAsia="MS Mincho"/>
          <w:u w:val="single"/>
          <w:lang w:eastAsia="ja-JP"/>
        </w:rPr>
        <w:t xml:space="preserve"> shake the KIMMTRAK vial.</w:t>
      </w:r>
    </w:p>
    <w:p w14:paraId="00B17CD9" w14:textId="3DEA2563" w:rsidR="00100EDA" w:rsidRPr="00100EDA" w:rsidRDefault="00E40498" w:rsidP="006D287B">
      <w:pPr>
        <w:pStyle w:val="ListParagraph"/>
        <w:numPr>
          <w:ilvl w:val="0"/>
          <w:numId w:val="42"/>
        </w:numPr>
        <w:ind w:left="714" w:hanging="357"/>
        <w:contextualSpacing w:val="0"/>
        <w:rPr>
          <w:lang w:eastAsia="ja-JP"/>
        </w:rPr>
      </w:pPr>
      <w:r w:rsidRPr="00E40498">
        <w:rPr>
          <w:lang w:eastAsia="ja-JP"/>
        </w:rPr>
        <w:t>Using a 1 mL syringe</w:t>
      </w:r>
      <w:r w:rsidR="00FC5FB0">
        <w:rPr>
          <w:lang w:eastAsia="ja-JP"/>
        </w:rPr>
        <w:t xml:space="preserve"> </w:t>
      </w:r>
      <w:r w:rsidR="00FC5FB0" w:rsidRPr="00E40498">
        <w:t>with graduations of 2 decimal places</w:t>
      </w:r>
      <w:r w:rsidRPr="00E40498">
        <w:rPr>
          <w:lang w:eastAsia="ja-JP"/>
        </w:rPr>
        <w:t xml:space="preserve"> and a sterile needle, withdraw the required volume of KIMMTRAK 200 micrograms/mL as per the dose required (</w:t>
      </w:r>
      <w:r w:rsidR="00F90A13">
        <w:rPr>
          <w:lang w:eastAsia="ja-JP"/>
        </w:rPr>
        <w:t>see</w:t>
      </w:r>
      <w:r w:rsidRPr="00E40498">
        <w:rPr>
          <w:lang w:eastAsia="ja-JP"/>
        </w:rPr>
        <w:t xml:space="preserve"> </w:t>
      </w:r>
      <w:r w:rsidR="00E04925">
        <w:rPr>
          <w:lang w:eastAsia="ja-JP"/>
        </w:rPr>
        <w:fldChar w:fldCharType="begin"/>
      </w:r>
      <w:r w:rsidR="00E04925">
        <w:rPr>
          <w:lang w:eastAsia="ja-JP"/>
        </w:rPr>
        <w:instrText xml:space="preserve"> REF _Ref80347147 \h </w:instrText>
      </w:r>
      <w:r w:rsidR="00E04925">
        <w:rPr>
          <w:lang w:eastAsia="ja-JP"/>
        </w:rPr>
      </w:r>
      <w:r w:rsidR="00E04925">
        <w:rPr>
          <w:lang w:eastAsia="ja-JP"/>
        </w:rPr>
        <w:fldChar w:fldCharType="separate"/>
      </w:r>
      <w:r w:rsidR="00012F31">
        <w:t xml:space="preserve">Table </w:t>
      </w:r>
      <w:r w:rsidR="00012F31">
        <w:rPr>
          <w:noProof/>
        </w:rPr>
        <w:t>3</w:t>
      </w:r>
      <w:r w:rsidR="00E04925">
        <w:rPr>
          <w:lang w:eastAsia="ja-JP"/>
        </w:rPr>
        <w:fldChar w:fldCharType="end"/>
      </w:r>
      <w:r w:rsidRPr="00E40498">
        <w:rPr>
          <w:lang w:eastAsia="ja-JP"/>
        </w:rPr>
        <w:t xml:space="preserve">) and add to the </w:t>
      </w:r>
      <w:bookmarkStart w:id="8" w:name="_Hlk58410612"/>
      <w:r w:rsidRPr="00E40498">
        <w:rPr>
          <w:lang w:eastAsia="ja-JP"/>
        </w:rPr>
        <w:t>prepared 100 mL infusion bag containing sodium chloride 9 mg/mL (</w:t>
      </w:r>
      <w:r w:rsidRPr="00954258">
        <w:t>0.9</w:t>
      </w:r>
      <w:r w:rsidRPr="00931851">
        <w:rPr>
          <w:rFonts w:eastAsia="Segoe UI"/>
        </w:rPr>
        <w:t>%) solution for injection</w:t>
      </w:r>
      <w:r w:rsidRPr="00954258">
        <w:t xml:space="preserve"> </w:t>
      </w:r>
      <w:r w:rsidRPr="00931851">
        <w:rPr>
          <w:rFonts w:eastAsia="Segoe UI"/>
        </w:rPr>
        <w:t xml:space="preserve">plus </w:t>
      </w:r>
      <w:r w:rsidRPr="00954258">
        <w:t>human albumin</w:t>
      </w:r>
      <w:bookmarkEnd w:id="8"/>
      <w:r w:rsidR="00F90A13">
        <w:t xml:space="preserve"> (</w:t>
      </w:r>
      <w:r w:rsidR="00F90A13" w:rsidRPr="00931851">
        <w:rPr>
          <w:rFonts w:asciiTheme="majorHAnsi" w:eastAsia="Calibri" w:hAnsiTheme="majorHAnsi"/>
        </w:rPr>
        <w:t>250 mcg/mL</w:t>
      </w:r>
      <w:r w:rsidR="00F90A13">
        <w:t>)</w:t>
      </w:r>
      <w:r w:rsidRPr="00E40498">
        <w:rPr>
          <w:lang w:eastAsia="ja-JP"/>
        </w:rPr>
        <w:t>.</w:t>
      </w:r>
      <w:bookmarkStart w:id="9" w:name="_Hlk98945981"/>
      <w:r w:rsidR="00C66FD8">
        <w:rPr>
          <w:lang w:eastAsia="ja-JP"/>
        </w:rPr>
        <w:t xml:space="preserve"> </w:t>
      </w:r>
      <w:r w:rsidRPr="00100EDA">
        <w:rPr>
          <w:lang w:eastAsia="ja-JP"/>
        </w:rPr>
        <w:t xml:space="preserve">Do </w:t>
      </w:r>
      <w:r w:rsidR="00C66FD8">
        <w:rPr>
          <w:lang w:eastAsia="ja-JP"/>
        </w:rPr>
        <w:t>not</w:t>
      </w:r>
      <w:r w:rsidR="00C66FD8" w:rsidRPr="00100EDA">
        <w:rPr>
          <w:lang w:eastAsia="ja-JP"/>
        </w:rPr>
        <w:t xml:space="preserve"> </w:t>
      </w:r>
      <w:r w:rsidRPr="00100EDA">
        <w:rPr>
          <w:lang w:eastAsia="ja-JP"/>
        </w:rPr>
        <w:t xml:space="preserve">flush the needle and syringe on transfer. </w:t>
      </w:r>
    </w:p>
    <w:p w14:paraId="690B9DD9" w14:textId="7F23BD14" w:rsidR="001C49B1" w:rsidRPr="00714C2C" w:rsidRDefault="00E04925" w:rsidP="00954258">
      <w:pPr>
        <w:pStyle w:val="Caption"/>
        <w:rPr>
          <w:rFonts w:eastAsia="MS Mincho"/>
          <w:i/>
          <w:iCs/>
          <w:lang w:eastAsia="ja-JP"/>
        </w:rPr>
      </w:pPr>
      <w:bookmarkStart w:id="10" w:name="_Ref80347147"/>
      <w:bookmarkEnd w:id="9"/>
      <w:r>
        <w:t xml:space="preserve">Table </w:t>
      </w:r>
      <w:r>
        <w:rPr>
          <w:rFonts w:ascii="Times New Roman" w:hAnsi="Times New Roman"/>
          <w:sz w:val="24"/>
          <w:szCs w:val="20"/>
          <w:lang w:val="en-US"/>
        </w:rPr>
        <w:fldChar w:fldCharType="begin"/>
      </w:r>
      <w:r>
        <w:instrText xml:space="preserve"> SEQ Table \* ARABIC </w:instrText>
      </w:r>
      <w:r>
        <w:rPr>
          <w:rFonts w:ascii="Times New Roman" w:hAnsi="Times New Roman"/>
          <w:sz w:val="24"/>
          <w:szCs w:val="20"/>
          <w:lang w:val="en-US"/>
        </w:rPr>
        <w:fldChar w:fldCharType="separate"/>
      </w:r>
      <w:r w:rsidR="00012F31">
        <w:rPr>
          <w:noProof/>
        </w:rPr>
        <w:t>3</w:t>
      </w:r>
      <w:r>
        <w:rPr>
          <w:rFonts w:ascii="Times New Roman" w:hAnsi="Times New Roman"/>
          <w:sz w:val="24"/>
          <w:szCs w:val="20"/>
          <w:lang w:val="en-US"/>
        </w:rPr>
        <w:fldChar w:fldCharType="end"/>
      </w:r>
      <w:bookmarkEnd w:id="10"/>
      <w:r w:rsidR="00E40498" w:rsidRPr="00E40498">
        <w:rPr>
          <w:rFonts w:eastAsia="MS Mincho"/>
          <w:lang w:eastAsia="ja-JP"/>
        </w:rPr>
        <w:t xml:space="preserve">: KIMMTRAK </w:t>
      </w:r>
      <w:r w:rsidR="00C66FD8">
        <w:rPr>
          <w:rFonts w:eastAsia="MS Mincho"/>
          <w:lang w:eastAsia="ja-JP"/>
        </w:rPr>
        <w:t>v</w:t>
      </w:r>
      <w:r w:rsidR="00E40498" w:rsidRPr="00E40498">
        <w:rPr>
          <w:rFonts w:eastAsia="MS Mincho"/>
          <w:lang w:eastAsia="ja-JP"/>
        </w:rPr>
        <w:t xml:space="preserve">olumes </w:t>
      </w:r>
      <w:r w:rsidR="00C66FD8">
        <w:rPr>
          <w:rFonts w:eastAsia="MS Mincho"/>
          <w:lang w:eastAsia="ja-JP"/>
        </w:rPr>
        <w:t>r</w:t>
      </w:r>
      <w:r w:rsidR="00C66FD8" w:rsidRPr="00E40498">
        <w:rPr>
          <w:rFonts w:eastAsia="MS Mincho"/>
          <w:lang w:eastAsia="ja-JP"/>
        </w:rPr>
        <w:t xml:space="preserve">equired </w:t>
      </w:r>
      <w:r w:rsidR="00E40498" w:rsidRPr="00E40498">
        <w:rPr>
          <w:rFonts w:eastAsia="MS Mincho"/>
          <w:lang w:eastAsia="ja-JP"/>
        </w:rPr>
        <w:t xml:space="preserve">for </w:t>
      </w:r>
      <w:r w:rsidR="00C66FD8">
        <w:rPr>
          <w:rFonts w:eastAsia="MS Mincho"/>
          <w:lang w:eastAsia="ja-JP"/>
        </w:rPr>
        <w:t>a</w:t>
      </w:r>
      <w:r w:rsidR="00C66FD8" w:rsidRPr="00E40498">
        <w:rPr>
          <w:rFonts w:eastAsia="MS Mincho"/>
          <w:lang w:eastAsia="ja-JP"/>
        </w:rPr>
        <w:t xml:space="preserve">ddition </w:t>
      </w:r>
      <w:r w:rsidR="00E40498" w:rsidRPr="00E40498">
        <w:rPr>
          <w:rFonts w:eastAsia="MS Mincho"/>
          <w:lang w:eastAsia="ja-JP"/>
        </w:rPr>
        <w:t xml:space="preserve">to </w:t>
      </w:r>
      <w:r w:rsidR="00C66FD8">
        <w:rPr>
          <w:rFonts w:eastAsia="MS Mincho"/>
          <w:lang w:eastAsia="ja-JP"/>
        </w:rPr>
        <w:t>i</w:t>
      </w:r>
      <w:r w:rsidR="00E40498" w:rsidRPr="00E40498">
        <w:rPr>
          <w:rFonts w:eastAsia="MS Mincho"/>
          <w:lang w:eastAsia="ja-JP"/>
        </w:rPr>
        <w:t xml:space="preserve">nfusion </w:t>
      </w:r>
      <w:r w:rsidR="00C66FD8">
        <w:rPr>
          <w:rFonts w:eastAsia="MS Mincho"/>
          <w:lang w:eastAsia="ja-JP"/>
        </w:rPr>
        <w:t>b</w:t>
      </w:r>
      <w:r w:rsidR="00E40498" w:rsidRPr="00E40498">
        <w:rPr>
          <w:rFonts w:eastAsia="MS Mincho"/>
          <w:lang w:eastAsia="ja-JP"/>
        </w:rPr>
        <w:t>ag</w:t>
      </w:r>
    </w:p>
    <w:tbl>
      <w:tblPr>
        <w:tblStyle w:val="TableGrid"/>
        <w:tblW w:w="4950" w:type="pct"/>
        <w:tblLook w:val="04A0" w:firstRow="1" w:lastRow="0" w:firstColumn="1" w:lastColumn="0" w:noHBand="0" w:noVBand="1"/>
      </w:tblPr>
      <w:tblGrid>
        <w:gridCol w:w="2831"/>
        <w:gridCol w:w="2978"/>
        <w:gridCol w:w="3117"/>
      </w:tblGrid>
      <w:tr w:rsidR="001C49B1" w:rsidRPr="00E04925" w14:paraId="6D1DAA14" w14:textId="77777777" w:rsidTr="00C66FD8">
        <w:trPr>
          <w:trHeight w:val="318"/>
        </w:trPr>
        <w:tc>
          <w:tcPr>
            <w:tcW w:w="15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4272F9" w14:textId="77777777" w:rsidR="00E40498" w:rsidRPr="00954258" w:rsidRDefault="00E40498" w:rsidP="001C49B1">
            <w:pPr>
              <w:pStyle w:val="C-BodyText"/>
              <w:spacing w:before="0" w:after="0" w:line="240" w:lineRule="auto"/>
              <w:jc w:val="center"/>
              <w:rPr>
                <w:rFonts w:asciiTheme="majorHAnsi" w:eastAsia="MS Mincho" w:hAnsiTheme="majorHAnsi"/>
                <w:b/>
                <w:bCs/>
                <w:sz w:val="22"/>
                <w:szCs w:val="22"/>
                <w:lang w:eastAsia="ja-JP"/>
              </w:rPr>
            </w:pPr>
            <w:r w:rsidRPr="00954258">
              <w:rPr>
                <w:rFonts w:asciiTheme="majorHAnsi" w:eastAsia="MS Mincho" w:hAnsiTheme="majorHAnsi"/>
                <w:b/>
                <w:bCs/>
                <w:sz w:val="22"/>
                <w:szCs w:val="22"/>
                <w:lang w:eastAsia="ja-JP"/>
              </w:rPr>
              <w:t>Day of treatment</w:t>
            </w:r>
          </w:p>
        </w:tc>
        <w:tc>
          <w:tcPr>
            <w:tcW w:w="16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417BF2" w14:textId="77777777" w:rsidR="00E40498" w:rsidRPr="00954258" w:rsidRDefault="00E40498" w:rsidP="001C49B1">
            <w:pPr>
              <w:pStyle w:val="C-BodyText"/>
              <w:spacing w:before="0" w:after="0" w:line="240" w:lineRule="auto"/>
              <w:jc w:val="center"/>
              <w:rPr>
                <w:rFonts w:asciiTheme="majorHAnsi" w:eastAsia="MS Mincho" w:hAnsiTheme="majorHAnsi"/>
                <w:b/>
                <w:bCs/>
                <w:sz w:val="22"/>
                <w:szCs w:val="22"/>
                <w:lang w:eastAsia="ja-JP"/>
              </w:rPr>
            </w:pPr>
            <w:r w:rsidRPr="00954258">
              <w:rPr>
                <w:rFonts w:asciiTheme="majorHAnsi" w:eastAsia="MS Mincho" w:hAnsiTheme="majorHAnsi"/>
                <w:b/>
                <w:bCs/>
                <w:sz w:val="22"/>
                <w:szCs w:val="22"/>
                <w:lang w:eastAsia="ja-JP"/>
              </w:rPr>
              <w:t>Dose (mcg) of KIMMTRAK</w:t>
            </w:r>
          </w:p>
        </w:tc>
        <w:tc>
          <w:tcPr>
            <w:tcW w:w="17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3CC350" w14:textId="77777777" w:rsidR="00E40498" w:rsidRPr="00954258" w:rsidRDefault="00E40498" w:rsidP="001C49B1">
            <w:pPr>
              <w:pStyle w:val="C-BodyText"/>
              <w:spacing w:before="0" w:after="0" w:line="240" w:lineRule="auto"/>
              <w:jc w:val="center"/>
              <w:rPr>
                <w:rFonts w:asciiTheme="majorHAnsi" w:eastAsia="MS Mincho" w:hAnsiTheme="majorHAnsi"/>
                <w:b/>
                <w:bCs/>
                <w:sz w:val="22"/>
                <w:szCs w:val="22"/>
                <w:lang w:eastAsia="ja-JP"/>
              </w:rPr>
            </w:pPr>
            <w:r w:rsidRPr="00954258">
              <w:rPr>
                <w:rFonts w:asciiTheme="majorHAnsi" w:eastAsia="MS Mincho" w:hAnsiTheme="majorHAnsi"/>
                <w:b/>
                <w:bCs/>
                <w:sz w:val="22"/>
                <w:szCs w:val="22"/>
                <w:lang w:eastAsia="ja-JP"/>
              </w:rPr>
              <w:t>Volume (mL) of KIMMTRAK</w:t>
            </w:r>
          </w:p>
        </w:tc>
      </w:tr>
      <w:tr w:rsidR="00A13E43" w:rsidRPr="00E04925" w14:paraId="1B22BB5D" w14:textId="77777777" w:rsidTr="00C66FD8">
        <w:trPr>
          <w:trHeight w:val="229"/>
        </w:trPr>
        <w:tc>
          <w:tcPr>
            <w:tcW w:w="1586" w:type="pct"/>
            <w:tcBorders>
              <w:top w:val="single" w:sz="4" w:space="0" w:color="auto"/>
              <w:left w:val="single" w:sz="4" w:space="0" w:color="auto"/>
              <w:bottom w:val="single" w:sz="4" w:space="0" w:color="auto"/>
              <w:right w:val="single" w:sz="4" w:space="0" w:color="auto"/>
            </w:tcBorders>
            <w:vAlign w:val="center"/>
            <w:hideMark/>
          </w:tcPr>
          <w:p w14:paraId="2612AF30" w14:textId="77777777" w:rsidR="00E40498" w:rsidRPr="00954258" w:rsidRDefault="00E40498" w:rsidP="001C49B1">
            <w:pPr>
              <w:pStyle w:val="C-BodyText"/>
              <w:spacing w:before="0" w:after="0" w:line="240" w:lineRule="auto"/>
              <w:jc w:val="center"/>
              <w:rPr>
                <w:rFonts w:asciiTheme="majorHAnsi" w:eastAsia="MS Mincho" w:hAnsiTheme="majorHAnsi"/>
                <w:sz w:val="22"/>
                <w:szCs w:val="22"/>
                <w:lang w:eastAsia="ja-JP"/>
              </w:rPr>
            </w:pPr>
            <w:r w:rsidRPr="00954258">
              <w:rPr>
                <w:rFonts w:asciiTheme="majorHAnsi" w:eastAsia="MS Mincho" w:hAnsiTheme="majorHAnsi"/>
                <w:sz w:val="22"/>
                <w:szCs w:val="22"/>
                <w:lang w:eastAsia="ja-JP"/>
              </w:rPr>
              <w:t>Day 1</w:t>
            </w:r>
          </w:p>
        </w:tc>
        <w:tc>
          <w:tcPr>
            <w:tcW w:w="1668" w:type="pct"/>
            <w:tcBorders>
              <w:top w:val="single" w:sz="4" w:space="0" w:color="auto"/>
              <w:left w:val="single" w:sz="4" w:space="0" w:color="auto"/>
              <w:bottom w:val="single" w:sz="4" w:space="0" w:color="auto"/>
              <w:right w:val="single" w:sz="4" w:space="0" w:color="auto"/>
            </w:tcBorders>
            <w:vAlign w:val="center"/>
            <w:hideMark/>
          </w:tcPr>
          <w:p w14:paraId="35D789E6" w14:textId="77777777" w:rsidR="00E40498" w:rsidRPr="00954258" w:rsidRDefault="00E40498" w:rsidP="001C49B1">
            <w:pPr>
              <w:pStyle w:val="C-BodyText"/>
              <w:spacing w:before="0" w:after="0" w:line="240" w:lineRule="auto"/>
              <w:jc w:val="center"/>
              <w:rPr>
                <w:rFonts w:asciiTheme="majorHAnsi" w:eastAsia="MS Mincho" w:hAnsiTheme="majorHAnsi"/>
                <w:sz w:val="22"/>
                <w:szCs w:val="22"/>
                <w:lang w:eastAsia="ja-JP"/>
              </w:rPr>
            </w:pPr>
            <w:r w:rsidRPr="00954258">
              <w:rPr>
                <w:rFonts w:asciiTheme="majorHAnsi" w:eastAsia="MS Mincho" w:hAnsiTheme="majorHAnsi"/>
                <w:sz w:val="22"/>
                <w:szCs w:val="22"/>
                <w:lang w:eastAsia="ja-JP"/>
              </w:rPr>
              <w:t>20</w:t>
            </w:r>
          </w:p>
        </w:tc>
        <w:tc>
          <w:tcPr>
            <w:tcW w:w="1746" w:type="pct"/>
            <w:tcBorders>
              <w:top w:val="single" w:sz="4" w:space="0" w:color="auto"/>
              <w:left w:val="single" w:sz="4" w:space="0" w:color="auto"/>
              <w:bottom w:val="single" w:sz="4" w:space="0" w:color="auto"/>
              <w:right w:val="single" w:sz="4" w:space="0" w:color="auto"/>
            </w:tcBorders>
            <w:vAlign w:val="center"/>
            <w:hideMark/>
          </w:tcPr>
          <w:p w14:paraId="28D1FEA5" w14:textId="77777777" w:rsidR="00E40498" w:rsidRPr="00954258" w:rsidRDefault="00E40498" w:rsidP="001C49B1">
            <w:pPr>
              <w:pStyle w:val="C-BodyText"/>
              <w:spacing w:before="0" w:after="0" w:line="240" w:lineRule="auto"/>
              <w:jc w:val="center"/>
              <w:rPr>
                <w:rFonts w:asciiTheme="majorHAnsi" w:eastAsia="MS Mincho" w:hAnsiTheme="majorHAnsi"/>
                <w:sz w:val="22"/>
                <w:szCs w:val="22"/>
                <w:lang w:eastAsia="ja-JP"/>
              </w:rPr>
            </w:pPr>
            <w:r w:rsidRPr="00954258">
              <w:rPr>
                <w:rFonts w:asciiTheme="majorHAnsi" w:eastAsia="MS Mincho" w:hAnsiTheme="majorHAnsi"/>
                <w:sz w:val="22"/>
                <w:szCs w:val="22"/>
                <w:lang w:eastAsia="ja-JP"/>
              </w:rPr>
              <w:t>0.10</w:t>
            </w:r>
          </w:p>
        </w:tc>
      </w:tr>
      <w:tr w:rsidR="00A13E43" w:rsidRPr="00E04925" w14:paraId="2752032B" w14:textId="77777777" w:rsidTr="00C66FD8">
        <w:trPr>
          <w:trHeight w:val="318"/>
        </w:trPr>
        <w:tc>
          <w:tcPr>
            <w:tcW w:w="1586" w:type="pct"/>
            <w:tcBorders>
              <w:top w:val="single" w:sz="4" w:space="0" w:color="auto"/>
              <w:left w:val="single" w:sz="4" w:space="0" w:color="auto"/>
              <w:bottom w:val="single" w:sz="4" w:space="0" w:color="auto"/>
              <w:right w:val="single" w:sz="4" w:space="0" w:color="auto"/>
            </w:tcBorders>
            <w:vAlign w:val="center"/>
            <w:hideMark/>
          </w:tcPr>
          <w:p w14:paraId="1E7A93D6" w14:textId="77777777" w:rsidR="00E40498" w:rsidRPr="00954258" w:rsidRDefault="00E40498" w:rsidP="001C49B1">
            <w:pPr>
              <w:pStyle w:val="C-BodyText"/>
              <w:spacing w:before="0" w:after="0" w:line="240" w:lineRule="auto"/>
              <w:jc w:val="center"/>
              <w:rPr>
                <w:rFonts w:asciiTheme="majorHAnsi" w:eastAsia="MS Mincho" w:hAnsiTheme="majorHAnsi"/>
                <w:sz w:val="22"/>
                <w:szCs w:val="22"/>
                <w:lang w:eastAsia="ja-JP"/>
              </w:rPr>
            </w:pPr>
            <w:r w:rsidRPr="00954258">
              <w:rPr>
                <w:rFonts w:asciiTheme="majorHAnsi" w:eastAsia="MS Mincho" w:hAnsiTheme="majorHAnsi"/>
                <w:sz w:val="22"/>
                <w:szCs w:val="22"/>
                <w:lang w:eastAsia="ja-JP"/>
              </w:rPr>
              <w:t>Day 8</w:t>
            </w:r>
          </w:p>
        </w:tc>
        <w:tc>
          <w:tcPr>
            <w:tcW w:w="1668" w:type="pct"/>
            <w:tcBorders>
              <w:top w:val="single" w:sz="4" w:space="0" w:color="auto"/>
              <w:left w:val="single" w:sz="4" w:space="0" w:color="auto"/>
              <w:bottom w:val="single" w:sz="4" w:space="0" w:color="auto"/>
              <w:right w:val="single" w:sz="4" w:space="0" w:color="auto"/>
            </w:tcBorders>
            <w:vAlign w:val="center"/>
            <w:hideMark/>
          </w:tcPr>
          <w:p w14:paraId="5F86434B" w14:textId="77777777" w:rsidR="00E40498" w:rsidRPr="00954258" w:rsidRDefault="00E40498" w:rsidP="001C49B1">
            <w:pPr>
              <w:pStyle w:val="C-BodyText"/>
              <w:spacing w:before="0" w:after="0" w:line="240" w:lineRule="auto"/>
              <w:jc w:val="center"/>
              <w:rPr>
                <w:rFonts w:asciiTheme="majorHAnsi" w:eastAsia="MS Mincho" w:hAnsiTheme="majorHAnsi"/>
                <w:sz w:val="22"/>
                <w:szCs w:val="22"/>
                <w:lang w:eastAsia="ja-JP"/>
              </w:rPr>
            </w:pPr>
            <w:r w:rsidRPr="00954258">
              <w:rPr>
                <w:rFonts w:asciiTheme="majorHAnsi" w:eastAsia="MS Mincho" w:hAnsiTheme="majorHAnsi"/>
                <w:sz w:val="22"/>
                <w:szCs w:val="22"/>
                <w:lang w:eastAsia="ja-JP"/>
              </w:rPr>
              <w:t>30</w:t>
            </w:r>
          </w:p>
        </w:tc>
        <w:tc>
          <w:tcPr>
            <w:tcW w:w="1746" w:type="pct"/>
            <w:tcBorders>
              <w:top w:val="single" w:sz="4" w:space="0" w:color="auto"/>
              <w:left w:val="single" w:sz="4" w:space="0" w:color="auto"/>
              <w:bottom w:val="single" w:sz="4" w:space="0" w:color="auto"/>
              <w:right w:val="single" w:sz="4" w:space="0" w:color="auto"/>
            </w:tcBorders>
            <w:vAlign w:val="center"/>
            <w:hideMark/>
          </w:tcPr>
          <w:p w14:paraId="3CD08A2F" w14:textId="77777777" w:rsidR="00E40498" w:rsidRPr="00954258" w:rsidRDefault="00E40498" w:rsidP="001C49B1">
            <w:pPr>
              <w:pStyle w:val="C-BodyText"/>
              <w:spacing w:before="0" w:after="0" w:line="240" w:lineRule="auto"/>
              <w:jc w:val="center"/>
              <w:rPr>
                <w:rFonts w:asciiTheme="majorHAnsi" w:eastAsia="MS Mincho" w:hAnsiTheme="majorHAnsi"/>
                <w:sz w:val="22"/>
                <w:szCs w:val="22"/>
                <w:lang w:eastAsia="ja-JP"/>
              </w:rPr>
            </w:pPr>
            <w:r w:rsidRPr="00954258">
              <w:rPr>
                <w:rFonts w:asciiTheme="majorHAnsi" w:eastAsia="MS Mincho" w:hAnsiTheme="majorHAnsi"/>
                <w:sz w:val="22"/>
                <w:szCs w:val="22"/>
                <w:lang w:eastAsia="ja-JP"/>
              </w:rPr>
              <w:t>0.15</w:t>
            </w:r>
          </w:p>
        </w:tc>
      </w:tr>
      <w:tr w:rsidR="00A13E43" w:rsidRPr="00E04925" w14:paraId="31EA0970" w14:textId="77777777" w:rsidTr="00C66FD8">
        <w:trPr>
          <w:trHeight w:val="318"/>
        </w:trPr>
        <w:tc>
          <w:tcPr>
            <w:tcW w:w="1586" w:type="pct"/>
            <w:tcBorders>
              <w:top w:val="single" w:sz="4" w:space="0" w:color="auto"/>
              <w:left w:val="single" w:sz="4" w:space="0" w:color="auto"/>
              <w:bottom w:val="single" w:sz="4" w:space="0" w:color="auto"/>
              <w:right w:val="single" w:sz="4" w:space="0" w:color="auto"/>
            </w:tcBorders>
            <w:vAlign w:val="center"/>
            <w:hideMark/>
          </w:tcPr>
          <w:p w14:paraId="10505726" w14:textId="77777777" w:rsidR="00E40498" w:rsidRPr="00954258" w:rsidRDefault="00E40498" w:rsidP="001C49B1">
            <w:pPr>
              <w:pStyle w:val="C-BodyText"/>
              <w:spacing w:before="0" w:after="0" w:line="240" w:lineRule="auto"/>
              <w:jc w:val="center"/>
              <w:rPr>
                <w:rFonts w:asciiTheme="majorHAnsi" w:eastAsia="MS Mincho" w:hAnsiTheme="majorHAnsi"/>
                <w:sz w:val="22"/>
                <w:szCs w:val="22"/>
                <w:lang w:eastAsia="ja-JP"/>
              </w:rPr>
            </w:pPr>
            <w:r w:rsidRPr="00954258">
              <w:rPr>
                <w:rFonts w:asciiTheme="majorHAnsi" w:eastAsia="MS Mincho" w:hAnsiTheme="majorHAnsi"/>
                <w:sz w:val="22"/>
                <w:szCs w:val="22"/>
                <w:lang w:eastAsia="ja-JP"/>
              </w:rPr>
              <w:t>Day 15 and weekly thereafter</w:t>
            </w:r>
          </w:p>
        </w:tc>
        <w:tc>
          <w:tcPr>
            <w:tcW w:w="1668" w:type="pct"/>
            <w:tcBorders>
              <w:top w:val="single" w:sz="4" w:space="0" w:color="auto"/>
              <w:left w:val="single" w:sz="4" w:space="0" w:color="auto"/>
              <w:bottom w:val="single" w:sz="4" w:space="0" w:color="auto"/>
              <w:right w:val="single" w:sz="4" w:space="0" w:color="auto"/>
            </w:tcBorders>
            <w:vAlign w:val="center"/>
            <w:hideMark/>
          </w:tcPr>
          <w:p w14:paraId="752C0E10" w14:textId="77777777" w:rsidR="00E40498" w:rsidRPr="00954258" w:rsidRDefault="00E40498" w:rsidP="001C49B1">
            <w:pPr>
              <w:pStyle w:val="C-BodyText"/>
              <w:spacing w:before="0" w:after="0" w:line="240" w:lineRule="auto"/>
              <w:jc w:val="center"/>
              <w:rPr>
                <w:rFonts w:asciiTheme="majorHAnsi" w:eastAsia="MS Mincho" w:hAnsiTheme="majorHAnsi"/>
                <w:sz w:val="22"/>
                <w:szCs w:val="22"/>
                <w:lang w:eastAsia="ja-JP"/>
              </w:rPr>
            </w:pPr>
            <w:r w:rsidRPr="00954258">
              <w:rPr>
                <w:rFonts w:asciiTheme="majorHAnsi" w:eastAsia="MS Mincho" w:hAnsiTheme="majorHAnsi"/>
                <w:sz w:val="22"/>
                <w:szCs w:val="22"/>
                <w:lang w:eastAsia="ja-JP"/>
              </w:rPr>
              <w:t>68</w:t>
            </w:r>
          </w:p>
        </w:tc>
        <w:tc>
          <w:tcPr>
            <w:tcW w:w="1746" w:type="pct"/>
            <w:tcBorders>
              <w:top w:val="single" w:sz="4" w:space="0" w:color="auto"/>
              <w:left w:val="single" w:sz="4" w:space="0" w:color="auto"/>
              <w:bottom w:val="single" w:sz="4" w:space="0" w:color="auto"/>
              <w:right w:val="single" w:sz="4" w:space="0" w:color="auto"/>
            </w:tcBorders>
            <w:vAlign w:val="center"/>
            <w:hideMark/>
          </w:tcPr>
          <w:p w14:paraId="36248408" w14:textId="77777777" w:rsidR="00E40498" w:rsidRPr="00954258" w:rsidRDefault="00E40498" w:rsidP="001C49B1">
            <w:pPr>
              <w:pStyle w:val="C-BodyText"/>
              <w:spacing w:before="0" w:after="0" w:line="240" w:lineRule="auto"/>
              <w:jc w:val="center"/>
              <w:rPr>
                <w:rFonts w:asciiTheme="majorHAnsi" w:eastAsia="MS Mincho" w:hAnsiTheme="majorHAnsi"/>
                <w:sz w:val="22"/>
                <w:szCs w:val="22"/>
                <w:lang w:eastAsia="ja-JP"/>
              </w:rPr>
            </w:pPr>
            <w:r w:rsidRPr="00954258">
              <w:rPr>
                <w:rFonts w:asciiTheme="majorHAnsi" w:eastAsia="MS Mincho" w:hAnsiTheme="majorHAnsi"/>
                <w:sz w:val="22"/>
                <w:szCs w:val="22"/>
                <w:lang w:eastAsia="ja-JP"/>
              </w:rPr>
              <w:t>0.34</w:t>
            </w:r>
          </w:p>
        </w:tc>
      </w:tr>
    </w:tbl>
    <w:p w14:paraId="5CD7978B" w14:textId="77777777" w:rsidR="0035777F" w:rsidRDefault="0035777F" w:rsidP="006D287B">
      <w:pPr>
        <w:pStyle w:val="ListParagraph"/>
        <w:numPr>
          <w:ilvl w:val="0"/>
          <w:numId w:val="42"/>
        </w:numPr>
        <w:spacing w:before="120" w:after="120"/>
        <w:ind w:left="714" w:hanging="357"/>
        <w:contextualSpacing w:val="0"/>
        <w:rPr>
          <w:lang w:eastAsia="ja-JP"/>
        </w:rPr>
      </w:pPr>
      <w:r w:rsidRPr="00C66FD8">
        <w:rPr>
          <w:rFonts w:eastAsia="MS Mincho"/>
          <w:lang w:eastAsia="ja-JP"/>
        </w:rPr>
        <w:t xml:space="preserve">Each vial of KIMMTRAK is for single use in one patient only. Discard any residue. </w:t>
      </w:r>
      <w:r w:rsidRPr="00100EDA">
        <w:rPr>
          <w:lang w:eastAsia="ja-JP"/>
        </w:rPr>
        <w:t xml:space="preserve">Discard the </w:t>
      </w:r>
      <w:r w:rsidRPr="00C66FD8">
        <w:rPr>
          <w:rFonts w:eastAsia="MS Mincho"/>
          <w:lang w:eastAsia="ja-JP"/>
        </w:rPr>
        <w:t>vial</w:t>
      </w:r>
      <w:r w:rsidRPr="00100EDA">
        <w:rPr>
          <w:lang w:eastAsia="ja-JP"/>
        </w:rPr>
        <w:t xml:space="preserve"> containing the unused portion of KIMMTRAK in accordance with local requirements. </w:t>
      </w:r>
    </w:p>
    <w:p w14:paraId="6DFD58A1" w14:textId="06047D68" w:rsidR="00C66FD8" w:rsidRDefault="0035777F" w:rsidP="006D287B">
      <w:pPr>
        <w:pStyle w:val="ListParagraph"/>
        <w:numPr>
          <w:ilvl w:val="0"/>
          <w:numId w:val="42"/>
        </w:numPr>
        <w:spacing w:before="120" w:after="120"/>
        <w:ind w:left="714" w:hanging="357"/>
        <w:contextualSpacing w:val="0"/>
        <w:rPr>
          <w:rFonts w:eastAsia="MS Mincho"/>
          <w:lang w:eastAsia="ja-JP"/>
        </w:rPr>
      </w:pPr>
      <w:r>
        <w:rPr>
          <w:lang w:eastAsia="ja-JP"/>
        </w:rPr>
        <w:t>Gently m</w:t>
      </w:r>
      <w:r w:rsidRPr="00A13E43">
        <w:rPr>
          <w:lang w:eastAsia="ja-JP"/>
        </w:rPr>
        <w:t>ix the infusion bag by following the same procedure outlined in Step </w:t>
      </w:r>
      <w:r>
        <w:rPr>
          <w:lang w:eastAsia="ja-JP"/>
        </w:rPr>
        <w:fldChar w:fldCharType="begin"/>
      </w:r>
      <w:r>
        <w:rPr>
          <w:lang w:eastAsia="ja-JP"/>
        </w:rPr>
        <w:instrText xml:space="preserve"> REF _Ref99031305 \w \h </w:instrText>
      </w:r>
      <w:r>
        <w:rPr>
          <w:lang w:eastAsia="ja-JP"/>
        </w:rPr>
      </w:r>
      <w:r>
        <w:rPr>
          <w:lang w:eastAsia="ja-JP"/>
        </w:rPr>
        <w:fldChar w:fldCharType="separate"/>
      </w:r>
      <w:r w:rsidR="00012F31">
        <w:rPr>
          <w:lang w:eastAsia="ja-JP"/>
        </w:rPr>
        <w:t>1b</w:t>
      </w:r>
      <w:r>
        <w:rPr>
          <w:lang w:eastAsia="ja-JP"/>
        </w:rPr>
        <w:fldChar w:fldCharType="end"/>
      </w:r>
      <w:r w:rsidRPr="00A13E43">
        <w:rPr>
          <w:lang w:eastAsia="ja-JP"/>
        </w:rPr>
        <w:t>.</w:t>
      </w:r>
    </w:p>
    <w:p w14:paraId="0540208D" w14:textId="01C29B6C" w:rsidR="007F1FD7" w:rsidRDefault="007F1FD7" w:rsidP="007F1FD7">
      <w:pPr>
        <w:pStyle w:val="Heading4"/>
        <w:rPr>
          <w:lang w:eastAsia="ja-JP"/>
        </w:rPr>
      </w:pPr>
      <w:r>
        <w:rPr>
          <w:lang w:eastAsia="ja-JP"/>
        </w:rPr>
        <w:t>Administration</w:t>
      </w:r>
    </w:p>
    <w:p w14:paraId="462636DE" w14:textId="5245294B" w:rsidR="00931851" w:rsidRPr="00E40498" w:rsidRDefault="00E40498" w:rsidP="00954258">
      <w:pPr>
        <w:pStyle w:val="ListParagraph"/>
        <w:numPr>
          <w:ilvl w:val="0"/>
          <w:numId w:val="37"/>
        </w:numPr>
        <w:rPr>
          <w:lang w:eastAsia="ja-JP"/>
        </w:rPr>
      </w:pPr>
      <w:r w:rsidRPr="00E40498">
        <w:rPr>
          <w:lang w:eastAsia="ja-JP"/>
        </w:rPr>
        <w:t xml:space="preserve">Immediately administer </w:t>
      </w:r>
      <w:r w:rsidR="00931851">
        <w:rPr>
          <w:lang w:eastAsia="ja-JP"/>
        </w:rPr>
        <w:t xml:space="preserve">the diluted solution by </w:t>
      </w:r>
      <w:r w:rsidR="009456E3">
        <w:rPr>
          <w:lang w:eastAsia="ja-JP"/>
        </w:rPr>
        <w:t xml:space="preserve">intravenous </w:t>
      </w:r>
      <w:r w:rsidRPr="00E40498">
        <w:rPr>
          <w:lang w:eastAsia="ja-JP"/>
        </w:rPr>
        <w:t>infusion over 15</w:t>
      </w:r>
      <w:r w:rsidRPr="00E40498">
        <w:rPr>
          <w:lang w:eastAsia="ja-JP"/>
        </w:rPr>
        <w:noBreakHyphen/>
        <w:t>20 minutes through a dedicated intravenous line</w:t>
      </w:r>
      <w:r w:rsidR="00931851">
        <w:rPr>
          <w:lang w:eastAsia="ja-JP"/>
        </w:rPr>
        <w:t>, using a</w:t>
      </w:r>
      <w:r w:rsidRPr="00E40498">
        <w:rPr>
          <w:lang w:eastAsia="ja-JP"/>
        </w:rPr>
        <w:t xml:space="preserve"> sterile, non-pyrogenic, low protein binding 0.2 micron in-line filter infusion set. Administer the entire contents of the KIMMTRAK infusion bag to the patient.</w:t>
      </w:r>
    </w:p>
    <w:p w14:paraId="0598E2DB" w14:textId="4FE7C44D" w:rsidR="00931851" w:rsidRPr="006D287B" w:rsidRDefault="00931851" w:rsidP="00931851">
      <w:pPr>
        <w:pStyle w:val="ListParagraph"/>
        <w:numPr>
          <w:ilvl w:val="0"/>
          <w:numId w:val="37"/>
        </w:numPr>
        <w:rPr>
          <w:lang w:eastAsia="ja-JP"/>
        </w:rPr>
      </w:pPr>
      <w:r w:rsidRPr="1B430F7F">
        <w:rPr>
          <w:noProof/>
        </w:rPr>
        <w:t xml:space="preserve">KIMMTRAK does not contain a preservative. </w:t>
      </w:r>
      <w:r>
        <w:rPr>
          <w:lang w:eastAsia="ja-JP"/>
        </w:rPr>
        <w:t>The infusion should be completed</w:t>
      </w:r>
      <w:r w:rsidRPr="00931851">
        <w:rPr>
          <w:noProof/>
        </w:rPr>
        <w:t xml:space="preserve"> </w:t>
      </w:r>
      <w:r w:rsidRPr="1B430F7F">
        <w:rPr>
          <w:noProof/>
        </w:rPr>
        <w:t xml:space="preserve">within 4 hours from the time of preparation. During the 4-hour window, the KIMMTRAK infusion bag should remain  below </w:t>
      </w:r>
      <w:r>
        <w:t>30°C</w:t>
      </w:r>
      <w:r w:rsidRPr="1B430F7F">
        <w:rPr>
          <w:noProof/>
        </w:rPr>
        <w:t>.</w:t>
      </w:r>
    </w:p>
    <w:p w14:paraId="547E4B5E" w14:textId="42FC4C99" w:rsidR="009456E3" w:rsidRPr="006D287B" w:rsidRDefault="00E40498" w:rsidP="00931851">
      <w:pPr>
        <w:pStyle w:val="ListParagraph"/>
        <w:numPr>
          <w:ilvl w:val="0"/>
          <w:numId w:val="37"/>
        </w:numPr>
        <w:rPr>
          <w:lang w:eastAsia="ja-JP"/>
        </w:rPr>
      </w:pPr>
      <w:r w:rsidRPr="006D287B">
        <w:rPr>
          <w:rFonts w:eastAsia="MS Mincho"/>
          <w:lang w:eastAsia="ja-JP"/>
        </w:rPr>
        <w:t xml:space="preserve">Upon completion of KIMMTRAK infusion, flush the infusion line with </w:t>
      </w:r>
      <w:r w:rsidR="002E0D5C">
        <w:rPr>
          <w:rFonts w:eastAsia="MS Mincho"/>
          <w:lang w:eastAsia="ja-JP"/>
        </w:rPr>
        <w:t xml:space="preserve">an </w:t>
      </w:r>
      <w:r w:rsidRPr="006D287B">
        <w:rPr>
          <w:rFonts w:eastAsia="MS Mincho"/>
          <w:lang w:eastAsia="ja-JP"/>
        </w:rPr>
        <w:t>adequate volume of sterile sodium chloride 9 mg/mL (0.9%) solution for injection to ensure that the entire contents of the</w:t>
      </w:r>
      <w:r w:rsidR="00931851">
        <w:rPr>
          <w:rFonts w:eastAsia="MS Mincho"/>
          <w:lang w:eastAsia="ja-JP"/>
        </w:rPr>
        <w:t xml:space="preserve"> KIMMTRAK</w:t>
      </w:r>
      <w:r w:rsidRPr="006D287B">
        <w:rPr>
          <w:rFonts w:eastAsia="MS Mincho"/>
          <w:lang w:eastAsia="ja-JP"/>
        </w:rPr>
        <w:t xml:space="preserve"> infusion bag are administered. </w:t>
      </w:r>
    </w:p>
    <w:p w14:paraId="2A5F7424" w14:textId="4163ACFE" w:rsidR="001E3ECE" w:rsidRDefault="00E40498" w:rsidP="006D287B">
      <w:pPr>
        <w:rPr>
          <w:lang w:eastAsia="ja-JP"/>
        </w:rPr>
      </w:pPr>
      <w:r w:rsidRPr="006D287B">
        <w:rPr>
          <w:rFonts w:eastAsia="MS Mincho"/>
          <w:lang w:eastAsia="ja-JP"/>
        </w:rPr>
        <w:t>Do not administer KIMMTRAK as an intravenous push or bolus</w:t>
      </w:r>
      <w:r w:rsidR="009456E3">
        <w:rPr>
          <w:rFonts w:eastAsia="MS Mincho"/>
          <w:lang w:eastAsia="ja-JP"/>
        </w:rPr>
        <w:t xml:space="preserve">, or </w:t>
      </w:r>
      <w:r w:rsidR="00E47385">
        <w:rPr>
          <w:rFonts w:eastAsia="MS Mincho"/>
          <w:lang w:eastAsia="ja-JP"/>
        </w:rPr>
        <w:t>by</w:t>
      </w:r>
      <w:r w:rsidR="009456E3">
        <w:rPr>
          <w:rFonts w:eastAsia="MS Mincho"/>
          <w:lang w:eastAsia="ja-JP"/>
        </w:rPr>
        <w:t xml:space="preserve"> any</w:t>
      </w:r>
      <w:r w:rsidR="00E47385">
        <w:rPr>
          <w:rFonts w:eastAsia="MS Mincho"/>
          <w:lang w:eastAsia="ja-JP"/>
        </w:rPr>
        <w:t xml:space="preserve"> non-intravenous</w:t>
      </w:r>
      <w:r w:rsidR="009456E3">
        <w:rPr>
          <w:rFonts w:eastAsia="MS Mincho"/>
          <w:lang w:eastAsia="ja-JP"/>
        </w:rPr>
        <w:t xml:space="preserve"> route of administration</w:t>
      </w:r>
      <w:r w:rsidRPr="006D287B">
        <w:rPr>
          <w:rFonts w:eastAsia="MS Mincho"/>
          <w:lang w:eastAsia="ja-JP"/>
        </w:rPr>
        <w:t>. Do not mix KIMMTRAK with other drugs or administer other drugs through the same intravenous line.</w:t>
      </w:r>
    </w:p>
    <w:p w14:paraId="2111E5D4" w14:textId="3577E280" w:rsidR="001E3ECE" w:rsidRPr="00A379A4" w:rsidRDefault="001E3ECE" w:rsidP="00954258">
      <w:pPr>
        <w:pStyle w:val="Heading4"/>
        <w:rPr>
          <w:noProof/>
        </w:rPr>
      </w:pPr>
      <w:r>
        <w:rPr>
          <w:noProof/>
        </w:rPr>
        <w:t>Storage</w:t>
      </w:r>
      <w:r w:rsidRPr="00A379A4">
        <w:rPr>
          <w:noProof/>
        </w:rPr>
        <w:t xml:space="preserve"> of </w:t>
      </w:r>
      <w:r>
        <w:rPr>
          <w:noProof/>
        </w:rPr>
        <w:t xml:space="preserve">diluted </w:t>
      </w:r>
      <w:r w:rsidRPr="00A379A4">
        <w:rPr>
          <w:noProof/>
        </w:rPr>
        <w:t>solution for infusion</w:t>
      </w:r>
    </w:p>
    <w:p w14:paraId="46AAB3FB" w14:textId="5AE65F98" w:rsidR="001E3ECE" w:rsidRDefault="00931851" w:rsidP="001E3ECE">
      <w:r>
        <w:t xml:space="preserve">If not used immediately, </w:t>
      </w:r>
      <w:r w:rsidR="004117A1">
        <w:t xml:space="preserve">store </w:t>
      </w:r>
      <w:r>
        <w:t>d</w:t>
      </w:r>
      <w:r w:rsidR="001E3ECE">
        <w:t xml:space="preserve">iluted solution for infusion </w:t>
      </w:r>
      <w:r>
        <w:t>in a refrigerator</w:t>
      </w:r>
      <w:r w:rsidR="001E3ECE">
        <w:t xml:space="preserve"> at 2°C to 8°C </w:t>
      </w:r>
      <w:r w:rsidR="004117A1">
        <w:t>and infuse within</w:t>
      </w:r>
      <w:r>
        <w:t xml:space="preserve"> </w:t>
      </w:r>
      <w:r w:rsidR="001E3ECE">
        <w:t xml:space="preserve">24 hours </w:t>
      </w:r>
      <w:r w:rsidR="001E3ECE" w:rsidRPr="1B430F7F">
        <w:rPr>
          <w:noProof/>
        </w:rPr>
        <w:t>from the time of preparation</w:t>
      </w:r>
      <w:r w:rsidR="004117A1">
        <w:rPr>
          <w:noProof/>
        </w:rPr>
        <w:t xml:space="preserve">. The 24-hour window </w:t>
      </w:r>
      <w:r w:rsidR="001E3ECE" w:rsidRPr="1B430F7F">
        <w:rPr>
          <w:noProof/>
        </w:rPr>
        <w:t xml:space="preserve">includes </w:t>
      </w:r>
      <w:r w:rsidR="004117A1">
        <w:rPr>
          <w:noProof/>
        </w:rPr>
        <w:t xml:space="preserve">refrigerator storage </w:t>
      </w:r>
      <w:r w:rsidR="001E3ECE" w:rsidRPr="1B430F7F">
        <w:rPr>
          <w:noProof/>
        </w:rPr>
        <w:t>time</w:t>
      </w:r>
      <w:r w:rsidR="004117A1">
        <w:rPr>
          <w:noProof/>
        </w:rPr>
        <w:t>, the time</w:t>
      </w:r>
      <w:r w:rsidR="001E3ECE" w:rsidRPr="1B430F7F">
        <w:rPr>
          <w:noProof/>
        </w:rPr>
        <w:t xml:space="preserve"> </w:t>
      </w:r>
      <w:r w:rsidR="004117A1">
        <w:rPr>
          <w:noProof/>
        </w:rPr>
        <w:t>taken for</w:t>
      </w:r>
      <w:r w:rsidR="001E3ECE" w:rsidRPr="1B430F7F">
        <w:rPr>
          <w:noProof/>
        </w:rPr>
        <w:t xml:space="preserve"> the infusion bag to </w:t>
      </w:r>
      <w:r w:rsidR="004117A1">
        <w:rPr>
          <w:noProof/>
        </w:rPr>
        <w:t>re-equilibrate to room temperature (</w:t>
      </w:r>
      <w:r w:rsidR="006A063E" w:rsidRPr="1B430F7F">
        <w:rPr>
          <w:noProof/>
        </w:rPr>
        <w:t xml:space="preserve">below </w:t>
      </w:r>
      <w:r w:rsidR="003B6DAB">
        <w:t>30</w:t>
      </w:r>
      <w:r w:rsidR="006A063E">
        <w:t>°C</w:t>
      </w:r>
      <w:r w:rsidR="004117A1">
        <w:t>)</w:t>
      </w:r>
      <w:r w:rsidR="001E3ECE" w:rsidRPr="1B430F7F">
        <w:rPr>
          <w:noProof/>
        </w:rPr>
        <w:t xml:space="preserve"> and the duration of the infusion.</w:t>
      </w:r>
    </w:p>
    <w:p w14:paraId="0F8A28A2" w14:textId="619A3C08" w:rsidR="00383ACE" w:rsidRPr="00BA1C4E" w:rsidRDefault="001E3ECE" w:rsidP="000F0660">
      <w:pPr>
        <w:rPr>
          <w:rFonts w:eastAsia="MS Mincho"/>
          <w:szCs w:val="18"/>
          <w:lang w:eastAsia="ja-JP"/>
        </w:rPr>
      </w:pPr>
      <w:r w:rsidRPr="00480507">
        <w:rPr>
          <w:noProof/>
        </w:rPr>
        <w:lastRenderedPageBreak/>
        <w:t xml:space="preserve">Once removed from the refrigerator, </w:t>
      </w:r>
      <w:r w:rsidR="004117A1">
        <w:rPr>
          <w:noProof/>
        </w:rPr>
        <w:t xml:space="preserve">do not refrigerate the </w:t>
      </w:r>
      <w:r w:rsidRPr="00480507">
        <w:rPr>
          <w:noProof/>
        </w:rPr>
        <w:t>KIMMTRAK infusion bag again. Do not freeze. Discard unused KIMMTRAK solution beyond the recommended storage time.</w:t>
      </w:r>
    </w:p>
    <w:p w14:paraId="4D39C5E7" w14:textId="559AC0F7" w:rsidR="001A3992" w:rsidRPr="007119B6" w:rsidRDefault="001A3992" w:rsidP="00954258">
      <w:pPr>
        <w:pStyle w:val="Heading2"/>
        <w:numPr>
          <w:ilvl w:val="1"/>
          <w:numId w:val="24"/>
        </w:numPr>
      </w:pPr>
      <w:r w:rsidRPr="007119B6">
        <w:t>Contraindications</w:t>
      </w:r>
    </w:p>
    <w:p w14:paraId="3CAF4E05" w14:textId="318A7F12" w:rsidR="00383ACE" w:rsidRPr="00383ACE" w:rsidRDefault="00383ACE">
      <w:pPr>
        <w:rPr>
          <w:noProof/>
        </w:rPr>
      </w:pPr>
      <w:r w:rsidRPr="00383ACE">
        <w:rPr>
          <w:noProof/>
        </w:rPr>
        <w:t xml:space="preserve">Hypersensitivity to the active substance or to any of the excipients listed in </w:t>
      </w:r>
      <w:r w:rsidR="00D511D7">
        <w:rPr>
          <w:noProof/>
        </w:rPr>
        <w:t>S</w:t>
      </w:r>
      <w:r w:rsidRPr="00383ACE">
        <w:rPr>
          <w:noProof/>
        </w:rPr>
        <w:t>ection 6.1</w:t>
      </w:r>
      <w:r w:rsidR="00D511D7">
        <w:rPr>
          <w:noProof/>
        </w:rPr>
        <w:t xml:space="preserve"> </w:t>
      </w:r>
      <w:r w:rsidR="000B4674">
        <w:rPr>
          <w:noProof/>
        </w:rPr>
        <w:fldChar w:fldCharType="begin"/>
      </w:r>
      <w:r w:rsidR="000B4674">
        <w:rPr>
          <w:noProof/>
        </w:rPr>
        <w:instrText xml:space="preserve"> REF _Ref80367085 \h </w:instrText>
      </w:r>
      <w:r w:rsidR="000B4674">
        <w:rPr>
          <w:noProof/>
        </w:rPr>
      </w:r>
      <w:r w:rsidR="000B4674">
        <w:rPr>
          <w:noProof/>
        </w:rPr>
        <w:fldChar w:fldCharType="separate"/>
      </w:r>
      <w:r w:rsidR="00012F31" w:rsidRPr="00BA1C4E">
        <w:rPr>
          <w:lang w:val="en-US"/>
        </w:rPr>
        <w:t>List of excipients</w:t>
      </w:r>
      <w:r w:rsidR="000B4674">
        <w:rPr>
          <w:noProof/>
        </w:rPr>
        <w:fldChar w:fldCharType="end"/>
      </w:r>
      <w:r w:rsidRPr="00383ACE">
        <w:rPr>
          <w:noProof/>
        </w:rPr>
        <w:t>.</w:t>
      </w:r>
    </w:p>
    <w:p w14:paraId="3C6A1F03" w14:textId="24D35318" w:rsidR="001A3992" w:rsidRPr="00BA1C4E" w:rsidRDefault="00E74A56" w:rsidP="00954258">
      <w:pPr>
        <w:pStyle w:val="Heading2"/>
        <w:numPr>
          <w:ilvl w:val="1"/>
          <w:numId w:val="24"/>
        </w:numPr>
      </w:pPr>
      <w:bookmarkStart w:id="11" w:name="_Ref80367115"/>
      <w:r w:rsidRPr="000B4674">
        <w:t>Special warnings and p</w:t>
      </w:r>
      <w:r w:rsidR="001A3992" w:rsidRPr="007F1FD7">
        <w:t xml:space="preserve">recautions </w:t>
      </w:r>
      <w:r w:rsidRPr="007F1FD7">
        <w:t>for use</w:t>
      </w:r>
      <w:bookmarkEnd w:id="11"/>
    </w:p>
    <w:p w14:paraId="3614CD17" w14:textId="1983DAA7" w:rsidR="007A7E79" w:rsidRPr="00646FA9" w:rsidRDefault="007A7E79" w:rsidP="00954258">
      <w:pPr>
        <w:pStyle w:val="Heading3"/>
        <w:rPr>
          <w:noProof/>
        </w:rPr>
      </w:pPr>
      <w:r w:rsidRPr="00646FA9">
        <w:rPr>
          <w:noProof/>
        </w:rPr>
        <w:t>Traceability</w:t>
      </w:r>
    </w:p>
    <w:p w14:paraId="1C32EC2A" w14:textId="293AA77F" w:rsidR="007A7E79" w:rsidRPr="007A7E79" w:rsidRDefault="0091569D">
      <w:pPr>
        <w:rPr>
          <w:noProof/>
          <w:highlight w:val="green"/>
        </w:rPr>
      </w:pPr>
      <w:r w:rsidRPr="007A7E79">
        <w:t>To</w:t>
      </w:r>
      <w:r w:rsidR="007A7E79" w:rsidRPr="007A7E79">
        <w:t xml:space="preserve"> improve the traceability of biological medicinal products, the name and the batch number of the administered product should be clearly recorded</w:t>
      </w:r>
      <w:r w:rsidR="007A7E79" w:rsidRPr="007A7E79">
        <w:rPr>
          <w:noProof/>
        </w:rPr>
        <w:t>.</w:t>
      </w:r>
    </w:p>
    <w:p w14:paraId="50537F44" w14:textId="58E0FB88" w:rsidR="007A7E79" w:rsidRPr="00646FA9" w:rsidRDefault="007A7E79" w:rsidP="00954258">
      <w:pPr>
        <w:pStyle w:val="Heading3"/>
        <w:rPr>
          <w:noProof/>
        </w:rPr>
      </w:pPr>
      <w:r w:rsidRPr="00646FA9">
        <w:rPr>
          <w:noProof/>
        </w:rPr>
        <w:t>Cytokine release syndrome (CRS)</w:t>
      </w:r>
      <w:bookmarkStart w:id="12" w:name="_Hlk63754739"/>
    </w:p>
    <w:p w14:paraId="5084813F" w14:textId="73E9111B" w:rsidR="009C2B75" w:rsidRDefault="007A7E79" w:rsidP="009C2B75">
      <w:r w:rsidRPr="007A7E79">
        <w:t>CRS</w:t>
      </w:r>
      <w:r w:rsidR="0035777F">
        <w:t>, which can be life threatening,</w:t>
      </w:r>
      <w:r w:rsidRPr="007A7E79">
        <w:t xml:space="preserve"> occurred </w:t>
      </w:r>
      <w:r w:rsidR="0035777F">
        <w:t>in patients receiving</w:t>
      </w:r>
      <w:r w:rsidR="0035777F" w:rsidRPr="007A7E79">
        <w:t xml:space="preserve"> </w:t>
      </w:r>
      <w:r w:rsidRPr="007A7E79">
        <w:t>KIMMTRAK</w:t>
      </w:r>
      <w:r w:rsidR="009A1899">
        <w:t xml:space="preserve"> (see Section 4.8 </w:t>
      </w:r>
      <w:r w:rsidR="009A1899">
        <w:fldChar w:fldCharType="begin"/>
      </w:r>
      <w:r w:rsidR="009A1899">
        <w:instrText xml:space="preserve"> REF _Ref98430191 \h </w:instrText>
      </w:r>
      <w:r w:rsidR="009A1899">
        <w:fldChar w:fldCharType="separate"/>
      </w:r>
      <w:r w:rsidR="00012F31" w:rsidRPr="00497C85">
        <w:t>Adverse effects (Undesirable effects)</w:t>
      </w:r>
      <w:r w:rsidR="009A1899">
        <w:fldChar w:fldCharType="end"/>
      </w:r>
      <w:r w:rsidR="00BC1258">
        <w:t xml:space="preserve"> - </w:t>
      </w:r>
      <w:r w:rsidR="00BC1258">
        <w:fldChar w:fldCharType="begin"/>
      </w:r>
      <w:r w:rsidR="00BC1258">
        <w:instrText xml:space="preserve"> REF _Ref99370517 \h </w:instrText>
      </w:r>
      <w:r w:rsidR="00BC1258">
        <w:fldChar w:fldCharType="separate"/>
      </w:r>
      <w:r w:rsidR="00012F31" w:rsidRPr="00646FA9">
        <w:rPr>
          <w:shd w:val="clear" w:color="auto" w:fill="FFFFFF" w:themeFill="background1"/>
        </w:rPr>
        <w:t>Description of selected adverse reactions</w:t>
      </w:r>
      <w:r w:rsidR="00BC1258">
        <w:fldChar w:fldCharType="end"/>
      </w:r>
      <w:r w:rsidR="009A1899">
        <w:t>)</w:t>
      </w:r>
      <w:r w:rsidR="0054004F">
        <w:t>.</w:t>
      </w:r>
      <w:r w:rsidRPr="007A7E79">
        <w:t xml:space="preserve"> </w:t>
      </w:r>
      <w:r w:rsidR="0035777F">
        <w:t>Manifestations of CRS may include</w:t>
      </w:r>
      <w:r w:rsidRPr="007A7E79">
        <w:t xml:space="preserve"> </w:t>
      </w:r>
      <w:r w:rsidR="0035777F">
        <w:t>fever,</w:t>
      </w:r>
      <w:r w:rsidRPr="007A7E79">
        <w:t xml:space="preserve"> hypotension</w:t>
      </w:r>
      <w:r w:rsidR="0035777F">
        <w:t xml:space="preserve">, </w:t>
      </w:r>
      <w:r w:rsidRPr="007A7E79">
        <w:t>hypoxia</w:t>
      </w:r>
      <w:r w:rsidR="0035777F">
        <w:t xml:space="preserve">, </w:t>
      </w:r>
      <w:r w:rsidRPr="007A7E79">
        <w:t xml:space="preserve">chills, nausea, vomiting, </w:t>
      </w:r>
      <w:r w:rsidR="0035777F">
        <w:t xml:space="preserve">rash, elevated transaminases, </w:t>
      </w:r>
      <w:proofErr w:type="gramStart"/>
      <w:r w:rsidRPr="007A7E79">
        <w:t>fatigue</w:t>
      </w:r>
      <w:proofErr w:type="gramEnd"/>
      <w:r w:rsidRPr="007A7E79">
        <w:t xml:space="preserve"> and headache.</w:t>
      </w:r>
      <w:r w:rsidR="00F91B11">
        <w:t xml:space="preserve"> </w:t>
      </w:r>
    </w:p>
    <w:p w14:paraId="26B8AA46" w14:textId="4F422920" w:rsidR="00AD6866" w:rsidRPr="007A7E79" w:rsidRDefault="000B26AC" w:rsidP="009C2B75">
      <w:r>
        <w:t>B</w:t>
      </w:r>
      <w:r w:rsidR="000C1B98">
        <w:t>efore</w:t>
      </w:r>
      <w:r w:rsidR="009C2B75">
        <w:t xml:space="preserve"> initiating </w:t>
      </w:r>
      <w:r w:rsidR="00D57867">
        <w:t>KIMMTRAK</w:t>
      </w:r>
      <w:r w:rsidR="009C2B75">
        <w:t xml:space="preserve"> infusion</w:t>
      </w:r>
      <w:r w:rsidR="00BC1258">
        <w:t>,</w:t>
      </w:r>
      <w:r w:rsidR="00D57867" w:rsidRPr="00D57867">
        <w:t xml:space="preserve"> </w:t>
      </w:r>
      <w:r>
        <w:t xml:space="preserve">ensure patients are euvolemic </w:t>
      </w:r>
      <w:r w:rsidR="00D57867">
        <w:t xml:space="preserve">and that </w:t>
      </w:r>
      <w:r>
        <w:t xml:space="preserve">healthcare providers with adequate expertise and </w:t>
      </w:r>
      <w:r w:rsidR="00BC1258">
        <w:t>immediate</w:t>
      </w:r>
      <w:r w:rsidR="00D57867">
        <w:t xml:space="preserve"> </w:t>
      </w:r>
      <w:r w:rsidR="00BC1258">
        <w:t xml:space="preserve">access </w:t>
      </w:r>
      <w:r>
        <w:t xml:space="preserve">to </w:t>
      </w:r>
      <w:r w:rsidR="00D57867">
        <w:t>medications and resuscitation equipment</w:t>
      </w:r>
      <w:r w:rsidR="00BC1258">
        <w:t xml:space="preserve"> </w:t>
      </w:r>
      <w:r>
        <w:t xml:space="preserve">are available </w:t>
      </w:r>
      <w:r w:rsidR="00D57867">
        <w:t>to manage CRS</w:t>
      </w:r>
      <w:r w:rsidR="009C2B75">
        <w:t>.</w:t>
      </w:r>
      <w:r w:rsidR="00AD6866" w:rsidRPr="00AD6866">
        <w:rPr>
          <w:lang w:eastAsia="ja-JP"/>
        </w:rPr>
        <w:t xml:space="preserve"> </w:t>
      </w:r>
      <w:r w:rsidR="00AD6866" w:rsidRPr="00D5779A">
        <w:rPr>
          <w:lang w:eastAsia="ja-JP"/>
        </w:rPr>
        <w:t>For patients with pre-existing adrenal insufficiency on maintenance systemic corticosteroids, consider adjusting the corticosteroid dose to manage the risk of hypotension</w:t>
      </w:r>
      <w:r w:rsidR="00AD6866">
        <w:rPr>
          <w:lang w:eastAsia="ja-JP"/>
        </w:rPr>
        <w:t>.</w:t>
      </w:r>
      <w:r w:rsidR="009C2B75">
        <w:t xml:space="preserve"> </w:t>
      </w:r>
    </w:p>
    <w:p w14:paraId="695ED0DD" w14:textId="73FD46D5" w:rsidR="007A7E79" w:rsidRPr="007A7E79" w:rsidRDefault="00D57867" w:rsidP="00954258">
      <w:r>
        <w:t>Closely m</w:t>
      </w:r>
      <w:r w:rsidR="007A7E79" w:rsidRPr="007A7E79">
        <w:t xml:space="preserve">onitor patients for signs or symptoms of CRS </w:t>
      </w:r>
      <w:r>
        <w:t>during and after</w:t>
      </w:r>
      <w:r w:rsidR="007A7E79" w:rsidRPr="007A7E79">
        <w:t xml:space="preserve"> infusions of KIMMTRAK </w:t>
      </w:r>
      <w:bookmarkEnd w:id="12"/>
      <w:r>
        <w:t>(see</w:t>
      </w:r>
      <w:r w:rsidR="007A7E79" w:rsidRPr="007A7E79">
        <w:t xml:space="preserve"> </w:t>
      </w:r>
      <w:r w:rsidR="00714C2C">
        <w:t>S</w:t>
      </w:r>
      <w:r w:rsidR="007A7E79" w:rsidRPr="007A7E79">
        <w:t>ection 4.2</w:t>
      </w:r>
      <w:r w:rsidR="007A7E79">
        <w:t xml:space="preserve"> Dose and method of administration</w:t>
      </w:r>
      <w:r>
        <w:t>). Monitor fluid status, vital signs</w:t>
      </w:r>
      <w:r w:rsidR="007A7E79" w:rsidRPr="007A7E79">
        <w:t xml:space="preserve"> </w:t>
      </w:r>
      <w:r>
        <w:t xml:space="preserve">and oxygenation level and provide appropriate therapy. Withhold or discontinue KIMMTRAK depending on persistence and severity of CRS (see </w:t>
      </w:r>
      <w:r w:rsidR="009A1899" w:rsidRPr="00BA1C4E">
        <w:fldChar w:fldCharType="begin"/>
      </w:r>
      <w:r w:rsidR="009A1899" w:rsidRPr="00954258">
        <w:instrText xml:space="preserve"> REF _Ref80183034 \h  \* MERGEFORMAT </w:instrText>
      </w:r>
      <w:r w:rsidR="009A1899" w:rsidRPr="00BA1C4E">
        <w:fldChar w:fldCharType="separate"/>
      </w:r>
      <w:r w:rsidR="00012F31" w:rsidRPr="006D287B">
        <w:rPr>
          <w:rFonts w:eastAsia="Times New Roman"/>
          <w:lang w:val="en-GB"/>
        </w:rPr>
        <w:t xml:space="preserve">Table </w:t>
      </w:r>
      <w:r w:rsidR="00012F31">
        <w:rPr>
          <w:noProof/>
        </w:rPr>
        <w:t>1</w:t>
      </w:r>
      <w:r w:rsidR="009A1899" w:rsidRPr="00BA1C4E">
        <w:fldChar w:fldCharType="end"/>
      </w:r>
      <w:r w:rsidR="009A1899">
        <w:t xml:space="preserve">, </w:t>
      </w:r>
      <w:r>
        <w:t>S</w:t>
      </w:r>
      <w:r w:rsidRPr="007A7E79">
        <w:t>ection 4.2</w:t>
      </w:r>
      <w:r>
        <w:t xml:space="preserve"> Dose and method of administration</w:t>
      </w:r>
      <w:r w:rsidR="009A1899">
        <w:t>).</w:t>
      </w:r>
      <w:r>
        <w:t xml:space="preserve"> </w:t>
      </w:r>
    </w:p>
    <w:p w14:paraId="3A749E5A" w14:textId="569357EF" w:rsidR="007A7E79" w:rsidRPr="00646FA9" w:rsidRDefault="009A1899" w:rsidP="006D287B">
      <w:pPr>
        <w:pStyle w:val="Heading3"/>
        <w:tabs>
          <w:tab w:val="left" w:pos="7873"/>
        </w:tabs>
        <w:rPr>
          <w:noProof/>
        </w:rPr>
      </w:pPr>
      <w:r>
        <w:rPr>
          <w:noProof/>
        </w:rPr>
        <w:t>S</w:t>
      </w:r>
      <w:r w:rsidR="007A7E79" w:rsidRPr="00646FA9">
        <w:rPr>
          <w:noProof/>
        </w:rPr>
        <w:t>kin reactions</w:t>
      </w:r>
      <w:r>
        <w:rPr>
          <w:noProof/>
        </w:rPr>
        <w:tab/>
      </w:r>
    </w:p>
    <w:p w14:paraId="26EBADC6" w14:textId="05732A66" w:rsidR="007A7E79" w:rsidRPr="007A7E79" w:rsidRDefault="009A1899" w:rsidP="00954258">
      <w:r>
        <w:t>S</w:t>
      </w:r>
      <w:r w:rsidR="007A7E79" w:rsidRPr="007A7E79">
        <w:t xml:space="preserve">kin reactions </w:t>
      </w:r>
      <w:r w:rsidR="00BC1258">
        <w:t>occurred</w:t>
      </w:r>
      <w:r>
        <w:t xml:space="preserve"> in patients receiving</w:t>
      </w:r>
      <w:r w:rsidR="007A7E79" w:rsidRPr="007A7E79">
        <w:t xml:space="preserve"> KIMMTRAK</w:t>
      </w:r>
      <w:r>
        <w:t xml:space="preserve">, </w:t>
      </w:r>
      <w:r w:rsidR="007A7E79" w:rsidRPr="007A7E79">
        <w:t>includ</w:t>
      </w:r>
      <w:r>
        <w:t>ing</w:t>
      </w:r>
      <w:r w:rsidR="007A7E79" w:rsidRPr="007A7E79">
        <w:t xml:space="preserve"> rash, pruritis, erythema and cutaneous oedema</w:t>
      </w:r>
      <w:r>
        <w:t xml:space="preserve"> (see Section 4.8 </w:t>
      </w:r>
      <w:r>
        <w:fldChar w:fldCharType="begin"/>
      </w:r>
      <w:r>
        <w:instrText xml:space="preserve"> REF _Ref98430191 \h </w:instrText>
      </w:r>
      <w:r>
        <w:fldChar w:fldCharType="separate"/>
      </w:r>
      <w:r w:rsidR="00012F31" w:rsidRPr="00497C85">
        <w:t>Adverse effects (Undesirable effects)</w:t>
      </w:r>
      <w:r>
        <w:fldChar w:fldCharType="end"/>
      </w:r>
      <w:r w:rsidR="00BC1258">
        <w:t xml:space="preserve"> - </w:t>
      </w:r>
      <w:r w:rsidR="00BC1258">
        <w:fldChar w:fldCharType="begin"/>
      </w:r>
      <w:r w:rsidR="00BC1258">
        <w:instrText xml:space="preserve"> REF _Ref99370517 \h </w:instrText>
      </w:r>
      <w:r w:rsidR="00BC1258">
        <w:fldChar w:fldCharType="separate"/>
      </w:r>
      <w:r w:rsidR="00012F31" w:rsidRPr="00646FA9">
        <w:rPr>
          <w:shd w:val="clear" w:color="auto" w:fill="FFFFFF" w:themeFill="background1"/>
        </w:rPr>
        <w:t>Description of selected adverse reactions</w:t>
      </w:r>
      <w:r w:rsidR="00BC1258">
        <w:fldChar w:fldCharType="end"/>
      </w:r>
      <w:r>
        <w:t>)</w:t>
      </w:r>
      <w:r w:rsidR="007A7E79" w:rsidRPr="007A7E79">
        <w:t>.</w:t>
      </w:r>
    </w:p>
    <w:p w14:paraId="7973D427" w14:textId="3ED22392" w:rsidR="007A7E79" w:rsidRDefault="009A1899" w:rsidP="00954258">
      <w:r>
        <w:t xml:space="preserve">Treat </w:t>
      </w:r>
      <w:r w:rsidR="007A7E79" w:rsidRPr="007A7E79">
        <w:t>skin reactions with antihistamine</w:t>
      </w:r>
      <w:r>
        <w:t>s</w:t>
      </w:r>
      <w:r w:rsidR="007A7E79" w:rsidRPr="007A7E79">
        <w:t xml:space="preserve"> and topical </w:t>
      </w:r>
      <w:r>
        <w:t xml:space="preserve">or systemic </w:t>
      </w:r>
      <w:r w:rsidR="007A7E79" w:rsidRPr="007A7E79">
        <w:t xml:space="preserve">steroids </w:t>
      </w:r>
      <w:r>
        <w:t>based on</w:t>
      </w:r>
      <w:r w:rsidRPr="007A7E79">
        <w:t xml:space="preserve"> </w:t>
      </w:r>
      <w:r w:rsidR="007A7E79" w:rsidRPr="007A7E79">
        <w:t>persisten</w:t>
      </w:r>
      <w:r>
        <w:t>ce</w:t>
      </w:r>
      <w:r w:rsidR="007A7E79" w:rsidRPr="007A7E79">
        <w:t xml:space="preserve"> or sever</w:t>
      </w:r>
      <w:r>
        <w:t>ity of</w:t>
      </w:r>
      <w:r w:rsidR="007A7E79" w:rsidRPr="007A7E79">
        <w:t xml:space="preserve"> symptoms. </w:t>
      </w:r>
      <w:r>
        <w:t xml:space="preserve">Withhold or discontinue KIMMTRAK depending on persistence and severity of skin reactions (see </w:t>
      </w:r>
      <w:r w:rsidRPr="00BA1C4E">
        <w:fldChar w:fldCharType="begin"/>
      </w:r>
      <w:r w:rsidRPr="00954258">
        <w:instrText xml:space="preserve"> REF _Ref80183034 \h  \* MERGEFORMAT </w:instrText>
      </w:r>
      <w:r w:rsidRPr="00BA1C4E">
        <w:fldChar w:fldCharType="separate"/>
      </w:r>
      <w:r w:rsidR="00012F31" w:rsidRPr="006D287B">
        <w:rPr>
          <w:rFonts w:eastAsia="Times New Roman"/>
          <w:lang w:val="en-GB"/>
        </w:rPr>
        <w:t xml:space="preserve">Table </w:t>
      </w:r>
      <w:r w:rsidR="00012F31">
        <w:rPr>
          <w:noProof/>
        </w:rPr>
        <w:t>1</w:t>
      </w:r>
      <w:r w:rsidRPr="00BA1C4E">
        <w:fldChar w:fldCharType="end"/>
      </w:r>
      <w:r>
        <w:t>, S</w:t>
      </w:r>
      <w:r w:rsidRPr="007A7E79">
        <w:t>ection 4.2</w:t>
      </w:r>
      <w:r>
        <w:t xml:space="preserve"> Dose and method of administration)</w:t>
      </w:r>
      <w:r w:rsidRPr="00954258">
        <w:t>.</w:t>
      </w:r>
      <w:r>
        <w:t xml:space="preserve"> </w:t>
      </w:r>
    </w:p>
    <w:p w14:paraId="786BBF8C" w14:textId="44E19146" w:rsidR="00F350F8" w:rsidRDefault="00F350F8" w:rsidP="00954258">
      <w:pPr>
        <w:pStyle w:val="Heading3"/>
      </w:pPr>
      <w:r w:rsidRPr="00905D32">
        <w:t xml:space="preserve">Elevated </w:t>
      </w:r>
      <w:r w:rsidR="000C1B98">
        <w:t>hepatic</w:t>
      </w:r>
      <w:r w:rsidRPr="00905D32">
        <w:t xml:space="preserve"> </w:t>
      </w:r>
      <w:r w:rsidR="000C1B98">
        <w:t>e</w:t>
      </w:r>
      <w:r w:rsidRPr="00905D32">
        <w:t>nzymes</w:t>
      </w:r>
    </w:p>
    <w:p w14:paraId="5F394D53" w14:textId="73E9C8F9" w:rsidR="008E5BBE" w:rsidRDefault="008E5BBE" w:rsidP="008E5BBE">
      <w:r>
        <w:rPr>
          <w:lang w:eastAsia="ja-JP"/>
        </w:rPr>
        <w:t xml:space="preserve">Elevation of </w:t>
      </w:r>
      <w:r w:rsidR="000C1B98">
        <w:rPr>
          <w:lang w:eastAsia="ja-JP"/>
        </w:rPr>
        <w:t>hepatic enzymes</w:t>
      </w:r>
      <w:r>
        <w:rPr>
          <w:lang w:eastAsia="ja-JP"/>
        </w:rPr>
        <w:t xml:space="preserve"> </w:t>
      </w:r>
      <w:r w:rsidR="00BC1258">
        <w:rPr>
          <w:lang w:eastAsia="ja-JP"/>
        </w:rPr>
        <w:t>occurred</w:t>
      </w:r>
      <w:r w:rsidR="000C1B98">
        <w:rPr>
          <w:lang w:eastAsia="ja-JP"/>
        </w:rPr>
        <w:t xml:space="preserve"> in patients receiving KIMMTRAK </w:t>
      </w:r>
      <w:r w:rsidR="000C1B98">
        <w:t xml:space="preserve">(see Section 4.8 </w:t>
      </w:r>
      <w:r w:rsidR="000C1B98">
        <w:fldChar w:fldCharType="begin"/>
      </w:r>
      <w:r w:rsidR="000C1B98">
        <w:instrText xml:space="preserve"> REF _Ref98430191 \h </w:instrText>
      </w:r>
      <w:r w:rsidR="000C1B98">
        <w:fldChar w:fldCharType="separate"/>
      </w:r>
      <w:r w:rsidR="00012F31" w:rsidRPr="00497C85">
        <w:t>Adverse effects (Undesirable effects)</w:t>
      </w:r>
      <w:r w:rsidR="000C1B98">
        <w:fldChar w:fldCharType="end"/>
      </w:r>
      <w:r w:rsidR="00BC1258">
        <w:t xml:space="preserve"> - </w:t>
      </w:r>
      <w:r w:rsidR="00BC1258">
        <w:fldChar w:fldCharType="begin"/>
      </w:r>
      <w:r w:rsidR="00BC1258">
        <w:instrText xml:space="preserve"> REF _Ref99370517 \h </w:instrText>
      </w:r>
      <w:r w:rsidR="00BC1258">
        <w:fldChar w:fldCharType="separate"/>
      </w:r>
      <w:r w:rsidR="00012F31" w:rsidRPr="00646FA9">
        <w:rPr>
          <w:shd w:val="clear" w:color="auto" w:fill="FFFFFF" w:themeFill="background1"/>
        </w:rPr>
        <w:t>Description of selected adverse reactions</w:t>
      </w:r>
      <w:r w:rsidR="00BC1258">
        <w:fldChar w:fldCharType="end"/>
      </w:r>
      <w:r w:rsidR="000C1B98">
        <w:t>)</w:t>
      </w:r>
      <w:r w:rsidR="000C1B98" w:rsidRPr="007A7E79">
        <w:t>.</w:t>
      </w:r>
    </w:p>
    <w:p w14:paraId="77B056CC" w14:textId="654691A1" w:rsidR="000C1B98" w:rsidRPr="002A092B" w:rsidRDefault="000C1B98" w:rsidP="006D287B">
      <w:r>
        <w:t xml:space="preserve">Monitor alanine aminotransferase (ALT), aspartate aminotransferase (AST), and total blood bilirubin before and during treatment with KIMMTRAK. Withhold KIMMTRAK according to severity (see </w:t>
      </w:r>
      <w:r w:rsidRPr="00BA1C4E">
        <w:fldChar w:fldCharType="begin"/>
      </w:r>
      <w:r w:rsidRPr="00954258">
        <w:instrText xml:space="preserve"> REF _Ref80183034 \h  \* MERGEFORMAT </w:instrText>
      </w:r>
      <w:r w:rsidRPr="00BA1C4E">
        <w:fldChar w:fldCharType="separate"/>
      </w:r>
      <w:r w:rsidR="00012F31" w:rsidRPr="006D287B">
        <w:rPr>
          <w:rFonts w:eastAsia="Times New Roman"/>
          <w:lang w:val="en-GB"/>
        </w:rPr>
        <w:t xml:space="preserve">Table </w:t>
      </w:r>
      <w:r w:rsidR="00012F31">
        <w:rPr>
          <w:noProof/>
        </w:rPr>
        <w:t>1</w:t>
      </w:r>
      <w:r w:rsidRPr="00BA1C4E">
        <w:fldChar w:fldCharType="end"/>
      </w:r>
      <w:r>
        <w:t>, S</w:t>
      </w:r>
      <w:r w:rsidRPr="007A7E79">
        <w:t>ection 4.2</w:t>
      </w:r>
      <w:r>
        <w:t xml:space="preserve"> Dose and method of administration)</w:t>
      </w:r>
      <w:r w:rsidRPr="00954258">
        <w:t>.</w:t>
      </w:r>
    </w:p>
    <w:p w14:paraId="4FFB80B8" w14:textId="3766A8F0" w:rsidR="001A3992" w:rsidRPr="00E2325C" w:rsidRDefault="001A3992" w:rsidP="00954258">
      <w:pPr>
        <w:pStyle w:val="Heading3"/>
      </w:pPr>
      <w:r w:rsidRPr="00E2325C">
        <w:lastRenderedPageBreak/>
        <w:t xml:space="preserve">Use in hepatic impairment </w:t>
      </w:r>
    </w:p>
    <w:p w14:paraId="7FE9B226" w14:textId="4283D541" w:rsidR="00E2325C" w:rsidRPr="00E2325C" w:rsidRDefault="002E0D5C">
      <w:bookmarkStart w:id="13" w:name="_Hlk100052325"/>
      <w:r>
        <w:t>D</w:t>
      </w:r>
      <w:r w:rsidR="005E7C0E" w:rsidRPr="00383ACE">
        <w:t xml:space="preserve">ose adjustment is not necessary in patients with mild </w:t>
      </w:r>
      <w:r w:rsidR="005E7C0E">
        <w:t xml:space="preserve">hepatic impairment. </w:t>
      </w:r>
      <w:bookmarkEnd w:id="13"/>
      <w:proofErr w:type="spellStart"/>
      <w:r w:rsidR="009E36F3">
        <w:t>T</w:t>
      </w:r>
      <w:r w:rsidR="00E2325C" w:rsidRPr="00E2325C">
        <w:t>ebentafusp</w:t>
      </w:r>
      <w:proofErr w:type="spellEnd"/>
      <w:r w:rsidR="00E2325C" w:rsidRPr="00E2325C">
        <w:t xml:space="preserve"> </w:t>
      </w:r>
      <w:r w:rsidR="009E36F3">
        <w:t>has not been studied</w:t>
      </w:r>
      <w:r w:rsidR="00E2325C" w:rsidRPr="00E2325C">
        <w:t xml:space="preserve"> in patient</w:t>
      </w:r>
      <w:r w:rsidR="009E36F3">
        <w:t xml:space="preserve"> with moderate to severe </w:t>
      </w:r>
      <w:r w:rsidR="00E2325C" w:rsidRPr="00E2325C">
        <w:t>hepatic impairment</w:t>
      </w:r>
      <w:r w:rsidR="00962134">
        <w:t xml:space="preserve"> </w:t>
      </w:r>
      <w:r w:rsidR="00962134" w:rsidRPr="00383ACE">
        <w:t xml:space="preserve">(see </w:t>
      </w:r>
      <w:r w:rsidR="00714C2C">
        <w:t>S</w:t>
      </w:r>
      <w:r w:rsidR="00962134" w:rsidRPr="00383ACE">
        <w:t>ection </w:t>
      </w:r>
      <w:r w:rsidR="00714C2C">
        <w:t xml:space="preserve">5.2 </w:t>
      </w:r>
      <w:r w:rsidR="00714C2C">
        <w:fldChar w:fldCharType="begin"/>
      </w:r>
      <w:r w:rsidR="00714C2C">
        <w:instrText xml:space="preserve"> REF _Ref80350932 \h </w:instrText>
      </w:r>
      <w:r w:rsidR="00714C2C">
        <w:fldChar w:fldCharType="separate"/>
      </w:r>
      <w:r w:rsidR="00012F31" w:rsidRPr="0094457C">
        <w:rPr>
          <w:lang w:val="en-US"/>
        </w:rPr>
        <w:t>Pharmacokinetic properties</w:t>
      </w:r>
      <w:r w:rsidR="00714C2C">
        <w:fldChar w:fldCharType="end"/>
      </w:r>
      <w:r w:rsidR="00962134" w:rsidRPr="00383ACE">
        <w:t>).</w:t>
      </w:r>
    </w:p>
    <w:p w14:paraId="7E86039B" w14:textId="43C15D06" w:rsidR="001A3992" w:rsidRDefault="001A3992" w:rsidP="00954258">
      <w:pPr>
        <w:pStyle w:val="Heading3"/>
      </w:pPr>
      <w:r w:rsidRPr="00497C85">
        <w:t xml:space="preserve">Use in renal impairment </w:t>
      </w:r>
    </w:p>
    <w:p w14:paraId="6C1A94C8" w14:textId="435864A5" w:rsidR="00383ACE" w:rsidRPr="00383ACE" w:rsidRDefault="002E0D5C" w:rsidP="00954258">
      <w:r>
        <w:t>D</w:t>
      </w:r>
      <w:r w:rsidR="00383ACE" w:rsidRPr="00383ACE">
        <w:t>ose adjustment is not necessary in patients with mild to moderate renal dysfunction</w:t>
      </w:r>
      <w:r w:rsidR="005E7C0E">
        <w:t>.</w:t>
      </w:r>
      <w:r w:rsidR="00383ACE" w:rsidRPr="00383ACE">
        <w:t xml:space="preserve"> </w:t>
      </w:r>
      <w:proofErr w:type="spellStart"/>
      <w:r w:rsidR="009E36F3">
        <w:t>T</w:t>
      </w:r>
      <w:r w:rsidR="009E36F3" w:rsidRPr="00E2325C">
        <w:t>ebentafusp</w:t>
      </w:r>
      <w:proofErr w:type="spellEnd"/>
      <w:r w:rsidR="009E36F3" w:rsidRPr="00E2325C">
        <w:t xml:space="preserve"> </w:t>
      </w:r>
      <w:r w:rsidR="009E36F3">
        <w:t>has not been studied</w:t>
      </w:r>
      <w:r w:rsidR="009E36F3" w:rsidRPr="00E2325C">
        <w:t xml:space="preserve"> in patient</w:t>
      </w:r>
      <w:r w:rsidR="009E36F3">
        <w:t xml:space="preserve"> with severe </w:t>
      </w:r>
      <w:r w:rsidR="00F350F8">
        <w:t>renal</w:t>
      </w:r>
      <w:r w:rsidR="009E36F3" w:rsidRPr="00E2325C">
        <w:t xml:space="preserve"> impairment</w:t>
      </w:r>
      <w:r w:rsidR="009E36F3" w:rsidRPr="00383ACE">
        <w:t xml:space="preserve"> </w:t>
      </w:r>
      <w:r w:rsidR="00383ACE" w:rsidRPr="00383ACE">
        <w:t xml:space="preserve">(see </w:t>
      </w:r>
      <w:r w:rsidR="00714C2C">
        <w:t>S</w:t>
      </w:r>
      <w:r w:rsidR="00383ACE" w:rsidRPr="00383ACE">
        <w:t>ection 5.2</w:t>
      </w:r>
      <w:r w:rsidR="00383ACE">
        <w:t xml:space="preserve"> </w:t>
      </w:r>
      <w:r w:rsidR="00714C2C">
        <w:fldChar w:fldCharType="begin"/>
      </w:r>
      <w:r w:rsidR="00714C2C">
        <w:instrText xml:space="preserve"> REF _Ref80350932 \h </w:instrText>
      </w:r>
      <w:r w:rsidR="00714C2C">
        <w:fldChar w:fldCharType="separate"/>
      </w:r>
      <w:r w:rsidR="00012F31" w:rsidRPr="0094457C">
        <w:rPr>
          <w:lang w:val="en-US"/>
        </w:rPr>
        <w:t>Pharmacokinetic properties</w:t>
      </w:r>
      <w:r w:rsidR="00714C2C">
        <w:fldChar w:fldCharType="end"/>
      </w:r>
      <w:r w:rsidR="00383ACE" w:rsidRPr="00383ACE">
        <w:t>).</w:t>
      </w:r>
    </w:p>
    <w:p w14:paraId="76455FAB" w14:textId="373136B0" w:rsidR="001A3992" w:rsidRDefault="001A3992" w:rsidP="00954258">
      <w:pPr>
        <w:pStyle w:val="Heading3"/>
      </w:pPr>
      <w:r w:rsidRPr="00497C85">
        <w:t>Use in the elderly</w:t>
      </w:r>
    </w:p>
    <w:p w14:paraId="0AF67470" w14:textId="6594FA5B" w:rsidR="002E0D5C" w:rsidRDefault="002E0D5C">
      <w:r>
        <w:t>D</w:t>
      </w:r>
      <w:r w:rsidR="00383ACE" w:rsidRPr="008E5BBE">
        <w:t xml:space="preserve">ose adjustment is </w:t>
      </w:r>
      <w:r w:rsidR="005E7C0E">
        <w:t>not necessary</w:t>
      </w:r>
      <w:r w:rsidR="005E7C0E" w:rsidRPr="008E5BBE">
        <w:t xml:space="preserve"> </w:t>
      </w:r>
      <w:r w:rsidR="00383ACE" w:rsidRPr="008E5BBE">
        <w:t xml:space="preserve">for elderly patients </w:t>
      </w:r>
      <w:r w:rsidR="00383ACE" w:rsidRPr="00383ACE">
        <w:t>(≥ 65 years of age).</w:t>
      </w:r>
      <w:r w:rsidRPr="002E0D5C">
        <w:t xml:space="preserve"> </w:t>
      </w:r>
    </w:p>
    <w:p w14:paraId="760BCA5D" w14:textId="044CA22E" w:rsidR="00383ACE" w:rsidRPr="00383ACE" w:rsidRDefault="002E0D5C">
      <w:r w:rsidRPr="00905D32">
        <w:t xml:space="preserve">Of the 245 patients with metastatic uveal melanoma treated with KIMMTRAK </w:t>
      </w:r>
      <w:r w:rsidRPr="005543B2">
        <w:t>in Study</w:t>
      </w:r>
      <w:r w:rsidRPr="00905D32">
        <w:t xml:space="preserve"> IMCgp100-202, 47% were 65 years of age </w:t>
      </w:r>
      <w:r>
        <w:t>or</w:t>
      </w:r>
      <w:r w:rsidRPr="00905D32">
        <w:t xml:space="preserve"> older and 9% were 75 years of age </w:t>
      </w:r>
      <w:r>
        <w:t>or</w:t>
      </w:r>
      <w:r w:rsidRPr="00905D32">
        <w:t xml:space="preserve"> older. No </w:t>
      </w:r>
      <w:r>
        <w:t>meaningful</w:t>
      </w:r>
      <w:r w:rsidRPr="00905D32">
        <w:t xml:space="preserve"> differences in</w:t>
      </w:r>
      <w:r w:rsidRPr="005543B2">
        <w:t xml:space="preserve"> </w:t>
      </w:r>
      <w:r w:rsidRPr="00905D32">
        <w:t>safety or efficacy were observed between patients ≥65 years of age compared to younger adult patients</w:t>
      </w:r>
      <w:r>
        <w:t>.</w:t>
      </w:r>
    </w:p>
    <w:p w14:paraId="5E7427D1" w14:textId="79358636" w:rsidR="001A3992" w:rsidRDefault="001A3992" w:rsidP="00954258">
      <w:pPr>
        <w:pStyle w:val="Heading3"/>
      </w:pPr>
      <w:r w:rsidRPr="00497C85">
        <w:t>Paediatric use</w:t>
      </w:r>
    </w:p>
    <w:p w14:paraId="19B9BE1B" w14:textId="73F8CF4A" w:rsidR="00383ACE" w:rsidRPr="00383ACE" w:rsidRDefault="00383ACE">
      <w:r w:rsidRPr="00383ACE">
        <w:t xml:space="preserve">The safety and efficacy of KIMMTRAK in children under </w:t>
      </w:r>
      <w:r>
        <w:t xml:space="preserve">the </w:t>
      </w:r>
      <w:r w:rsidRPr="00383ACE">
        <w:t>age of 18 years has not been established.</w:t>
      </w:r>
    </w:p>
    <w:p w14:paraId="0826140B" w14:textId="77777777" w:rsidR="007119B6" w:rsidRDefault="001A3992" w:rsidP="00954258">
      <w:pPr>
        <w:pStyle w:val="Heading3"/>
      </w:pPr>
      <w:r w:rsidRPr="00497C85">
        <w:t>Effects on laboratory tests</w:t>
      </w:r>
    </w:p>
    <w:p w14:paraId="289DEED6" w14:textId="77777777" w:rsidR="00714C2C" w:rsidRPr="00383ACE" w:rsidRDefault="00714C2C" w:rsidP="00714C2C">
      <w:r w:rsidRPr="00383ACE">
        <w:t>No data are available.</w:t>
      </w:r>
    </w:p>
    <w:p w14:paraId="0F89415B" w14:textId="2928FBE3" w:rsidR="001A3992" w:rsidRPr="00BA1C4E" w:rsidRDefault="001A3992" w:rsidP="00954258">
      <w:pPr>
        <w:pStyle w:val="Heading2"/>
        <w:numPr>
          <w:ilvl w:val="1"/>
          <w:numId w:val="24"/>
        </w:numPr>
      </w:pPr>
      <w:r w:rsidRPr="00000776">
        <w:t>Interactions with other medicines and other forms of interactions</w:t>
      </w:r>
    </w:p>
    <w:p w14:paraId="7CACABB2" w14:textId="6FCF5006" w:rsidR="007A7E79" w:rsidRPr="007A7E79" w:rsidRDefault="007A7E79">
      <w:pPr>
        <w:rPr>
          <w:noProof/>
        </w:rPr>
      </w:pPr>
      <w:r w:rsidRPr="007A7E79">
        <w:rPr>
          <w:noProof/>
        </w:rPr>
        <w:t>No formal drug interaction studies have been performed with tebentafusp.</w:t>
      </w:r>
    </w:p>
    <w:p w14:paraId="39C5DE89" w14:textId="657517E0" w:rsidR="007A7E79" w:rsidRPr="007A7E79" w:rsidRDefault="007A7E79">
      <w:pPr>
        <w:rPr>
          <w:noProof/>
        </w:rPr>
      </w:pPr>
      <w:r w:rsidRPr="007A7E79">
        <w:t>KIMMTRAK treatment causes transient release of cytokines that may suppress CYP450 enzymes. The</w:t>
      </w:r>
      <w:r w:rsidR="00905D32">
        <w:t xml:space="preserve"> effect attenuates with repeat dosing of KIMMTRAK, such that cytokine </w:t>
      </w:r>
      <w:r w:rsidR="00F65456">
        <w:t>levels are</w:t>
      </w:r>
      <w:r w:rsidR="00F65456" w:rsidRPr="007A7E79">
        <w:t xml:space="preserve"> highest </w:t>
      </w:r>
      <w:r w:rsidRPr="007A7E79">
        <w:t>during the 24</w:t>
      </w:r>
      <w:r w:rsidR="00E47385">
        <w:t>-</w:t>
      </w:r>
      <w:r w:rsidRPr="007A7E79">
        <w:t>hour</w:t>
      </w:r>
      <w:r w:rsidR="00905D32">
        <w:t xml:space="preserve"> period</w:t>
      </w:r>
      <w:r w:rsidRPr="007A7E79">
        <w:t xml:space="preserve"> </w:t>
      </w:r>
      <w:r w:rsidR="00F65456">
        <w:t xml:space="preserve">after each </w:t>
      </w:r>
      <w:r w:rsidRPr="007A7E79">
        <w:t>of the first three doses</w:t>
      </w:r>
      <w:r w:rsidR="00F65456">
        <w:t>.</w:t>
      </w:r>
      <w:r w:rsidRPr="007A7E79">
        <w:t xml:space="preserve"> </w:t>
      </w:r>
      <w:r w:rsidR="00905D32">
        <w:t>I</w:t>
      </w:r>
      <w:r w:rsidRPr="007A7E79">
        <w:t xml:space="preserve">n patients who are receiving concomitant CYP450 substrates, particularly those with a narrow therapeutic index, </w:t>
      </w:r>
      <w:r w:rsidR="00905D32">
        <w:t xml:space="preserve">consider the possibility of interaction and </w:t>
      </w:r>
      <w:r w:rsidRPr="007A7E79">
        <w:t>monitor for toxicity (e.g., warfarin) or drug concentrations (e.g., cyclosporine). Adjust the dose of the concomitant drug as needed.</w:t>
      </w:r>
    </w:p>
    <w:p w14:paraId="1F9CFA48" w14:textId="1FCF95CB" w:rsidR="001A3992" w:rsidRPr="007119B6" w:rsidRDefault="001A3992" w:rsidP="00954258">
      <w:pPr>
        <w:pStyle w:val="Heading2"/>
        <w:numPr>
          <w:ilvl w:val="1"/>
          <w:numId w:val="25"/>
        </w:numPr>
      </w:pPr>
      <w:r w:rsidRPr="007119B6">
        <w:t xml:space="preserve">Fertility, pregnancy and lactation </w:t>
      </w:r>
    </w:p>
    <w:p w14:paraId="643A54CD" w14:textId="5D71DA69" w:rsidR="001A3992" w:rsidRDefault="001A3992" w:rsidP="00954258">
      <w:pPr>
        <w:pStyle w:val="Heading3"/>
      </w:pPr>
      <w:r w:rsidRPr="00497C85">
        <w:t>Effects on fertility</w:t>
      </w:r>
    </w:p>
    <w:p w14:paraId="73D4D026" w14:textId="2C8C9CB7" w:rsidR="007A7E79" w:rsidRPr="007A7E79" w:rsidRDefault="007A7E79">
      <w:pPr>
        <w:rPr>
          <w:noProof/>
        </w:rPr>
      </w:pPr>
      <w:r w:rsidRPr="007A7E79">
        <w:rPr>
          <w:noProof/>
        </w:rPr>
        <w:t>No fertility studies have been conducted with tebentafusp. There are no data on the effect of tebentafusp on human fertility.</w:t>
      </w:r>
    </w:p>
    <w:p w14:paraId="2CD4229A" w14:textId="0555EF7F" w:rsidR="001A3992" w:rsidRDefault="001A3992" w:rsidP="00954258">
      <w:pPr>
        <w:pStyle w:val="Heading3"/>
      </w:pPr>
      <w:r w:rsidRPr="00497C85">
        <w:t xml:space="preserve">Use in pregnancy </w:t>
      </w:r>
      <w:r w:rsidR="00497C85" w:rsidRPr="00497C85">
        <w:t xml:space="preserve">– </w:t>
      </w:r>
      <w:r w:rsidR="00497C85" w:rsidRPr="007F1FD7">
        <w:t>Pregnancy Category C</w:t>
      </w:r>
    </w:p>
    <w:p w14:paraId="751DB4AC" w14:textId="1954D662" w:rsidR="007A7E79" w:rsidRPr="007A7E79" w:rsidRDefault="00905D32">
      <w:pPr>
        <w:rPr>
          <w:noProof/>
        </w:rPr>
      </w:pPr>
      <w:r>
        <w:t xml:space="preserve">Based on the mechanism of action, KIMMTRAK may cause </w:t>
      </w:r>
      <w:proofErr w:type="spellStart"/>
      <w:r>
        <w:t>fetal</w:t>
      </w:r>
      <w:proofErr w:type="spellEnd"/>
      <w:r>
        <w:t xml:space="preserve"> harm when administered to a pregnant </w:t>
      </w:r>
      <w:r w:rsidR="000B0EFB">
        <w:t>person</w:t>
      </w:r>
      <w:r>
        <w:t xml:space="preserve"> (see </w:t>
      </w:r>
      <w:r w:rsidR="00012F31">
        <w:t xml:space="preserve">Section </w:t>
      </w:r>
      <w:r>
        <w:t xml:space="preserve">5.1 </w:t>
      </w:r>
      <w:r>
        <w:fldChar w:fldCharType="begin"/>
      </w:r>
      <w:r>
        <w:instrText xml:space="preserve"> REF _Ref99550364 \h </w:instrText>
      </w:r>
      <w:r>
        <w:fldChar w:fldCharType="separate"/>
      </w:r>
      <w:r w:rsidR="00012F31" w:rsidRPr="00BA1C4E">
        <w:rPr>
          <w:lang w:val="en-US"/>
        </w:rPr>
        <w:t>Pharmacodynamic properties</w:t>
      </w:r>
      <w:r>
        <w:fldChar w:fldCharType="end"/>
      </w:r>
      <w:r>
        <w:t xml:space="preserve">). </w:t>
      </w:r>
      <w:r w:rsidR="007A7E79" w:rsidRPr="007A7E79">
        <w:rPr>
          <w:noProof/>
        </w:rPr>
        <w:t xml:space="preserve">There are no data </w:t>
      </w:r>
      <w:r w:rsidR="000B0EFB">
        <w:rPr>
          <w:noProof/>
        </w:rPr>
        <w:t>regarding</w:t>
      </w:r>
      <w:r w:rsidR="000B0EFB" w:rsidRPr="007A7E79">
        <w:rPr>
          <w:noProof/>
        </w:rPr>
        <w:t xml:space="preserve"> </w:t>
      </w:r>
      <w:r w:rsidR="007A7E79" w:rsidRPr="007A7E79">
        <w:rPr>
          <w:noProof/>
        </w:rPr>
        <w:t>the use of tebentafusp in pregnan</w:t>
      </w:r>
      <w:r w:rsidR="000B0EFB">
        <w:rPr>
          <w:noProof/>
        </w:rPr>
        <w:t>cy</w:t>
      </w:r>
      <w:r w:rsidR="007A7E79" w:rsidRPr="007A7E79">
        <w:rPr>
          <w:noProof/>
        </w:rPr>
        <w:t xml:space="preserve">. </w:t>
      </w:r>
      <w:r>
        <w:rPr>
          <w:noProof/>
        </w:rPr>
        <w:t>No a</w:t>
      </w:r>
      <w:r w:rsidR="007A7E79" w:rsidRPr="007A7E79">
        <w:rPr>
          <w:noProof/>
        </w:rPr>
        <w:t xml:space="preserve">nimal reproduction studies </w:t>
      </w:r>
      <w:r>
        <w:rPr>
          <w:noProof/>
        </w:rPr>
        <w:t xml:space="preserve">or developmental toxicity </w:t>
      </w:r>
      <w:r w:rsidR="000B0EFB">
        <w:rPr>
          <w:noProof/>
        </w:rPr>
        <w:t xml:space="preserve">studies </w:t>
      </w:r>
      <w:r w:rsidR="007A7E79" w:rsidRPr="007A7E79">
        <w:rPr>
          <w:noProof/>
        </w:rPr>
        <w:t>have been conducted with tebentfusp.</w:t>
      </w:r>
      <w:r>
        <w:t xml:space="preserve"> Molecules of similar molecular weight can cross the placenta resulting in </w:t>
      </w:r>
      <w:proofErr w:type="spellStart"/>
      <w:r>
        <w:t>fetal</w:t>
      </w:r>
      <w:proofErr w:type="spellEnd"/>
      <w:r>
        <w:t xml:space="preserve"> exposure. Advise </w:t>
      </w:r>
      <w:r w:rsidR="000B0EFB">
        <w:t>patients</w:t>
      </w:r>
      <w:r>
        <w:t xml:space="preserve"> of the potential risk to </w:t>
      </w:r>
      <w:r w:rsidR="000B0EFB">
        <w:t>a</w:t>
      </w:r>
      <w:r>
        <w:t xml:space="preserve"> </w:t>
      </w:r>
      <w:proofErr w:type="spellStart"/>
      <w:r>
        <w:t>fetus</w:t>
      </w:r>
      <w:proofErr w:type="spellEnd"/>
      <w:r>
        <w:t>.</w:t>
      </w:r>
    </w:p>
    <w:p w14:paraId="6A3109B2" w14:textId="6D746440" w:rsidR="007A7E79" w:rsidRPr="007A7E79" w:rsidRDefault="000B0EFB" w:rsidP="00000776">
      <w:pPr>
        <w:rPr>
          <w:noProof/>
        </w:rPr>
      </w:pPr>
      <w:r>
        <w:rPr>
          <w:noProof/>
        </w:rPr>
        <w:lastRenderedPageBreak/>
        <w:t>Patients</w:t>
      </w:r>
      <w:r w:rsidRPr="007A7E79">
        <w:rPr>
          <w:noProof/>
        </w:rPr>
        <w:t xml:space="preserve"> </w:t>
      </w:r>
      <w:r w:rsidR="007A7E79" w:rsidRPr="007A7E79">
        <w:rPr>
          <w:noProof/>
        </w:rPr>
        <w:t>of childbearing potential should use effective contraception during treatment with tebentafusp and for at least 1 week after last dose of tebentafusp.</w:t>
      </w:r>
    </w:p>
    <w:p w14:paraId="5E670B15" w14:textId="2536CD2F" w:rsidR="00D511D7" w:rsidRPr="00D511D7" w:rsidRDefault="007A7E79" w:rsidP="00954258">
      <w:pPr>
        <w:rPr>
          <w:bCs/>
        </w:rPr>
      </w:pPr>
      <w:r w:rsidRPr="007A7E79">
        <w:rPr>
          <w:bCs/>
        </w:rPr>
        <w:t xml:space="preserve">Verify pregnancy status in </w:t>
      </w:r>
      <w:r w:rsidR="000B0EFB">
        <w:rPr>
          <w:bCs/>
        </w:rPr>
        <w:t>patients</w:t>
      </w:r>
      <w:r w:rsidR="000B0EFB" w:rsidRPr="007A7E79">
        <w:rPr>
          <w:bCs/>
        </w:rPr>
        <w:t xml:space="preserve"> </w:t>
      </w:r>
      <w:r w:rsidRPr="007A7E79">
        <w:rPr>
          <w:bCs/>
        </w:rPr>
        <w:t xml:space="preserve">of reproductive potential prior to initiating </w:t>
      </w:r>
      <w:proofErr w:type="spellStart"/>
      <w:r w:rsidRPr="007A7E79">
        <w:rPr>
          <w:bCs/>
        </w:rPr>
        <w:t>tebentafusp</w:t>
      </w:r>
      <w:proofErr w:type="spellEnd"/>
      <w:r w:rsidRPr="007A7E79">
        <w:rPr>
          <w:bCs/>
        </w:rPr>
        <w:t xml:space="preserve"> treatment.</w:t>
      </w:r>
    </w:p>
    <w:p w14:paraId="61403786" w14:textId="2510EFC9" w:rsidR="001A3992" w:rsidRDefault="001A3992" w:rsidP="00954258">
      <w:pPr>
        <w:pStyle w:val="Heading3"/>
      </w:pPr>
      <w:r w:rsidRPr="00497C85">
        <w:t>Use in lactation</w:t>
      </w:r>
    </w:p>
    <w:p w14:paraId="07A03608" w14:textId="3FDBC360" w:rsidR="0091569D" w:rsidRPr="0091569D" w:rsidRDefault="007A7E79" w:rsidP="00954258">
      <w:r w:rsidRPr="00F0067C">
        <w:t xml:space="preserve">There is no information regarding the presence of </w:t>
      </w:r>
      <w:proofErr w:type="spellStart"/>
      <w:r>
        <w:t>tebentafusp</w:t>
      </w:r>
      <w:proofErr w:type="spellEnd"/>
      <w:r w:rsidRPr="00F0067C">
        <w:t xml:space="preserve"> in human milk, the effect on the breastfed </w:t>
      </w:r>
      <w:r w:rsidR="000B0EFB">
        <w:t>child</w:t>
      </w:r>
      <w:r w:rsidRPr="00F0067C">
        <w:t xml:space="preserve">, </w:t>
      </w:r>
      <w:r w:rsidR="000B0EFB">
        <w:t>or</w:t>
      </w:r>
      <w:r w:rsidR="000B0EFB" w:rsidRPr="00F0067C">
        <w:t xml:space="preserve"> </w:t>
      </w:r>
      <w:r w:rsidRPr="00F0067C">
        <w:rPr>
          <w:rFonts w:eastAsia="MS Mincho"/>
          <w:lang w:eastAsia="ja-JP"/>
        </w:rPr>
        <w:t>the</w:t>
      </w:r>
      <w:r w:rsidRPr="00F0067C">
        <w:t xml:space="preserve"> effects on milk production.</w:t>
      </w:r>
      <w:r w:rsidR="000B0EFB">
        <w:t xml:space="preserve"> Because </w:t>
      </w:r>
      <w:proofErr w:type="spellStart"/>
      <w:r w:rsidR="000B0EFB">
        <w:t>tebentafusp</w:t>
      </w:r>
      <w:proofErr w:type="spellEnd"/>
      <w:r w:rsidR="000B0EFB">
        <w:t xml:space="preserve"> may be excreted in human milk and because of the potential for serious adverse reactions in a breastfed child, advise patients not to breastfeed during treatment with KIMMTRAK and for at least 1 week after the last dose.</w:t>
      </w:r>
    </w:p>
    <w:p w14:paraId="779EF7C1" w14:textId="3EE59DEC" w:rsidR="001A3992" w:rsidRPr="00497C85" w:rsidRDefault="001A3992" w:rsidP="00954258">
      <w:pPr>
        <w:pStyle w:val="Heading2"/>
        <w:numPr>
          <w:ilvl w:val="1"/>
          <w:numId w:val="24"/>
        </w:numPr>
      </w:pPr>
      <w:r w:rsidRPr="00497C85">
        <w:t xml:space="preserve">Effects on ability to drive and use machines </w:t>
      </w:r>
    </w:p>
    <w:p w14:paraId="408AC445" w14:textId="77777777" w:rsidR="0091569D" w:rsidRPr="0091569D" w:rsidRDefault="0091569D">
      <w:pPr>
        <w:rPr>
          <w:noProof/>
        </w:rPr>
      </w:pPr>
      <w:r w:rsidRPr="0091569D">
        <w:rPr>
          <w:noProof/>
        </w:rPr>
        <w:t>Tebentafusp has no or negligible influence on the ability to drive and use machines.</w:t>
      </w:r>
    </w:p>
    <w:p w14:paraId="3F7EAE87" w14:textId="47DFFA5D" w:rsidR="001A3992" w:rsidRDefault="001A3992" w:rsidP="00954258">
      <w:pPr>
        <w:pStyle w:val="Heading2"/>
        <w:numPr>
          <w:ilvl w:val="1"/>
          <w:numId w:val="24"/>
        </w:numPr>
      </w:pPr>
      <w:bookmarkStart w:id="14" w:name="_Ref98430191"/>
      <w:r w:rsidRPr="00497C85">
        <w:t>Adverse effects (Undesirable effects)</w:t>
      </w:r>
      <w:bookmarkEnd w:id="14"/>
    </w:p>
    <w:p w14:paraId="0E1869DC" w14:textId="3B6F3CE0" w:rsidR="0091569D" w:rsidRPr="00646FA9" w:rsidRDefault="0091569D" w:rsidP="00954258">
      <w:pPr>
        <w:pStyle w:val="Heading3"/>
      </w:pPr>
      <w:r w:rsidRPr="00646FA9">
        <w:t>Summary of safety profile</w:t>
      </w:r>
    </w:p>
    <w:p w14:paraId="2E911891" w14:textId="15881568" w:rsidR="0091569D" w:rsidRPr="0091569D" w:rsidRDefault="0091569D" w:rsidP="00954258">
      <w:r w:rsidRPr="0091569D">
        <w:t xml:space="preserve">The safety of KIMMTRAK </w:t>
      </w:r>
      <w:r w:rsidR="009A0FD8">
        <w:t xml:space="preserve">was evaluated in </w:t>
      </w:r>
      <w:r w:rsidRPr="0091569D">
        <w:t>study IMCgp100-202</w:t>
      </w:r>
      <w:r w:rsidR="009A0FD8">
        <w:t xml:space="preserve">, a randomised (2:1), open-label, active-controlled trial in patients who had not received prior systemic therapy for metastatic or advanced uveal melanoma (see </w:t>
      </w:r>
      <w:r w:rsidR="00012F31">
        <w:t xml:space="preserve">Section </w:t>
      </w:r>
      <w:r w:rsidR="009A0FD8">
        <w:t xml:space="preserve">5.1 </w:t>
      </w:r>
      <w:r w:rsidR="009A0FD8">
        <w:fldChar w:fldCharType="begin"/>
      </w:r>
      <w:r w:rsidR="009A0FD8">
        <w:instrText xml:space="preserve"> REF _Ref99550364 \h </w:instrText>
      </w:r>
      <w:r w:rsidR="009A0FD8">
        <w:fldChar w:fldCharType="separate"/>
      </w:r>
      <w:r w:rsidR="00012F31" w:rsidRPr="00BA1C4E">
        <w:rPr>
          <w:lang w:val="en-US"/>
        </w:rPr>
        <w:t>Pharmacodynamic properties</w:t>
      </w:r>
      <w:r w:rsidR="009A0FD8">
        <w:fldChar w:fldCharType="end"/>
      </w:r>
      <w:r w:rsidR="009A0FD8">
        <w:t xml:space="preserve"> </w:t>
      </w:r>
      <w:r w:rsidR="00012F31">
        <w:t>–</w:t>
      </w:r>
      <w:r w:rsidR="009A0FD8">
        <w:t xml:space="preserve"> </w:t>
      </w:r>
      <w:r w:rsidR="009A0FD8">
        <w:fldChar w:fldCharType="begin"/>
      </w:r>
      <w:r w:rsidR="009A0FD8">
        <w:instrText xml:space="preserve"> REF _Ref100055312 \h </w:instrText>
      </w:r>
      <w:r w:rsidR="009A0FD8">
        <w:fldChar w:fldCharType="separate"/>
      </w:r>
      <w:r w:rsidR="00012F31" w:rsidRPr="00497C85">
        <w:t>Clinical</w:t>
      </w:r>
      <w:r w:rsidR="00012F31" w:rsidRPr="00497C85">
        <w:rPr>
          <w:lang w:val="en-US"/>
        </w:rPr>
        <w:t xml:space="preserve"> trials</w:t>
      </w:r>
      <w:r w:rsidR="009A0FD8">
        <w:fldChar w:fldCharType="end"/>
      </w:r>
      <w:r w:rsidR="009A0FD8">
        <w:t>). Patients received either KIMMTRAK administered at 20 mcg intravenously on Day 1, 30 mcg intravenously on Day 8, 68 mcg intravenously on Day 15, and 68 mcg intravenously once every week thereafter (n=245) or investigator’s choice treatment (n=111). The median duration of exposure was 5.3 months (range: 0.3 to 33 months) in patients treated with KIMMTRAK.</w:t>
      </w:r>
    </w:p>
    <w:p w14:paraId="74496108" w14:textId="2B906AFF" w:rsidR="009A0FD8" w:rsidRDefault="009A0FD8" w:rsidP="00954258">
      <w:r>
        <w:t xml:space="preserve">Serious adverse </w:t>
      </w:r>
      <w:r w:rsidR="001B7C74">
        <w:t>events</w:t>
      </w:r>
      <w:r>
        <w:t xml:space="preserve"> occurred in 28% of patients who received KIMMTRAK. Serious adverse </w:t>
      </w:r>
      <w:r w:rsidR="001B7C74">
        <w:t>events</w:t>
      </w:r>
      <w:r>
        <w:t xml:space="preserve"> that occurred in &gt;2% of patients were cytokine release syndrome (10%), rashes (4.5%), pyrexia (2.4%), and hypotension (2%). One patient (0.4%) experienced a fatal adverse </w:t>
      </w:r>
      <w:r w:rsidR="001B7C74">
        <w:t>event</w:t>
      </w:r>
      <w:r>
        <w:t xml:space="preserve"> (pulmonary embolism). </w:t>
      </w:r>
    </w:p>
    <w:p w14:paraId="63A6D842" w14:textId="10E7BA9E" w:rsidR="009A0FD8" w:rsidRDefault="009A0FD8" w:rsidP="00954258">
      <w:r>
        <w:t xml:space="preserve">Adverse </w:t>
      </w:r>
      <w:r w:rsidR="001B7C74">
        <w:t>events</w:t>
      </w:r>
      <w:r>
        <w:t xml:space="preserve"> led to permanent discontinuation in 3.3% of patients who received KIMMTRAK. Adverse </w:t>
      </w:r>
      <w:r w:rsidR="001B7C74">
        <w:t>events</w:t>
      </w:r>
      <w:r>
        <w:t xml:space="preserve"> that led to permanent discontinuation of KIMMTRAK were anaphylactic reaction, brain oedema, cytokine release syndrome, fatigue, hepatotoxicity, hypotension, and nausea (each 0.4%). </w:t>
      </w:r>
    </w:p>
    <w:p w14:paraId="35079B82" w14:textId="12E2709E" w:rsidR="009A0FD8" w:rsidRDefault="009A0FD8" w:rsidP="00954258">
      <w:r>
        <w:t xml:space="preserve">Adverse </w:t>
      </w:r>
      <w:r w:rsidR="001B7C74">
        <w:t>events</w:t>
      </w:r>
      <w:r>
        <w:t xml:space="preserve"> resulting in dose interruption occurred in 25% of patients who received KIMMTRAK. Adverse </w:t>
      </w:r>
      <w:r w:rsidR="001B7C74">
        <w:t>events</w:t>
      </w:r>
      <w:r>
        <w:t xml:space="preserve"> which required dose interruption in ≥2% of patients included fatigue (3.7%), lipase increased (2.9%), pyrexia (2.4%), alanine aminotransferase increase (2%), and aspartate aminotransferase increase (2%). </w:t>
      </w:r>
    </w:p>
    <w:p w14:paraId="4F9C2963" w14:textId="4C6B3CBE" w:rsidR="009A0FD8" w:rsidRDefault="009A0FD8" w:rsidP="00954258">
      <w:r>
        <w:t xml:space="preserve">Adverse </w:t>
      </w:r>
      <w:r w:rsidR="001B7C74">
        <w:t>events</w:t>
      </w:r>
      <w:r>
        <w:t xml:space="preserve"> leading to dose reduction occurred in 5% of patients who received KIMMTRAK. Adverse </w:t>
      </w:r>
      <w:r w:rsidR="001B7C74">
        <w:t>events</w:t>
      </w:r>
      <w:r>
        <w:t xml:space="preserve"> which required dose reduction in ≥2% of patients were cytokine release syndrome (2.4%), and rashes (2%). </w:t>
      </w:r>
    </w:p>
    <w:p w14:paraId="2C5277E6" w14:textId="252446C8" w:rsidR="0091569D" w:rsidRPr="0091569D" w:rsidRDefault="0091569D" w:rsidP="00954258">
      <w:r w:rsidRPr="0091569D">
        <w:t xml:space="preserve">The most common adverse </w:t>
      </w:r>
      <w:r w:rsidR="001B7C74">
        <w:t>events</w:t>
      </w:r>
      <w:r w:rsidR="001B7C74" w:rsidRPr="0091569D">
        <w:t xml:space="preserve"> </w:t>
      </w:r>
      <w:r w:rsidRPr="0091569D">
        <w:t>(≥30</w:t>
      </w:r>
      <w:r w:rsidR="0035777F">
        <w:t>%</w:t>
      </w:r>
      <w:r w:rsidRPr="0091569D">
        <w:t xml:space="preserve">) in patients </w:t>
      </w:r>
      <w:r w:rsidR="009A0FD8">
        <w:t>who received</w:t>
      </w:r>
      <w:r w:rsidRPr="0091569D">
        <w:t xml:space="preserve"> KIMMTRAK </w:t>
      </w:r>
      <w:r w:rsidR="009A0FD8">
        <w:t xml:space="preserve">(see Table </w:t>
      </w:r>
      <w:r w:rsidR="009A0FD8">
        <w:rPr>
          <w:noProof/>
        </w:rPr>
        <w:t>4</w:t>
      </w:r>
      <w:r w:rsidR="009A0FD8">
        <w:t xml:space="preserve">) </w:t>
      </w:r>
      <w:r w:rsidRPr="0091569D">
        <w:t xml:space="preserve">were cytokine release syndrome, rash, pyrexia, pruritis, fatigue, nausea, chills, abdominal pain, oedema, hypotension, dry skin, </w:t>
      </w:r>
      <w:proofErr w:type="gramStart"/>
      <w:r w:rsidRPr="0091569D">
        <w:t>headache  and</w:t>
      </w:r>
      <w:proofErr w:type="gramEnd"/>
      <w:r w:rsidRPr="0091569D">
        <w:t xml:space="preserve"> vomiting.</w:t>
      </w:r>
      <w:r w:rsidR="009A0FD8">
        <w:t xml:space="preserve"> The most common (≥50%) laboratory abnormalities in patients who received KIMMTRAK were decreased lymphocyte count, </w:t>
      </w:r>
      <w:r w:rsidR="009A0FD8">
        <w:lastRenderedPageBreak/>
        <w:t xml:space="preserve">increased creatinine, increased glucose, increased AST, increased ALT, decreased haemoglobin, and decreased phosphate. </w:t>
      </w:r>
    </w:p>
    <w:p w14:paraId="4CFB58F2" w14:textId="5AF1F731" w:rsidR="0091569D" w:rsidRPr="00D511D7" w:rsidRDefault="0091569D" w:rsidP="009A0FD8">
      <w:pPr>
        <w:pStyle w:val="Heading3"/>
      </w:pPr>
      <w:r w:rsidRPr="00D511D7">
        <w:t>Tabulated list of adverse reactions</w:t>
      </w:r>
    </w:p>
    <w:p w14:paraId="4ABBCAC4" w14:textId="6927C670" w:rsidR="0091569D" w:rsidRPr="0091569D" w:rsidRDefault="00A03267" w:rsidP="009A0FD8">
      <w:pPr>
        <w:rPr>
          <w:lang w:eastAsia="ja-JP"/>
        </w:rPr>
      </w:pPr>
      <w:r>
        <w:rPr>
          <w:lang w:eastAsia="ja-JP"/>
        </w:rPr>
        <w:fldChar w:fldCharType="begin"/>
      </w:r>
      <w:r>
        <w:rPr>
          <w:lang w:eastAsia="ja-JP"/>
        </w:rPr>
        <w:instrText xml:space="preserve"> REF _Ref80351581 \h </w:instrText>
      </w:r>
      <w:r>
        <w:rPr>
          <w:lang w:eastAsia="ja-JP"/>
        </w:rPr>
      </w:r>
      <w:r>
        <w:rPr>
          <w:lang w:eastAsia="ja-JP"/>
        </w:rPr>
        <w:fldChar w:fldCharType="separate"/>
      </w:r>
      <w:r w:rsidR="00012F31">
        <w:t xml:space="preserve">Table </w:t>
      </w:r>
      <w:r w:rsidR="00012F31">
        <w:rPr>
          <w:noProof/>
        </w:rPr>
        <w:t>4</w:t>
      </w:r>
      <w:r>
        <w:rPr>
          <w:lang w:eastAsia="ja-JP"/>
        </w:rPr>
        <w:fldChar w:fldCharType="end"/>
      </w:r>
      <w:r w:rsidR="0091569D" w:rsidRPr="0091569D">
        <w:rPr>
          <w:lang w:eastAsia="ja-JP"/>
        </w:rPr>
        <w:t xml:space="preserve"> summari</w:t>
      </w:r>
      <w:r>
        <w:rPr>
          <w:lang w:eastAsia="ja-JP"/>
        </w:rPr>
        <w:t>s</w:t>
      </w:r>
      <w:r w:rsidR="0091569D" w:rsidRPr="0091569D">
        <w:rPr>
          <w:lang w:eastAsia="ja-JP"/>
        </w:rPr>
        <w:t xml:space="preserve">es </w:t>
      </w:r>
      <w:r w:rsidR="009A0FD8">
        <w:rPr>
          <w:lang w:eastAsia="ja-JP"/>
        </w:rPr>
        <w:t xml:space="preserve">the </w:t>
      </w:r>
      <w:r w:rsidR="0091569D" w:rsidRPr="0091569D">
        <w:rPr>
          <w:lang w:eastAsia="ja-JP"/>
        </w:rPr>
        <w:t xml:space="preserve">adverse </w:t>
      </w:r>
      <w:r w:rsidR="001B7C74">
        <w:rPr>
          <w:lang w:eastAsia="ja-JP"/>
        </w:rPr>
        <w:t>events</w:t>
      </w:r>
      <w:r w:rsidR="001B7C74" w:rsidRPr="0091569D">
        <w:rPr>
          <w:lang w:eastAsia="ja-JP"/>
        </w:rPr>
        <w:t xml:space="preserve"> </w:t>
      </w:r>
      <w:r w:rsidR="009A0FD8">
        <w:rPr>
          <w:lang w:eastAsia="ja-JP"/>
        </w:rPr>
        <w:t>observed in study IMCgp100-202.</w:t>
      </w:r>
    </w:p>
    <w:p w14:paraId="476B8FC7" w14:textId="4B9DBA19" w:rsidR="0091569D" w:rsidRPr="0091569D" w:rsidRDefault="00A03267" w:rsidP="00954258">
      <w:pPr>
        <w:pStyle w:val="Caption"/>
        <w:rPr>
          <w:i/>
          <w:iCs/>
        </w:rPr>
      </w:pPr>
      <w:bookmarkStart w:id="15" w:name="_Ref80351581"/>
      <w:bookmarkStart w:id="16" w:name="_Hlk68860088"/>
      <w:r>
        <w:t xml:space="preserve">Table </w:t>
      </w:r>
      <w:r>
        <w:fldChar w:fldCharType="begin"/>
      </w:r>
      <w:r>
        <w:instrText xml:space="preserve"> SEQ Table \* ARABIC </w:instrText>
      </w:r>
      <w:r>
        <w:fldChar w:fldCharType="separate"/>
      </w:r>
      <w:r w:rsidR="00012F31">
        <w:rPr>
          <w:noProof/>
        </w:rPr>
        <w:t>4</w:t>
      </w:r>
      <w:r>
        <w:fldChar w:fldCharType="end"/>
      </w:r>
      <w:bookmarkEnd w:id="15"/>
      <w:r w:rsidR="0091569D" w:rsidRPr="0091569D">
        <w:t xml:space="preserve">: Adverse </w:t>
      </w:r>
      <w:r w:rsidR="001B7C74">
        <w:t>events</w:t>
      </w:r>
      <w:r w:rsidR="0091569D" w:rsidRPr="0091569D">
        <w:t xml:space="preserve"> </w:t>
      </w:r>
      <w:r w:rsidR="009A0FD8">
        <w:t xml:space="preserve">that occurred </w:t>
      </w:r>
      <w:r w:rsidR="0091569D" w:rsidRPr="0091569D">
        <w:t xml:space="preserve">in </w:t>
      </w:r>
      <w:r w:rsidR="009A0FD8">
        <w:t>at least 20% of p</w:t>
      </w:r>
      <w:r w:rsidR="0091569D" w:rsidRPr="0091569D">
        <w:t xml:space="preserve">atients </w:t>
      </w:r>
      <w:r w:rsidR="009A0FD8">
        <w:t>with metastatic uveal melanoma who received</w:t>
      </w:r>
      <w:r w:rsidR="0091569D" w:rsidRPr="0091569D">
        <w:t xml:space="preserve"> KIMMTRAK </w:t>
      </w:r>
      <w:r w:rsidR="009A0FD8">
        <w:t>in Study IMCgp100-202</w:t>
      </w:r>
    </w:p>
    <w:tbl>
      <w:tblPr>
        <w:tblStyle w:val="TableGrid"/>
        <w:tblW w:w="0" w:type="auto"/>
        <w:tblLook w:val="04A0" w:firstRow="1" w:lastRow="0" w:firstColumn="1" w:lastColumn="0" w:noHBand="0" w:noVBand="1"/>
      </w:tblPr>
      <w:tblGrid>
        <w:gridCol w:w="3344"/>
        <w:gridCol w:w="1418"/>
        <w:gridCol w:w="1418"/>
        <w:gridCol w:w="1418"/>
        <w:gridCol w:w="1418"/>
      </w:tblGrid>
      <w:tr w:rsidR="001B7C74" w:rsidRPr="001B7C74" w14:paraId="6B9CE773" w14:textId="77777777" w:rsidTr="006D287B">
        <w:trPr>
          <w:tblHeader/>
        </w:trPr>
        <w:tc>
          <w:tcPr>
            <w:tcW w:w="3344" w:type="dxa"/>
            <w:vAlign w:val="bottom"/>
          </w:tcPr>
          <w:p w14:paraId="2C9059FB" w14:textId="11E95B69" w:rsidR="001B7C74" w:rsidRPr="006D287B" w:rsidRDefault="001B7C74" w:rsidP="00EA444A">
            <w:pPr>
              <w:rPr>
                <w:b/>
                <w:bCs/>
                <w:sz w:val="22"/>
                <w:szCs w:val="22"/>
              </w:rPr>
            </w:pPr>
            <w:bookmarkStart w:id="17" w:name="_Hlk100061745"/>
            <w:r w:rsidRPr="001B7C74">
              <w:rPr>
                <w:b/>
                <w:bCs/>
              </w:rPr>
              <w:t>Adverse event</w:t>
            </w:r>
          </w:p>
        </w:tc>
        <w:tc>
          <w:tcPr>
            <w:tcW w:w="2836" w:type="dxa"/>
            <w:gridSpan w:val="2"/>
            <w:vAlign w:val="center"/>
          </w:tcPr>
          <w:p w14:paraId="712DB293" w14:textId="0F8CAB47" w:rsidR="001B7C74" w:rsidRPr="006D287B" w:rsidRDefault="001B7C74" w:rsidP="00EA444A">
            <w:pPr>
              <w:jc w:val="center"/>
              <w:rPr>
                <w:b/>
                <w:bCs/>
                <w:sz w:val="22"/>
                <w:szCs w:val="22"/>
              </w:rPr>
            </w:pPr>
            <w:r w:rsidRPr="001B7C74">
              <w:rPr>
                <w:b/>
                <w:bCs/>
              </w:rPr>
              <w:t>KIMMTRAK (n=245)</w:t>
            </w:r>
          </w:p>
        </w:tc>
        <w:tc>
          <w:tcPr>
            <w:tcW w:w="2836" w:type="dxa"/>
            <w:gridSpan w:val="2"/>
            <w:vAlign w:val="center"/>
          </w:tcPr>
          <w:p w14:paraId="38D8AE21" w14:textId="290DD06B" w:rsidR="001B7C74" w:rsidRPr="006D287B" w:rsidRDefault="00DA348C" w:rsidP="00EA444A">
            <w:pPr>
              <w:jc w:val="center"/>
              <w:rPr>
                <w:b/>
                <w:bCs/>
                <w:sz w:val="22"/>
                <w:szCs w:val="22"/>
              </w:rPr>
            </w:pPr>
            <w:r>
              <w:rPr>
                <w:b/>
                <w:bCs/>
                <w:sz w:val="22"/>
                <w:szCs w:val="22"/>
              </w:rPr>
              <w:t>IC (n=126)</w:t>
            </w:r>
          </w:p>
        </w:tc>
      </w:tr>
      <w:tr w:rsidR="001B7C74" w:rsidRPr="001B7C74" w14:paraId="147972CE" w14:textId="77777777" w:rsidTr="006D287B">
        <w:tc>
          <w:tcPr>
            <w:tcW w:w="3344" w:type="dxa"/>
          </w:tcPr>
          <w:p w14:paraId="434369CC" w14:textId="77777777" w:rsidR="001B7C74" w:rsidRPr="006D287B" w:rsidRDefault="001B7C74" w:rsidP="001B7C74">
            <w:pPr>
              <w:rPr>
                <w:b/>
                <w:bCs/>
                <w:sz w:val="22"/>
                <w:szCs w:val="22"/>
              </w:rPr>
            </w:pPr>
          </w:p>
        </w:tc>
        <w:tc>
          <w:tcPr>
            <w:tcW w:w="1418" w:type="dxa"/>
            <w:vAlign w:val="bottom"/>
          </w:tcPr>
          <w:p w14:paraId="0C3E9C44" w14:textId="19FDA149" w:rsidR="001B7C74" w:rsidRPr="006D287B" w:rsidRDefault="001B7C74" w:rsidP="001B7C74">
            <w:pPr>
              <w:jc w:val="center"/>
              <w:rPr>
                <w:b/>
                <w:bCs/>
                <w:sz w:val="22"/>
                <w:szCs w:val="22"/>
              </w:rPr>
            </w:pPr>
            <w:r w:rsidRPr="001B7C74">
              <w:rPr>
                <w:b/>
                <w:bCs/>
              </w:rPr>
              <w:t>All grades (%)</w:t>
            </w:r>
          </w:p>
        </w:tc>
        <w:tc>
          <w:tcPr>
            <w:tcW w:w="1418" w:type="dxa"/>
            <w:vAlign w:val="bottom"/>
          </w:tcPr>
          <w:p w14:paraId="58FD986B" w14:textId="5CBBFED4" w:rsidR="001B7C74" w:rsidRPr="006D287B" w:rsidRDefault="00EA444A" w:rsidP="001B7C74">
            <w:pPr>
              <w:jc w:val="center"/>
              <w:rPr>
                <w:b/>
                <w:bCs/>
                <w:sz w:val="22"/>
                <w:szCs w:val="22"/>
              </w:rPr>
            </w:pPr>
            <w:r w:rsidRPr="006B76AE">
              <w:rPr>
                <w:b/>
                <w:bCs/>
                <w:sz w:val="22"/>
                <w:szCs w:val="22"/>
              </w:rPr>
              <w:t>Grade</w:t>
            </w:r>
            <w:r>
              <w:rPr>
                <w:b/>
                <w:bCs/>
                <w:sz w:val="22"/>
                <w:szCs w:val="22"/>
              </w:rPr>
              <w:t>s</w:t>
            </w:r>
            <w:r w:rsidRPr="006B76AE">
              <w:rPr>
                <w:b/>
                <w:bCs/>
                <w:sz w:val="22"/>
                <w:szCs w:val="22"/>
              </w:rPr>
              <w:t xml:space="preserve"> 3</w:t>
            </w:r>
            <w:r>
              <w:rPr>
                <w:b/>
                <w:bCs/>
                <w:sz w:val="22"/>
                <w:szCs w:val="22"/>
              </w:rPr>
              <w:t>-</w:t>
            </w:r>
            <w:r w:rsidRPr="006B76AE">
              <w:rPr>
                <w:b/>
                <w:bCs/>
                <w:sz w:val="22"/>
                <w:szCs w:val="22"/>
              </w:rPr>
              <w:t xml:space="preserve">4 </w:t>
            </w:r>
            <w:r w:rsidR="001B7C74" w:rsidRPr="001B7C74">
              <w:rPr>
                <w:b/>
                <w:bCs/>
              </w:rPr>
              <w:t>(%)</w:t>
            </w:r>
          </w:p>
        </w:tc>
        <w:tc>
          <w:tcPr>
            <w:tcW w:w="1418" w:type="dxa"/>
            <w:vAlign w:val="bottom"/>
          </w:tcPr>
          <w:p w14:paraId="13CD3829" w14:textId="4874BAF7" w:rsidR="001B7C74" w:rsidRPr="006D287B" w:rsidRDefault="001B7C74" w:rsidP="001B7C74">
            <w:pPr>
              <w:jc w:val="center"/>
              <w:rPr>
                <w:b/>
                <w:bCs/>
                <w:sz w:val="22"/>
                <w:szCs w:val="22"/>
              </w:rPr>
            </w:pPr>
            <w:r w:rsidRPr="001B7C74">
              <w:rPr>
                <w:b/>
                <w:bCs/>
              </w:rPr>
              <w:t>All grades (%)</w:t>
            </w:r>
          </w:p>
        </w:tc>
        <w:tc>
          <w:tcPr>
            <w:tcW w:w="1418" w:type="dxa"/>
            <w:vAlign w:val="bottom"/>
          </w:tcPr>
          <w:p w14:paraId="42F036F7" w14:textId="09DF2484" w:rsidR="001B7C74" w:rsidRPr="006D287B" w:rsidRDefault="00EA444A" w:rsidP="001B7C74">
            <w:pPr>
              <w:jc w:val="center"/>
              <w:rPr>
                <w:b/>
                <w:bCs/>
                <w:sz w:val="22"/>
                <w:szCs w:val="22"/>
              </w:rPr>
            </w:pPr>
            <w:r w:rsidRPr="006B76AE">
              <w:rPr>
                <w:b/>
                <w:bCs/>
                <w:sz w:val="22"/>
                <w:szCs w:val="22"/>
              </w:rPr>
              <w:t>Grade</w:t>
            </w:r>
            <w:r>
              <w:rPr>
                <w:b/>
                <w:bCs/>
                <w:sz w:val="22"/>
                <w:szCs w:val="22"/>
              </w:rPr>
              <w:t>s</w:t>
            </w:r>
            <w:r w:rsidRPr="006B76AE">
              <w:rPr>
                <w:b/>
                <w:bCs/>
                <w:sz w:val="22"/>
                <w:szCs w:val="22"/>
              </w:rPr>
              <w:t xml:space="preserve"> 3</w:t>
            </w:r>
            <w:r>
              <w:rPr>
                <w:b/>
                <w:bCs/>
                <w:sz w:val="22"/>
                <w:szCs w:val="22"/>
              </w:rPr>
              <w:t>-</w:t>
            </w:r>
            <w:r w:rsidRPr="006B76AE">
              <w:rPr>
                <w:b/>
                <w:bCs/>
                <w:sz w:val="22"/>
                <w:szCs w:val="22"/>
              </w:rPr>
              <w:t xml:space="preserve">4 </w:t>
            </w:r>
            <w:r w:rsidR="001B7C74" w:rsidRPr="001B7C74">
              <w:rPr>
                <w:b/>
                <w:bCs/>
              </w:rPr>
              <w:t>(%)</w:t>
            </w:r>
          </w:p>
        </w:tc>
      </w:tr>
      <w:tr w:rsidR="001B7C74" w:rsidRPr="001B7C74" w14:paraId="0ADBDD97" w14:textId="77777777" w:rsidTr="006D287B">
        <w:tc>
          <w:tcPr>
            <w:tcW w:w="9016" w:type="dxa"/>
            <w:gridSpan w:val="5"/>
            <w:vAlign w:val="bottom"/>
          </w:tcPr>
          <w:p w14:paraId="0431F049" w14:textId="2A70376A" w:rsidR="001B7C74" w:rsidRPr="006D287B" w:rsidRDefault="001B7C74" w:rsidP="006D287B">
            <w:pPr>
              <w:rPr>
                <w:b/>
                <w:bCs/>
                <w:sz w:val="22"/>
                <w:szCs w:val="22"/>
              </w:rPr>
            </w:pPr>
            <w:r w:rsidRPr="001B7C74">
              <w:rPr>
                <w:b/>
                <w:bCs/>
                <w:sz w:val="22"/>
                <w:szCs w:val="22"/>
              </w:rPr>
              <w:t>Immune system disorders</w:t>
            </w:r>
          </w:p>
        </w:tc>
      </w:tr>
      <w:tr w:rsidR="001B7C74" w:rsidRPr="001B7C74" w14:paraId="57FD7D12" w14:textId="77777777" w:rsidTr="006D287B">
        <w:tc>
          <w:tcPr>
            <w:tcW w:w="3344" w:type="dxa"/>
          </w:tcPr>
          <w:p w14:paraId="26CC7A46" w14:textId="75D1F870" w:rsidR="001B7C74" w:rsidRPr="006D287B" w:rsidRDefault="001B7C74">
            <w:pPr>
              <w:rPr>
                <w:b/>
                <w:bCs/>
                <w:sz w:val="22"/>
                <w:szCs w:val="22"/>
              </w:rPr>
            </w:pPr>
            <w:r w:rsidRPr="006D287B">
              <w:t>Cytokine release syndrome</w:t>
            </w:r>
          </w:p>
        </w:tc>
        <w:tc>
          <w:tcPr>
            <w:tcW w:w="1418" w:type="dxa"/>
            <w:vAlign w:val="bottom"/>
          </w:tcPr>
          <w:p w14:paraId="0A6C33AB" w14:textId="1DCF48F5" w:rsidR="001B7C74" w:rsidRPr="006D287B" w:rsidRDefault="001B7C74" w:rsidP="001B7C74">
            <w:pPr>
              <w:jc w:val="center"/>
              <w:rPr>
                <w:sz w:val="22"/>
                <w:szCs w:val="22"/>
              </w:rPr>
            </w:pPr>
            <w:r>
              <w:rPr>
                <w:sz w:val="22"/>
                <w:szCs w:val="22"/>
              </w:rPr>
              <w:t>89</w:t>
            </w:r>
          </w:p>
        </w:tc>
        <w:tc>
          <w:tcPr>
            <w:tcW w:w="1418" w:type="dxa"/>
            <w:vAlign w:val="bottom"/>
          </w:tcPr>
          <w:p w14:paraId="7406E456" w14:textId="2862148A" w:rsidR="001B7C74" w:rsidRPr="006D287B" w:rsidRDefault="001B7C74" w:rsidP="001B7C74">
            <w:pPr>
              <w:jc w:val="center"/>
              <w:rPr>
                <w:sz w:val="22"/>
                <w:szCs w:val="22"/>
              </w:rPr>
            </w:pPr>
            <w:r>
              <w:rPr>
                <w:sz w:val="22"/>
                <w:szCs w:val="22"/>
              </w:rPr>
              <w:t>0.8</w:t>
            </w:r>
          </w:p>
        </w:tc>
        <w:tc>
          <w:tcPr>
            <w:tcW w:w="1418" w:type="dxa"/>
            <w:vAlign w:val="bottom"/>
          </w:tcPr>
          <w:p w14:paraId="4772A071" w14:textId="18B1653B" w:rsidR="001B7C74" w:rsidRPr="006D287B" w:rsidRDefault="00EA444A" w:rsidP="001B7C74">
            <w:pPr>
              <w:jc w:val="center"/>
              <w:rPr>
                <w:sz w:val="22"/>
                <w:szCs w:val="22"/>
              </w:rPr>
            </w:pPr>
            <w:r>
              <w:rPr>
                <w:sz w:val="22"/>
                <w:szCs w:val="22"/>
              </w:rPr>
              <w:t>2.7</w:t>
            </w:r>
          </w:p>
        </w:tc>
        <w:tc>
          <w:tcPr>
            <w:tcW w:w="1418" w:type="dxa"/>
            <w:vAlign w:val="bottom"/>
          </w:tcPr>
          <w:p w14:paraId="0D7B8DD9" w14:textId="5F2EFA12" w:rsidR="001B7C74" w:rsidRPr="006D287B" w:rsidRDefault="00EA444A" w:rsidP="001B7C74">
            <w:pPr>
              <w:jc w:val="center"/>
              <w:rPr>
                <w:sz w:val="22"/>
                <w:szCs w:val="22"/>
              </w:rPr>
            </w:pPr>
            <w:r>
              <w:rPr>
                <w:sz w:val="22"/>
                <w:szCs w:val="22"/>
              </w:rPr>
              <w:t>0</w:t>
            </w:r>
          </w:p>
        </w:tc>
      </w:tr>
      <w:tr w:rsidR="001B7C74" w:rsidRPr="001B7C74" w14:paraId="259A0251" w14:textId="77777777" w:rsidTr="006D287B">
        <w:tc>
          <w:tcPr>
            <w:tcW w:w="9016" w:type="dxa"/>
            <w:gridSpan w:val="5"/>
          </w:tcPr>
          <w:p w14:paraId="21A72DF0" w14:textId="2DFE012D" w:rsidR="001B7C74" w:rsidRPr="006D287B" w:rsidRDefault="001B7C74" w:rsidP="006D287B">
            <w:pPr>
              <w:rPr>
                <w:b/>
                <w:bCs/>
                <w:sz w:val="22"/>
                <w:szCs w:val="22"/>
              </w:rPr>
            </w:pPr>
            <w:bookmarkStart w:id="18" w:name="_Hlk100060312"/>
            <w:bookmarkEnd w:id="17"/>
            <w:r w:rsidRPr="001B7C74">
              <w:rPr>
                <w:b/>
                <w:bCs/>
                <w:sz w:val="22"/>
                <w:szCs w:val="22"/>
              </w:rPr>
              <w:t>Skin and subcutaneous tissue disorders</w:t>
            </w:r>
          </w:p>
        </w:tc>
      </w:tr>
      <w:bookmarkEnd w:id="18"/>
      <w:tr w:rsidR="00EA444A" w:rsidRPr="001B7C74" w14:paraId="0E6B9470" w14:textId="77777777" w:rsidTr="006D287B">
        <w:tc>
          <w:tcPr>
            <w:tcW w:w="3344" w:type="dxa"/>
          </w:tcPr>
          <w:p w14:paraId="01439440" w14:textId="2C177581" w:rsidR="00EA444A" w:rsidRPr="006D287B" w:rsidRDefault="00EA444A" w:rsidP="00EA444A">
            <w:pPr>
              <w:rPr>
                <w:sz w:val="22"/>
                <w:szCs w:val="22"/>
              </w:rPr>
            </w:pPr>
            <w:r w:rsidRPr="006D287B">
              <w:t>Rash</w:t>
            </w:r>
          </w:p>
        </w:tc>
        <w:tc>
          <w:tcPr>
            <w:tcW w:w="1418" w:type="dxa"/>
          </w:tcPr>
          <w:p w14:paraId="534B4CD5" w14:textId="638CFAE4" w:rsidR="00EA444A" w:rsidRPr="006D287B" w:rsidRDefault="00EA444A" w:rsidP="00EA444A">
            <w:pPr>
              <w:jc w:val="center"/>
              <w:rPr>
                <w:sz w:val="22"/>
                <w:szCs w:val="22"/>
              </w:rPr>
            </w:pPr>
            <w:r>
              <w:rPr>
                <w:spacing w:val="-5"/>
                <w:sz w:val="22"/>
              </w:rPr>
              <w:t>83</w:t>
            </w:r>
          </w:p>
        </w:tc>
        <w:tc>
          <w:tcPr>
            <w:tcW w:w="1418" w:type="dxa"/>
          </w:tcPr>
          <w:p w14:paraId="0ACF6438" w14:textId="3281E92D" w:rsidR="00EA444A" w:rsidRPr="006D287B" w:rsidRDefault="00EA444A" w:rsidP="00EA444A">
            <w:pPr>
              <w:jc w:val="center"/>
              <w:rPr>
                <w:sz w:val="22"/>
                <w:szCs w:val="22"/>
              </w:rPr>
            </w:pPr>
            <w:r>
              <w:rPr>
                <w:spacing w:val="-5"/>
                <w:sz w:val="22"/>
              </w:rPr>
              <w:t>18</w:t>
            </w:r>
          </w:p>
        </w:tc>
        <w:tc>
          <w:tcPr>
            <w:tcW w:w="1418" w:type="dxa"/>
          </w:tcPr>
          <w:p w14:paraId="51446DD8" w14:textId="3CDB2FDA" w:rsidR="00EA444A" w:rsidRPr="006D287B" w:rsidRDefault="00EA444A" w:rsidP="00EA444A">
            <w:pPr>
              <w:jc w:val="center"/>
              <w:rPr>
                <w:sz w:val="22"/>
                <w:szCs w:val="22"/>
              </w:rPr>
            </w:pPr>
            <w:r>
              <w:rPr>
                <w:spacing w:val="-5"/>
                <w:sz w:val="22"/>
              </w:rPr>
              <w:t>28</w:t>
            </w:r>
          </w:p>
        </w:tc>
        <w:tc>
          <w:tcPr>
            <w:tcW w:w="1418" w:type="dxa"/>
          </w:tcPr>
          <w:p w14:paraId="189B0716" w14:textId="3FC78321" w:rsidR="00EA444A" w:rsidRPr="006D287B" w:rsidRDefault="00EA444A" w:rsidP="00EA444A">
            <w:pPr>
              <w:jc w:val="center"/>
              <w:rPr>
                <w:sz w:val="22"/>
                <w:szCs w:val="22"/>
              </w:rPr>
            </w:pPr>
            <w:r>
              <w:rPr>
                <w:sz w:val="22"/>
              </w:rPr>
              <w:t>0</w:t>
            </w:r>
          </w:p>
        </w:tc>
      </w:tr>
      <w:tr w:rsidR="00EA444A" w:rsidRPr="001B7C74" w14:paraId="0D7FAB59" w14:textId="77777777" w:rsidTr="006D287B">
        <w:tc>
          <w:tcPr>
            <w:tcW w:w="3344" w:type="dxa"/>
          </w:tcPr>
          <w:p w14:paraId="339F0D07" w14:textId="7EAE780B" w:rsidR="00EA444A" w:rsidRPr="006D287B" w:rsidRDefault="00EA444A" w:rsidP="00EA444A">
            <w:pPr>
              <w:rPr>
                <w:sz w:val="22"/>
                <w:szCs w:val="22"/>
              </w:rPr>
            </w:pPr>
            <w:r w:rsidRPr="006D287B">
              <w:t>Pruritus</w:t>
            </w:r>
          </w:p>
        </w:tc>
        <w:tc>
          <w:tcPr>
            <w:tcW w:w="1418" w:type="dxa"/>
          </w:tcPr>
          <w:p w14:paraId="77C3A706" w14:textId="63FE6705" w:rsidR="00EA444A" w:rsidRPr="006D287B" w:rsidRDefault="00EA444A" w:rsidP="00EA444A">
            <w:pPr>
              <w:jc w:val="center"/>
              <w:rPr>
                <w:sz w:val="22"/>
                <w:szCs w:val="22"/>
              </w:rPr>
            </w:pPr>
            <w:r>
              <w:rPr>
                <w:spacing w:val="-5"/>
                <w:sz w:val="22"/>
              </w:rPr>
              <w:t>69</w:t>
            </w:r>
          </w:p>
        </w:tc>
        <w:tc>
          <w:tcPr>
            <w:tcW w:w="1418" w:type="dxa"/>
          </w:tcPr>
          <w:p w14:paraId="27EB7715" w14:textId="31C32972" w:rsidR="00EA444A" w:rsidRPr="006D287B" w:rsidRDefault="00EA444A" w:rsidP="00EA444A">
            <w:pPr>
              <w:jc w:val="center"/>
              <w:rPr>
                <w:sz w:val="22"/>
                <w:szCs w:val="22"/>
              </w:rPr>
            </w:pPr>
            <w:r>
              <w:rPr>
                <w:spacing w:val="-5"/>
                <w:sz w:val="22"/>
              </w:rPr>
              <w:t>4.5</w:t>
            </w:r>
          </w:p>
        </w:tc>
        <w:tc>
          <w:tcPr>
            <w:tcW w:w="1418" w:type="dxa"/>
          </w:tcPr>
          <w:p w14:paraId="0F443BAC" w14:textId="2719D335" w:rsidR="00EA444A" w:rsidRPr="006D287B" w:rsidRDefault="00EA444A" w:rsidP="00EA444A">
            <w:pPr>
              <w:jc w:val="center"/>
              <w:rPr>
                <w:sz w:val="22"/>
                <w:szCs w:val="22"/>
              </w:rPr>
            </w:pPr>
            <w:r>
              <w:rPr>
                <w:spacing w:val="-5"/>
                <w:sz w:val="22"/>
              </w:rPr>
              <w:t>23</w:t>
            </w:r>
          </w:p>
        </w:tc>
        <w:tc>
          <w:tcPr>
            <w:tcW w:w="1418" w:type="dxa"/>
          </w:tcPr>
          <w:p w14:paraId="47B1DD32" w14:textId="24C85519" w:rsidR="00EA444A" w:rsidRPr="006D287B" w:rsidRDefault="00EA444A" w:rsidP="00EA444A">
            <w:pPr>
              <w:jc w:val="center"/>
              <w:rPr>
                <w:sz w:val="22"/>
                <w:szCs w:val="22"/>
              </w:rPr>
            </w:pPr>
            <w:r>
              <w:rPr>
                <w:sz w:val="22"/>
              </w:rPr>
              <w:t>0</w:t>
            </w:r>
          </w:p>
        </w:tc>
      </w:tr>
      <w:tr w:rsidR="00EA444A" w:rsidRPr="001B7C74" w14:paraId="4E8039D8" w14:textId="77777777" w:rsidTr="006D287B">
        <w:tc>
          <w:tcPr>
            <w:tcW w:w="3344" w:type="dxa"/>
          </w:tcPr>
          <w:p w14:paraId="5D446ADB" w14:textId="3FD0E926" w:rsidR="00EA444A" w:rsidRPr="006D287B" w:rsidRDefault="00EA444A" w:rsidP="00EA444A">
            <w:pPr>
              <w:rPr>
                <w:sz w:val="22"/>
                <w:szCs w:val="22"/>
              </w:rPr>
            </w:pPr>
            <w:r w:rsidRPr="006D287B">
              <w:t>Dry skin</w:t>
            </w:r>
          </w:p>
        </w:tc>
        <w:tc>
          <w:tcPr>
            <w:tcW w:w="1418" w:type="dxa"/>
          </w:tcPr>
          <w:p w14:paraId="24C44CA5" w14:textId="34756671" w:rsidR="00EA444A" w:rsidRPr="006D287B" w:rsidRDefault="00EA444A" w:rsidP="00EA444A">
            <w:pPr>
              <w:jc w:val="center"/>
              <w:rPr>
                <w:sz w:val="22"/>
                <w:szCs w:val="22"/>
              </w:rPr>
            </w:pPr>
            <w:r>
              <w:rPr>
                <w:spacing w:val="-5"/>
                <w:sz w:val="22"/>
              </w:rPr>
              <w:t>31</w:t>
            </w:r>
          </w:p>
        </w:tc>
        <w:tc>
          <w:tcPr>
            <w:tcW w:w="1418" w:type="dxa"/>
          </w:tcPr>
          <w:p w14:paraId="19BD1DCD" w14:textId="16E7C609" w:rsidR="00EA444A" w:rsidRPr="006D287B" w:rsidRDefault="00EA444A" w:rsidP="00EA444A">
            <w:pPr>
              <w:jc w:val="center"/>
              <w:rPr>
                <w:sz w:val="22"/>
                <w:szCs w:val="22"/>
              </w:rPr>
            </w:pPr>
            <w:r>
              <w:rPr>
                <w:sz w:val="22"/>
              </w:rPr>
              <w:t>0</w:t>
            </w:r>
          </w:p>
        </w:tc>
        <w:tc>
          <w:tcPr>
            <w:tcW w:w="1418" w:type="dxa"/>
          </w:tcPr>
          <w:p w14:paraId="072CFC5F" w14:textId="54A4F799" w:rsidR="00EA444A" w:rsidRPr="006D287B" w:rsidRDefault="00EA444A" w:rsidP="00EA444A">
            <w:pPr>
              <w:jc w:val="center"/>
              <w:rPr>
                <w:sz w:val="22"/>
                <w:szCs w:val="22"/>
              </w:rPr>
            </w:pPr>
            <w:r>
              <w:rPr>
                <w:spacing w:val="-5"/>
                <w:sz w:val="22"/>
              </w:rPr>
              <w:t>3.6</w:t>
            </w:r>
          </w:p>
        </w:tc>
        <w:tc>
          <w:tcPr>
            <w:tcW w:w="1418" w:type="dxa"/>
          </w:tcPr>
          <w:p w14:paraId="63DA7325" w14:textId="57BB887D" w:rsidR="00EA444A" w:rsidRPr="006D287B" w:rsidRDefault="00EA444A" w:rsidP="00EA444A">
            <w:pPr>
              <w:jc w:val="center"/>
              <w:rPr>
                <w:sz w:val="22"/>
                <w:szCs w:val="22"/>
              </w:rPr>
            </w:pPr>
            <w:r>
              <w:rPr>
                <w:sz w:val="22"/>
              </w:rPr>
              <w:t>0</w:t>
            </w:r>
          </w:p>
        </w:tc>
      </w:tr>
      <w:tr w:rsidR="00EA444A" w:rsidRPr="001B7C74" w14:paraId="172B49CD" w14:textId="77777777" w:rsidTr="006D287B">
        <w:tc>
          <w:tcPr>
            <w:tcW w:w="3344" w:type="dxa"/>
          </w:tcPr>
          <w:p w14:paraId="240BDC75" w14:textId="3279096A" w:rsidR="00EA444A" w:rsidRPr="006D287B" w:rsidRDefault="00EA444A" w:rsidP="00EA444A">
            <w:pPr>
              <w:rPr>
                <w:sz w:val="22"/>
                <w:szCs w:val="22"/>
              </w:rPr>
            </w:pPr>
            <w:r w:rsidRPr="006D287B">
              <w:t>Skin hypopigmentation</w:t>
            </w:r>
          </w:p>
        </w:tc>
        <w:tc>
          <w:tcPr>
            <w:tcW w:w="1418" w:type="dxa"/>
          </w:tcPr>
          <w:p w14:paraId="76153264" w14:textId="5070106E" w:rsidR="00EA444A" w:rsidRPr="006D287B" w:rsidRDefault="00EA444A" w:rsidP="00EA444A">
            <w:pPr>
              <w:jc w:val="center"/>
              <w:rPr>
                <w:sz w:val="22"/>
                <w:szCs w:val="22"/>
              </w:rPr>
            </w:pPr>
            <w:r>
              <w:rPr>
                <w:spacing w:val="-5"/>
                <w:sz w:val="22"/>
              </w:rPr>
              <w:t>28</w:t>
            </w:r>
          </w:p>
        </w:tc>
        <w:tc>
          <w:tcPr>
            <w:tcW w:w="1418" w:type="dxa"/>
          </w:tcPr>
          <w:p w14:paraId="263B27E2" w14:textId="763330D0" w:rsidR="00EA444A" w:rsidRPr="006D287B" w:rsidRDefault="00EA444A" w:rsidP="00EA444A">
            <w:pPr>
              <w:jc w:val="center"/>
              <w:rPr>
                <w:sz w:val="22"/>
                <w:szCs w:val="22"/>
              </w:rPr>
            </w:pPr>
            <w:r>
              <w:rPr>
                <w:spacing w:val="-5"/>
                <w:sz w:val="22"/>
              </w:rPr>
              <w:t>NA</w:t>
            </w:r>
          </w:p>
        </w:tc>
        <w:tc>
          <w:tcPr>
            <w:tcW w:w="1418" w:type="dxa"/>
          </w:tcPr>
          <w:p w14:paraId="4675BED3" w14:textId="24E48823" w:rsidR="00EA444A" w:rsidRPr="006D287B" w:rsidRDefault="00EA444A" w:rsidP="00EA444A">
            <w:pPr>
              <w:jc w:val="center"/>
              <w:rPr>
                <w:sz w:val="22"/>
                <w:szCs w:val="22"/>
              </w:rPr>
            </w:pPr>
            <w:r>
              <w:rPr>
                <w:sz w:val="22"/>
              </w:rPr>
              <w:t>5</w:t>
            </w:r>
          </w:p>
        </w:tc>
        <w:tc>
          <w:tcPr>
            <w:tcW w:w="1418" w:type="dxa"/>
          </w:tcPr>
          <w:p w14:paraId="2E26878F" w14:textId="6E4761D5" w:rsidR="00EA444A" w:rsidRPr="006D287B" w:rsidRDefault="00EA444A" w:rsidP="00EA444A">
            <w:pPr>
              <w:jc w:val="center"/>
              <w:rPr>
                <w:sz w:val="22"/>
                <w:szCs w:val="22"/>
              </w:rPr>
            </w:pPr>
            <w:r>
              <w:rPr>
                <w:spacing w:val="-5"/>
                <w:sz w:val="22"/>
              </w:rPr>
              <w:t>NA</w:t>
            </w:r>
          </w:p>
        </w:tc>
      </w:tr>
      <w:tr w:rsidR="00EA444A" w:rsidRPr="001B7C74" w14:paraId="3C90314E" w14:textId="77777777" w:rsidTr="006D287B">
        <w:tc>
          <w:tcPr>
            <w:tcW w:w="3344" w:type="dxa"/>
          </w:tcPr>
          <w:p w14:paraId="329F792A" w14:textId="7E5A0340" w:rsidR="00EA444A" w:rsidRPr="006D287B" w:rsidRDefault="00EA444A" w:rsidP="00EA444A">
            <w:pPr>
              <w:rPr>
                <w:sz w:val="22"/>
                <w:szCs w:val="22"/>
              </w:rPr>
            </w:pPr>
            <w:r w:rsidRPr="006D287B">
              <w:t>Erythema</w:t>
            </w:r>
          </w:p>
        </w:tc>
        <w:tc>
          <w:tcPr>
            <w:tcW w:w="1418" w:type="dxa"/>
          </w:tcPr>
          <w:p w14:paraId="2AF80771" w14:textId="43810E48" w:rsidR="00EA444A" w:rsidRPr="006D287B" w:rsidRDefault="00EA444A" w:rsidP="00EA444A">
            <w:pPr>
              <w:jc w:val="center"/>
              <w:rPr>
                <w:sz w:val="22"/>
                <w:szCs w:val="22"/>
              </w:rPr>
            </w:pPr>
            <w:r>
              <w:rPr>
                <w:spacing w:val="-5"/>
                <w:sz w:val="22"/>
              </w:rPr>
              <w:t>24</w:t>
            </w:r>
          </w:p>
        </w:tc>
        <w:tc>
          <w:tcPr>
            <w:tcW w:w="1418" w:type="dxa"/>
          </w:tcPr>
          <w:p w14:paraId="084242F6" w14:textId="490DBB32" w:rsidR="00EA444A" w:rsidRPr="006D287B" w:rsidRDefault="00EA444A" w:rsidP="00EA444A">
            <w:pPr>
              <w:jc w:val="center"/>
              <w:rPr>
                <w:sz w:val="22"/>
                <w:szCs w:val="22"/>
              </w:rPr>
            </w:pPr>
            <w:r>
              <w:rPr>
                <w:sz w:val="22"/>
              </w:rPr>
              <w:t>0</w:t>
            </w:r>
          </w:p>
        </w:tc>
        <w:tc>
          <w:tcPr>
            <w:tcW w:w="1418" w:type="dxa"/>
          </w:tcPr>
          <w:p w14:paraId="710F80BA" w14:textId="2ED33B3E" w:rsidR="00EA444A" w:rsidRPr="006D287B" w:rsidRDefault="00EA444A" w:rsidP="00EA444A">
            <w:pPr>
              <w:jc w:val="center"/>
              <w:rPr>
                <w:sz w:val="22"/>
                <w:szCs w:val="22"/>
              </w:rPr>
            </w:pPr>
            <w:r>
              <w:rPr>
                <w:spacing w:val="-5"/>
                <w:sz w:val="22"/>
              </w:rPr>
              <w:t>0.9</w:t>
            </w:r>
          </w:p>
        </w:tc>
        <w:tc>
          <w:tcPr>
            <w:tcW w:w="1418" w:type="dxa"/>
          </w:tcPr>
          <w:p w14:paraId="7ACA4399" w14:textId="78947756" w:rsidR="00EA444A" w:rsidRPr="006D287B" w:rsidRDefault="00EA444A" w:rsidP="00EA444A">
            <w:pPr>
              <w:jc w:val="center"/>
              <w:rPr>
                <w:sz w:val="22"/>
                <w:szCs w:val="22"/>
              </w:rPr>
            </w:pPr>
            <w:r>
              <w:rPr>
                <w:sz w:val="22"/>
              </w:rPr>
              <w:t>0</w:t>
            </w:r>
          </w:p>
        </w:tc>
      </w:tr>
      <w:tr w:rsidR="00EA444A" w:rsidRPr="001B7C74" w14:paraId="7E2E0D44" w14:textId="77777777" w:rsidTr="006D287B">
        <w:tc>
          <w:tcPr>
            <w:tcW w:w="3344" w:type="dxa"/>
          </w:tcPr>
          <w:p w14:paraId="75B9AD07" w14:textId="1A82301F" w:rsidR="00EA444A" w:rsidRPr="006D287B" w:rsidRDefault="00EA444A" w:rsidP="00EA444A">
            <w:pPr>
              <w:rPr>
                <w:sz w:val="22"/>
                <w:szCs w:val="22"/>
              </w:rPr>
            </w:pPr>
            <w:r w:rsidRPr="006D287B">
              <w:t xml:space="preserve">Hair </w:t>
            </w:r>
            <w:proofErr w:type="spellStart"/>
            <w:r w:rsidRPr="006D287B">
              <w:t>colour</w:t>
            </w:r>
            <w:proofErr w:type="spellEnd"/>
            <w:r w:rsidRPr="006D287B">
              <w:t xml:space="preserve"> changes</w:t>
            </w:r>
          </w:p>
        </w:tc>
        <w:tc>
          <w:tcPr>
            <w:tcW w:w="1418" w:type="dxa"/>
          </w:tcPr>
          <w:p w14:paraId="6F2FE84A" w14:textId="72B318D2" w:rsidR="00EA444A" w:rsidRPr="006D287B" w:rsidRDefault="00EA444A" w:rsidP="00EA444A">
            <w:pPr>
              <w:jc w:val="center"/>
              <w:rPr>
                <w:sz w:val="22"/>
                <w:szCs w:val="22"/>
              </w:rPr>
            </w:pPr>
            <w:r>
              <w:rPr>
                <w:spacing w:val="-5"/>
                <w:sz w:val="22"/>
              </w:rPr>
              <w:t>20</w:t>
            </w:r>
          </w:p>
        </w:tc>
        <w:tc>
          <w:tcPr>
            <w:tcW w:w="1418" w:type="dxa"/>
          </w:tcPr>
          <w:p w14:paraId="1BEF5DBD" w14:textId="5BCC36C9" w:rsidR="00EA444A" w:rsidRPr="006D287B" w:rsidRDefault="00EA444A" w:rsidP="00EA444A">
            <w:pPr>
              <w:jc w:val="center"/>
              <w:rPr>
                <w:sz w:val="22"/>
                <w:szCs w:val="22"/>
              </w:rPr>
            </w:pPr>
            <w:r>
              <w:rPr>
                <w:spacing w:val="-5"/>
                <w:sz w:val="22"/>
              </w:rPr>
              <w:t>NA</w:t>
            </w:r>
          </w:p>
        </w:tc>
        <w:tc>
          <w:tcPr>
            <w:tcW w:w="1418" w:type="dxa"/>
          </w:tcPr>
          <w:p w14:paraId="48EBE311" w14:textId="445E98A8" w:rsidR="00EA444A" w:rsidRPr="006D287B" w:rsidRDefault="00EA444A" w:rsidP="00EA444A">
            <w:pPr>
              <w:jc w:val="center"/>
              <w:rPr>
                <w:sz w:val="22"/>
                <w:szCs w:val="22"/>
              </w:rPr>
            </w:pPr>
            <w:r>
              <w:rPr>
                <w:sz w:val="22"/>
              </w:rPr>
              <w:t>0</w:t>
            </w:r>
          </w:p>
        </w:tc>
        <w:tc>
          <w:tcPr>
            <w:tcW w:w="1418" w:type="dxa"/>
          </w:tcPr>
          <w:p w14:paraId="1C72E0FD" w14:textId="7C13447D" w:rsidR="00EA444A" w:rsidRPr="006D287B" w:rsidRDefault="00EA444A" w:rsidP="00EA444A">
            <w:pPr>
              <w:jc w:val="center"/>
              <w:rPr>
                <w:sz w:val="22"/>
                <w:szCs w:val="22"/>
              </w:rPr>
            </w:pPr>
            <w:r>
              <w:rPr>
                <w:spacing w:val="-5"/>
                <w:sz w:val="22"/>
              </w:rPr>
              <w:t>NA</w:t>
            </w:r>
          </w:p>
        </w:tc>
      </w:tr>
      <w:tr w:rsidR="001B7C74" w:rsidRPr="006B76AE" w14:paraId="1474FD39" w14:textId="77777777" w:rsidTr="00EA444A">
        <w:tc>
          <w:tcPr>
            <w:tcW w:w="9016" w:type="dxa"/>
            <w:gridSpan w:val="5"/>
          </w:tcPr>
          <w:p w14:paraId="3049A613" w14:textId="0D1D5A66" w:rsidR="001B7C74" w:rsidRPr="001B7C74" w:rsidRDefault="001B7C74" w:rsidP="00EA444A">
            <w:pPr>
              <w:rPr>
                <w:b/>
                <w:bCs/>
                <w:sz w:val="22"/>
                <w:szCs w:val="22"/>
              </w:rPr>
            </w:pPr>
            <w:r w:rsidRPr="001B7C74">
              <w:rPr>
                <w:b/>
                <w:bCs/>
                <w:sz w:val="22"/>
                <w:szCs w:val="22"/>
              </w:rPr>
              <w:t>General disorders and administration site conditions</w:t>
            </w:r>
          </w:p>
        </w:tc>
      </w:tr>
      <w:tr w:rsidR="00EA444A" w:rsidRPr="001B7C74" w14:paraId="6BB9EDBE" w14:textId="77777777" w:rsidTr="006D287B">
        <w:tc>
          <w:tcPr>
            <w:tcW w:w="3344" w:type="dxa"/>
          </w:tcPr>
          <w:p w14:paraId="7DA2588B" w14:textId="5108A1F6" w:rsidR="00EA444A" w:rsidRPr="006D287B" w:rsidRDefault="00EA444A" w:rsidP="00EA444A">
            <w:pPr>
              <w:rPr>
                <w:sz w:val="22"/>
                <w:szCs w:val="22"/>
              </w:rPr>
            </w:pPr>
            <w:r w:rsidRPr="006D287B">
              <w:t>Pyrexia</w:t>
            </w:r>
          </w:p>
        </w:tc>
        <w:tc>
          <w:tcPr>
            <w:tcW w:w="1418" w:type="dxa"/>
          </w:tcPr>
          <w:p w14:paraId="582BB851" w14:textId="67F57256" w:rsidR="00EA444A" w:rsidRPr="006D287B" w:rsidRDefault="00EA444A" w:rsidP="00EA444A">
            <w:pPr>
              <w:jc w:val="center"/>
              <w:rPr>
                <w:sz w:val="22"/>
                <w:szCs w:val="22"/>
              </w:rPr>
            </w:pPr>
            <w:r>
              <w:rPr>
                <w:spacing w:val="-5"/>
                <w:sz w:val="22"/>
              </w:rPr>
              <w:t>76</w:t>
            </w:r>
          </w:p>
        </w:tc>
        <w:tc>
          <w:tcPr>
            <w:tcW w:w="1418" w:type="dxa"/>
          </w:tcPr>
          <w:p w14:paraId="204AE3F4" w14:textId="4E302B47" w:rsidR="00EA444A" w:rsidRPr="006D287B" w:rsidRDefault="00EA444A" w:rsidP="00EA444A">
            <w:pPr>
              <w:jc w:val="center"/>
              <w:rPr>
                <w:sz w:val="22"/>
                <w:szCs w:val="22"/>
              </w:rPr>
            </w:pPr>
            <w:r>
              <w:rPr>
                <w:spacing w:val="-5"/>
                <w:sz w:val="22"/>
              </w:rPr>
              <w:t>3.7</w:t>
            </w:r>
          </w:p>
        </w:tc>
        <w:tc>
          <w:tcPr>
            <w:tcW w:w="1418" w:type="dxa"/>
          </w:tcPr>
          <w:p w14:paraId="7417CA06" w14:textId="28F91B0F" w:rsidR="00EA444A" w:rsidRPr="006D287B" w:rsidRDefault="00EA444A" w:rsidP="00EA444A">
            <w:pPr>
              <w:jc w:val="center"/>
              <w:rPr>
                <w:sz w:val="22"/>
                <w:szCs w:val="22"/>
              </w:rPr>
            </w:pPr>
            <w:r>
              <w:rPr>
                <w:sz w:val="22"/>
              </w:rPr>
              <w:t>7</w:t>
            </w:r>
          </w:p>
        </w:tc>
        <w:tc>
          <w:tcPr>
            <w:tcW w:w="1418" w:type="dxa"/>
          </w:tcPr>
          <w:p w14:paraId="4FAE45D5" w14:textId="778FE73C" w:rsidR="00EA444A" w:rsidRPr="006D287B" w:rsidRDefault="00EA444A" w:rsidP="00EA444A">
            <w:pPr>
              <w:jc w:val="center"/>
              <w:rPr>
                <w:sz w:val="22"/>
                <w:szCs w:val="22"/>
              </w:rPr>
            </w:pPr>
            <w:r>
              <w:rPr>
                <w:spacing w:val="-5"/>
                <w:sz w:val="22"/>
              </w:rPr>
              <w:t>0.9</w:t>
            </w:r>
          </w:p>
        </w:tc>
      </w:tr>
      <w:tr w:rsidR="00EA444A" w:rsidRPr="001B7C74" w14:paraId="6F231A7D" w14:textId="77777777" w:rsidTr="006D287B">
        <w:tc>
          <w:tcPr>
            <w:tcW w:w="3344" w:type="dxa"/>
          </w:tcPr>
          <w:p w14:paraId="1F732CEF" w14:textId="1D1EA09A" w:rsidR="00EA444A" w:rsidRPr="006D287B" w:rsidRDefault="00EA444A" w:rsidP="00EA444A">
            <w:pPr>
              <w:rPr>
                <w:sz w:val="22"/>
                <w:szCs w:val="22"/>
              </w:rPr>
            </w:pPr>
            <w:r w:rsidRPr="006D287B">
              <w:t>Fatigue</w:t>
            </w:r>
          </w:p>
        </w:tc>
        <w:tc>
          <w:tcPr>
            <w:tcW w:w="1418" w:type="dxa"/>
          </w:tcPr>
          <w:p w14:paraId="208FA05F" w14:textId="66A6F25D" w:rsidR="00EA444A" w:rsidRPr="006D287B" w:rsidRDefault="00EA444A" w:rsidP="00EA444A">
            <w:pPr>
              <w:jc w:val="center"/>
              <w:rPr>
                <w:sz w:val="22"/>
                <w:szCs w:val="22"/>
              </w:rPr>
            </w:pPr>
            <w:r>
              <w:rPr>
                <w:spacing w:val="-5"/>
                <w:sz w:val="22"/>
              </w:rPr>
              <w:t>64</w:t>
            </w:r>
          </w:p>
        </w:tc>
        <w:tc>
          <w:tcPr>
            <w:tcW w:w="1418" w:type="dxa"/>
          </w:tcPr>
          <w:p w14:paraId="4108244B" w14:textId="2DACC682" w:rsidR="00EA444A" w:rsidRPr="006D287B" w:rsidRDefault="00EA444A" w:rsidP="00EA444A">
            <w:pPr>
              <w:jc w:val="center"/>
              <w:rPr>
                <w:sz w:val="22"/>
                <w:szCs w:val="22"/>
              </w:rPr>
            </w:pPr>
            <w:r>
              <w:rPr>
                <w:sz w:val="22"/>
              </w:rPr>
              <w:t>6</w:t>
            </w:r>
          </w:p>
        </w:tc>
        <w:tc>
          <w:tcPr>
            <w:tcW w:w="1418" w:type="dxa"/>
          </w:tcPr>
          <w:p w14:paraId="70652B88" w14:textId="58483235" w:rsidR="00EA444A" w:rsidRPr="006D287B" w:rsidRDefault="00EA444A" w:rsidP="00EA444A">
            <w:pPr>
              <w:jc w:val="center"/>
              <w:rPr>
                <w:sz w:val="22"/>
                <w:szCs w:val="22"/>
              </w:rPr>
            </w:pPr>
            <w:r>
              <w:rPr>
                <w:spacing w:val="-5"/>
                <w:sz w:val="22"/>
              </w:rPr>
              <w:t>42</w:t>
            </w:r>
          </w:p>
        </w:tc>
        <w:tc>
          <w:tcPr>
            <w:tcW w:w="1418" w:type="dxa"/>
          </w:tcPr>
          <w:p w14:paraId="7443FBE3" w14:textId="64BAF1F2" w:rsidR="00EA444A" w:rsidRPr="006D287B" w:rsidRDefault="00EA444A" w:rsidP="00EA444A">
            <w:pPr>
              <w:jc w:val="center"/>
              <w:rPr>
                <w:sz w:val="22"/>
                <w:szCs w:val="22"/>
              </w:rPr>
            </w:pPr>
            <w:r>
              <w:rPr>
                <w:spacing w:val="-5"/>
                <w:sz w:val="22"/>
              </w:rPr>
              <w:t>0.9</w:t>
            </w:r>
          </w:p>
        </w:tc>
      </w:tr>
      <w:tr w:rsidR="00EA444A" w:rsidRPr="001B7C74" w14:paraId="4625A264" w14:textId="77777777" w:rsidTr="006D287B">
        <w:tc>
          <w:tcPr>
            <w:tcW w:w="3344" w:type="dxa"/>
          </w:tcPr>
          <w:p w14:paraId="7F7D4849" w14:textId="7CD70BF8" w:rsidR="00EA444A" w:rsidRPr="006D287B" w:rsidRDefault="00EA444A" w:rsidP="00EA444A">
            <w:pPr>
              <w:rPr>
                <w:sz w:val="22"/>
                <w:szCs w:val="22"/>
              </w:rPr>
            </w:pPr>
            <w:r w:rsidRPr="006D287B">
              <w:t>Chills</w:t>
            </w:r>
          </w:p>
        </w:tc>
        <w:tc>
          <w:tcPr>
            <w:tcW w:w="1418" w:type="dxa"/>
          </w:tcPr>
          <w:p w14:paraId="044B162E" w14:textId="72E0B0D2" w:rsidR="00EA444A" w:rsidRPr="006D287B" w:rsidRDefault="00EA444A" w:rsidP="00EA444A">
            <w:pPr>
              <w:jc w:val="center"/>
              <w:rPr>
                <w:sz w:val="22"/>
                <w:szCs w:val="22"/>
              </w:rPr>
            </w:pPr>
            <w:r>
              <w:rPr>
                <w:spacing w:val="-5"/>
                <w:sz w:val="22"/>
              </w:rPr>
              <w:t>48</w:t>
            </w:r>
          </w:p>
        </w:tc>
        <w:tc>
          <w:tcPr>
            <w:tcW w:w="1418" w:type="dxa"/>
            <w:vAlign w:val="center"/>
          </w:tcPr>
          <w:p w14:paraId="4F9E875A" w14:textId="30EC5550" w:rsidR="00EA444A" w:rsidRPr="006D287B" w:rsidRDefault="00EA444A" w:rsidP="00EA444A">
            <w:pPr>
              <w:jc w:val="center"/>
              <w:rPr>
                <w:sz w:val="22"/>
                <w:szCs w:val="22"/>
              </w:rPr>
            </w:pPr>
            <w:r>
              <w:rPr>
                <w:spacing w:val="-5"/>
                <w:sz w:val="22"/>
              </w:rPr>
              <w:t>0.4</w:t>
            </w:r>
          </w:p>
        </w:tc>
        <w:tc>
          <w:tcPr>
            <w:tcW w:w="1418" w:type="dxa"/>
          </w:tcPr>
          <w:p w14:paraId="0FBB5AB8" w14:textId="75919CA0" w:rsidR="00EA444A" w:rsidRPr="006D287B" w:rsidRDefault="00EA444A" w:rsidP="00EA444A">
            <w:pPr>
              <w:jc w:val="center"/>
              <w:rPr>
                <w:sz w:val="22"/>
                <w:szCs w:val="22"/>
              </w:rPr>
            </w:pPr>
            <w:r>
              <w:rPr>
                <w:spacing w:val="-5"/>
                <w:sz w:val="22"/>
              </w:rPr>
              <w:t>3.6</w:t>
            </w:r>
          </w:p>
        </w:tc>
        <w:tc>
          <w:tcPr>
            <w:tcW w:w="1418" w:type="dxa"/>
          </w:tcPr>
          <w:p w14:paraId="21940236" w14:textId="6E3299A9" w:rsidR="00EA444A" w:rsidRPr="006D287B" w:rsidRDefault="00EA444A" w:rsidP="00EA444A">
            <w:pPr>
              <w:jc w:val="center"/>
              <w:rPr>
                <w:sz w:val="22"/>
                <w:szCs w:val="22"/>
              </w:rPr>
            </w:pPr>
            <w:r>
              <w:rPr>
                <w:sz w:val="22"/>
              </w:rPr>
              <w:t>0</w:t>
            </w:r>
          </w:p>
        </w:tc>
      </w:tr>
      <w:tr w:rsidR="00EA444A" w:rsidRPr="001B7C74" w14:paraId="79AE9663" w14:textId="77777777" w:rsidTr="006D287B">
        <w:tc>
          <w:tcPr>
            <w:tcW w:w="3344" w:type="dxa"/>
          </w:tcPr>
          <w:p w14:paraId="5C092442" w14:textId="36DEDE51" w:rsidR="00EA444A" w:rsidRPr="006D287B" w:rsidRDefault="00EA444A" w:rsidP="00EA444A">
            <w:pPr>
              <w:rPr>
                <w:sz w:val="22"/>
                <w:szCs w:val="22"/>
              </w:rPr>
            </w:pPr>
            <w:r w:rsidRPr="006D287B">
              <w:t>Oedema</w:t>
            </w:r>
          </w:p>
        </w:tc>
        <w:tc>
          <w:tcPr>
            <w:tcW w:w="1418" w:type="dxa"/>
          </w:tcPr>
          <w:p w14:paraId="65C0EEA9" w14:textId="263DEC32" w:rsidR="00EA444A" w:rsidRPr="006D287B" w:rsidRDefault="00EA444A" w:rsidP="00EA444A">
            <w:pPr>
              <w:jc w:val="center"/>
              <w:rPr>
                <w:sz w:val="22"/>
                <w:szCs w:val="22"/>
              </w:rPr>
            </w:pPr>
            <w:r>
              <w:rPr>
                <w:spacing w:val="-5"/>
                <w:sz w:val="22"/>
              </w:rPr>
              <w:t>45</w:t>
            </w:r>
          </w:p>
        </w:tc>
        <w:tc>
          <w:tcPr>
            <w:tcW w:w="1418" w:type="dxa"/>
          </w:tcPr>
          <w:p w14:paraId="3590BECF" w14:textId="309B011F" w:rsidR="00EA444A" w:rsidRPr="006D287B" w:rsidRDefault="00EA444A" w:rsidP="00EA444A">
            <w:pPr>
              <w:jc w:val="center"/>
              <w:rPr>
                <w:sz w:val="22"/>
                <w:szCs w:val="22"/>
              </w:rPr>
            </w:pPr>
            <w:r>
              <w:rPr>
                <w:sz w:val="22"/>
              </w:rPr>
              <w:t>0</w:t>
            </w:r>
          </w:p>
        </w:tc>
        <w:tc>
          <w:tcPr>
            <w:tcW w:w="1418" w:type="dxa"/>
          </w:tcPr>
          <w:p w14:paraId="0CF4D6E1" w14:textId="4586DCA0" w:rsidR="00EA444A" w:rsidRPr="006D287B" w:rsidRDefault="00EA444A" w:rsidP="00EA444A">
            <w:pPr>
              <w:jc w:val="center"/>
              <w:rPr>
                <w:sz w:val="22"/>
                <w:szCs w:val="22"/>
              </w:rPr>
            </w:pPr>
            <w:r>
              <w:rPr>
                <w:spacing w:val="-5"/>
                <w:sz w:val="22"/>
              </w:rPr>
              <w:t>10</w:t>
            </w:r>
          </w:p>
        </w:tc>
        <w:tc>
          <w:tcPr>
            <w:tcW w:w="1418" w:type="dxa"/>
          </w:tcPr>
          <w:p w14:paraId="27E43AC0" w14:textId="61CAC236" w:rsidR="00EA444A" w:rsidRPr="006D287B" w:rsidRDefault="00EA444A" w:rsidP="00EA444A">
            <w:pPr>
              <w:jc w:val="center"/>
              <w:rPr>
                <w:sz w:val="22"/>
                <w:szCs w:val="22"/>
              </w:rPr>
            </w:pPr>
            <w:r>
              <w:rPr>
                <w:sz w:val="22"/>
              </w:rPr>
              <w:t>0</w:t>
            </w:r>
          </w:p>
        </w:tc>
      </w:tr>
      <w:tr w:rsidR="001B7C74" w:rsidRPr="006B76AE" w14:paraId="77A8F4B6" w14:textId="77777777" w:rsidTr="00EA444A">
        <w:tc>
          <w:tcPr>
            <w:tcW w:w="9016" w:type="dxa"/>
            <w:gridSpan w:val="5"/>
          </w:tcPr>
          <w:p w14:paraId="5207287C" w14:textId="538061AF" w:rsidR="001B7C74" w:rsidRPr="001B7C74" w:rsidRDefault="001B7C74" w:rsidP="00EA444A">
            <w:pPr>
              <w:rPr>
                <w:b/>
                <w:bCs/>
                <w:sz w:val="22"/>
                <w:szCs w:val="22"/>
              </w:rPr>
            </w:pPr>
            <w:r w:rsidRPr="001B7C74">
              <w:rPr>
                <w:b/>
                <w:bCs/>
                <w:sz w:val="22"/>
                <w:szCs w:val="22"/>
              </w:rPr>
              <w:t>Gastrointestinal disorders</w:t>
            </w:r>
          </w:p>
        </w:tc>
      </w:tr>
      <w:tr w:rsidR="00EA444A" w:rsidRPr="001B7C74" w14:paraId="63E70E33" w14:textId="77777777" w:rsidTr="006D287B">
        <w:tc>
          <w:tcPr>
            <w:tcW w:w="3344" w:type="dxa"/>
          </w:tcPr>
          <w:p w14:paraId="7FE46C61" w14:textId="74BF23DE" w:rsidR="00EA444A" w:rsidRPr="006D287B" w:rsidRDefault="00EA444A" w:rsidP="00EA444A">
            <w:pPr>
              <w:rPr>
                <w:sz w:val="22"/>
                <w:szCs w:val="22"/>
              </w:rPr>
            </w:pPr>
            <w:r w:rsidRPr="006D287B">
              <w:t>Nausea</w:t>
            </w:r>
          </w:p>
        </w:tc>
        <w:tc>
          <w:tcPr>
            <w:tcW w:w="1418" w:type="dxa"/>
          </w:tcPr>
          <w:p w14:paraId="791ED40C" w14:textId="4A3A4C60" w:rsidR="00EA444A" w:rsidRPr="006D287B" w:rsidRDefault="00EA444A" w:rsidP="00EA444A">
            <w:pPr>
              <w:jc w:val="center"/>
              <w:rPr>
                <w:sz w:val="22"/>
                <w:szCs w:val="22"/>
              </w:rPr>
            </w:pPr>
            <w:r>
              <w:rPr>
                <w:spacing w:val="-5"/>
                <w:sz w:val="22"/>
              </w:rPr>
              <w:t>49</w:t>
            </w:r>
          </w:p>
        </w:tc>
        <w:tc>
          <w:tcPr>
            <w:tcW w:w="1418" w:type="dxa"/>
          </w:tcPr>
          <w:p w14:paraId="2EB9D8A8" w14:textId="3990ED9F" w:rsidR="00EA444A" w:rsidRPr="006D287B" w:rsidRDefault="00EA444A" w:rsidP="00EA444A">
            <w:pPr>
              <w:jc w:val="center"/>
              <w:rPr>
                <w:sz w:val="22"/>
                <w:szCs w:val="22"/>
              </w:rPr>
            </w:pPr>
            <w:r>
              <w:rPr>
                <w:sz w:val="22"/>
              </w:rPr>
              <w:t>2</w:t>
            </w:r>
          </w:p>
        </w:tc>
        <w:tc>
          <w:tcPr>
            <w:tcW w:w="1418" w:type="dxa"/>
          </w:tcPr>
          <w:p w14:paraId="2AB96818" w14:textId="07F8B213" w:rsidR="00EA444A" w:rsidRPr="006D287B" w:rsidRDefault="00EA444A" w:rsidP="00EA444A">
            <w:pPr>
              <w:jc w:val="center"/>
              <w:rPr>
                <w:sz w:val="22"/>
                <w:szCs w:val="22"/>
              </w:rPr>
            </w:pPr>
            <w:r>
              <w:rPr>
                <w:spacing w:val="-5"/>
                <w:sz w:val="22"/>
              </w:rPr>
              <w:t>26</w:t>
            </w:r>
          </w:p>
        </w:tc>
        <w:tc>
          <w:tcPr>
            <w:tcW w:w="1418" w:type="dxa"/>
          </w:tcPr>
          <w:p w14:paraId="25DB2A00" w14:textId="6AD4370D" w:rsidR="00EA444A" w:rsidRPr="006D287B" w:rsidRDefault="00EA444A" w:rsidP="00EA444A">
            <w:pPr>
              <w:jc w:val="center"/>
              <w:rPr>
                <w:sz w:val="22"/>
                <w:szCs w:val="22"/>
              </w:rPr>
            </w:pPr>
            <w:r>
              <w:rPr>
                <w:spacing w:val="-5"/>
                <w:sz w:val="22"/>
              </w:rPr>
              <w:t>0.9</w:t>
            </w:r>
          </w:p>
        </w:tc>
      </w:tr>
      <w:tr w:rsidR="00EA444A" w:rsidRPr="001B7C74" w14:paraId="5E601D81" w14:textId="77777777" w:rsidTr="006D287B">
        <w:tc>
          <w:tcPr>
            <w:tcW w:w="3344" w:type="dxa"/>
          </w:tcPr>
          <w:p w14:paraId="0F082AAC" w14:textId="23458EE6" w:rsidR="00EA444A" w:rsidRPr="006D287B" w:rsidRDefault="00EA444A" w:rsidP="00EA444A">
            <w:pPr>
              <w:rPr>
                <w:sz w:val="22"/>
                <w:szCs w:val="22"/>
              </w:rPr>
            </w:pPr>
            <w:r w:rsidRPr="006D287B">
              <w:t>Abdominal pain</w:t>
            </w:r>
          </w:p>
        </w:tc>
        <w:tc>
          <w:tcPr>
            <w:tcW w:w="1418" w:type="dxa"/>
          </w:tcPr>
          <w:p w14:paraId="4759B165" w14:textId="6A50D7BE" w:rsidR="00EA444A" w:rsidRPr="006D287B" w:rsidRDefault="00EA444A" w:rsidP="00EA444A">
            <w:pPr>
              <w:jc w:val="center"/>
              <w:rPr>
                <w:sz w:val="22"/>
                <w:szCs w:val="22"/>
              </w:rPr>
            </w:pPr>
            <w:r>
              <w:rPr>
                <w:spacing w:val="-5"/>
                <w:sz w:val="22"/>
              </w:rPr>
              <w:t>45</w:t>
            </w:r>
          </w:p>
        </w:tc>
        <w:tc>
          <w:tcPr>
            <w:tcW w:w="1418" w:type="dxa"/>
          </w:tcPr>
          <w:p w14:paraId="56F75046" w14:textId="3A719520" w:rsidR="00EA444A" w:rsidRPr="006D287B" w:rsidRDefault="00EA444A" w:rsidP="00EA444A">
            <w:pPr>
              <w:jc w:val="center"/>
              <w:rPr>
                <w:sz w:val="22"/>
                <w:szCs w:val="22"/>
              </w:rPr>
            </w:pPr>
            <w:r>
              <w:rPr>
                <w:spacing w:val="-5"/>
                <w:sz w:val="22"/>
              </w:rPr>
              <w:t>2.9</w:t>
            </w:r>
          </w:p>
        </w:tc>
        <w:tc>
          <w:tcPr>
            <w:tcW w:w="1418" w:type="dxa"/>
          </w:tcPr>
          <w:p w14:paraId="68CF6C70" w14:textId="3272C531" w:rsidR="00EA444A" w:rsidRPr="006D287B" w:rsidRDefault="00EA444A" w:rsidP="00EA444A">
            <w:pPr>
              <w:jc w:val="center"/>
              <w:rPr>
                <w:sz w:val="22"/>
                <w:szCs w:val="22"/>
              </w:rPr>
            </w:pPr>
            <w:r>
              <w:rPr>
                <w:spacing w:val="-5"/>
                <w:sz w:val="22"/>
              </w:rPr>
              <w:t>33</w:t>
            </w:r>
          </w:p>
        </w:tc>
        <w:tc>
          <w:tcPr>
            <w:tcW w:w="1418" w:type="dxa"/>
          </w:tcPr>
          <w:p w14:paraId="787FEAD0" w14:textId="7803B719" w:rsidR="00EA444A" w:rsidRPr="006D287B" w:rsidRDefault="00EA444A" w:rsidP="00EA444A">
            <w:pPr>
              <w:jc w:val="center"/>
              <w:rPr>
                <w:sz w:val="22"/>
                <w:szCs w:val="22"/>
              </w:rPr>
            </w:pPr>
            <w:r>
              <w:rPr>
                <w:spacing w:val="-5"/>
                <w:sz w:val="22"/>
              </w:rPr>
              <w:t>3.6</w:t>
            </w:r>
          </w:p>
        </w:tc>
      </w:tr>
      <w:tr w:rsidR="00EA444A" w:rsidRPr="001B7C74" w14:paraId="78554413" w14:textId="77777777" w:rsidTr="006D287B">
        <w:tc>
          <w:tcPr>
            <w:tcW w:w="3344" w:type="dxa"/>
          </w:tcPr>
          <w:p w14:paraId="68C30823" w14:textId="075EAAA9" w:rsidR="00EA444A" w:rsidRPr="006D287B" w:rsidRDefault="00EA444A" w:rsidP="00EA444A">
            <w:pPr>
              <w:rPr>
                <w:sz w:val="22"/>
                <w:szCs w:val="22"/>
              </w:rPr>
            </w:pPr>
            <w:r w:rsidRPr="006D287B">
              <w:t>Vomiting</w:t>
            </w:r>
          </w:p>
        </w:tc>
        <w:tc>
          <w:tcPr>
            <w:tcW w:w="1418" w:type="dxa"/>
          </w:tcPr>
          <w:p w14:paraId="1D1C269F" w14:textId="4194332B" w:rsidR="00EA444A" w:rsidRPr="006D287B" w:rsidRDefault="00EA444A" w:rsidP="00EA444A">
            <w:pPr>
              <w:jc w:val="center"/>
              <w:rPr>
                <w:sz w:val="22"/>
                <w:szCs w:val="22"/>
              </w:rPr>
            </w:pPr>
            <w:r>
              <w:rPr>
                <w:spacing w:val="-5"/>
                <w:sz w:val="22"/>
              </w:rPr>
              <w:t>30</w:t>
            </w:r>
          </w:p>
        </w:tc>
        <w:tc>
          <w:tcPr>
            <w:tcW w:w="1418" w:type="dxa"/>
          </w:tcPr>
          <w:p w14:paraId="5C02578F" w14:textId="6D7BC07A" w:rsidR="00EA444A" w:rsidRPr="006D287B" w:rsidRDefault="00EA444A" w:rsidP="00EA444A">
            <w:pPr>
              <w:jc w:val="center"/>
              <w:rPr>
                <w:sz w:val="22"/>
                <w:szCs w:val="22"/>
              </w:rPr>
            </w:pPr>
            <w:r>
              <w:rPr>
                <w:spacing w:val="-5"/>
                <w:sz w:val="22"/>
              </w:rPr>
              <w:t>1.2</w:t>
            </w:r>
          </w:p>
        </w:tc>
        <w:tc>
          <w:tcPr>
            <w:tcW w:w="1418" w:type="dxa"/>
          </w:tcPr>
          <w:p w14:paraId="60E5F2D2" w14:textId="3F93E994" w:rsidR="00EA444A" w:rsidRPr="006D287B" w:rsidRDefault="00EA444A" w:rsidP="00EA444A">
            <w:pPr>
              <w:jc w:val="center"/>
              <w:rPr>
                <w:sz w:val="22"/>
                <w:szCs w:val="22"/>
              </w:rPr>
            </w:pPr>
            <w:r>
              <w:rPr>
                <w:sz w:val="22"/>
              </w:rPr>
              <w:t>9</w:t>
            </w:r>
          </w:p>
        </w:tc>
        <w:tc>
          <w:tcPr>
            <w:tcW w:w="1418" w:type="dxa"/>
          </w:tcPr>
          <w:p w14:paraId="70A15560" w14:textId="2874A3EA" w:rsidR="00EA444A" w:rsidRPr="006D287B" w:rsidRDefault="00EA444A" w:rsidP="00EA444A">
            <w:pPr>
              <w:jc w:val="center"/>
              <w:rPr>
                <w:sz w:val="22"/>
                <w:szCs w:val="22"/>
              </w:rPr>
            </w:pPr>
            <w:r>
              <w:rPr>
                <w:sz w:val="22"/>
              </w:rPr>
              <w:t>0</w:t>
            </w:r>
          </w:p>
        </w:tc>
      </w:tr>
      <w:tr w:rsidR="00EA444A" w:rsidRPr="001B7C74" w14:paraId="037EF38A" w14:textId="77777777" w:rsidTr="006D287B">
        <w:tc>
          <w:tcPr>
            <w:tcW w:w="3344" w:type="dxa"/>
          </w:tcPr>
          <w:p w14:paraId="0CCFCA54" w14:textId="52ED728B" w:rsidR="00EA444A" w:rsidRPr="006D287B" w:rsidRDefault="00EA444A" w:rsidP="00EA444A">
            <w:pPr>
              <w:rPr>
                <w:sz w:val="22"/>
                <w:szCs w:val="22"/>
              </w:rPr>
            </w:pPr>
            <w:proofErr w:type="spellStart"/>
            <w:r w:rsidRPr="006D287B">
              <w:t>Diarrhoea</w:t>
            </w:r>
            <w:proofErr w:type="spellEnd"/>
          </w:p>
        </w:tc>
        <w:tc>
          <w:tcPr>
            <w:tcW w:w="1418" w:type="dxa"/>
          </w:tcPr>
          <w:p w14:paraId="1A91B296" w14:textId="1DC116FC" w:rsidR="00EA444A" w:rsidRPr="006D287B" w:rsidRDefault="00EA444A" w:rsidP="00EA444A">
            <w:pPr>
              <w:jc w:val="center"/>
              <w:rPr>
                <w:sz w:val="22"/>
                <w:szCs w:val="22"/>
              </w:rPr>
            </w:pPr>
            <w:r>
              <w:rPr>
                <w:spacing w:val="-5"/>
                <w:sz w:val="22"/>
              </w:rPr>
              <w:t>25</w:t>
            </w:r>
          </w:p>
        </w:tc>
        <w:tc>
          <w:tcPr>
            <w:tcW w:w="1418" w:type="dxa"/>
          </w:tcPr>
          <w:p w14:paraId="627CF590" w14:textId="139B8642" w:rsidR="00EA444A" w:rsidRPr="006D287B" w:rsidRDefault="00EA444A" w:rsidP="00EA444A">
            <w:pPr>
              <w:jc w:val="center"/>
              <w:rPr>
                <w:sz w:val="22"/>
                <w:szCs w:val="22"/>
              </w:rPr>
            </w:pPr>
            <w:r>
              <w:rPr>
                <w:spacing w:val="-5"/>
                <w:sz w:val="22"/>
              </w:rPr>
              <w:t>1.2</w:t>
            </w:r>
          </w:p>
        </w:tc>
        <w:tc>
          <w:tcPr>
            <w:tcW w:w="1418" w:type="dxa"/>
          </w:tcPr>
          <w:p w14:paraId="6EE583AE" w14:textId="507A5B1B" w:rsidR="00EA444A" w:rsidRPr="006D287B" w:rsidRDefault="00EA444A" w:rsidP="00EA444A">
            <w:pPr>
              <w:jc w:val="center"/>
              <w:rPr>
                <w:sz w:val="22"/>
                <w:szCs w:val="22"/>
              </w:rPr>
            </w:pPr>
            <w:r>
              <w:rPr>
                <w:spacing w:val="-5"/>
                <w:sz w:val="22"/>
              </w:rPr>
              <w:t>20</w:t>
            </w:r>
          </w:p>
        </w:tc>
        <w:tc>
          <w:tcPr>
            <w:tcW w:w="1418" w:type="dxa"/>
          </w:tcPr>
          <w:p w14:paraId="75F99967" w14:textId="0105FF71" w:rsidR="00EA444A" w:rsidRPr="006D287B" w:rsidRDefault="00EA444A" w:rsidP="00EA444A">
            <w:pPr>
              <w:jc w:val="center"/>
              <w:rPr>
                <w:sz w:val="22"/>
                <w:szCs w:val="22"/>
              </w:rPr>
            </w:pPr>
            <w:r>
              <w:rPr>
                <w:spacing w:val="-5"/>
                <w:sz w:val="22"/>
              </w:rPr>
              <w:t>2.7</w:t>
            </w:r>
          </w:p>
        </w:tc>
      </w:tr>
      <w:tr w:rsidR="001B7C74" w:rsidRPr="006B76AE" w14:paraId="434783DD" w14:textId="77777777" w:rsidTr="00EA444A">
        <w:tc>
          <w:tcPr>
            <w:tcW w:w="9016" w:type="dxa"/>
            <w:gridSpan w:val="5"/>
          </w:tcPr>
          <w:p w14:paraId="3D10A99B" w14:textId="4332C33C" w:rsidR="001B7C74" w:rsidRPr="001B7C74" w:rsidRDefault="001B7C74" w:rsidP="00EA444A">
            <w:pPr>
              <w:rPr>
                <w:b/>
                <w:bCs/>
                <w:sz w:val="22"/>
                <w:szCs w:val="22"/>
              </w:rPr>
            </w:pPr>
            <w:r w:rsidRPr="001B7C74">
              <w:rPr>
                <w:b/>
                <w:bCs/>
                <w:sz w:val="22"/>
                <w:szCs w:val="22"/>
              </w:rPr>
              <w:t>Vascular disorders</w:t>
            </w:r>
          </w:p>
        </w:tc>
      </w:tr>
      <w:tr w:rsidR="00EA444A" w:rsidRPr="001B7C74" w14:paraId="2B8BB710" w14:textId="77777777" w:rsidTr="006D287B">
        <w:tc>
          <w:tcPr>
            <w:tcW w:w="3344" w:type="dxa"/>
          </w:tcPr>
          <w:p w14:paraId="019126CC" w14:textId="5C73D55C" w:rsidR="00EA444A" w:rsidRPr="006D287B" w:rsidRDefault="00EA444A" w:rsidP="00EA444A">
            <w:pPr>
              <w:rPr>
                <w:sz w:val="22"/>
                <w:szCs w:val="22"/>
              </w:rPr>
            </w:pPr>
            <w:r w:rsidRPr="006D287B">
              <w:t>Hypotension</w:t>
            </w:r>
          </w:p>
        </w:tc>
        <w:tc>
          <w:tcPr>
            <w:tcW w:w="1418" w:type="dxa"/>
          </w:tcPr>
          <w:p w14:paraId="388A14F0" w14:textId="2A0FFE93" w:rsidR="00EA444A" w:rsidRPr="006D287B" w:rsidRDefault="00EA444A" w:rsidP="00EA444A">
            <w:pPr>
              <w:jc w:val="center"/>
              <w:rPr>
                <w:sz w:val="22"/>
                <w:szCs w:val="22"/>
              </w:rPr>
            </w:pPr>
            <w:r>
              <w:rPr>
                <w:spacing w:val="-5"/>
                <w:sz w:val="22"/>
              </w:rPr>
              <w:t>39</w:t>
            </w:r>
          </w:p>
        </w:tc>
        <w:tc>
          <w:tcPr>
            <w:tcW w:w="1418" w:type="dxa"/>
          </w:tcPr>
          <w:p w14:paraId="245207D6" w14:textId="42A622E5" w:rsidR="00EA444A" w:rsidRPr="006D287B" w:rsidRDefault="00EA444A" w:rsidP="00EA444A">
            <w:pPr>
              <w:jc w:val="center"/>
              <w:rPr>
                <w:sz w:val="22"/>
                <w:szCs w:val="22"/>
              </w:rPr>
            </w:pPr>
            <w:r>
              <w:rPr>
                <w:spacing w:val="-5"/>
                <w:sz w:val="22"/>
              </w:rPr>
              <w:t>3.3</w:t>
            </w:r>
          </w:p>
        </w:tc>
        <w:tc>
          <w:tcPr>
            <w:tcW w:w="1418" w:type="dxa"/>
          </w:tcPr>
          <w:p w14:paraId="7A035C81" w14:textId="7A958EB1" w:rsidR="00EA444A" w:rsidRPr="006D287B" w:rsidRDefault="00EA444A" w:rsidP="00EA444A">
            <w:pPr>
              <w:jc w:val="center"/>
              <w:rPr>
                <w:sz w:val="22"/>
                <w:szCs w:val="22"/>
              </w:rPr>
            </w:pPr>
            <w:r>
              <w:rPr>
                <w:spacing w:val="-5"/>
                <w:sz w:val="22"/>
              </w:rPr>
              <w:t>2.7</w:t>
            </w:r>
          </w:p>
        </w:tc>
        <w:tc>
          <w:tcPr>
            <w:tcW w:w="1418" w:type="dxa"/>
          </w:tcPr>
          <w:p w14:paraId="6E00B0CE" w14:textId="569024E5" w:rsidR="00EA444A" w:rsidRPr="006D287B" w:rsidRDefault="00EA444A" w:rsidP="00EA444A">
            <w:pPr>
              <w:jc w:val="center"/>
              <w:rPr>
                <w:sz w:val="22"/>
                <w:szCs w:val="22"/>
              </w:rPr>
            </w:pPr>
            <w:r>
              <w:rPr>
                <w:sz w:val="22"/>
              </w:rPr>
              <w:t>0</w:t>
            </w:r>
          </w:p>
        </w:tc>
      </w:tr>
      <w:tr w:rsidR="001B7C74" w:rsidRPr="006B76AE" w14:paraId="07374181" w14:textId="77777777" w:rsidTr="00EA444A">
        <w:tc>
          <w:tcPr>
            <w:tcW w:w="9016" w:type="dxa"/>
            <w:gridSpan w:val="5"/>
          </w:tcPr>
          <w:p w14:paraId="04FA08FB" w14:textId="765B27BB" w:rsidR="001B7C74" w:rsidRPr="001B7C74" w:rsidRDefault="001B7C74" w:rsidP="00EA444A">
            <w:pPr>
              <w:rPr>
                <w:b/>
                <w:bCs/>
                <w:sz w:val="22"/>
                <w:szCs w:val="22"/>
              </w:rPr>
            </w:pPr>
            <w:r w:rsidRPr="001B7C74">
              <w:rPr>
                <w:b/>
                <w:bCs/>
                <w:sz w:val="22"/>
                <w:szCs w:val="22"/>
              </w:rPr>
              <w:t>Nervous system disorders</w:t>
            </w:r>
          </w:p>
        </w:tc>
      </w:tr>
      <w:tr w:rsidR="00EA444A" w:rsidRPr="001B7C74" w14:paraId="71A14519" w14:textId="77777777" w:rsidTr="006D287B">
        <w:tc>
          <w:tcPr>
            <w:tcW w:w="3344" w:type="dxa"/>
          </w:tcPr>
          <w:p w14:paraId="00755D89" w14:textId="0D48B291" w:rsidR="00EA444A" w:rsidRPr="006D287B" w:rsidRDefault="00EA444A" w:rsidP="00EA444A">
            <w:pPr>
              <w:rPr>
                <w:sz w:val="22"/>
                <w:szCs w:val="22"/>
              </w:rPr>
            </w:pPr>
            <w:r w:rsidRPr="006D287B">
              <w:t>Headache</w:t>
            </w:r>
          </w:p>
        </w:tc>
        <w:tc>
          <w:tcPr>
            <w:tcW w:w="1418" w:type="dxa"/>
          </w:tcPr>
          <w:p w14:paraId="3191F6FC" w14:textId="4249861A" w:rsidR="00EA444A" w:rsidRPr="006D287B" w:rsidRDefault="00EA444A" w:rsidP="00EA444A">
            <w:pPr>
              <w:jc w:val="center"/>
              <w:rPr>
                <w:sz w:val="22"/>
                <w:szCs w:val="22"/>
              </w:rPr>
            </w:pPr>
            <w:r>
              <w:rPr>
                <w:spacing w:val="-5"/>
                <w:sz w:val="22"/>
              </w:rPr>
              <w:t>31</w:t>
            </w:r>
          </w:p>
        </w:tc>
        <w:tc>
          <w:tcPr>
            <w:tcW w:w="1418" w:type="dxa"/>
          </w:tcPr>
          <w:p w14:paraId="47BCED73" w14:textId="19AA7C33" w:rsidR="00EA444A" w:rsidRPr="006D287B" w:rsidRDefault="00EA444A" w:rsidP="00EA444A">
            <w:pPr>
              <w:jc w:val="center"/>
              <w:rPr>
                <w:sz w:val="22"/>
                <w:szCs w:val="22"/>
              </w:rPr>
            </w:pPr>
            <w:r>
              <w:rPr>
                <w:spacing w:val="-5"/>
                <w:sz w:val="22"/>
              </w:rPr>
              <w:t>0.4</w:t>
            </w:r>
          </w:p>
        </w:tc>
        <w:tc>
          <w:tcPr>
            <w:tcW w:w="1418" w:type="dxa"/>
          </w:tcPr>
          <w:p w14:paraId="35EE3A32" w14:textId="3C6B6175" w:rsidR="00EA444A" w:rsidRPr="006D287B" w:rsidRDefault="00EA444A" w:rsidP="00EA444A">
            <w:pPr>
              <w:jc w:val="center"/>
              <w:rPr>
                <w:sz w:val="22"/>
                <w:szCs w:val="22"/>
              </w:rPr>
            </w:pPr>
            <w:r>
              <w:rPr>
                <w:spacing w:val="-5"/>
                <w:sz w:val="22"/>
              </w:rPr>
              <w:t>10</w:t>
            </w:r>
          </w:p>
        </w:tc>
        <w:tc>
          <w:tcPr>
            <w:tcW w:w="1418" w:type="dxa"/>
          </w:tcPr>
          <w:p w14:paraId="0F3B510E" w14:textId="7E86906E" w:rsidR="00EA444A" w:rsidRPr="006D287B" w:rsidRDefault="00EA444A" w:rsidP="00EA444A">
            <w:pPr>
              <w:jc w:val="center"/>
              <w:rPr>
                <w:sz w:val="22"/>
                <w:szCs w:val="22"/>
              </w:rPr>
            </w:pPr>
            <w:r>
              <w:rPr>
                <w:spacing w:val="-5"/>
                <w:sz w:val="22"/>
              </w:rPr>
              <w:t>0.9</w:t>
            </w:r>
          </w:p>
        </w:tc>
      </w:tr>
      <w:tr w:rsidR="001B7C74" w:rsidRPr="006B76AE" w14:paraId="5B815291" w14:textId="77777777" w:rsidTr="00EA444A">
        <w:tc>
          <w:tcPr>
            <w:tcW w:w="9016" w:type="dxa"/>
            <w:gridSpan w:val="5"/>
          </w:tcPr>
          <w:p w14:paraId="0D359427" w14:textId="2B9EEC0A" w:rsidR="001B7C74" w:rsidRPr="001B7C74" w:rsidRDefault="001B7C74" w:rsidP="00EA444A">
            <w:pPr>
              <w:rPr>
                <w:b/>
                <w:bCs/>
                <w:sz w:val="22"/>
                <w:szCs w:val="22"/>
              </w:rPr>
            </w:pPr>
            <w:r w:rsidRPr="001B7C74">
              <w:rPr>
                <w:b/>
                <w:bCs/>
                <w:sz w:val="22"/>
                <w:szCs w:val="22"/>
              </w:rPr>
              <w:t xml:space="preserve">Musculoskeletal and connective tissue disorders </w:t>
            </w:r>
          </w:p>
        </w:tc>
      </w:tr>
      <w:tr w:rsidR="00EA444A" w:rsidRPr="001B7C74" w14:paraId="79D52BE0" w14:textId="77777777" w:rsidTr="006D287B">
        <w:tc>
          <w:tcPr>
            <w:tcW w:w="3344" w:type="dxa"/>
          </w:tcPr>
          <w:p w14:paraId="797E9ED4" w14:textId="28878D68" w:rsidR="00EA444A" w:rsidRPr="006D287B" w:rsidRDefault="00EA444A" w:rsidP="00EA444A">
            <w:pPr>
              <w:rPr>
                <w:b/>
                <w:bCs/>
                <w:sz w:val="22"/>
                <w:szCs w:val="22"/>
              </w:rPr>
            </w:pPr>
            <w:r w:rsidRPr="006D287B">
              <w:t>Arthralgia</w:t>
            </w:r>
          </w:p>
        </w:tc>
        <w:tc>
          <w:tcPr>
            <w:tcW w:w="1418" w:type="dxa"/>
          </w:tcPr>
          <w:p w14:paraId="09A03064" w14:textId="4A01708B" w:rsidR="00EA444A" w:rsidRPr="006D287B" w:rsidRDefault="00EA444A" w:rsidP="00EA444A">
            <w:pPr>
              <w:jc w:val="center"/>
              <w:rPr>
                <w:sz w:val="22"/>
                <w:szCs w:val="22"/>
              </w:rPr>
            </w:pPr>
            <w:r>
              <w:rPr>
                <w:spacing w:val="-5"/>
                <w:sz w:val="22"/>
              </w:rPr>
              <w:t>22</w:t>
            </w:r>
          </w:p>
        </w:tc>
        <w:tc>
          <w:tcPr>
            <w:tcW w:w="1418" w:type="dxa"/>
          </w:tcPr>
          <w:p w14:paraId="616D2C17" w14:textId="3447666E" w:rsidR="00EA444A" w:rsidRPr="006D287B" w:rsidRDefault="00EA444A" w:rsidP="00EA444A">
            <w:pPr>
              <w:jc w:val="center"/>
              <w:rPr>
                <w:sz w:val="22"/>
                <w:szCs w:val="22"/>
              </w:rPr>
            </w:pPr>
            <w:r>
              <w:rPr>
                <w:spacing w:val="-5"/>
                <w:sz w:val="22"/>
              </w:rPr>
              <w:t>0.8</w:t>
            </w:r>
          </w:p>
        </w:tc>
        <w:tc>
          <w:tcPr>
            <w:tcW w:w="1418" w:type="dxa"/>
          </w:tcPr>
          <w:p w14:paraId="34415E4D" w14:textId="32314CF3" w:rsidR="00EA444A" w:rsidRPr="006D287B" w:rsidRDefault="00EA444A" w:rsidP="00EA444A">
            <w:pPr>
              <w:jc w:val="center"/>
              <w:rPr>
                <w:sz w:val="22"/>
                <w:szCs w:val="22"/>
              </w:rPr>
            </w:pPr>
            <w:r>
              <w:rPr>
                <w:spacing w:val="-5"/>
                <w:sz w:val="22"/>
              </w:rPr>
              <w:t>16</w:t>
            </w:r>
          </w:p>
        </w:tc>
        <w:tc>
          <w:tcPr>
            <w:tcW w:w="1418" w:type="dxa"/>
          </w:tcPr>
          <w:p w14:paraId="4ACB71AF" w14:textId="2861C897" w:rsidR="00EA444A" w:rsidRPr="006D287B" w:rsidRDefault="00EA444A" w:rsidP="00EA444A">
            <w:pPr>
              <w:jc w:val="center"/>
              <w:rPr>
                <w:sz w:val="22"/>
                <w:szCs w:val="22"/>
              </w:rPr>
            </w:pPr>
            <w:r>
              <w:rPr>
                <w:sz w:val="22"/>
              </w:rPr>
              <w:t>0</w:t>
            </w:r>
          </w:p>
        </w:tc>
      </w:tr>
    </w:tbl>
    <w:p w14:paraId="40A996AA" w14:textId="77777777" w:rsidR="00DA348C" w:rsidRPr="000F0660" w:rsidRDefault="00DA348C" w:rsidP="00DA348C">
      <w:pPr>
        <w:spacing w:after="0"/>
        <w:rPr>
          <w:sz w:val="20"/>
          <w:szCs w:val="20"/>
        </w:rPr>
      </w:pPr>
      <w:r>
        <w:rPr>
          <w:sz w:val="20"/>
          <w:szCs w:val="20"/>
        </w:rPr>
        <w:t>IC = investigator’s choice of pembrolizumab or ipilimumab or dacarbazine</w:t>
      </w:r>
    </w:p>
    <w:p w14:paraId="0FFA82E1" w14:textId="77777777" w:rsidR="001B7C74" w:rsidRPr="006D287B" w:rsidRDefault="001B7C74" w:rsidP="006D287B">
      <w:pPr>
        <w:spacing w:after="0"/>
        <w:rPr>
          <w:sz w:val="20"/>
          <w:szCs w:val="20"/>
        </w:rPr>
      </w:pPr>
      <w:r w:rsidRPr="006D287B">
        <w:rPr>
          <w:sz w:val="20"/>
          <w:szCs w:val="20"/>
          <w:vertAlign w:val="superscript"/>
        </w:rPr>
        <w:t>a</w:t>
      </w:r>
      <w:r w:rsidRPr="006D287B">
        <w:rPr>
          <w:sz w:val="20"/>
          <w:szCs w:val="20"/>
        </w:rPr>
        <w:t xml:space="preserve"> Represents algorithmic identification of CRS cases based on ASTCT grading criteria (Lee et al. 2019). </w:t>
      </w:r>
    </w:p>
    <w:p w14:paraId="3E386A1D" w14:textId="6BDFCC1B" w:rsidR="001B7C74" w:rsidRDefault="001B7C74" w:rsidP="001B7C74">
      <w:pPr>
        <w:spacing w:after="0"/>
        <w:rPr>
          <w:sz w:val="20"/>
          <w:szCs w:val="20"/>
        </w:rPr>
      </w:pPr>
      <w:r w:rsidRPr="006D287B">
        <w:rPr>
          <w:sz w:val="20"/>
          <w:szCs w:val="20"/>
          <w:vertAlign w:val="superscript"/>
        </w:rPr>
        <w:t>b</w:t>
      </w:r>
      <w:r w:rsidRPr="006D287B">
        <w:rPr>
          <w:sz w:val="20"/>
          <w:szCs w:val="20"/>
        </w:rPr>
        <w:t xml:space="preserve"> Represents a composite of multiple related terms.</w:t>
      </w:r>
    </w:p>
    <w:p w14:paraId="03A6229F" w14:textId="4002E5AD" w:rsidR="00EA444A" w:rsidRDefault="00EA444A" w:rsidP="001B7C74">
      <w:pPr>
        <w:spacing w:after="0"/>
        <w:rPr>
          <w:sz w:val="20"/>
          <w:szCs w:val="20"/>
        </w:rPr>
      </w:pPr>
    </w:p>
    <w:p w14:paraId="4A31EDB9" w14:textId="38CCDBAB" w:rsidR="00EA444A" w:rsidRDefault="00EA444A" w:rsidP="00EA444A">
      <w:r w:rsidRPr="00EA444A">
        <w:t xml:space="preserve">Clinically relevant adverse reactions </w:t>
      </w:r>
      <w:r>
        <w:t>that occurred</w:t>
      </w:r>
      <w:r w:rsidRPr="00EA444A">
        <w:t xml:space="preserve"> in &lt;20% of patients who received KIMMTRAK included back pain, decreased appetite, constipation, hypertension, tachycardia or sinus tachycardia, dyspn</w:t>
      </w:r>
      <w:r>
        <w:t>o</w:t>
      </w:r>
      <w:r w:rsidRPr="00EA444A">
        <w:t>ea, par</w:t>
      </w:r>
      <w:r>
        <w:t>a</w:t>
      </w:r>
      <w:r w:rsidRPr="00EA444A">
        <w:t xml:space="preserve">esthesia, dizziness, flushing, muscle spasms, myalgia, pain in extremity, alopecia, skin hyperpigmentation, influenza-like illness, oropharyngeal </w:t>
      </w:r>
      <w:proofErr w:type="gramStart"/>
      <w:r w:rsidRPr="00EA444A">
        <w:t>pain</w:t>
      </w:r>
      <w:proofErr w:type="gramEnd"/>
      <w:r w:rsidRPr="00EA444A">
        <w:t xml:space="preserve"> and night sweats.</w:t>
      </w:r>
    </w:p>
    <w:p w14:paraId="2614030B" w14:textId="760F0F3F" w:rsidR="00EA444A" w:rsidRPr="00EA444A" w:rsidRDefault="00EA444A" w:rsidP="00EA444A">
      <w:r>
        <w:t>Table</w:t>
      </w:r>
      <w:r>
        <w:rPr>
          <w:spacing w:val="-7"/>
        </w:rPr>
        <w:t xml:space="preserve"> </w:t>
      </w:r>
      <w:r>
        <w:t>5</w:t>
      </w:r>
      <w:r>
        <w:rPr>
          <w:spacing w:val="-4"/>
        </w:rPr>
        <w:t xml:space="preserve"> </w:t>
      </w:r>
      <w:r>
        <w:t>summarises</w:t>
      </w:r>
      <w:r>
        <w:rPr>
          <w:spacing w:val="-5"/>
        </w:rPr>
        <w:t xml:space="preserve"> </w:t>
      </w:r>
      <w:r>
        <w:t>selected</w:t>
      </w:r>
      <w:r>
        <w:rPr>
          <w:spacing w:val="-5"/>
        </w:rPr>
        <w:t xml:space="preserve"> </w:t>
      </w:r>
      <w:r>
        <w:t>laboratory</w:t>
      </w:r>
      <w:r>
        <w:rPr>
          <w:spacing w:val="-4"/>
        </w:rPr>
        <w:t xml:space="preserve"> </w:t>
      </w:r>
      <w:r>
        <w:t>abnormalities</w:t>
      </w:r>
      <w:r>
        <w:rPr>
          <w:spacing w:val="-4"/>
        </w:rPr>
        <w:t xml:space="preserve"> </w:t>
      </w:r>
      <w:r>
        <w:t>observed</w:t>
      </w:r>
      <w:r>
        <w:rPr>
          <w:spacing w:val="-8"/>
        </w:rPr>
        <w:t xml:space="preserve"> </w:t>
      </w:r>
      <w:r>
        <w:t>in</w:t>
      </w:r>
      <w:r>
        <w:rPr>
          <w:spacing w:val="-4"/>
        </w:rPr>
        <w:t xml:space="preserve"> </w:t>
      </w:r>
      <w:r>
        <w:t>study</w:t>
      </w:r>
      <w:r>
        <w:rPr>
          <w:spacing w:val="-4"/>
        </w:rPr>
        <w:t xml:space="preserve"> </w:t>
      </w:r>
      <w:r>
        <w:t>IMCgp100-</w:t>
      </w:r>
      <w:r>
        <w:rPr>
          <w:spacing w:val="-4"/>
        </w:rPr>
        <w:t>202.</w:t>
      </w:r>
    </w:p>
    <w:p w14:paraId="21B65D76" w14:textId="7C144E0A" w:rsidR="001E0070" w:rsidRDefault="001E0070" w:rsidP="006D287B">
      <w:pPr>
        <w:pStyle w:val="Caption"/>
      </w:pPr>
      <w:r>
        <w:lastRenderedPageBreak/>
        <w:t xml:space="preserve">Table </w:t>
      </w:r>
      <w:r>
        <w:fldChar w:fldCharType="begin"/>
      </w:r>
      <w:r>
        <w:instrText xml:space="preserve"> SEQ Table \* ARABIC </w:instrText>
      </w:r>
      <w:r>
        <w:fldChar w:fldCharType="separate"/>
      </w:r>
      <w:r w:rsidR="00012F31">
        <w:rPr>
          <w:noProof/>
        </w:rPr>
        <w:t>5</w:t>
      </w:r>
      <w:r>
        <w:fldChar w:fldCharType="end"/>
      </w:r>
      <w:r>
        <w:t xml:space="preserve">: Selected laboratory parameters that worsened from baseline </w:t>
      </w:r>
      <w:r w:rsidRPr="0091569D">
        <w:t xml:space="preserve">in </w:t>
      </w:r>
      <w:r>
        <w:t xml:space="preserve">at least </w:t>
      </w:r>
      <w:r w:rsidR="00A8663F">
        <w:t>2</w:t>
      </w:r>
      <w:r>
        <w:t>0%</w:t>
      </w:r>
      <w:r w:rsidR="00A8663F" w:rsidRPr="00A8663F">
        <w:rPr>
          <w:b w:val="0"/>
          <w:bCs w:val="0"/>
          <w:vertAlign w:val="superscript"/>
        </w:rPr>
        <w:t xml:space="preserve"> </w:t>
      </w:r>
      <w:proofErr w:type="spellStart"/>
      <w:r w:rsidR="00A8663F" w:rsidRPr="006B76AE">
        <w:rPr>
          <w:b w:val="0"/>
          <w:bCs w:val="0"/>
          <w:vertAlign w:val="superscript"/>
        </w:rPr>
        <w:t>a</w:t>
      </w:r>
      <w:proofErr w:type="spellEnd"/>
      <w:r>
        <w:t xml:space="preserve"> of p</w:t>
      </w:r>
      <w:r w:rsidRPr="0091569D">
        <w:t xml:space="preserve">atients </w:t>
      </w:r>
      <w:r>
        <w:t>with metastatic uveal melanoma who received</w:t>
      </w:r>
      <w:r w:rsidRPr="0091569D">
        <w:t xml:space="preserve"> KIMMTRAK </w:t>
      </w:r>
      <w:r>
        <w:t>in Study IMCgp100-202</w:t>
      </w:r>
    </w:p>
    <w:tbl>
      <w:tblPr>
        <w:tblStyle w:val="TableGrid"/>
        <w:tblW w:w="0" w:type="auto"/>
        <w:tblLook w:val="04A0" w:firstRow="1" w:lastRow="0" w:firstColumn="1" w:lastColumn="0" w:noHBand="0" w:noVBand="1"/>
      </w:tblPr>
      <w:tblGrid>
        <w:gridCol w:w="3318"/>
        <w:gridCol w:w="1424"/>
        <w:gridCol w:w="1425"/>
        <w:gridCol w:w="1424"/>
        <w:gridCol w:w="1425"/>
      </w:tblGrid>
      <w:tr w:rsidR="00EA444A" w:rsidRPr="006B76AE" w14:paraId="62452113" w14:textId="77777777" w:rsidTr="006D287B">
        <w:trPr>
          <w:tblHeader/>
        </w:trPr>
        <w:tc>
          <w:tcPr>
            <w:tcW w:w="3318" w:type="dxa"/>
            <w:vAlign w:val="bottom"/>
          </w:tcPr>
          <w:p w14:paraId="2AD8CF84" w14:textId="0F5E2949" w:rsidR="00EA444A" w:rsidRPr="006B76AE" w:rsidRDefault="00EA444A" w:rsidP="006D287B">
            <w:pPr>
              <w:rPr>
                <w:b/>
                <w:bCs/>
                <w:sz w:val="22"/>
                <w:szCs w:val="22"/>
              </w:rPr>
            </w:pPr>
            <w:r>
              <w:rPr>
                <w:b/>
                <w:bCs/>
                <w:sz w:val="22"/>
                <w:szCs w:val="22"/>
              </w:rPr>
              <w:t xml:space="preserve">Laboratory </w:t>
            </w:r>
            <w:r w:rsidR="001E0070">
              <w:rPr>
                <w:b/>
                <w:bCs/>
                <w:sz w:val="22"/>
                <w:szCs w:val="22"/>
              </w:rPr>
              <w:t>parameter</w:t>
            </w:r>
          </w:p>
        </w:tc>
        <w:tc>
          <w:tcPr>
            <w:tcW w:w="2849" w:type="dxa"/>
            <w:gridSpan w:val="2"/>
            <w:vAlign w:val="center"/>
          </w:tcPr>
          <w:p w14:paraId="5A9DBEFD" w14:textId="6F52125D" w:rsidR="00EA444A" w:rsidRPr="006B76AE" w:rsidRDefault="00EA444A" w:rsidP="00EA444A">
            <w:pPr>
              <w:jc w:val="center"/>
              <w:rPr>
                <w:b/>
                <w:bCs/>
                <w:sz w:val="22"/>
                <w:szCs w:val="22"/>
              </w:rPr>
            </w:pPr>
            <w:r w:rsidRPr="006B76AE">
              <w:rPr>
                <w:b/>
                <w:bCs/>
                <w:sz w:val="22"/>
                <w:szCs w:val="22"/>
              </w:rPr>
              <w:t>KIMMTRAK (n=245)</w:t>
            </w:r>
          </w:p>
        </w:tc>
        <w:tc>
          <w:tcPr>
            <w:tcW w:w="2849" w:type="dxa"/>
            <w:gridSpan w:val="2"/>
            <w:vAlign w:val="center"/>
          </w:tcPr>
          <w:p w14:paraId="70B4C70D" w14:textId="0BCCB281" w:rsidR="00EA444A" w:rsidRPr="006B76AE" w:rsidRDefault="00DA348C" w:rsidP="00EA444A">
            <w:pPr>
              <w:jc w:val="center"/>
              <w:rPr>
                <w:b/>
                <w:bCs/>
                <w:sz w:val="22"/>
                <w:szCs w:val="22"/>
              </w:rPr>
            </w:pPr>
            <w:r>
              <w:rPr>
                <w:b/>
                <w:bCs/>
                <w:sz w:val="22"/>
                <w:szCs w:val="22"/>
              </w:rPr>
              <w:t>IC (n=126)</w:t>
            </w:r>
          </w:p>
        </w:tc>
      </w:tr>
      <w:tr w:rsidR="00EA444A" w:rsidRPr="006B76AE" w14:paraId="059F2EBE" w14:textId="77777777" w:rsidTr="006D287B">
        <w:tc>
          <w:tcPr>
            <w:tcW w:w="3318" w:type="dxa"/>
          </w:tcPr>
          <w:p w14:paraId="1112D0B7" w14:textId="77777777" w:rsidR="00EA444A" w:rsidRPr="006B76AE" w:rsidRDefault="00EA444A" w:rsidP="00EA444A">
            <w:pPr>
              <w:rPr>
                <w:b/>
                <w:bCs/>
                <w:sz w:val="22"/>
                <w:szCs w:val="22"/>
              </w:rPr>
            </w:pPr>
          </w:p>
        </w:tc>
        <w:tc>
          <w:tcPr>
            <w:tcW w:w="1424" w:type="dxa"/>
            <w:vAlign w:val="bottom"/>
          </w:tcPr>
          <w:p w14:paraId="19DDA4CB" w14:textId="02A400ED" w:rsidR="00EA444A" w:rsidRPr="006B76AE" w:rsidRDefault="00EA444A" w:rsidP="00EA444A">
            <w:pPr>
              <w:jc w:val="center"/>
              <w:rPr>
                <w:b/>
                <w:bCs/>
                <w:sz w:val="22"/>
                <w:szCs w:val="22"/>
              </w:rPr>
            </w:pPr>
            <w:r>
              <w:rPr>
                <w:b/>
                <w:bCs/>
                <w:sz w:val="22"/>
                <w:szCs w:val="22"/>
              </w:rPr>
              <w:t>Grades 1-4</w:t>
            </w:r>
            <w:r w:rsidRPr="006B76AE">
              <w:rPr>
                <w:b/>
                <w:bCs/>
                <w:sz w:val="22"/>
                <w:szCs w:val="22"/>
              </w:rPr>
              <w:t xml:space="preserve"> (%)</w:t>
            </w:r>
          </w:p>
        </w:tc>
        <w:tc>
          <w:tcPr>
            <w:tcW w:w="1425" w:type="dxa"/>
            <w:vAlign w:val="bottom"/>
          </w:tcPr>
          <w:p w14:paraId="6707CEF1" w14:textId="6706D6CE" w:rsidR="00EA444A" w:rsidRPr="006B76AE" w:rsidRDefault="00EA444A" w:rsidP="00EA444A">
            <w:pPr>
              <w:jc w:val="center"/>
              <w:rPr>
                <w:b/>
                <w:bCs/>
                <w:sz w:val="22"/>
                <w:szCs w:val="22"/>
              </w:rPr>
            </w:pPr>
            <w:r w:rsidRPr="006B76AE">
              <w:rPr>
                <w:b/>
                <w:bCs/>
                <w:sz w:val="22"/>
                <w:szCs w:val="22"/>
              </w:rPr>
              <w:t>Grade</w:t>
            </w:r>
            <w:r>
              <w:rPr>
                <w:b/>
                <w:bCs/>
                <w:sz w:val="22"/>
                <w:szCs w:val="22"/>
              </w:rPr>
              <w:t>s</w:t>
            </w:r>
            <w:r w:rsidRPr="006B76AE">
              <w:rPr>
                <w:b/>
                <w:bCs/>
                <w:sz w:val="22"/>
                <w:szCs w:val="22"/>
              </w:rPr>
              <w:t xml:space="preserve"> 3</w:t>
            </w:r>
            <w:r>
              <w:rPr>
                <w:b/>
                <w:bCs/>
                <w:sz w:val="22"/>
                <w:szCs w:val="22"/>
              </w:rPr>
              <w:t>-</w:t>
            </w:r>
            <w:r w:rsidRPr="006B76AE">
              <w:rPr>
                <w:b/>
                <w:bCs/>
                <w:sz w:val="22"/>
                <w:szCs w:val="22"/>
              </w:rPr>
              <w:t>4 (%)</w:t>
            </w:r>
          </w:p>
        </w:tc>
        <w:tc>
          <w:tcPr>
            <w:tcW w:w="1424" w:type="dxa"/>
            <w:vAlign w:val="bottom"/>
          </w:tcPr>
          <w:p w14:paraId="319AF388" w14:textId="5505538F" w:rsidR="00EA444A" w:rsidRPr="006B76AE" w:rsidRDefault="00EA444A" w:rsidP="00EA444A">
            <w:pPr>
              <w:jc w:val="center"/>
              <w:rPr>
                <w:b/>
                <w:bCs/>
                <w:sz w:val="22"/>
                <w:szCs w:val="22"/>
              </w:rPr>
            </w:pPr>
            <w:r>
              <w:rPr>
                <w:b/>
                <w:bCs/>
                <w:sz w:val="22"/>
                <w:szCs w:val="22"/>
              </w:rPr>
              <w:t>Grades 1-4</w:t>
            </w:r>
            <w:r w:rsidRPr="006B76AE">
              <w:rPr>
                <w:b/>
                <w:bCs/>
                <w:sz w:val="22"/>
                <w:szCs w:val="22"/>
              </w:rPr>
              <w:t xml:space="preserve"> (%)</w:t>
            </w:r>
          </w:p>
        </w:tc>
        <w:tc>
          <w:tcPr>
            <w:tcW w:w="1425" w:type="dxa"/>
            <w:vAlign w:val="bottom"/>
          </w:tcPr>
          <w:p w14:paraId="207D652D" w14:textId="099126C5" w:rsidR="00EA444A" w:rsidRPr="006B76AE" w:rsidRDefault="00EA444A" w:rsidP="00EA444A">
            <w:pPr>
              <w:jc w:val="center"/>
              <w:rPr>
                <w:b/>
                <w:bCs/>
                <w:sz w:val="22"/>
                <w:szCs w:val="22"/>
              </w:rPr>
            </w:pPr>
            <w:r w:rsidRPr="006B76AE">
              <w:rPr>
                <w:b/>
                <w:bCs/>
                <w:sz w:val="22"/>
                <w:szCs w:val="22"/>
              </w:rPr>
              <w:t>Grade</w:t>
            </w:r>
            <w:r>
              <w:rPr>
                <w:b/>
                <w:bCs/>
                <w:sz w:val="22"/>
                <w:szCs w:val="22"/>
              </w:rPr>
              <w:t>s</w:t>
            </w:r>
            <w:r w:rsidRPr="006B76AE">
              <w:rPr>
                <w:b/>
                <w:bCs/>
                <w:sz w:val="22"/>
                <w:szCs w:val="22"/>
              </w:rPr>
              <w:t xml:space="preserve"> 3</w:t>
            </w:r>
            <w:r>
              <w:rPr>
                <w:b/>
                <w:bCs/>
                <w:sz w:val="22"/>
                <w:szCs w:val="22"/>
              </w:rPr>
              <w:t>-</w:t>
            </w:r>
            <w:r w:rsidRPr="006B76AE">
              <w:rPr>
                <w:b/>
                <w:bCs/>
                <w:sz w:val="22"/>
                <w:szCs w:val="22"/>
              </w:rPr>
              <w:t>4 (%)</w:t>
            </w:r>
          </w:p>
        </w:tc>
      </w:tr>
      <w:tr w:rsidR="00EA444A" w:rsidRPr="006B76AE" w14:paraId="54A57028" w14:textId="77777777" w:rsidTr="00EA444A">
        <w:tc>
          <w:tcPr>
            <w:tcW w:w="9016" w:type="dxa"/>
            <w:gridSpan w:val="5"/>
            <w:vAlign w:val="bottom"/>
          </w:tcPr>
          <w:p w14:paraId="46D0D5C3" w14:textId="19190154" w:rsidR="00EA444A" w:rsidRPr="006B76AE" w:rsidRDefault="00EA444A" w:rsidP="00EA444A">
            <w:pPr>
              <w:rPr>
                <w:b/>
                <w:bCs/>
                <w:sz w:val="22"/>
                <w:szCs w:val="22"/>
              </w:rPr>
            </w:pPr>
            <w:proofErr w:type="spellStart"/>
            <w:r>
              <w:rPr>
                <w:b/>
                <w:bCs/>
                <w:sz w:val="22"/>
                <w:szCs w:val="22"/>
              </w:rPr>
              <w:t>Haematology</w:t>
            </w:r>
            <w:proofErr w:type="spellEnd"/>
          </w:p>
        </w:tc>
      </w:tr>
      <w:tr w:rsidR="00EA444A" w:rsidRPr="006B76AE" w14:paraId="068F6CFB" w14:textId="77777777" w:rsidTr="006D287B">
        <w:tc>
          <w:tcPr>
            <w:tcW w:w="3318" w:type="dxa"/>
          </w:tcPr>
          <w:p w14:paraId="69CC91F5" w14:textId="3E19BC1E" w:rsidR="00EA444A" w:rsidRPr="006B76AE" w:rsidRDefault="00EA444A" w:rsidP="00EA444A">
            <w:pPr>
              <w:rPr>
                <w:b/>
                <w:bCs/>
                <w:sz w:val="22"/>
                <w:szCs w:val="22"/>
              </w:rPr>
            </w:pPr>
            <w:r>
              <w:rPr>
                <w:sz w:val="22"/>
              </w:rPr>
              <w:t>Lymphocyte</w:t>
            </w:r>
            <w:r>
              <w:rPr>
                <w:spacing w:val="-4"/>
                <w:sz w:val="22"/>
              </w:rPr>
              <w:t xml:space="preserve"> </w:t>
            </w:r>
            <w:r>
              <w:rPr>
                <w:sz w:val="22"/>
              </w:rPr>
              <w:t>count</w:t>
            </w:r>
            <w:r>
              <w:rPr>
                <w:spacing w:val="-3"/>
                <w:sz w:val="22"/>
              </w:rPr>
              <w:t xml:space="preserve"> </w:t>
            </w:r>
            <w:r>
              <w:rPr>
                <w:spacing w:val="-2"/>
                <w:sz w:val="22"/>
              </w:rPr>
              <w:t>decreased</w:t>
            </w:r>
          </w:p>
        </w:tc>
        <w:tc>
          <w:tcPr>
            <w:tcW w:w="1424" w:type="dxa"/>
          </w:tcPr>
          <w:p w14:paraId="680865A1" w14:textId="0B16465C" w:rsidR="00EA444A" w:rsidRPr="006B76AE" w:rsidRDefault="00EA444A" w:rsidP="00EA444A">
            <w:pPr>
              <w:jc w:val="center"/>
              <w:rPr>
                <w:sz w:val="22"/>
                <w:szCs w:val="22"/>
              </w:rPr>
            </w:pPr>
            <w:r>
              <w:rPr>
                <w:spacing w:val="-5"/>
                <w:sz w:val="22"/>
              </w:rPr>
              <w:t>91</w:t>
            </w:r>
          </w:p>
        </w:tc>
        <w:tc>
          <w:tcPr>
            <w:tcW w:w="1425" w:type="dxa"/>
          </w:tcPr>
          <w:p w14:paraId="252FB478" w14:textId="42B78759" w:rsidR="00EA444A" w:rsidRPr="006B76AE" w:rsidRDefault="00EA444A" w:rsidP="00EA444A">
            <w:pPr>
              <w:jc w:val="center"/>
              <w:rPr>
                <w:sz w:val="22"/>
                <w:szCs w:val="22"/>
              </w:rPr>
            </w:pPr>
            <w:r>
              <w:rPr>
                <w:spacing w:val="-5"/>
                <w:sz w:val="22"/>
              </w:rPr>
              <w:t>56</w:t>
            </w:r>
          </w:p>
        </w:tc>
        <w:tc>
          <w:tcPr>
            <w:tcW w:w="1424" w:type="dxa"/>
          </w:tcPr>
          <w:p w14:paraId="322B3769" w14:textId="6F21E82C" w:rsidR="00EA444A" w:rsidRPr="006B76AE" w:rsidRDefault="00EA444A" w:rsidP="00EA444A">
            <w:pPr>
              <w:jc w:val="center"/>
              <w:rPr>
                <w:sz w:val="22"/>
                <w:szCs w:val="22"/>
              </w:rPr>
            </w:pPr>
            <w:r>
              <w:rPr>
                <w:spacing w:val="-5"/>
                <w:sz w:val="22"/>
              </w:rPr>
              <w:t>26</w:t>
            </w:r>
          </w:p>
        </w:tc>
        <w:tc>
          <w:tcPr>
            <w:tcW w:w="1425" w:type="dxa"/>
          </w:tcPr>
          <w:p w14:paraId="3EF98C7D" w14:textId="3AF72B34" w:rsidR="00EA444A" w:rsidRPr="006B76AE" w:rsidRDefault="00EA444A" w:rsidP="00EA444A">
            <w:pPr>
              <w:jc w:val="center"/>
              <w:rPr>
                <w:sz w:val="22"/>
                <w:szCs w:val="22"/>
              </w:rPr>
            </w:pPr>
            <w:r>
              <w:rPr>
                <w:spacing w:val="-5"/>
                <w:sz w:val="22"/>
              </w:rPr>
              <w:t>1.8</w:t>
            </w:r>
          </w:p>
        </w:tc>
      </w:tr>
      <w:tr w:rsidR="00EA444A" w:rsidRPr="006B76AE" w14:paraId="4B6FF808" w14:textId="77777777" w:rsidTr="006D287B">
        <w:tc>
          <w:tcPr>
            <w:tcW w:w="3318" w:type="dxa"/>
          </w:tcPr>
          <w:p w14:paraId="4ABECC05" w14:textId="37413D37" w:rsidR="00EA444A" w:rsidRPr="006B76AE" w:rsidRDefault="00EA444A" w:rsidP="00EA444A">
            <w:r>
              <w:rPr>
                <w:sz w:val="22"/>
              </w:rPr>
              <w:t>Hemoglobin</w:t>
            </w:r>
            <w:r>
              <w:rPr>
                <w:spacing w:val="-8"/>
                <w:sz w:val="22"/>
              </w:rPr>
              <w:t xml:space="preserve"> </w:t>
            </w:r>
            <w:r>
              <w:rPr>
                <w:spacing w:val="-2"/>
                <w:sz w:val="22"/>
              </w:rPr>
              <w:t>decreased</w:t>
            </w:r>
          </w:p>
        </w:tc>
        <w:tc>
          <w:tcPr>
            <w:tcW w:w="1424" w:type="dxa"/>
          </w:tcPr>
          <w:p w14:paraId="14A5B822" w14:textId="5CD630DC" w:rsidR="00EA444A" w:rsidRDefault="00EA444A" w:rsidP="00EA444A">
            <w:pPr>
              <w:jc w:val="center"/>
            </w:pPr>
            <w:r>
              <w:rPr>
                <w:spacing w:val="-5"/>
                <w:sz w:val="22"/>
              </w:rPr>
              <w:t>51</w:t>
            </w:r>
          </w:p>
        </w:tc>
        <w:tc>
          <w:tcPr>
            <w:tcW w:w="1425" w:type="dxa"/>
          </w:tcPr>
          <w:p w14:paraId="34959B70" w14:textId="201D4582" w:rsidR="00EA444A" w:rsidRDefault="00EA444A" w:rsidP="00EA444A">
            <w:pPr>
              <w:jc w:val="center"/>
            </w:pPr>
            <w:r>
              <w:rPr>
                <w:spacing w:val="-5"/>
                <w:sz w:val="22"/>
              </w:rPr>
              <w:t>0.8</w:t>
            </w:r>
          </w:p>
        </w:tc>
        <w:tc>
          <w:tcPr>
            <w:tcW w:w="1424" w:type="dxa"/>
          </w:tcPr>
          <w:p w14:paraId="6A78DC2B" w14:textId="1E00610C" w:rsidR="00EA444A" w:rsidRDefault="00EA444A" w:rsidP="00EA444A">
            <w:pPr>
              <w:jc w:val="center"/>
            </w:pPr>
            <w:r>
              <w:rPr>
                <w:spacing w:val="-5"/>
                <w:sz w:val="22"/>
              </w:rPr>
              <w:t>20</w:t>
            </w:r>
          </w:p>
        </w:tc>
        <w:tc>
          <w:tcPr>
            <w:tcW w:w="1425" w:type="dxa"/>
          </w:tcPr>
          <w:p w14:paraId="39A35E93" w14:textId="0F97D484" w:rsidR="00EA444A" w:rsidRDefault="00EA444A" w:rsidP="00EA444A">
            <w:pPr>
              <w:jc w:val="center"/>
            </w:pPr>
            <w:r>
              <w:rPr>
                <w:spacing w:val="-5"/>
                <w:sz w:val="22"/>
              </w:rPr>
              <w:t>0.9</w:t>
            </w:r>
          </w:p>
        </w:tc>
      </w:tr>
      <w:tr w:rsidR="00EA444A" w:rsidRPr="006B76AE" w14:paraId="0ADB4ED9" w14:textId="77777777" w:rsidTr="006D287B">
        <w:tc>
          <w:tcPr>
            <w:tcW w:w="3318" w:type="dxa"/>
          </w:tcPr>
          <w:p w14:paraId="7407EB85" w14:textId="6B2BC214" w:rsidR="00EA444A" w:rsidRPr="006B76AE" w:rsidRDefault="00EA444A" w:rsidP="00EA444A">
            <w:r w:rsidRPr="006D287B">
              <w:rPr>
                <w:b/>
                <w:bCs/>
              </w:rPr>
              <w:t>C</w:t>
            </w:r>
            <w:r>
              <w:rPr>
                <w:b/>
                <w:bCs/>
                <w:sz w:val="22"/>
                <w:szCs w:val="22"/>
              </w:rPr>
              <w:t>h</w:t>
            </w:r>
            <w:r w:rsidRPr="006D287B">
              <w:rPr>
                <w:b/>
                <w:bCs/>
              </w:rPr>
              <w:t>emistry</w:t>
            </w:r>
          </w:p>
        </w:tc>
        <w:tc>
          <w:tcPr>
            <w:tcW w:w="1424" w:type="dxa"/>
            <w:vAlign w:val="bottom"/>
          </w:tcPr>
          <w:p w14:paraId="6EE330D2" w14:textId="77777777" w:rsidR="00EA444A" w:rsidRDefault="00EA444A" w:rsidP="00EA444A">
            <w:pPr>
              <w:jc w:val="center"/>
            </w:pPr>
          </w:p>
        </w:tc>
        <w:tc>
          <w:tcPr>
            <w:tcW w:w="1425" w:type="dxa"/>
            <w:vAlign w:val="bottom"/>
          </w:tcPr>
          <w:p w14:paraId="1CD4CA86" w14:textId="77777777" w:rsidR="00EA444A" w:rsidRDefault="00EA444A" w:rsidP="00EA444A">
            <w:pPr>
              <w:jc w:val="center"/>
            </w:pPr>
          </w:p>
        </w:tc>
        <w:tc>
          <w:tcPr>
            <w:tcW w:w="1424" w:type="dxa"/>
            <w:vAlign w:val="bottom"/>
          </w:tcPr>
          <w:p w14:paraId="2A6A2F41" w14:textId="77777777" w:rsidR="00EA444A" w:rsidRDefault="00EA444A" w:rsidP="00EA444A">
            <w:pPr>
              <w:jc w:val="center"/>
            </w:pPr>
          </w:p>
        </w:tc>
        <w:tc>
          <w:tcPr>
            <w:tcW w:w="1425" w:type="dxa"/>
            <w:vAlign w:val="bottom"/>
          </w:tcPr>
          <w:p w14:paraId="46A38969" w14:textId="77777777" w:rsidR="00EA444A" w:rsidRDefault="00EA444A" w:rsidP="00EA444A">
            <w:pPr>
              <w:jc w:val="center"/>
            </w:pPr>
          </w:p>
        </w:tc>
      </w:tr>
      <w:tr w:rsidR="00EA444A" w:rsidRPr="006B76AE" w14:paraId="00F081C1" w14:textId="77777777" w:rsidTr="006D287B">
        <w:tc>
          <w:tcPr>
            <w:tcW w:w="3318" w:type="dxa"/>
          </w:tcPr>
          <w:p w14:paraId="64BA6B4E" w14:textId="61B7F40D" w:rsidR="00EA444A" w:rsidRPr="006B76AE" w:rsidRDefault="00EA444A" w:rsidP="00EA444A">
            <w:r>
              <w:rPr>
                <w:sz w:val="22"/>
              </w:rPr>
              <w:t>Creatinine</w:t>
            </w:r>
            <w:r>
              <w:rPr>
                <w:spacing w:val="-6"/>
                <w:sz w:val="22"/>
              </w:rPr>
              <w:t xml:space="preserve"> </w:t>
            </w:r>
            <w:r>
              <w:rPr>
                <w:spacing w:val="-2"/>
                <w:sz w:val="22"/>
              </w:rPr>
              <w:t>increased</w:t>
            </w:r>
          </w:p>
        </w:tc>
        <w:tc>
          <w:tcPr>
            <w:tcW w:w="1424" w:type="dxa"/>
          </w:tcPr>
          <w:p w14:paraId="5EB38473" w14:textId="691A901B" w:rsidR="00EA444A" w:rsidRDefault="00EA444A" w:rsidP="00EA444A">
            <w:pPr>
              <w:jc w:val="center"/>
            </w:pPr>
            <w:r>
              <w:rPr>
                <w:spacing w:val="-5"/>
                <w:sz w:val="22"/>
              </w:rPr>
              <w:t>87</w:t>
            </w:r>
          </w:p>
        </w:tc>
        <w:tc>
          <w:tcPr>
            <w:tcW w:w="1425" w:type="dxa"/>
          </w:tcPr>
          <w:p w14:paraId="27ED05F2" w14:textId="3B173F8A" w:rsidR="00EA444A" w:rsidRDefault="00EA444A" w:rsidP="00EA444A">
            <w:pPr>
              <w:jc w:val="center"/>
            </w:pPr>
            <w:r>
              <w:rPr>
                <w:spacing w:val="-5"/>
                <w:sz w:val="22"/>
              </w:rPr>
              <w:t>0.4</w:t>
            </w:r>
          </w:p>
        </w:tc>
        <w:tc>
          <w:tcPr>
            <w:tcW w:w="1424" w:type="dxa"/>
          </w:tcPr>
          <w:p w14:paraId="4B09EA68" w14:textId="05ED61E9" w:rsidR="00EA444A" w:rsidRDefault="00EA444A" w:rsidP="00EA444A">
            <w:pPr>
              <w:jc w:val="center"/>
            </w:pPr>
            <w:r>
              <w:rPr>
                <w:spacing w:val="-5"/>
                <w:sz w:val="22"/>
              </w:rPr>
              <w:t>73</w:t>
            </w:r>
          </w:p>
        </w:tc>
        <w:tc>
          <w:tcPr>
            <w:tcW w:w="1425" w:type="dxa"/>
          </w:tcPr>
          <w:p w14:paraId="56727B49" w14:textId="7ED1D3C6" w:rsidR="00EA444A" w:rsidRDefault="00EA444A" w:rsidP="00EA444A">
            <w:pPr>
              <w:jc w:val="center"/>
            </w:pPr>
            <w:r>
              <w:rPr>
                <w:sz w:val="22"/>
              </w:rPr>
              <w:t>0</w:t>
            </w:r>
          </w:p>
        </w:tc>
      </w:tr>
      <w:tr w:rsidR="00EA444A" w:rsidRPr="006B76AE" w14:paraId="586CA63C" w14:textId="77777777" w:rsidTr="006D287B">
        <w:tc>
          <w:tcPr>
            <w:tcW w:w="3318" w:type="dxa"/>
          </w:tcPr>
          <w:p w14:paraId="02B8283B" w14:textId="52B6529B" w:rsidR="00EA444A" w:rsidRPr="006B76AE" w:rsidRDefault="00EA444A" w:rsidP="00EA444A">
            <w:r>
              <w:rPr>
                <w:sz w:val="22"/>
              </w:rPr>
              <w:t>Glucose</w:t>
            </w:r>
            <w:r>
              <w:rPr>
                <w:spacing w:val="-3"/>
                <w:sz w:val="22"/>
              </w:rPr>
              <w:t xml:space="preserve"> </w:t>
            </w:r>
            <w:r>
              <w:rPr>
                <w:spacing w:val="-2"/>
                <w:sz w:val="22"/>
              </w:rPr>
              <w:t>increased</w:t>
            </w:r>
          </w:p>
        </w:tc>
        <w:tc>
          <w:tcPr>
            <w:tcW w:w="1424" w:type="dxa"/>
          </w:tcPr>
          <w:p w14:paraId="6DEC033F" w14:textId="378BF1EE" w:rsidR="00EA444A" w:rsidRDefault="00EA444A" w:rsidP="00EA444A">
            <w:pPr>
              <w:jc w:val="center"/>
            </w:pPr>
            <w:r>
              <w:rPr>
                <w:spacing w:val="-5"/>
                <w:sz w:val="22"/>
              </w:rPr>
              <w:t>66</w:t>
            </w:r>
          </w:p>
        </w:tc>
        <w:tc>
          <w:tcPr>
            <w:tcW w:w="1425" w:type="dxa"/>
          </w:tcPr>
          <w:p w14:paraId="1245815A" w14:textId="0ECD0756" w:rsidR="00EA444A" w:rsidRDefault="00EA444A" w:rsidP="00EA444A">
            <w:pPr>
              <w:jc w:val="center"/>
            </w:pPr>
            <w:r>
              <w:rPr>
                <w:spacing w:val="-5"/>
                <w:sz w:val="22"/>
              </w:rPr>
              <w:t>3.3</w:t>
            </w:r>
          </w:p>
        </w:tc>
        <w:tc>
          <w:tcPr>
            <w:tcW w:w="1424" w:type="dxa"/>
          </w:tcPr>
          <w:p w14:paraId="0F800EAC" w14:textId="6A9F39D8" w:rsidR="00EA444A" w:rsidRDefault="00EA444A" w:rsidP="00EA444A">
            <w:pPr>
              <w:jc w:val="center"/>
            </w:pPr>
            <w:r>
              <w:rPr>
                <w:spacing w:val="-5"/>
                <w:sz w:val="22"/>
              </w:rPr>
              <w:t>39</w:t>
            </w:r>
          </w:p>
        </w:tc>
        <w:tc>
          <w:tcPr>
            <w:tcW w:w="1425" w:type="dxa"/>
          </w:tcPr>
          <w:p w14:paraId="3EBFA012" w14:textId="797AF7DF" w:rsidR="00EA444A" w:rsidRDefault="00EA444A" w:rsidP="00EA444A">
            <w:pPr>
              <w:jc w:val="center"/>
            </w:pPr>
            <w:r>
              <w:rPr>
                <w:spacing w:val="-5"/>
                <w:sz w:val="22"/>
              </w:rPr>
              <w:t>4.6</w:t>
            </w:r>
          </w:p>
        </w:tc>
      </w:tr>
      <w:tr w:rsidR="00EA444A" w:rsidRPr="006B76AE" w14:paraId="7EEC48A8" w14:textId="77777777" w:rsidTr="006D287B">
        <w:tc>
          <w:tcPr>
            <w:tcW w:w="3318" w:type="dxa"/>
          </w:tcPr>
          <w:p w14:paraId="402DB4B9" w14:textId="7D840F22" w:rsidR="00EA444A" w:rsidRPr="006B76AE" w:rsidRDefault="00EA444A" w:rsidP="00EA444A">
            <w:r>
              <w:rPr>
                <w:sz w:val="22"/>
              </w:rPr>
              <w:t>AST</w:t>
            </w:r>
            <w:r>
              <w:rPr>
                <w:spacing w:val="-4"/>
                <w:sz w:val="22"/>
              </w:rPr>
              <w:t xml:space="preserve"> </w:t>
            </w:r>
            <w:r>
              <w:rPr>
                <w:spacing w:val="-2"/>
                <w:sz w:val="22"/>
              </w:rPr>
              <w:t>increased</w:t>
            </w:r>
          </w:p>
        </w:tc>
        <w:tc>
          <w:tcPr>
            <w:tcW w:w="1424" w:type="dxa"/>
          </w:tcPr>
          <w:p w14:paraId="347AEA16" w14:textId="4E45858F" w:rsidR="00EA444A" w:rsidRDefault="00EA444A" w:rsidP="00EA444A">
            <w:pPr>
              <w:jc w:val="center"/>
            </w:pPr>
            <w:r>
              <w:rPr>
                <w:spacing w:val="-5"/>
                <w:sz w:val="22"/>
              </w:rPr>
              <w:t>55</w:t>
            </w:r>
          </w:p>
        </w:tc>
        <w:tc>
          <w:tcPr>
            <w:tcW w:w="1425" w:type="dxa"/>
          </w:tcPr>
          <w:p w14:paraId="6A730F67" w14:textId="5C21A2AD" w:rsidR="00EA444A" w:rsidRDefault="00EA444A" w:rsidP="00EA444A">
            <w:pPr>
              <w:jc w:val="center"/>
            </w:pPr>
            <w:r>
              <w:rPr>
                <w:spacing w:val="-5"/>
                <w:sz w:val="22"/>
              </w:rPr>
              <w:t>13</w:t>
            </w:r>
          </w:p>
        </w:tc>
        <w:tc>
          <w:tcPr>
            <w:tcW w:w="1424" w:type="dxa"/>
          </w:tcPr>
          <w:p w14:paraId="5B22D236" w14:textId="116ABDFD" w:rsidR="00EA444A" w:rsidRDefault="00EA444A" w:rsidP="00EA444A">
            <w:pPr>
              <w:jc w:val="center"/>
            </w:pPr>
            <w:r>
              <w:rPr>
                <w:spacing w:val="-5"/>
                <w:sz w:val="22"/>
              </w:rPr>
              <w:t>39</w:t>
            </w:r>
          </w:p>
        </w:tc>
        <w:tc>
          <w:tcPr>
            <w:tcW w:w="1425" w:type="dxa"/>
          </w:tcPr>
          <w:p w14:paraId="61E73BC1" w14:textId="47073F0B" w:rsidR="00EA444A" w:rsidRDefault="00EA444A" w:rsidP="00EA444A">
            <w:pPr>
              <w:jc w:val="center"/>
            </w:pPr>
            <w:r>
              <w:rPr>
                <w:spacing w:val="-5"/>
                <w:sz w:val="22"/>
              </w:rPr>
              <w:t>1.9</w:t>
            </w:r>
          </w:p>
        </w:tc>
      </w:tr>
      <w:tr w:rsidR="00EA444A" w:rsidRPr="006B76AE" w14:paraId="1C7885C8" w14:textId="77777777" w:rsidTr="006D287B">
        <w:tc>
          <w:tcPr>
            <w:tcW w:w="3318" w:type="dxa"/>
          </w:tcPr>
          <w:p w14:paraId="6E5E8F31" w14:textId="7C0A624F" w:rsidR="00EA444A" w:rsidRPr="006B76AE" w:rsidRDefault="00EA444A" w:rsidP="00EA444A">
            <w:r>
              <w:rPr>
                <w:sz w:val="22"/>
              </w:rPr>
              <w:t>ALT</w:t>
            </w:r>
            <w:r>
              <w:rPr>
                <w:spacing w:val="-4"/>
                <w:sz w:val="22"/>
              </w:rPr>
              <w:t xml:space="preserve"> </w:t>
            </w:r>
            <w:r>
              <w:rPr>
                <w:spacing w:val="-2"/>
                <w:sz w:val="22"/>
              </w:rPr>
              <w:t>increased</w:t>
            </w:r>
          </w:p>
        </w:tc>
        <w:tc>
          <w:tcPr>
            <w:tcW w:w="1424" w:type="dxa"/>
          </w:tcPr>
          <w:p w14:paraId="3CA83786" w14:textId="356A5E52" w:rsidR="00EA444A" w:rsidRDefault="00EA444A" w:rsidP="00EA444A">
            <w:pPr>
              <w:jc w:val="center"/>
            </w:pPr>
            <w:r>
              <w:rPr>
                <w:spacing w:val="-5"/>
                <w:sz w:val="22"/>
              </w:rPr>
              <w:t>52</w:t>
            </w:r>
          </w:p>
        </w:tc>
        <w:tc>
          <w:tcPr>
            <w:tcW w:w="1425" w:type="dxa"/>
          </w:tcPr>
          <w:p w14:paraId="1C66D8BD" w14:textId="4CB13FBD" w:rsidR="00EA444A" w:rsidRDefault="00EA444A" w:rsidP="00EA444A">
            <w:pPr>
              <w:jc w:val="center"/>
            </w:pPr>
            <w:r>
              <w:rPr>
                <w:sz w:val="22"/>
              </w:rPr>
              <w:t>9</w:t>
            </w:r>
          </w:p>
        </w:tc>
        <w:tc>
          <w:tcPr>
            <w:tcW w:w="1424" w:type="dxa"/>
          </w:tcPr>
          <w:p w14:paraId="309581F5" w14:textId="46E7083B" w:rsidR="00EA444A" w:rsidRDefault="00EA444A" w:rsidP="00EA444A">
            <w:pPr>
              <w:jc w:val="center"/>
            </w:pPr>
            <w:r>
              <w:rPr>
                <w:spacing w:val="-5"/>
                <w:sz w:val="22"/>
              </w:rPr>
              <w:t>29</w:t>
            </w:r>
          </w:p>
        </w:tc>
        <w:tc>
          <w:tcPr>
            <w:tcW w:w="1425" w:type="dxa"/>
          </w:tcPr>
          <w:p w14:paraId="72A76FCA" w14:textId="28339FB8" w:rsidR="00EA444A" w:rsidRDefault="00EA444A" w:rsidP="00EA444A">
            <w:pPr>
              <w:jc w:val="center"/>
            </w:pPr>
            <w:r>
              <w:rPr>
                <w:spacing w:val="-5"/>
                <w:sz w:val="22"/>
              </w:rPr>
              <w:t>1.8</w:t>
            </w:r>
          </w:p>
        </w:tc>
      </w:tr>
      <w:tr w:rsidR="00EA444A" w:rsidRPr="006B76AE" w14:paraId="5A8A58DE" w14:textId="77777777" w:rsidTr="006D287B">
        <w:tc>
          <w:tcPr>
            <w:tcW w:w="3318" w:type="dxa"/>
          </w:tcPr>
          <w:p w14:paraId="1E52FB7A" w14:textId="1F7A79C1" w:rsidR="00EA444A" w:rsidRPr="006B76AE" w:rsidRDefault="00EA444A" w:rsidP="00EA444A">
            <w:r>
              <w:rPr>
                <w:sz w:val="22"/>
              </w:rPr>
              <w:t>Phosphate</w:t>
            </w:r>
            <w:r>
              <w:rPr>
                <w:spacing w:val="-4"/>
                <w:sz w:val="22"/>
              </w:rPr>
              <w:t xml:space="preserve"> </w:t>
            </w:r>
            <w:r>
              <w:rPr>
                <w:spacing w:val="-2"/>
                <w:sz w:val="22"/>
              </w:rPr>
              <w:t>decreased</w:t>
            </w:r>
          </w:p>
        </w:tc>
        <w:tc>
          <w:tcPr>
            <w:tcW w:w="1424" w:type="dxa"/>
          </w:tcPr>
          <w:p w14:paraId="70863F79" w14:textId="389DB688" w:rsidR="00EA444A" w:rsidRDefault="00EA444A" w:rsidP="00EA444A">
            <w:pPr>
              <w:jc w:val="center"/>
            </w:pPr>
            <w:r>
              <w:rPr>
                <w:spacing w:val="-5"/>
                <w:sz w:val="22"/>
              </w:rPr>
              <w:t>51</w:t>
            </w:r>
          </w:p>
        </w:tc>
        <w:tc>
          <w:tcPr>
            <w:tcW w:w="1425" w:type="dxa"/>
          </w:tcPr>
          <w:p w14:paraId="693E0216" w14:textId="15705BF2" w:rsidR="00EA444A" w:rsidRDefault="00EA444A" w:rsidP="00EA444A">
            <w:pPr>
              <w:jc w:val="center"/>
            </w:pPr>
            <w:r>
              <w:rPr>
                <w:spacing w:val="-5"/>
                <w:sz w:val="22"/>
              </w:rPr>
              <w:t>11</w:t>
            </w:r>
          </w:p>
        </w:tc>
        <w:tc>
          <w:tcPr>
            <w:tcW w:w="1424" w:type="dxa"/>
          </w:tcPr>
          <w:p w14:paraId="0AE2ED06" w14:textId="128412E8" w:rsidR="00EA444A" w:rsidRDefault="00EA444A" w:rsidP="00EA444A">
            <w:pPr>
              <w:jc w:val="center"/>
            </w:pPr>
            <w:r>
              <w:rPr>
                <w:spacing w:val="-5"/>
                <w:sz w:val="22"/>
              </w:rPr>
              <w:t>20</w:t>
            </w:r>
          </w:p>
        </w:tc>
        <w:tc>
          <w:tcPr>
            <w:tcW w:w="1425" w:type="dxa"/>
          </w:tcPr>
          <w:p w14:paraId="3EABA94A" w14:textId="6FD60666" w:rsidR="00EA444A" w:rsidRDefault="00EA444A" w:rsidP="00EA444A">
            <w:pPr>
              <w:jc w:val="center"/>
            </w:pPr>
            <w:r>
              <w:rPr>
                <w:sz w:val="22"/>
              </w:rPr>
              <w:t>2</w:t>
            </w:r>
          </w:p>
        </w:tc>
      </w:tr>
      <w:tr w:rsidR="00EA444A" w:rsidRPr="006B76AE" w14:paraId="43AF9271" w14:textId="77777777" w:rsidTr="006D287B">
        <w:tc>
          <w:tcPr>
            <w:tcW w:w="3318" w:type="dxa"/>
          </w:tcPr>
          <w:p w14:paraId="0CB01090" w14:textId="00C07922" w:rsidR="00EA444A" w:rsidRPr="006B76AE" w:rsidRDefault="00EA444A" w:rsidP="00EA444A">
            <w:r>
              <w:rPr>
                <w:sz w:val="22"/>
              </w:rPr>
              <w:t>Albumin</w:t>
            </w:r>
            <w:r>
              <w:rPr>
                <w:spacing w:val="-2"/>
                <w:sz w:val="22"/>
              </w:rPr>
              <w:t xml:space="preserve"> decreased</w:t>
            </w:r>
          </w:p>
        </w:tc>
        <w:tc>
          <w:tcPr>
            <w:tcW w:w="1424" w:type="dxa"/>
          </w:tcPr>
          <w:p w14:paraId="59780F05" w14:textId="72F3CD6A" w:rsidR="00EA444A" w:rsidRDefault="00EA444A" w:rsidP="00EA444A">
            <w:pPr>
              <w:jc w:val="center"/>
            </w:pPr>
            <w:r>
              <w:rPr>
                <w:spacing w:val="-5"/>
                <w:sz w:val="22"/>
              </w:rPr>
              <w:t>47</w:t>
            </w:r>
          </w:p>
        </w:tc>
        <w:tc>
          <w:tcPr>
            <w:tcW w:w="1425" w:type="dxa"/>
          </w:tcPr>
          <w:p w14:paraId="6DE5212F" w14:textId="0E1C40F7" w:rsidR="00EA444A" w:rsidRDefault="00EA444A" w:rsidP="00EA444A">
            <w:pPr>
              <w:jc w:val="center"/>
            </w:pPr>
            <w:r>
              <w:rPr>
                <w:spacing w:val="-5"/>
                <w:sz w:val="22"/>
              </w:rPr>
              <w:t>2.1</w:t>
            </w:r>
          </w:p>
        </w:tc>
        <w:tc>
          <w:tcPr>
            <w:tcW w:w="1424" w:type="dxa"/>
          </w:tcPr>
          <w:p w14:paraId="0A36F745" w14:textId="6CF5007F" w:rsidR="00EA444A" w:rsidRDefault="00EA444A" w:rsidP="00EA444A">
            <w:pPr>
              <w:jc w:val="center"/>
            </w:pPr>
            <w:r>
              <w:rPr>
                <w:spacing w:val="-5"/>
                <w:sz w:val="22"/>
              </w:rPr>
              <w:t>14</w:t>
            </w:r>
          </w:p>
        </w:tc>
        <w:tc>
          <w:tcPr>
            <w:tcW w:w="1425" w:type="dxa"/>
          </w:tcPr>
          <w:p w14:paraId="79B8DAD2" w14:textId="0E20EDE5" w:rsidR="00EA444A" w:rsidRDefault="00EA444A" w:rsidP="00EA444A">
            <w:pPr>
              <w:jc w:val="center"/>
            </w:pPr>
            <w:r>
              <w:rPr>
                <w:spacing w:val="-5"/>
                <w:sz w:val="22"/>
              </w:rPr>
              <w:t>0.9</w:t>
            </w:r>
          </w:p>
        </w:tc>
      </w:tr>
      <w:tr w:rsidR="00EA444A" w:rsidRPr="006B76AE" w14:paraId="3D093613" w14:textId="77777777" w:rsidTr="006D287B">
        <w:tc>
          <w:tcPr>
            <w:tcW w:w="3318" w:type="dxa"/>
          </w:tcPr>
          <w:p w14:paraId="23FF629F" w14:textId="20531115" w:rsidR="00EA444A" w:rsidRPr="006B76AE" w:rsidRDefault="00EA444A" w:rsidP="00EA444A">
            <w:r>
              <w:rPr>
                <w:sz w:val="22"/>
              </w:rPr>
              <w:t>Calcium</w:t>
            </w:r>
            <w:r>
              <w:rPr>
                <w:spacing w:val="-3"/>
                <w:sz w:val="22"/>
              </w:rPr>
              <w:t xml:space="preserve"> </w:t>
            </w:r>
            <w:r>
              <w:rPr>
                <w:spacing w:val="-2"/>
                <w:sz w:val="22"/>
              </w:rPr>
              <w:t>decreased</w:t>
            </w:r>
          </w:p>
        </w:tc>
        <w:tc>
          <w:tcPr>
            <w:tcW w:w="1424" w:type="dxa"/>
          </w:tcPr>
          <w:p w14:paraId="17772E5A" w14:textId="2DC31085" w:rsidR="00EA444A" w:rsidRDefault="00EA444A" w:rsidP="00EA444A">
            <w:pPr>
              <w:jc w:val="center"/>
            </w:pPr>
            <w:r>
              <w:rPr>
                <w:spacing w:val="-5"/>
                <w:sz w:val="22"/>
              </w:rPr>
              <w:t>45</w:t>
            </w:r>
          </w:p>
        </w:tc>
        <w:tc>
          <w:tcPr>
            <w:tcW w:w="1425" w:type="dxa"/>
          </w:tcPr>
          <w:p w14:paraId="5239FC33" w14:textId="2F5D9981" w:rsidR="00EA444A" w:rsidRDefault="00EA444A" w:rsidP="00EA444A">
            <w:pPr>
              <w:jc w:val="center"/>
            </w:pPr>
            <w:r>
              <w:rPr>
                <w:spacing w:val="-5"/>
                <w:sz w:val="22"/>
              </w:rPr>
              <w:t>1.6</w:t>
            </w:r>
          </w:p>
        </w:tc>
        <w:tc>
          <w:tcPr>
            <w:tcW w:w="1424" w:type="dxa"/>
          </w:tcPr>
          <w:p w14:paraId="158D11A3" w14:textId="34D6C5E0" w:rsidR="00EA444A" w:rsidRDefault="00EA444A" w:rsidP="00EA444A">
            <w:pPr>
              <w:jc w:val="center"/>
            </w:pPr>
            <w:r>
              <w:rPr>
                <w:spacing w:val="-5"/>
                <w:sz w:val="22"/>
              </w:rPr>
              <w:t>15</w:t>
            </w:r>
          </w:p>
        </w:tc>
        <w:tc>
          <w:tcPr>
            <w:tcW w:w="1425" w:type="dxa"/>
          </w:tcPr>
          <w:p w14:paraId="5FEA5D46" w14:textId="2E71FE50" w:rsidR="00EA444A" w:rsidRDefault="00EA444A" w:rsidP="00EA444A">
            <w:pPr>
              <w:jc w:val="center"/>
            </w:pPr>
            <w:r>
              <w:rPr>
                <w:spacing w:val="-5"/>
                <w:sz w:val="22"/>
              </w:rPr>
              <w:t>1.9</w:t>
            </w:r>
          </w:p>
        </w:tc>
      </w:tr>
      <w:tr w:rsidR="00EA444A" w:rsidRPr="006B76AE" w14:paraId="444F4E83" w14:textId="77777777" w:rsidTr="006D287B">
        <w:tc>
          <w:tcPr>
            <w:tcW w:w="3318" w:type="dxa"/>
          </w:tcPr>
          <w:p w14:paraId="43305233" w14:textId="66361807" w:rsidR="00EA444A" w:rsidRPr="006B76AE" w:rsidRDefault="00EA444A" w:rsidP="00EA444A">
            <w:r>
              <w:rPr>
                <w:sz w:val="22"/>
              </w:rPr>
              <w:t>Lipase</w:t>
            </w:r>
            <w:r>
              <w:rPr>
                <w:spacing w:val="-2"/>
                <w:sz w:val="22"/>
              </w:rPr>
              <w:t xml:space="preserve"> increased</w:t>
            </w:r>
          </w:p>
        </w:tc>
        <w:tc>
          <w:tcPr>
            <w:tcW w:w="1424" w:type="dxa"/>
          </w:tcPr>
          <w:p w14:paraId="2FCE52B5" w14:textId="4444C3FF" w:rsidR="00EA444A" w:rsidRDefault="00EA444A" w:rsidP="00EA444A">
            <w:pPr>
              <w:jc w:val="center"/>
            </w:pPr>
            <w:r>
              <w:rPr>
                <w:spacing w:val="-5"/>
                <w:sz w:val="22"/>
              </w:rPr>
              <w:t>37</w:t>
            </w:r>
          </w:p>
        </w:tc>
        <w:tc>
          <w:tcPr>
            <w:tcW w:w="1425" w:type="dxa"/>
          </w:tcPr>
          <w:p w14:paraId="1947BDFA" w14:textId="1D1FE65B" w:rsidR="00EA444A" w:rsidRDefault="00EA444A" w:rsidP="00EA444A">
            <w:pPr>
              <w:jc w:val="center"/>
            </w:pPr>
            <w:r>
              <w:rPr>
                <w:spacing w:val="-5"/>
                <w:sz w:val="22"/>
              </w:rPr>
              <w:t>15</w:t>
            </w:r>
          </w:p>
        </w:tc>
        <w:tc>
          <w:tcPr>
            <w:tcW w:w="1424" w:type="dxa"/>
          </w:tcPr>
          <w:p w14:paraId="704FD996" w14:textId="6BD4E6EE" w:rsidR="00EA444A" w:rsidRDefault="00EA444A" w:rsidP="00EA444A">
            <w:pPr>
              <w:jc w:val="center"/>
            </w:pPr>
            <w:r>
              <w:rPr>
                <w:spacing w:val="-5"/>
                <w:sz w:val="22"/>
              </w:rPr>
              <w:t>28</w:t>
            </w:r>
          </w:p>
        </w:tc>
        <w:tc>
          <w:tcPr>
            <w:tcW w:w="1425" w:type="dxa"/>
          </w:tcPr>
          <w:p w14:paraId="425B516B" w14:textId="61AC294D" w:rsidR="00EA444A" w:rsidRDefault="00EA444A" w:rsidP="00EA444A">
            <w:pPr>
              <w:jc w:val="center"/>
            </w:pPr>
            <w:r>
              <w:rPr>
                <w:sz w:val="22"/>
              </w:rPr>
              <w:t>6</w:t>
            </w:r>
          </w:p>
        </w:tc>
      </w:tr>
      <w:tr w:rsidR="00EA444A" w:rsidRPr="006B76AE" w14:paraId="5419546B" w14:textId="77777777" w:rsidTr="006D287B">
        <w:tc>
          <w:tcPr>
            <w:tcW w:w="3318" w:type="dxa"/>
          </w:tcPr>
          <w:p w14:paraId="7C2011BE" w14:textId="24B95E18" w:rsidR="00EA444A" w:rsidRPr="006B76AE" w:rsidRDefault="00EA444A" w:rsidP="00EA444A">
            <w:r>
              <w:rPr>
                <w:sz w:val="22"/>
              </w:rPr>
              <w:t>Magnesium</w:t>
            </w:r>
            <w:r>
              <w:rPr>
                <w:spacing w:val="-4"/>
                <w:sz w:val="22"/>
              </w:rPr>
              <w:t xml:space="preserve"> </w:t>
            </w:r>
            <w:r>
              <w:rPr>
                <w:spacing w:val="-2"/>
                <w:sz w:val="22"/>
              </w:rPr>
              <w:t>decreased</w:t>
            </w:r>
          </w:p>
        </w:tc>
        <w:tc>
          <w:tcPr>
            <w:tcW w:w="1424" w:type="dxa"/>
          </w:tcPr>
          <w:p w14:paraId="7555A540" w14:textId="765B8081" w:rsidR="00EA444A" w:rsidRDefault="00EA444A" w:rsidP="00EA444A">
            <w:pPr>
              <w:jc w:val="center"/>
            </w:pPr>
            <w:r>
              <w:rPr>
                <w:spacing w:val="-5"/>
                <w:sz w:val="22"/>
              </w:rPr>
              <w:t>34</w:t>
            </w:r>
          </w:p>
        </w:tc>
        <w:tc>
          <w:tcPr>
            <w:tcW w:w="1425" w:type="dxa"/>
          </w:tcPr>
          <w:p w14:paraId="71B17292" w14:textId="2F5DC123" w:rsidR="00EA444A" w:rsidRDefault="00EA444A" w:rsidP="00EA444A">
            <w:pPr>
              <w:jc w:val="center"/>
            </w:pPr>
            <w:r>
              <w:rPr>
                <w:sz w:val="22"/>
              </w:rPr>
              <w:t>0</w:t>
            </w:r>
          </w:p>
        </w:tc>
        <w:tc>
          <w:tcPr>
            <w:tcW w:w="1424" w:type="dxa"/>
          </w:tcPr>
          <w:p w14:paraId="3F8541A7" w14:textId="3AC72153" w:rsidR="00EA444A" w:rsidRDefault="00EA444A" w:rsidP="00EA444A">
            <w:pPr>
              <w:jc w:val="center"/>
            </w:pPr>
            <w:r>
              <w:rPr>
                <w:sz w:val="22"/>
              </w:rPr>
              <w:t>8</w:t>
            </w:r>
          </w:p>
        </w:tc>
        <w:tc>
          <w:tcPr>
            <w:tcW w:w="1425" w:type="dxa"/>
          </w:tcPr>
          <w:p w14:paraId="76346BD2" w14:textId="04563D2E" w:rsidR="00EA444A" w:rsidRDefault="00EA444A" w:rsidP="00EA444A">
            <w:pPr>
              <w:jc w:val="center"/>
            </w:pPr>
            <w:r>
              <w:rPr>
                <w:sz w:val="22"/>
              </w:rPr>
              <w:t>0</w:t>
            </w:r>
          </w:p>
        </w:tc>
      </w:tr>
      <w:tr w:rsidR="00EA444A" w:rsidRPr="006B76AE" w14:paraId="08918E7C" w14:textId="77777777" w:rsidTr="006D287B">
        <w:tc>
          <w:tcPr>
            <w:tcW w:w="3318" w:type="dxa"/>
          </w:tcPr>
          <w:p w14:paraId="5EE556A9" w14:textId="47BA93D2" w:rsidR="00EA444A" w:rsidRPr="006B76AE" w:rsidRDefault="0019187F" w:rsidP="00EA444A">
            <w:r>
              <w:rPr>
                <w:sz w:val="22"/>
              </w:rPr>
              <w:t>ALP</w:t>
            </w:r>
            <w:r w:rsidR="00EA444A">
              <w:rPr>
                <w:spacing w:val="-2"/>
                <w:sz w:val="22"/>
              </w:rPr>
              <w:t xml:space="preserve"> increased</w:t>
            </w:r>
          </w:p>
        </w:tc>
        <w:tc>
          <w:tcPr>
            <w:tcW w:w="1424" w:type="dxa"/>
          </w:tcPr>
          <w:p w14:paraId="1F3A6CB2" w14:textId="6F75A0A0" w:rsidR="00EA444A" w:rsidRDefault="00EA444A" w:rsidP="00EA444A">
            <w:pPr>
              <w:jc w:val="center"/>
            </w:pPr>
            <w:r>
              <w:rPr>
                <w:spacing w:val="-5"/>
                <w:sz w:val="22"/>
              </w:rPr>
              <w:t>34</w:t>
            </w:r>
          </w:p>
        </w:tc>
        <w:tc>
          <w:tcPr>
            <w:tcW w:w="1425" w:type="dxa"/>
          </w:tcPr>
          <w:p w14:paraId="1F68BBFD" w14:textId="0EA00427" w:rsidR="00EA444A" w:rsidRDefault="00EA444A" w:rsidP="00EA444A">
            <w:pPr>
              <w:jc w:val="center"/>
            </w:pPr>
            <w:r>
              <w:rPr>
                <w:spacing w:val="-5"/>
                <w:sz w:val="22"/>
              </w:rPr>
              <w:t>2.9</w:t>
            </w:r>
          </w:p>
        </w:tc>
        <w:tc>
          <w:tcPr>
            <w:tcW w:w="1424" w:type="dxa"/>
          </w:tcPr>
          <w:p w14:paraId="10008BCA" w14:textId="2BCC008B" w:rsidR="00EA444A" w:rsidRDefault="00EA444A" w:rsidP="00EA444A">
            <w:pPr>
              <w:jc w:val="center"/>
            </w:pPr>
            <w:r>
              <w:rPr>
                <w:spacing w:val="-5"/>
                <w:sz w:val="22"/>
              </w:rPr>
              <w:t>36</w:t>
            </w:r>
          </w:p>
        </w:tc>
        <w:tc>
          <w:tcPr>
            <w:tcW w:w="1425" w:type="dxa"/>
          </w:tcPr>
          <w:p w14:paraId="7FFF84AB" w14:textId="4C3DAD10" w:rsidR="00EA444A" w:rsidRDefault="00EA444A" w:rsidP="00EA444A">
            <w:pPr>
              <w:jc w:val="center"/>
            </w:pPr>
            <w:r>
              <w:rPr>
                <w:spacing w:val="-5"/>
                <w:sz w:val="22"/>
              </w:rPr>
              <w:t>1.8</w:t>
            </w:r>
          </w:p>
        </w:tc>
      </w:tr>
      <w:tr w:rsidR="00EA444A" w:rsidRPr="006B76AE" w14:paraId="08FF0AA1" w14:textId="77777777" w:rsidTr="006D287B">
        <w:tc>
          <w:tcPr>
            <w:tcW w:w="3318" w:type="dxa"/>
          </w:tcPr>
          <w:p w14:paraId="630F4D55" w14:textId="75250D1C" w:rsidR="00EA444A" w:rsidRPr="006B76AE" w:rsidRDefault="00EA444A" w:rsidP="00EA444A">
            <w:r>
              <w:rPr>
                <w:sz w:val="22"/>
              </w:rPr>
              <w:t>Sodium</w:t>
            </w:r>
            <w:r>
              <w:rPr>
                <w:spacing w:val="-2"/>
                <w:sz w:val="22"/>
              </w:rPr>
              <w:t xml:space="preserve"> decreased</w:t>
            </w:r>
          </w:p>
        </w:tc>
        <w:tc>
          <w:tcPr>
            <w:tcW w:w="1424" w:type="dxa"/>
          </w:tcPr>
          <w:p w14:paraId="5D16A79E" w14:textId="2974E442" w:rsidR="00EA444A" w:rsidRDefault="00EA444A" w:rsidP="00EA444A">
            <w:pPr>
              <w:jc w:val="center"/>
            </w:pPr>
            <w:r>
              <w:rPr>
                <w:spacing w:val="-5"/>
                <w:sz w:val="22"/>
              </w:rPr>
              <w:t>30</w:t>
            </w:r>
          </w:p>
        </w:tc>
        <w:tc>
          <w:tcPr>
            <w:tcW w:w="1425" w:type="dxa"/>
          </w:tcPr>
          <w:p w14:paraId="49294E43" w14:textId="04657FD6" w:rsidR="00EA444A" w:rsidRDefault="00EA444A" w:rsidP="00EA444A">
            <w:pPr>
              <w:jc w:val="center"/>
            </w:pPr>
            <w:r>
              <w:rPr>
                <w:spacing w:val="-5"/>
                <w:sz w:val="22"/>
              </w:rPr>
              <w:t>2.9</w:t>
            </w:r>
          </w:p>
        </w:tc>
        <w:tc>
          <w:tcPr>
            <w:tcW w:w="1424" w:type="dxa"/>
          </w:tcPr>
          <w:p w14:paraId="50AC2F77" w14:textId="44E5EFA3" w:rsidR="00EA444A" w:rsidRDefault="00EA444A" w:rsidP="00EA444A">
            <w:pPr>
              <w:jc w:val="center"/>
            </w:pPr>
            <w:r>
              <w:rPr>
                <w:spacing w:val="-5"/>
                <w:sz w:val="22"/>
              </w:rPr>
              <w:t>15</w:t>
            </w:r>
          </w:p>
        </w:tc>
        <w:tc>
          <w:tcPr>
            <w:tcW w:w="1425" w:type="dxa"/>
          </w:tcPr>
          <w:p w14:paraId="78A5BAE0" w14:textId="44271136" w:rsidR="00EA444A" w:rsidRDefault="00EA444A" w:rsidP="00EA444A">
            <w:pPr>
              <w:jc w:val="center"/>
            </w:pPr>
            <w:r>
              <w:rPr>
                <w:spacing w:val="-5"/>
                <w:sz w:val="22"/>
              </w:rPr>
              <w:t>0.9</w:t>
            </w:r>
          </w:p>
        </w:tc>
      </w:tr>
      <w:tr w:rsidR="00EA444A" w:rsidRPr="006B76AE" w14:paraId="20E4DC78" w14:textId="77777777" w:rsidTr="006D287B">
        <w:tc>
          <w:tcPr>
            <w:tcW w:w="3318" w:type="dxa"/>
          </w:tcPr>
          <w:p w14:paraId="4C886681" w14:textId="29CC2C05" w:rsidR="00EA444A" w:rsidRPr="006B76AE" w:rsidRDefault="00EA444A" w:rsidP="00EA444A">
            <w:r>
              <w:rPr>
                <w:sz w:val="22"/>
              </w:rPr>
              <w:t>Potassium</w:t>
            </w:r>
            <w:r>
              <w:rPr>
                <w:spacing w:val="-7"/>
                <w:sz w:val="22"/>
              </w:rPr>
              <w:t xml:space="preserve"> </w:t>
            </w:r>
            <w:r>
              <w:rPr>
                <w:spacing w:val="-2"/>
                <w:sz w:val="22"/>
              </w:rPr>
              <w:t>increased</w:t>
            </w:r>
          </w:p>
        </w:tc>
        <w:tc>
          <w:tcPr>
            <w:tcW w:w="1424" w:type="dxa"/>
          </w:tcPr>
          <w:p w14:paraId="27D146D2" w14:textId="18C188C5" w:rsidR="00EA444A" w:rsidRDefault="00EA444A" w:rsidP="00EA444A">
            <w:pPr>
              <w:jc w:val="center"/>
            </w:pPr>
            <w:r>
              <w:rPr>
                <w:spacing w:val="-5"/>
                <w:sz w:val="22"/>
              </w:rPr>
              <w:t>29</w:t>
            </w:r>
          </w:p>
        </w:tc>
        <w:tc>
          <w:tcPr>
            <w:tcW w:w="1425" w:type="dxa"/>
          </w:tcPr>
          <w:p w14:paraId="2296A59B" w14:textId="53A8B5F2" w:rsidR="00EA444A" w:rsidRDefault="00EA444A" w:rsidP="00EA444A">
            <w:pPr>
              <w:jc w:val="center"/>
            </w:pPr>
            <w:r>
              <w:rPr>
                <w:spacing w:val="-5"/>
                <w:sz w:val="22"/>
              </w:rPr>
              <w:t>1.6</w:t>
            </w:r>
          </w:p>
        </w:tc>
        <w:tc>
          <w:tcPr>
            <w:tcW w:w="1424" w:type="dxa"/>
          </w:tcPr>
          <w:p w14:paraId="085BF172" w14:textId="0A58F097" w:rsidR="00EA444A" w:rsidRDefault="00EA444A" w:rsidP="00EA444A">
            <w:pPr>
              <w:jc w:val="center"/>
            </w:pPr>
            <w:r>
              <w:rPr>
                <w:spacing w:val="-5"/>
                <w:sz w:val="22"/>
              </w:rPr>
              <w:t>15</w:t>
            </w:r>
          </w:p>
        </w:tc>
        <w:tc>
          <w:tcPr>
            <w:tcW w:w="1425" w:type="dxa"/>
          </w:tcPr>
          <w:p w14:paraId="4A4A567D" w14:textId="11128502" w:rsidR="00EA444A" w:rsidRDefault="00EA444A" w:rsidP="00EA444A">
            <w:pPr>
              <w:jc w:val="center"/>
            </w:pPr>
            <w:r>
              <w:rPr>
                <w:spacing w:val="-5"/>
                <w:sz w:val="22"/>
              </w:rPr>
              <w:t>0.9</w:t>
            </w:r>
          </w:p>
        </w:tc>
      </w:tr>
      <w:tr w:rsidR="00EA444A" w:rsidRPr="006B76AE" w14:paraId="4C9AC4C1" w14:textId="77777777" w:rsidTr="006D287B">
        <w:tc>
          <w:tcPr>
            <w:tcW w:w="3318" w:type="dxa"/>
          </w:tcPr>
          <w:p w14:paraId="6E6F6EFE" w14:textId="0E856164" w:rsidR="00EA444A" w:rsidRPr="006B76AE" w:rsidRDefault="00EA444A" w:rsidP="00EA444A">
            <w:r>
              <w:rPr>
                <w:sz w:val="22"/>
              </w:rPr>
              <w:t>Bilirubin</w:t>
            </w:r>
            <w:r>
              <w:rPr>
                <w:spacing w:val="-6"/>
                <w:sz w:val="22"/>
              </w:rPr>
              <w:t xml:space="preserve"> </w:t>
            </w:r>
            <w:r>
              <w:rPr>
                <w:spacing w:val="-2"/>
                <w:sz w:val="22"/>
              </w:rPr>
              <w:t>increased</w:t>
            </w:r>
          </w:p>
        </w:tc>
        <w:tc>
          <w:tcPr>
            <w:tcW w:w="1424" w:type="dxa"/>
          </w:tcPr>
          <w:p w14:paraId="4401F4A5" w14:textId="2DF5EDA1" w:rsidR="00EA444A" w:rsidRDefault="00EA444A" w:rsidP="00EA444A">
            <w:pPr>
              <w:jc w:val="center"/>
            </w:pPr>
            <w:r>
              <w:rPr>
                <w:spacing w:val="-5"/>
                <w:sz w:val="22"/>
              </w:rPr>
              <w:t>27</w:t>
            </w:r>
          </w:p>
        </w:tc>
        <w:tc>
          <w:tcPr>
            <w:tcW w:w="1425" w:type="dxa"/>
          </w:tcPr>
          <w:p w14:paraId="1A1326D9" w14:textId="4EAA0B16" w:rsidR="00EA444A" w:rsidRDefault="00EA444A" w:rsidP="00EA444A">
            <w:pPr>
              <w:jc w:val="center"/>
            </w:pPr>
            <w:r>
              <w:rPr>
                <w:spacing w:val="-5"/>
                <w:sz w:val="22"/>
              </w:rPr>
              <w:t>4.1</w:t>
            </w:r>
          </w:p>
        </w:tc>
        <w:tc>
          <w:tcPr>
            <w:tcW w:w="1424" w:type="dxa"/>
          </w:tcPr>
          <w:p w14:paraId="6BC6228E" w14:textId="6C781D69" w:rsidR="00EA444A" w:rsidRDefault="00EA444A" w:rsidP="00EA444A">
            <w:pPr>
              <w:jc w:val="center"/>
            </w:pPr>
            <w:r>
              <w:rPr>
                <w:spacing w:val="-5"/>
                <w:sz w:val="22"/>
              </w:rPr>
              <w:t>14</w:t>
            </w:r>
          </w:p>
        </w:tc>
        <w:tc>
          <w:tcPr>
            <w:tcW w:w="1425" w:type="dxa"/>
          </w:tcPr>
          <w:p w14:paraId="2B28859E" w14:textId="570D3DDA" w:rsidR="00EA444A" w:rsidRDefault="00EA444A" w:rsidP="00EA444A">
            <w:pPr>
              <w:jc w:val="center"/>
            </w:pPr>
            <w:r>
              <w:rPr>
                <w:sz w:val="22"/>
              </w:rPr>
              <w:t>7</w:t>
            </w:r>
          </w:p>
        </w:tc>
      </w:tr>
    </w:tbl>
    <w:p w14:paraId="0325A69A" w14:textId="73CCC5B9" w:rsidR="00EA444A" w:rsidRPr="006D287B" w:rsidRDefault="00EA444A" w:rsidP="006D287B">
      <w:pPr>
        <w:spacing w:after="0"/>
        <w:rPr>
          <w:sz w:val="20"/>
          <w:szCs w:val="20"/>
        </w:rPr>
      </w:pPr>
      <w:r w:rsidRPr="006D287B">
        <w:rPr>
          <w:sz w:val="20"/>
          <w:szCs w:val="20"/>
        </w:rPr>
        <w:t>A</w:t>
      </w:r>
      <w:r w:rsidR="0019187F">
        <w:rPr>
          <w:sz w:val="20"/>
          <w:szCs w:val="20"/>
        </w:rPr>
        <w:t>LP</w:t>
      </w:r>
      <w:r w:rsidRPr="006D287B">
        <w:rPr>
          <w:sz w:val="20"/>
          <w:szCs w:val="20"/>
        </w:rPr>
        <w:t xml:space="preserve"> = </w:t>
      </w:r>
      <w:r w:rsidR="0019187F">
        <w:rPr>
          <w:sz w:val="20"/>
          <w:szCs w:val="20"/>
        </w:rPr>
        <w:t>a</w:t>
      </w:r>
      <w:r w:rsidRPr="006D287B">
        <w:rPr>
          <w:sz w:val="20"/>
          <w:szCs w:val="20"/>
        </w:rPr>
        <w:t xml:space="preserve">lkaline </w:t>
      </w:r>
      <w:r w:rsidR="0019187F">
        <w:rPr>
          <w:sz w:val="20"/>
          <w:szCs w:val="20"/>
        </w:rPr>
        <w:t>p</w:t>
      </w:r>
      <w:r w:rsidRPr="006D287B">
        <w:rPr>
          <w:sz w:val="20"/>
          <w:szCs w:val="20"/>
        </w:rPr>
        <w:t>hosphatase; AST=aspartate aminotransferase; ALT=alanine aminotransferase</w:t>
      </w:r>
      <w:r w:rsidR="00DA348C">
        <w:rPr>
          <w:sz w:val="20"/>
          <w:szCs w:val="20"/>
        </w:rPr>
        <w:t>; IC = investigator’s choice of pembrolizumab or ipilimumab or dacarbazine</w:t>
      </w:r>
    </w:p>
    <w:p w14:paraId="4468C7D7" w14:textId="2ABB78DB" w:rsidR="00EA444A" w:rsidRPr="006D287B" w:rsidRDefault="00EA444A" w:rsidP="006D287B">
      <w:pPr>
        <w:spacing w:after="0"/>
        <w:rPr>
          <w:sz w:val="20"/>
          <w:szCs w:val="20"/>
        </w:rPr>
      </w:pPr>
      <w:proofErr w:type="spellStart"/>
      <w:r w:rsidRPr="006D287B">
        <w:rPr>
          <w:sz w:val="20"/>
          <w:szCs w:val="20"/>
          <w:vertAlign w:val="superscript"/>
        </w:rPr>
        <w:t>a</w:t>
      </w:r>
      <w:proofErr w:type="spellEnd"/>
      <w:r w:rsidRPr="006D287B">
        <w:rPr>
          <w:sz w:val="20"/>
          <w:szCs w:val="20"/>
        </w:rPr>
        <w:t xml:space="preserve"> </w:t>
      </w:r>
      <w:proofErr w:type="gramStart"/>
      <w:r w:rsidRPr="006D287B">
        <w:rPr>
          <w:sz w:val="20"/>
          <w:szCs w:val="20"/>
        </w:rPr>
        <w:t>The</w:t>
      </w:r>
      <w:proofErr w:type="gramEnd"/>
      <w:r w:rsidRPr="006D287B">
        <w:rPr>
          <w:sz w:val="20"/>
          <w:szCs w:val="20"/>
        </w:rPr>
        <w:t xml:space="preserve"> denominator used to calculate the rate</w:t>
      </w:r>
      <w:r w:rsidR="001E0070">
        <w:rPr>
          <w:sz w:val="20"/>
          <w:szCs w:val="20"/>
        </w:rPr>
        <w:t xml:space="preserve"> (number of patients with a baseline and at least one post-treatment value)</w:t>
      </w:r>
      <w:r w:rsidRPr="006D287B">
        <w:rPr>
          <w:sz w:val="20"/>
          <w:szCs w:val="20"/>
        </w:rPr>
        <w:t xml:space="preserve"> varied </w:t>
      </w:r>
      <w:r w:rsidR="001E0070">
        <w:rPr>
          <w:sz w:val="20"/>
          <w:szCs w:val="20"/>
        </w:rPr>
        <w:t>between</w:t>
      </w:r>
      <w:r w:rsidRPr="006D287B">
        <w:rPr>
          <w:sz w:val="20"/>
          <w:szCs w:val="20"/>
        </w:rPr>
        <w:t xml:space="preserve"> 242 </w:t>
      </w:r>
      <w:r w:rsidR="001E0070">
        <w:rPr>
          <w:sz w:val="20"/>
          <w:szCs w:val="20"/>
        </w:rPr>
        <w:t>and</w:t>
      </w:r>
      <w:r w:rsidRPr="006D287B">
        <w:rPr>
          <w:sz w:val="20"/>
          <w:szCs w:val="20"/>
        </w:rPr>
        <w:t xml:space="preserve"> 245 for KIMMTRAK</w:t>
      </w:r>
      <w:r w:rsidR="001E0070">
        <w:rPr>
          <w:sz w:val="20"/>
          <w:szCs w:val="20"/>
        </w:rPr>
        <w:t>,</w:t>
      </w:r>
      <w:r w:rsidRPr="006D287B">
        <w:rPr>
          <w:sz w:val="20"/>
          <w:szCs w:val="20"/>
        </w:rPr>
        <w:t xml:space="preserve"> and </w:t>
      </w:r>
      <w:r w:rsidR="001E0070">
        <w:rPr>
          <w:sz w:val="20"/>
          <w:szCs w:val="20"/>
        </w:rPr>
        <w:t xml:space="preserve">between </w:t>
      </w:r>
      <w:r w:rsidRPr="006D287B">
        <w:rPr>
          <w:sz w:val="20"/>
          <w:szCs w:val="20"/>
        </w:rPr>
        <w:t xml:space="preserve">105 </w:t>
      </w:r>
      <w:r w:rsidR="001E0070">
        <w:rPr>
          <w:sz w:val="20"/>
          <w:szCs w:val="20"/>
        </w:rPr>
        <w:t>and</w:t>
      </w:r>
      <w:r w:rsidRPr="006D287B">
        <w:rPr>
          <w:sz w:val="20"/>
          <w:szCs w:val="20"/>
        </w:rPr>
        <w:t xml:space="preserve"> 109 for IC</w:t>
      </w:r>
      <w:r w:rsidR="001E0070">
        <w:rPr>
          <w:sz w:val="20"/>
          <w:szCs w:val="20"/>
        </w:rPr>
        <w:t>.</w:t>
      </w:r>
    </w:p>
    <w:p w14:paraId="10B22F21" w14:textId="3460731D" w:rsidR="0091569D" w:rsidRPr="00646FA9" w:rsidRDefault="0091569D" w:rsidP="000F0660">
      <w:pPr>
        <w:pStyle w:val="Heading3"/>
        <w:rPr>
          <w:shd w:val="clear" w:color="auto" w:fill="FFFFFF" w:themeFill="background1"/>
        </w:rPr>
      </w:pPr>
      <w:bookmarkStart w:id="19" w:name="_Ref99370517"/>
      <w:bookmarkEnd w:id="16"/>
      <w:r w:rsidRPr="00646FA9">
        <w:rPr>
          <w:shd w:val="clear" w:color="auto" w:fill="FFFFFF" w:themeFill="background1"/>
        </w:rPr>
        <w:t>Description of selected adverse reactions</w:t>
      </w:r>
      <w:bookmarkEnd w:id="19"/>
      <w:r w:rsidRPr="00646FA9">
        <w:rPr>
          <w:shd w:val="clear" w:color="auto" w:fill="FFFFFF" w:themeFill="background1"/>
        </w:rPr>
        <w:t xml:space="preserve"> </w:t>
      </w:r>
    </w:p>
    <w:p w14:paraId="1EC6AEBA" w14:textId="77777777" w:rsidR="0091569D" w:rsidRPr="0091569D" w:rsidRDefault="0091569D" w:rsidP="000F0660">
      <w:pPr>
        <w:pStyle w:val="Heading4"/>
      </w:pPr>
      <w:r w:rsidRPr="0091569D">
        <w:t>Cytokine release syndrome (CRS)</w:t>
      </w:r>
    </w:p>
    <w:p w14:paraId="6B26AF6D" w14:textId="58DE1479" w:rsidR="00BC1258" w:rsidRDefault="000B26AC" w:rsidP="00BC1258">
      <w:r>
        <w:t xml:space="preserve">In Study IMCgp100-202, CRS </w:t>
      </w:r>
      <w:r w:rsidR="001E0070">
        <w:t xml:space="preserve">of at least Grade 2 severity occurred </w:t>
      </w:r>
      <w:r w:rsidR="002E0D5C">
        <w:t xml:space="preserve">with KIMMTRAK infusion </w:t>
      </w:r>
      <w:r>
        <w:t>at least once</w:t>
      </w:r>
      <w:r w:rsidR="001E0070">
        <w:t xml:space="preserve"> for 77% of patients</w:t>
      </w:r>
      <w:r>
        <w:t xml:space="preserve">, and 60% experienced it at least twice. </w:t>
      </w:r>
      <w:r w:rsidRPr="007A7E79">
        <w:t xml:space="preserve">In </w:t>
      </w:r>
      <w:r w:rsidR="001E0070">
        <w:t>most</w:t>
      </w:r>
      <w:r w:rsidRPr="007A7E79">
        <w:t xml:space="preserve"> cases, CRS started on the day of infusion. </w:t>
      </w:r>
      <w:r w:rsidR="001E0070">
        <w:t>Fever</w:t>
      </w:r>
      <w:r w:rsidRPr="007A7E79">
        <w:t xml:space="preserve"> was noted in nearly all cases of CRS, generally within the first 8 hours after KIMMTRAK infusion. </w:t>
      </w:r>
    </w:p>
    <w:p w14:paraId="42198F64" w14:textId="78C76A88" w:rsidR="000B26AC" w:rsidRDefault="000B26AC" w:rsidP="000B26AC">
      <w:r>
        <w:t>Systemic corticosteroids were received by 23% of patients, supplemental oxygen was received by 8% of patients, and vasopressor treatment was received by 0.8% of patients to treat CRS</w:t>
      </w:r>
      <w:r w:rsidRPr="009C2B75">
        <w:t xml:space="preserve"> </w:t>
      </w:r>
      <w:r>
        <w:t>during at least one infusion. Among cases that resolved, the median time to resolution of CRS was 2 days.</w:t>
      </w:r>
      <w:r w:rsidRPr="007A7E79">
        <w:t xml:space="preserve"> </w:t>
      </w:r>
      <w:r w:rsidR="0091569D" w:rsidRPr="0091569D">
        <w:t>CRS led to</w:t>
      </w:r>
      <w:r>
        <w:t xml:space="preserve"> permanent</w:t>
      </w:r>
      <w:r w:rsidR="0091569D" w:rsidRPr="0091569D">
        <w:t xml:space="preserve"> treatment discontinuation</w:t>
      </w:r>
      <w:r>
        <w:t xml:space="preserve"> in 1.2% of patients</w:t>
      </w:r>
      <w:r w:rsidR="0091569D" w:rsidRPr="0091569D">
        <w:t xml:space="preserve">. </w:t>
      </w:r>
    </w:p>
    <w:p w14:paraId="5FB4382A" w14:textId="77777777" w:rsidR="0091569D" w:rsidRPr="0091569D" w:rsidRDefault="0091569D" w:rsidP="000F0660">
      <w:pPr>
        <w:pStyle w:val="Heading4"/>
      </w:pPr>
      <w:r w:rsidRPr="0091569D">
        <w:t>Acute skin reactions</w:t>
      </w:r>
    </w:p>
    <w:p w14:paraId="1FDB7D8C" w14:textId="0C7473BC" w:rsidR="0091569D" w:rsidRPr="0091569D" w:rsidRDefault="0091569D" w:rsidP="000F0660">
      <w:r w:rsidRPr="0091569D">
        <w:t>In Study IMCgp100-202, acute skin reactions occurred in 91</w:t>
      </w:r>
      <w:r w:rsidR="0035777F">
        <w:t>%</w:t>
      </w:r>
      <w:r w:rsidRPr="0091569D">
        <w:t xml:space="preserve"> of patients </w:t>
      </w:r>
      <w:r w:rsidR="002E0D5C">
        <w:t>who received</w:t>
      </w:r>
      <w:r w:rsidRPr="0091569D">
        <w:t xml:space="preserve"> KIMMTRAK</w:t>
      </w:r>
      <w:r w:rsidR="002E0D5C">
        <w:t>,</w:t>
      </w:r>
      <w:r w:rsidRPr="0091569D">
        <w:t xml:space="preserve"> including rash (grouped term; 83</w:t>
      </w:r>
      <w:r w:rsidR="0035777F">
        <w:t>%</w:t>
      </w:r>
      <w:r w:rsidRPr="0091569D">
        <w:t>), pruritis (grouped term; 69</w:t>
      </w:r>
      <w:r w:rsidR="0035777F">
        <w:t>%</w:t>
      </w:r>
      <w:r w:rsidRPr="0091569D">
        <w:t>), erythema (25</w:t>
      </w:r>
      <w:r w:rsidR="0035777F">
        <w:t>%</w:t>
      </w:r>
      <w:r w:rsidRPr="0091569D">
        <w:t>) and cutaneous oedema (grouped term; 27</w:t>
      </w:r>
      <w:r w:rsidR="0035777F">
        <w:t>%</w:t>
      </w:r>
      <w:r w:rsidRPr="0091569D">
        <w:t xml:space="preserve">). </w:t>
      </w:r>
      <w:r w:rsidR="005373A9">
        <w:rPr>
          <w:color w:val="000000" w:themeColor="text1"/>
        </w:rPr>
        <w:t>S</w:t>
      </w:r>
      <w:r w:rsidRPr="0091569D">
        <w:rPr>
          <w:color w:val="000000" w:themeColor="text1"/>
        </w:rPr>
        <w:t>kin reactions were</w:t>
      </w:r>
      <w:r w:rsidR="005373A9">
        <w:rPr>
          <w:color w:val="000000" w:themeColor="text1"/>
        </w:rPr>
        <w:t xml:space="preserve"> all</w:t>
      </w:r>
      <w:r w:rsidRPr="0091569D">
        <w:rPr>
          <w:color w:val="000000" w:themeColor="text1"/>
        </w:rPr>
        <w:t xml:space="preserve"> Grade 1 (28</w:t>
      </w:r>
      <w:r w:rsidR="0035777F">
        <w:rPr>
          <w:color w:val="000000" w:themeColor="text1"/>
        </w:rPr>
        <w:t>%</w:t>
      </w:r>
      <w:r w:rsidRPr="0091569D">
        <w:rPr>
          <w:color w:val="000000" w:themeColor="text1"/>
        </w:rPr>
        <w:t>)</w:t>
      </w:r>
      <w:r w:rsidR="005373A9">
        <w:rPr>
          <w:color w:val="000000" w:themeColor="text1"/>
        </w:rPr>
        <w:t>,</w:t>
      </w:r>
      <w:r w:rsidR="002E0D5C">
        <w:rPr>
          <w:color w:val="000000" w:themeColor="text1"/>
        </w:rPr>
        <w:t xml:space="preserve"> </w:t>
      </w:r>
      <w:r w:rsidR="005373A9">
        <w:rPr>
          <w:color w:val="000000" w:themeColor="text1"/>
        </w:rPr>
        <w:t xml:space="preserve">Grade </w:t>
      </w:r>
      <w:r w:rsidRPr="0091569D">
        <w:rPr>
          <w:color w:val="000000" w:themeColor="text1"/>
        </w:rPr>
        <w:t>2 (44</w:t>
      </w:r>
      <w:r w:rsidR="0035777F">
        <w:rPr>
          <w:color w:val="000000" w:themeColor="text1"/>
        </w:rPr>
        <w:t>%</w:t>
      </w:r>
      <w:r w:rsidRPr="0091569D">
        <w:rPr>
          <w:color w:val="000000" w:themeColor="text1"/>
        </w:rPr>
        <w:t>)</w:t>
      </w:r>
      <w:r w:rsidR="005373A9">
        <w:rPr>
          <w:color w:val="000000" w:themeColor="text1"/>
        </w:rPr>
        <w:t>,</w:t>
      </w:r>
      <w:r w:rsidR="002E0D5C">
        <w:rPr>
          <w:color w:val="000000" w:themeColor="text1"/>
        </w:rPr>
        <w:t xml:space="preserve"> </w:t>
      </w:r>
      <w:r w:rsidR="005373A9">
        <w:rPr>
          <w:color w:val="000000" w:themeColor="text1"/>
        </w:rPr>
        <w:t xml:space="preserve">or </w:t>
      </w:r>
      <w:r w:rsidRPr="0091569D">
        <w:rPr>
          <w:color w:val="000000" w:themeColor="text1"/>
        </w:rPr>
        <w:t>Grade 3 (21</w:t>
      </w:r>
      <w:r w:rsidR="0035777F">
        <w:rPr>
          <w:color w:val="000000" w:themeColor="text1"/>
        </w:rPr>
        <w:t>%</w:t>
      </w:r>
      <w:r w:rsidRPr="0091569D">
        <w:rPr>
          <w:color w:val="000000" w:themeColor="text1"/>
        </w:rPr>
        <w:t>)</w:t>
      </w:r>
      <w:r w:rsidRPr="0091569D">
        <w:t>.</w:t>
      </w:r>
    </w:p>
    <w:p w14:paraId="4A97164E" w14:textId="4AABA6EE" w:rsidR="0091569D" w:rsidRDefault="002E0D5C" w:rsidP="005373A9">
      <w:r>
        <w:t>The frequency of a</w:t>
      </w:r>
      <w:r w:rsidR="0091569D" w:rsidRPr="0091569D">
        <w:t xml:space="preserve">cute skin reactions </w:t>
      </w:r>
      <w:r>
        <w:t>decreased after</w:t>
      </w:r>
      <w:r w:rsidR="0091569D" w:rsidRPr="0091569D">
        <w:t xml:space="preserve"> the first three KIMMTRAK infusions</w:t>
      </w:r>
      <w:r w:rsidR="001E4FB5">
        <w:t>. The</w:t>
      </w:r>
      <w:r w:rsidR="001E4FB5" w:rsidRPr="0091569D">
        <w:t xml:space="preserve"> </w:t>
      </w:r>
      <w:r>
        <w:t xml:space="preserve">rate </w:t>
      </w:r>
      <w:r w:rsidR="005373A9">
        <w:t xml:space="preserve">of Grade 3 reactions </w:t>
      </w:r>
      <w:r w:rsidR="001E4FB5">
        <w:t xml:space="preserve">was 17% following </w:t>
      </w:r>
      <w:r w:rsidR="005373A9">
        <w:t xml:space="preserve">dose 1; </w:t>
      </w:r>
      <w:r w:rsidR="001E4FB5">
        <w:t xml:space="preserve">10% following </w:t>
      </w:r>
      <w:r w:rsidR="005373A9">
        <w:t xml:space="preserve">dose 2; </w:t>
      </w:r>
      <w:r w:rsidR="001E4FB5">
        <w:t>8</w:t>
      </w:r>
      <w:r w:rsidR="005373A9">
        <w:t>%</w:t>
      </w:r>
      <w:r w:rsidR="001E4FB5">
        <w:t xml:space="preserve"> following</w:t>
      </w:r>
      <w:r w:rsidR="005373A9">
        <w:t xml:space="preserve"> dose 3; </w:t>
      </w:r>
      <w:r w:rsidR="001E4FB5">
        <w:t xml:space="preserve">and 3% following </w:t>
      </w:r>
      <w:r w:rsidR="005373A9">
        <w:t>dose 4</w:t>
      </w:r>
      <w:r w:rsidR="0091569D" w:rsidRPr="0091569D">
        <w:t xml:space="preserve">. The median time to onset of acute skin reactions </w:t>
      </w:r>
      <w:r w:rsidR="001E4FB5">
        <w:t xml:space="preserve">in patients receiving </w:t>
      </w:r>
      <w:r w:rsidR="001E4FB5">
        <w:lastRenderedPageBreak/>
        <w:t xml:space="preserve">KIMMTRAK </w:t>
      </w:r>
      <w:r w:rsidR="0091569D" w:rsidRPr="0091569D">
        <w:t>was 1 day and median time to improvement to ≤Grade 1 was 6</w:t>
      </w:r>
      <w:r w:rsidR="009849AF">
        <w:t> </w:t>
      </w:r>
      <w:r w:rsidR="0091569D" w:rsidRPr="0091569D">
        <w:t xml:space="preserve">days. There were no </w:t>
      </w:r>
      <w:r w:rsidR="001E4FB5">
        <w:t xml:space="preserve">permanent </w:t>
      </w:r>
      <w:r w:rsidR="0091569D" w:rsidRPr="0091569D">
        <w:t>discontinuations of KIMMTRAK due to acute skin reactions.</w:t>
      </w:r>
    </w:p>
    <w:p w14:paraId="6A60109D" w14:textId="16087D51" w:rsidR="0091569D" w:rsidRPr="0091569D" w:rsidRDefault="005373A9" w:rsidP="000F0660">
      <w:pPr>
        <w:pStyle w:val="Heading4"/>
      </w:pPr>
      <w:r>
        <w:t>Elevated hepatic enzymes</w:t>
      </w:r>
    </w:p>
    <w:p w14:paraId="76949208" w14:textId="6BF15415" w:rsidR="0091569D" w:rsidRDefault="0091569D" w:rsidP="005373A9">
      <w:bookmarkStart w:id="20" w:name="_Hlk63787156"/>
      <w:r w:rsidRPr="0091569D">
        <w:t>In Study IMCgp100-202</w:t>
      </w:r>
      <w:r w:rsidR="001E4FB5">
        <w:t xml:space="preserve">, </w:t>
      </w:r>
      <w:r w:rsidRPr="0091569D">
        <w:t>95</w:t>
      </w:r>
      <w:r w:rsidR="0035777F">
        <w:t>%</w:t>
      </w:r>
      <w:r w:rsidRPr="0091569D">
        <w:t xml:space="preserve"> of patients had liver metastasis</w:t>
      </w:r>
      <w:r w:rsidR="005373A9">
        <w:t xml:space="preserve"> at enrolment</w:t>
      </w:r>
      <w:r w:rsidRPr="0091569D">
        <w:t>,</w:t>
      </w:r>
      <w:r w:rsidR="001E4FB5">
        <w:t xml:space="preserve"> and</w:t>
      </w:r>
      <w:r w:rsidRPr="0091569D">
        <w:t xml:space="preserve"> ALT/AST increase</w:t>
      </w:r>
      <w:r w:rsidR="005373A9">
        <w:t>s</w:t>
      </w:r>
      <w:r w:rsidRPr="0091569D">
        <w:t xml:space="preserve"> to ≥Grade 1 were observed in 65</w:t>
      </w:r>
      <w:r w:rsidR="0035777F">
        <w:t>%</w:t>
      </w:r>
      <w:r w:rsidRPr="0091569D">
        <w:t xml:space="preserve"> of patients </w:t>
      </w:r>
      <w:r w:rsidR="001E4FB5">
        <w:t>who received</w:t>
      </w:r>
      <w:r w:rsidRPr="0091569D">
        <w:t xml:space="preserve"> KIMMTRAK. No deaths due to ALT/AST elevations were observed and more than 90</w:t>
      </w:r>
      <w:r w:rsidR="0035777F">
        <w:t>%</w:t>
      </w:r>
      <w:r w:rsidRPr="0091569D">
        <w:t xml:space="preserve"> of patients were able to continue treatment beyond worst grade ALT/AST elevation. </w:t>
      </w:r>
      <w:r w:rsidR="001E4FB5">
        <w:t xml:space="preserve">Most patients who experienced </w:t>
      </w:r>
      <w:r w:rsidR="005373A9">
        <w:t>ALT/AST elevations</w:t>
      </w:r>
      <w:r w:rsidR="001E4FB5">
        <w:t xml:space="preserve"> (</w:t>
      </w:r>
      <w:r w:rsidR="005373A9">
        <w:t>73%</w:t>
      </w:r>
      <w:r w:rsidR="001E4FB5">
        <w:t>)</w:t>
      </w:r>
      <w:r w:rsidR="005373A9">
        <w:t xml:space="preserve"> </w:t>
      </w:r>
      <w:r w:rsidR="001E4FB5">
        <w:t xml:space="preserve">did so </w:t>
      </w:r>
      <w:r w:rsidR="005373A9">
        <w:t>within the first 3 infusions of KIMMTRAK</w:t>
      </w:r>
      <w:r w:rsidRPr="0091569D">
        <w:t xml:space="preserve">. </w:t>
      </w:r>
      <w:bookmarkStart w:id="21" w:name="_Hlk63247256"/>
      <w:r w:rsidRPr="0091569D">
        <w:rPr>
          <w:color w:val="000000" w:themeColor="text1"/>
        </w:rPr>
        <w:t xml:space="preserve">Most patients </w:t>
      </w:r>
      <w:r w:rsidR="001E4FB5">
        <w:rPr>
          <w:color w:val="000000" w:themeColor="text1"/>
        </w:rPr>
        <w:t>(</w:t>
      </w:r>
      <w:r w:rsidR="00C668A6">
        <w:rPr>
          <w:color w:val="000000" w:themeColor="text1"/>
        </w:rPr>
        <w:t>56</w:t>
      </w:r>
      <w:r w:rsidR="001E4FB5">
        <w:rPr>
          <w:color w:val="000000" w:themeColor="text1"/>
        </w:rPr>
        <w:t xml:space="preserve">%) who </w:t>
      </w:r>
      <w:r w:rsidRPr="0091569D">
        <w:rPr>
          <w:color w:val="000000" w:themeColor="text1"/>
        </w:rPr>
        <w:t>experienc</w:t>
      </w:r>
      <w:r w:rsidR="001E4FB5">
        <w:rPr>
          <w:color w:val="000000" w:themeColor="text1"/>
        </w:rPr>
        <w:t xml:space="preserve">ed </w:t>
      </w:r>
      <w:r w:rsidRPr="0091569D">
        <w:rPr>
          <w:color w:val="000000" w:themeColor="text1"/>
        </w:rPr>
        <w:t xml:space="preserve">Grade 3 or 4 ALT/AST elevations had improvement </w:t>
      </w:r>
      <w:r w:rsidRPr="0091569D">
        <w:t xml:space="preserve">to </w:t>
      </w:r>
      <w:r w:rsidRPr="0091569D">
        <w:rPr>
          <w:rFonts w:eastAsia="MS Mincho"/>
          <w:lang w:eastAsia="ja-JP"/>
        </w:rPr>
        <w:t xml:space="preserve">≤Grade 1 </w:t>
      </w:r>
      <w:r w:rsidRPr="0091569D">
        <w:t>within 7 days.</w:t>
      </w:r>
      <w:r w:rsidRPr="0091569D">
        <w:rPr>
          <w:color w:val="000000" w:themeColor="text1"/>
        </w:rPr>
        <w:t xml:space="preserve"> </w:t>
      </w:r>
      <w:bookmarkEnd w:id="20"/>
      <w:bookmarkEnd w:id="21"/>
      <w:r w:rsidR="001D2D8E" w:rsidRPr="001D2D8E">
        <w:rPr>
          <w:color w:val="000000" w:themeColor="text1"/>
        </w:rPr>
        <w:t>Elevations in bilirubin were reported in 27% of patients receiving KIMMTRAK. In 58% of these cases, an increase in size of liver metastasis was seen at the tumour assessment that occurred closest to the date of bilirubin elevation (tumour assessments were scheduled 12 weekly).</w:t>
      </w:r>
    </w:p>
    <w:p w14:paraId="4A89992A" w14:textId="4D9508B4" w:rsidR="00193892" w:rsidRDefault="00193892" w:rsidP="0086508A">
      <w:pPr>
        <w:pStyle w:val="Heading4"/>
      </w:pPr>
      <w:r>
        <w:t>Immunogenicity</w:t>
      </w:r>
    </w:p>
    <w:p w14:paraId="7E2C7F6F" w14:textId="67AD4D09" w:rsidR="00193892" w:rsidRDefault="00193892" w:rsidP="00193892">
      <w:r>
        <w:t>As with all therapeutic proteins, there is potential for immunogenicity. The detection of antibody formation is highly dependent on the sensitivity and specificity of the assay. Additionally, the observed incidence of antibody (including neutralising antibody) positivity in an assay may be influenced by several factors including assay methodology, sample handling, timing of sample collection, concomitant medications, and underlying disease. For these reasons, comparison of the incidence of antibodies in the studies described below with the incidence of antibodies in other studies or to other products may be misleading.</w:t>
      </w:r>
    </w:p>
    <w:p w14:paraId="697BB490" w14:textId="3B172B9D" w:rsidR="00193892" w:rsidRPr="0091569D" w:rsidRDefault="00193892" w:rsidP="00193892">
      <w:r w:rsidRPr="00193892">
        <w:t xml:space="preserve">Treatment-emergent anti-drug antibodies (ADA) against </w:t>
      </w:r>
      <w:proofErr w:type="spellStart"/>
      <w:r w:rsidRPr="00193892">
        <w:t>tebentafusp</w:t>
      </w:r>
      <w:proofErr w:type="spellEnd"/>
      <w:r w:rsidRPr="00193892">
        <w:t xml:space="preserve"> were detected in 33% and 29% of patients receiving </w:t>
      </w:r>
      <w:proofErr w:type="spellStart"/>
      <w:r w:rsidRPr="00193892">
        <w:t>tebentafusp</w:t>
      </w:r>
      <w:proofErr w:type="spellEnd"/>
      <w:r w:rsidRPr="00193892">
        <w:t xml:space="preserve"> across all doses in study IMCgp100-102 and study IMCgp100-202, respectively. The median onset time to ADA formation was 6-9 weeks after </w:t>
      </w:r>
      <w:proofErr w:type="spellStart"/>
      <w:r w:rsidRPr="00193892">
        <w:t>tebentafusp</w:t>
      </w:r>
      <w:proofErr w:type="spellEnd"/>
      <w:r w:rsidRPr="00193892">
        <w:t xml:space="preserve"> treatment. The ability of these binding ADA to neutrali</w:t>
      </w:r>
      <w:r w:rsidR="00BC1258">
        <w:t>s</w:t>
      </w:r>
      <w:r w:rsidRPr="00193892">
        <w:t xml:space="preserve">e </w:t>
      </w:r>
      <w:proofErr w:type="spellStart"/>
      <w:r w:rsidRPr="00193892">
        <w:t>tebentafusp</w:t>
      </w:r>
      <w:proofErr w:type="spellEnd"/>
      <w:r w:rsidRPr="00193892">
        <w:t xml:space="preserve"> is unknown. </w:t>
      </w:r>
      <w:proofErr w:type="spellStart"/>
      <w:r w:rsidR="00012F31">
        <w:t>T</w:t>
      </w:r>
      <w:r w:rsidRPr="00193892">
        <w:t>ebentafusp</w:t>
      </w:r>
      <w:proofErr w:type="spellEnd"/>
      <w:r w:rsidRPr="00193892">
        <w:t xml:space="preserve"> clearance increased in patients with high </w:t>
      </w:r>
      <w:proofErr w:type="spellStart"/>
      <w:r w:rsidRPr="00193892">
        <w:t>titer</w:t>
      </w:r>
      <w:proofErr w:type="spellEnd"/>
      <w:r w:rsidRPr="00193892">
        <w:t xml:space="preserve"> ADAs (</w:t>
      </w:r>
      <w:r w:rsidR="001E4FB5">
        <w:t>see</w:t>
      </w:r>
      <w:r w:rsidR="00012F31">
        <w:t xml:space="preserve"> Section</w:t>
      </w:r>
      <w:r w:rsidR="001E4FB5">
        <w:t xml:space="preserve"> 5.2 </w:t>
      </w:r>
      <w:r w:rsidR="001E4FB5">
        <w:fldChar w:fldCharType="begin"/>
      </w:r>
      <w:r w:rsidR="001E4FB5">
        <w:instrText xml:space="preserve"> REF _Ref80350932 \h </w:instrText>
      </w:r>
      <w:r w:rsidR="001E4FB5">
        <w:fldChar w:fldCharType="separate"/>
      </w:r>
      <w:r w:rsidR="00012F31" w:rsidRPr="0094457C">
        <w:rPr>
          <w:lang w:val="en-US"/>
        </w:rPr>
        <w:t>Pharmacokinetic properties</w:t>
      </w:r>
      <w:r w:rsidR="001E4FB5">
        <w:fldChar w:fldCharType="end"/>
      </w:r>
      <w:r w:rsidRPr="00193892">
        <w:t>). Exploratory analyses with limited data</w:t>
      </w:r>
      <w:r w:rsidR="00012F31">
        <w:t xml:space="preserve"> were not</w:t>
      </w:r>
      <w:r w:rsidRPr="00193892">
        <w:t xml:space="preserve"> suggest</w:t>
      </w:r>
      <w:r w:rsidR="00012F31">
        <w:t>ive</w:t>
      </w:r>
      <w:r w:rsidRPr="00193892">
        <w:t xml:space="preserve"> </w:t>
      </w:r>
      <w:r w:rsidR="00012F31">
        <w:t>of a relationship between the formation of</w:t>
      </w:r>
      <w:r w:rsidRPr="00193892">
        <w:t xml:space="preserve"> ADA </w:t>
      </w:r>
      <w:r w:rsidR="00012F31">
        <w:t>and</w:t>
      </w:r>
      <w:r w:rsidRPr="00193892">
        <w:t xml:space="preserve"> </w:t>
      </w:r>
      <w:r w:rsidR="00012F31">
        <w:t xml:space="preserve">the </w:t>
      </w:r>
      <w:r w:rsidRPr="00193892">
        <w:t>frequency or severity of hypersensitivity</w:t>
      </w:r>
      <w:r w:rsidR="00012F31">
        <w:t>-</w:t>
      </w:r>
      <w:r w:rsidRPr="00193892">
        <w:t xml:space="preserve">related adverse reactions </w:t>
      </w:r>
      <w:r w:rsidR="00012F31">
        <w:t xml:space="preserve">or </w:t>
      </w:r>
      <w:r w:rsidRPr="00193892">
        <w:t>decreased overall survival.</w:t>
      </w:r>
    </w:p>
    <w:p w14:paraId="533F2B7E" w14:textId="57FBC017" w:rsidR="0091569D" w:rsidRPr="0091569D" w:rsidRDefault="002B424E" w:rsidP="000F0660">
      <w:pPr>
        <w:pStyle w:val="Heading3"/>
      </w:pPr>
      <w:r>
        <w:t>Reporting suspected adverse effects</w:t>
      </w:r>
    </w:p>
    <w:p w14:paraId="0F854F64" w14:textId="15EC7BAE" w:rsidR="00497C85" w:rsidRPr="00BA1C4E" w:rsidRDefault="00497C85">
      <w:r w:rsidRPr="00000776">
        <w:rPr>
          <w:lang w:val="en"/>
        </w:rPr>
        <w:t>Reporting suspected adverse reactions after registration of the medicinal p</w:t>
      </w:r>
      <w:r w:rsidRPr="00BA1C4E">
        <w:rPr>
          <w:lang w:val="en"/>
        </w:rPr>
        <w:t xml:space="preserve">roduct is important. It allows continued monitoring of the benefit-risk balance of the medicinal product. Healthcare professionals are asked to report any suspected adverse reactions at </w:t>
      </w:r>
      <w:hyperlink r:id="rId12" w:history="1">
        <w:r w:rsidRPr="000F0660">
          <w:rPr>
            <w:rStyle w:val="Hyperlink"/>
            <w:lang w:val="en"/>
          </w:rPr>
          <w:t>www.tga.gov.au/reporting-problems</w:t>
        </w:r>
      </w:hyperlink>
      <w:r w:rsidRPr="00000776">
        <w:rPr>
          <w:lang w:val="en"/>
        </w:rPr>
        <w:t>.</w:t>
      </w:r>
    </w:p>
    <w:p w14:paraId="08437970" w14:textId="0FCBE011" w:rsidR="001A3992" w:rsidRDefault="001A3992" w:rsidP="000F0660">
      <w:pPr>
        <w:pStyle w:val="Heading2"/>
        <w:numPr>
          <w:ilvl w:val="1"/>
          <w:numId w:val="24"/>
        </w:numPr>
      </w:pPr>
      <w:r w:rsidRPr="00497C85">
        <w:t>Overdose</w:t>
      </w:r>
    </w:p>
    <w:p w14:paraId="1B5FADE4" w14:textId="0648C218" w:rsidR="0091569D" w:rsidRPr="0091569D" w:rsidRDefault="0091569D">
      <w:pPr>
        <w:rPr>
          <w:noProof/>
        </w:rPr>
      </w:pPr>
      <w:r w:rsidRPr="0091569D">
        <w:rPr>
          <w:noProof/>
        </w:rPr>
        <w:t>There is no information on overdose with tebentafusp. In case of overdose, patients should be closely monitored for signs or symptoms of adverse reactions and appropriate symptomatic treatment should be instituted immediately.</w:t>
      </w:r>
    </w:p>
    <w:p w14:paraId="1F966374" w14:textId="77777777" w:rsidR="00497C85" w:rsidRPr="0091569D" w:rsidRDefault="00497C85">
      <w:r w:rsidRPr="0091569D">
        <w:rPr>
          <w:lang w:val="en"/>
        </w:rPr>
        <w:t>For information on the management of overdose, contact the Poisons Information Centre on 13 11 26 (Australia).</w:t>
      </w:r>
    </w:p>
    <w:p w14:paraId="67722198" w14:textId="77777777" w:rsidR="001A3992" w:rsidRPr="0094457C" w:rsidRDefault="001A3992" w:rsidP="000F0660">
      <w:pPr>
        <w:pStyle w:val="Heading1"/>
        <w:numPr>
          <w:ilvl w:val="0"/>
          <w:numId w:val="24"/>
        </w:numPr>
        <w:ind w:left="567" w:hanging="567"/>
      </w:pPr>
      <w:r w:rsidRPr="0094457C">
        <w:t>Pharmacological properties</w:t>
      </w:r>
    </w:p>
    <w:p w14:paraId="207FB6DC" w14:textId="577CF9D2" w:rsidR="001A3992" w:rsidRPr="000B4674" w:rsidRDefault="001A3992" w:rsidP="000F0660">
      <w:pPr>
        <w:pStyle w:val="Heading2"/>
        <w:numPr>
          <w:ilvl w:val="1"/>
          <w:numId w:val="26"/>
        </w:numPr>
        <w:rPr>
          <w:lang w:val="en-US"/>
        </w:rPr>
      </w:pPr>
      <w:bookmarkStart w:id="22" w:name="_Ref99550364"/>
      <w:r w:rsidRPr="00BA1C4E">
        <w:rPr>
          <w:lang w:val="en-US"/>
        </w:rPr>
        <w:t>Pharmacodynamic properties</w:t>
      </w:r>
      <w:bookmarkEnd w:id="22"/>
      <w:r w:rsidRPr="00BA1C4E">
        <w:rPr>
          <w:lang w:val="en-US"/>
        </w:rPr>
        <w:t xml:space="preserve"> </w:t>
      </w:r>
    </w:p>
    <w:p w14:paraId="36EFCA93" w14:textId="33761121" w:rsidR="00E908C9" w:rsidRPr="00E908C9" w:rsidRDefault="00E908C9">
      <w:pPr>
        <w:rPr>
          <w:noProof/>
        </w:rPr>
      </w:pPr>
      <w:r w:rsidRPr="2990A4E7">
        <w:rPr>
          <w:noProof/>
        </w:rPr>
        <w:lastRenderedPageBreak/>
        <w:t>Pharmacotherapeutic group: Antineoplastic agents; other antineoplastic agents, ATC code: not yet assigned</w:t>
      </w:r>
      <w:r w:rsidR="00AF7A03" w:rsidRPr="2990A4E7">
        <w:rPr>
          <w:noProof/>
        </w:rPr>
        <w:t>.</w:t>
      </w:r>
    </w:p>
    <w:p w14:paraId="5E96EC50" w14:textId="17466579" w:rsidR="001A3992" w:rsidRDefault="001A3992" w:rsidP="000F0660">
      <w:pPr>
        <w:pStyle w:val="Heading3"/>
      </w:pPr>
      <w:r w:rsidRPr="00497C85">
        <w:t>Mechanism of action</w:t>
      </w:r>
    </w:p>
    <w:p w14:paraId="2BA9A57A" w14:textId="6EC44D51" w:rsidR="00AA52B0" w:rsidRDefault="00E908C9" w:rsidP="000F0660">
      <w:proofErr w:type="spellStart"/>
      <w:r w:rsidRPr="00DD1C48">
        <w:t>Tebentafusp</w:t>
      </w:r>
      <w:proofErr w:type="spellEnd"/>
      <w:r>
        <w:t xml:space="preserve"> </w:t>
      </w:r>
      <w:r w:rsidRPr="00DD1C48">
        <w:t>is</w:t>
      </w:r>
      <w:r>
        <w:t xml:space="preserve"> </w:t>
      </w:r>
      <w:r w:rsidRPr="00DD1C48">
        <w:t>a</w:t>
      </w:r>
      <w:r>
        <w:t xml:space="preserve"> </w:t>
      </w:r>
      <w:r w:rsidRPr="00DD1C48">
        <w:t>bispecific</w:t>
      </w:r>
      <w:r>
        <w:t xml:space="preserve"> </w:t>
      </w:r>
      <w:r w:rsidRPr="00DD1C48">
        <w:t>fusion</w:t>
      </w:r>
      <w:r>
        <w:t xml:space="preserve"> </w:t>
      </w:r>
      <w:r w:rsidRPr="00DD1C48">
        <w:t>protein,</w:t>
      </w:r>
      <w:r>
        <w:t xml:space="preserve"> </w:t>
      </w:r>
      <w:r w:rsidRPr="00DD1C48">
        <w:t>comprised</w:t>
      </w:r>
      <w:r>
        <w:t xml:space="preserve"> </w:t>
      </w:r>
      <w:r w:rsidRPr="00DD1C48">
        <w:t>of</w:t>
      </w:r>
      <w:r>
        <w:t xml:space="preserve"> </w:t>
      </w:r>
      <w:r w:rsidR="00507CA5">
        <w:t>a</w:t>
      </w:r>
      <w:r w:rsidRPr="00DD1C48">
        <w:t xml:space="preserve"> T</w:t>
      </w:r>
      <w:r>
        <w:t xml:space="preserve"> </w:t>
      </w:r>
      <w:r w:rsidRPr="00DD1C48">
        <w:t xml:space="preserve">cell receptor </w:t>
      </w:r>
      <w:r w:rsidR="00EE4DE9">
        <w:t>(</w:t>
      </w:r>
      <w:r w:rsidRPr="00DD1C48">
        <w:t>TCR</w:t>
      </w:r>
      <w:r w:rsidR="00EE4DE9">
        <w:t>)</w:t>
      </w:r>
      <w:r w:rsidRPr="00DD1C48">
        <w:t xml:space="preserve"> </w:t>
      </w:r>
      <w:r w:rsidR="00EE4DE9">
        <w:t>fused to</w:t>
      </w:r>
      <w:r w:rsidRPr="00DD1C48">
        <w:t xml:space="preserve"> an antibody fragment </w:t>
      </w:r>
      <w:r w:rsidR="00507CA5">
        <w:t>with specificity for</w:t>
      </w:r>
      <w:r w:rsidR="00507CA5" w:rsidRPr="00DD1C48">
        <w:t xml:space="preserve"> </w:t>
      </w:r>
      <w:r w:rsidR="00012F31">
        <w:t xml:space="preserve">the </w:t>
      </w:r>
      <w:r w:rsidRPr="00DD1C48">
        <w:t>CD3</w:t>
      </w:r>
      <w:r>
        <w:t xml:space="preserve"> </w:t>
      </w:r>
      <w:r w:rsidRPr="00DD1C48">
        <w:t>(cluster of differentiation 3)</w:t>
      </w:r>
      <w:r w:rsidR="00F45A54">
        <w:t xml:space="preserve"> receptor, found on polyclonal T cells</w:t>
      </w:r>
      <w:r w:rsidRPr="00DD1C48">
        <w:t>.</w:t>
      </w:r>
      <w:r>
        <w:t xml:space="preserve"> </w:t>
      </w:r>
      <w:r w:rsidR="00EE4DE9">
        <w:t xml:space="preserve">The TCR has specificity for a gp100 peptide (expressed preferentially in melanoma cells) presented by </w:t>
      </w:r>
      <w:r w:rsidR="00EE4DE9" w:rsidRPr="00DD1C48">
        <w:t>human leukocyte antigen</w:t>
      </w:r>
      <w:r w:rsidR="00EE4DE9">
        <w:t>-</w:t>
      </w:r>
      <w:r w:rsidR="00EE4DE9" w:rsidRPr="00DD1C48">
        <w:t xml:space="preserve">A*02:01 </w:t>
      </w:r>
      <w:r w:rsidR="00EE4DE9">
        <w:t>(</w:t>
      </w:r>
      <w:r w:rsidR="00EE4DE9" w:rsidRPr="00DD1C48">
        <w:t>HLA-A*02:01</w:t>
      </w:r>
      <w:r w:rsidR="00EE4DE9">
        <w:t>).</w:t>
      </w:r>
    </w:p>
    <w:p w14:paraId="02AF9892" w14:textId="23F018E6" w:rsidR="00E908C9" w:rsidRDefault="00AA52B0" w:rsidP="000F0660">
      <w:r w:rsidRPr="006D287B">
        <w:rPr>
          <w:i/>
          <w:iCs/>
          <w:color w:val="000000"/>
        </w:rPr>
        <w:t>In vitro</w:t>
      </w:r>
      <w:r>
        <w:rPr>
          <w:color w:val="000000"/>
        </w:rPr>
        <w:t xml:space="preserve">, </w:t>
      </w:r>
      <w:proofErr w:type="spellStart"/>
      <w:r>
        <w:rPr>
          <w:color w:val="000000"/>
        </w:rPr>
        <w:t>tebentafusp</w:t>
      </w:r>
      <w:proofErr w:type="spellEnd"/>
      <w:r>
        <w:rPr>
          <w:color w:val="000000"/>
        </w:rPr>
        <w:t xml:space="preserve"> bound to HLA-A*02:01-positive uveal melanoma cells and activated polyclonal T cells to release inflammatory cytokines and cytolytic proteins, which results in direct lysis of uveal melanoma tumo</w:t>
      </w:r>
      <w:r w:rsidR="00F45A54">
        <w:rPr>
          <w:color w:val="000000"/>
        </w:rPr>
        <w:t>u</w:t>
      </w:r>
      <w:r>
        <w:rPr>
          <w:color w:val="000000"/>
        </w:rPr>
        <w:t>r cells.</w:t>
      </w:r>
    </w:p>
    <w:p w14:paraId="5E13D7BF" w14:textId="4B9F7A02" w:rsidR="00E908C9" w:rsidRDefault="00E908C9">
      <w:pPr>
        <w:pStyle w:val="Heading3"/>
      </w:pPr>
      <w:r>
        <w:t>Pharmacodynamic effects</w:t>
      </w:r>
    </w:p>
    <w:p w14:paraId="06CD593B" w14:textId="4E9D720C" w:rsidR="00E908C9" w:rsidRDefault="00E908C9" w:rsidP="000F0660">
      <w:r w:rsidRPr="00DD1C48">
        <w:t>Lymphocyte</w:t>
      </w:r>
      <w:r w:rsidR="00F45A54">
        <w:t xml:space="preserve"> count</w:t>
      </w:r>
      <w:r w:rsidRPr="00DD1C48">
        <w:t xml:space="preserve">s </w:t>
      </w:r>
      <w:r w:rsidR="00F45A54">
        <w:t>declined</w:t>
      </w:r>
      <w:r w:rsidR="00F45A54" w:rsidRPr="00DD1C48">
        <w:t xml:space="preserve"> </w:t>
      </w:r>
      <w:r w:rsidRPr="00DD1C48">
        <w:t xml:space="preserve">the day after </w:t>
      </w:r>
      <w:r w:rsidR="00F45A54">
        <w:t xml:space="preserve">each of </w:t>
      </w:r>
      <w:r w:rsidRPr="00DD1C48">
        <w:t xml:space="preserve">the first </w:t>
      </w:r>
      <w:r w:rsidR="00EE4DE9">
        <w:t>three</w:t>
      </w:r>
      <w:r w:rsidR="00F45A54">
        <w:t xml:space="preserve"> </w:t>
      </w:r>
      <w:proofErr w:type="spellStart"/>
      <w:r w:rsidR="00F45A54">
        <w:t>tebentafusp</w:t>
      </w:r>
      <w:proofErr w:type="spellEnd"/>
      <w:r>
        <w:t> </w:t>
      </w:r>
      <w:r w:rsidRPr="00DD1C48">
        <w:t>doses and returned to baseline prior to subsequent doses.</w:t>
      </w:r>
    </w:p>
    <w:p w14:paraId="7BFECFDE" w14:textId="413FBA62" w:rsidR="00E908C9" w:rsidRDefault="00F45A54" w:rsidP="000F0660">
      <w:pPr>
        <w:rPr>
          <w:color w:val="000000"/>
        </w:rPr>
      </w:pPr>
      <w:r>
        <w:rPr>
          <w:color w:val="000000"/>
        </w:rPr>
        <w:t>Serum levels of cytokines (IFN-γ, TNFα, IL-2, IL-6, IL-10 and IL-1RA) and chemokines (CXCL9, CXCL10, CXCL11, hepatocyte growth factor, and monocyte chemoattractant protein-1) were increased</w:t>
      </w:r>
      <w:r w:rsidR="00E908C9" w:rsidRPr="68467C05">
        <w:t xml:space="preserve"> </w:t>
      </w:r>
      <w:r>
        <w:t xml:space="preserve">after each of </w:t>
      </w:r>
      <w:r w:rsidR="00E908C9" w:rsidRPr="68467C05">
        <w:t xml:space="preserve">the first three </w:t>
      </w:r>
      <w:proofErr w:type="spellStart"/>
      <w:r>
        <w:t>tebentafusp</w:t>
      </w:r>
      <w:proofErr w:type="spellEnd"/>
      <w:r>
        <w:t xml:space="preserve"> </w:t>
      </w:r>
      <w:r w:rsidR="00E908C9" w:rsidRPr="68467C05">
        <w:t>doses</w:t>
      </w:r>
      <w:r>
        <w:t>, peaking</w:t>
      </w:r>
      <w:r w:rsidR="00E908C9" w:rsidRPr="62E35B88">
        <w:t xml:space="preserve"> 8 to 24</w:t>
      </w:r>
      <w:r w:rsidR="00E908C9">
        <w:t> </w:t>
      </w:r>
      <w:r w:rsidR="00E908C9" w:rsidRPr="62E35B88">
        <w:t xml:space="preserve">hours after treatment </w:t>
      </w:r>
      <w:r>
        <w:t>and returning</w:t>
      </w:r>
      <w:r w:rsidR="00E908C9" w:rsidRPr="62E35B88">
        <w:t xml:space="preserve"> to </w:t>
      </w:r>
      <w:r w:rsidR="00E908C9" w:rsidRPr="3FE4B4C0">
        <w:t xml:space="preserve">baseline prior to </w:t>
      </w:r>
      <w:r w:rsidR="00E908C9" w:rsidRPr="1C5728E7">
        <w:t>subsequent doses.</w:t>
      </w:r>
      <w:r>
        <w:t xml:space="preserve"> </w:t>
      </w:r>
      <w:r>
        <w:rPr>
          <w:color w:val="000000"/>
        </w:rPr>
        <w:t>The intensity of cytokine elevation, and the proportion of patients in whom it occurred, decreased in subsequent treatment cycles.</w:t>
      </w:r>
    </w:p>
    <w:p w14:paraId="76BCE87A" w14:textId="78972C88" w:rsidR="00F45A54" w:rsidRDefault="00F45A54" w:rsidP="000F0660">
      <w:r>
        <w:rPr>
          <w:color w:val="000000"/>
        </w:rPr>
        <w:t>The exposure-response relationship and time course of pharmacodynamic response for the safety and effectiveness of KIMMTRAK have not been fully characterised.</w:t>
      </w:r>
    </w:p>
    <w:p w14:paraId="5EF4A376" w14:textId="51EEE024" w:rsidR="001A3992" w:rsidRDefault="001A3992">
      <w:pPr>
        <w:pStyle w:val="Heading3"/>
        <w:rPr>
          <w:lang w:val="en-US"/>
        </w:rPr>
      </w:pPr>
      <w:bookmarkStart w:id="23" w:name="_Ref100055312"/>
      <w:r w:rsidRPr="00497C85">
        <w:t>Clinical</w:t>
      </w:r>
      <w:r w:rsidRPr="00497C85">
        <w:rPr>
          <w:lang w:val="en-US"/>
        </w:rPr>
        <w:t xml:space="preserve"> trials</w:t>
      </w:r>
      <w:bookmarkEnd w:id="23"/>
    </w:p>
    <w:p w14:paraId="2DDF9966" w14:textId="51065686" w:rsidR="00E2325C" w:rsidRPr="00E2325C" w:rsidRDefault="00E2325C" w:rsidP="000F0660">
      <w:r w:rsidRPr="00E2325C">
        <w:t xml:space="preserve">Study IMCgp100-202 was a randomised, open-label, multicentre trial that enrolled patients </w:t>
      </w:r>
      <w:r w:rsidR="00F45A54">
        <w:t xml:space="preserve">with </w:t>
      </w:r>
      <w:r w:rsidR="00F45A54" w:rsidRPr="00E2325C">
        <w:t>metastatic uveal melanoma</w:t>
      </w:r>
      <w:r w:rsidR="003F56EF">
        <w:t xml:space="preserve"> who had</w:t>
      </w:r>
      <w:r w:rsidR="00F45A54">
        <w:t xml:space="preserve"> </w:t>
      </w:r>
      <w:proofErr w:type="gramStart"/>
      <w:r w:rsidR="00F45A54">
        <w:t>a</w:t>
      </w:r>
      <w:proofErr w:type="gramEnd"/>
      <w:r w:rsidR="00F45A54">
        <w:t xml:space="preserve"> </w:t>
      </w:r>
      <w:r w:rsidR="00F45A54" w:rsidRPr="00E2325C">
        <w:t>HLA-A*02:01</w:t>
      </w:r>
      <w:r w:rsidR="00F45A54">
        <w:t xml:space="preserve"> genotype</w:t>
      </w:r>
      <w:r w:rsidR="00886B49">
        <w:t xml:space="preserve"> </w:t>
      </w:r>
      <w:r w:rsidR="0012115D">
        <w:t>according to</w:t>
      </w:r>
      <w:r w:rsidR="00886B49">
        <w:t xml:space="preserve"> a central</w:t>
      </w:r>
      <w:r w:rsidR="0012115D">
        <w:t>ly-conducted</w:t>
      </w:r>
      <w:r w:rsidR="00886B49">
        <w:t xml:space="preserve"> </w:t>
      </w:r>
      <w:r w:rsidR="0012115D">
        <w:t xml:space="preserve">clinical trial </w:t>
      </w:r>
      <w:r w:rsidR="00886B49">
        <w:t>assay</w:t>
      </w:r>
      <w:r w:rsidRPr="00E2325C">
        <w:t>. Patient</w:t>
      </w:r>
      <w:r w:rsidR="0012115D">
        <w:t>s</w:t>
      </w:r>
      <w:r w:rsidRPr="00E2325C">
        <w:t xml:space="preserve"> </w:t>
      </w:r>
      <w:r w:rsidR="0012115D">
        <w:t>were excluded if they</w:t>
      </w:r>
      <w:r w:rsidRPr="00E2325C">
        <w:t xml:space="preserve"> received previous systemic treatment or locali</w:t>
      </w:r>
      <w:r w:rsidR="0012115D">
        <w:t>s</w:t>
      </w:r>
      <w:r w:rsidRPr="00E2325C">
        <w:t>ed (liver-directed) therapy for metastatic uveal melanoma</w:t>
      </w:r>
      <w:r w:rsidR="0012115D">
        <w:t>,</w:t>
      </w:r>
      <w:r w:rsidRPr="00E2325C">
        <w:t xml:space="preserve"> </w:t>
      </w:r>
      <w:r w:rsidR="003F56EF">
        <w:t>however,</w:t>
      </w:r>
      <w:r w:rsidR="003F56EF" w:rsidRPr="00E2325C">
        <w:t xml:space="preserve"> </w:t>
      </w:r>
      <w:r w:rsidRPr="00E2325C">
        <w:t>prior surgical resection of oligometastatic disease</w:t>
      </w:r>
      <w:r w:rsidR="0012115D">
        <w:t xml:space="preserve"> was permitted</w:t>
      </w:r>
      <w:r w:rsidRPr="00E2325C">
        <w:t>. Patient</w:t>
      </w:r>
      <w:r w:rsidR="003F56EF">
        <w:t>s</w:t>
      </w:r>
      <w:r w:rsidRPr="00E2325C">
        <w:t xml:space="preserve"> </w:t>
      </w:r>
      <w:r w:rsidR="003F56EF">
        <w:t>with</w:t>
      </w:r>
      <w:r w:rsidRPr="00E2325C">
        <w:t xml:space="preserve"> clinically significant cardiac disease and symptomatic or untreated brain metastasis</w:t>
      </w:r>
      <w:r w:rsidR="003F56EF">
        <w:t xml:space="preserve"> were also excluded</w:t>
      </w:r>
      <w:r w:rsidRPr="00E2325C">
        <w:t>.</w:t>
      </w:r>
    </w:p>
    <w:p w14:paraId="5E513C62" w14:textId="12450787" w:rsidR="00E2325C" w:rsidRPr="00E2325C" w:rsidRDefault="00E2325C" w:rsidP="000F0660">
      <w:r w:rsidRPr="00E2325C">
        <w:t xml:space="preserve">Patients were randomised (2:1) to </w:t>
      </w:r>
      <w:r w:rsidR="00144154">
        <w:t xml:space="preserve">either </w:t>
      </w:r>
      <w:r w:rsidRPr="00E2325C">
        <w:t xml:space="preserve">receive KIMMTRAK by intravenous infusion </w:t>
      </w:r>
      <w:r w:rsidR="00144154">
        <w:t xml:space="preserve">at a dose of </w:t>
      </w:r>
      <w:r w:rsidR="00144154">
        <w:rPr>
          <w:color w:val="000000"/>
        </w:rPr>
        <w:t xml:space="preserve">20 mcg on Day 1, 30 mcg on Day 8, 68 mcg on Day 15, and 68 mcg once every week thereafter (n=252) </w:t>
      </w:r>
      <w:r w:rsidRPr="00E2325C">
        <w:t xml:space="preserve">or </w:t>
      </w:r>
      <w:r w:rsidR="00144154">
        <w:t xml:space="preserve">to receive </w:t>
      </w:r>
      <w:r w:rsidRPr="00E2325C">
        <w:t>investigator’s choice</w:t>
      </w:r>
      <w:r w:rsidR="00144154">
        <w:t xml:space="preserve"> (n=126)</w:t>
      </w:r>
      <w:r w:rsidRPr="00E2325C">
        <w:t xml:space="preserve"> </w:t>
      </w:r>
      <w:r w:rsidR="00144154">
        <w:t xml:space="preserve">of </w:t>
      </w:r>
      <w:r w:rsidRPr="00E2325C">
        <w:t>pembrolizumab, ipilimumab, or dacarbazine</w:t>
      </w:r>
      <w:r w:rsidR="00144154">
        <w:t>.</w:t>
      </w:r>
      <w:r w:rsidRPr="00E2325C">
        <w:t xml:space="preserve"> </w:t>
      </w:r>
      <w:r w:rsidR="00144154" w:rsidRPr="00E2325C">
        <w:t xml:space="preserve">Randomisation was stratified by lactate dehydrogenase (LDH) </w:t>
      </w:r>
      <w:r w:rsidR="00144154">
        <w:t xml:space="preserve">level at study entry. Across both arms, treatment was </w:t>
      </w:r>
      <w:r w:rsidR="005930A1">
        <w:t>ceased</w:t>
      </w:r>
      <w:r w:rsidR="00144154">
        <w:t xml:space="preserve"> </w:t>
      </w:r>
      <w:r w:rsidR="005930A1">
        <w:t>on</w:t>
      </w:r>
      <w:r w:rsidR="005930A1" w:rsidRPr="00E2325C">
        <w:t xml:space="preserve"> </w:t>
      </w:r>
      <w:r w:rsidRPr="00E2325C">
        <w:t xml:space="preserve">disease progression </w:t>
      </w:r>
      <w:r w:rsidR="005930A1">
        <w:t>(</w:t>
      </w:r>
      <w:r w:rsidR="005930A1">
        <w:rPr>
          <w:color w:val="000000"/>
        </w:rPr>
        <w:t>unless the patient was otherwise deriving benefit)</w:t>
      </w:r>
      <w:r w:rsidR="00144154">
        <w:rPr>
          <w:color w:val="000000"/>
        </w:rPr>
        <w:t xml:space="preserve">, </w:t>
      </w:r>
      <w:r w:rsidRPr="00E2325C">
        <w:t xml:space="preserve">or </w:t>
      </w:r>
      <w:r w:rsidR="005930A1">
        <w:t xml:space="preserve">for </w:t>
      </w:r>
      <w:r w:rsidRPr="00E2325C">
        <w:t>unacceptable toxicity.</w:t>
      </w:r>
    </w:p>
    <w:p w14:paraId="3275AEA4" w14:textId="02E6EC84" w:rsidR="005930A1" w:rsidRDefault="00E2325C" w:rsidP="000F0660">
      <w:r w:rsidRPr="00E2325C">
        <w:t>The primary efficacy outcome was overall survival (OS). Additional efficacy outcomes were investigator-assessed progression free survival (PFS) and</w:t>
      </w:r>
      <w:r w:rsidR="005930A1">
        <w:t xml:space="preserve"> objective response rate (ORR) per RECIST v1.1</w:t>
      </w:r>
      <w:r w:rsidRPr="00E2325C">
        <w:t xml:space="preserve">. </w:t>
      </w:r>
    </w:p>
    <w:p w14:paraId="692D123C" w14:textId="65B8A8FC" w:rsidR="00E2325C" w:rsidRPr="00E2325C" w:rsidRDefault="00E2325C" w:rsidP="000F0660">
      <w:r w:rsidRPr="00E2325C">
        <w:t>The median age was 64 years (range 23 to 92 years); 87</w:t>
      </w:r>
      <w:r w:rsidR="0035777F">
        <w:t>%</w:t>
      </w:r>
      <w:r w:rsidRPr="00E2325C">
        <w:t xml:space="preserve"> </w:t>
      </w:r>
      <w:r w:rsidR="00914DA6">
        <w:t xml:space="preserve">of patients </w:t>
      </w:r>
      <w:r w:rsidRPr="00E2325C">
        <w:t>were white</w:t>
      </w:r>
      <w:r w:rsidR="005930A1">
        <w:t xml:space="preserve"> and</w:t>
      </w:r>
      <w:r w:rsidRPr="00E2325C">
        <w:t xml:space="preserve"> 50</w:t>
      </w:r>
      <w:r w:rsidR="0035777F">
        <w:t>%</w:t>
      </w:r>
      <w:r w:rsidRPr="00E2325C">
        <w:t xml:space="preserve"> were female. Baseline ECOG performance status was 0 (</w:t>
      </w:r>
      <w:r w:rsidR="005930A1" w:rsidRPr="00E2325C">
        <w:t>7</w:t>
      </w:r>
      <w:r w:rsidR="005930A1">
        <w:t>3</w:t>
      </w:r>
      <w:r w:rsidR="0035777F">
        <w:t>%</w:t>
      </w:r>
      <w:r w:rsidRPr="00E2325C">
        <w:t>) or 1 (2</w:t>
      </w:r>
      <w:r w:rsidR="005930A1">
        <w:t>1</w:t>
      </w:r>
      <w:r w:rsidR="0035777F">
        <w:t>%</w:t>
      </w:r>
      <w:r w:rsidRPr="00E2325C">
        <w:t>) or 2 (0.3</w:t>
      </w:r>
      <w:r w:rsidR="0035777F">
        <w:t>%</w:t>
      </w:r>
      <w:r w:rsidRPr="00E2325C">
        <w:t>)</w:t>
      </w:r>
      <w:r w:rsidR="005930A1">
        <w:t>;</w:t>
      </w:r>
      <w:r w:rsidRPr="00E2325C">
        <w:t xml:space="preserve"> 36</w:t>
      </w:r>
      <w:r w:rsidR="0035777F">
        <w:t>%</w:t>
      </w:r>
      <w:r w:rsidRPr="00E2325C">
        <w:t xml:space="preserve"> had </w:t>
      </w:r>
      <w:r w:rsidR="00914DA6">
        <w:t xml:space="preserve">an </w:t>
      </w:r>
      <w:r w:rsidRPr="00E2325C">
        <w:t>elevated LDH level, and 9</w:t>
      </w:r>
      <w:r w:rsidR="005930A1">
        <w:t>4</w:t>
      </w:r>
      <w:r w:rsidR="0035777F">
        <w:t>%</w:t>
      </w:r>
      <w:r w:rsidRPr="00E2325C">
        <w:t xml:space="preserve"> had liver metastasis.</w:t>
      </w:r>
    </w:p>
    <w:p w14:paraId="56559A2A" w14:textId="38D39717" w:rsidR="00647558" w:rsidRPr="00DD4FE5" w:rsidRDefault="00E2325C" w:rsidP="000F0660">
      <w:pPr>
        <w:rPr>
          <w:bCs/>
        </w:rPr>
      </w:pPr>
      <w:r w:rsidRPr="00DD4FE5">
        <w:t>The efficacy results are summari</w:t>
      </w:r>
      <w:r w:rsidR="009849AF" w:rsidRPr="00DD4FE5">
        <w:t>s</w:t>
      </w:r>
      <w:r w:rsidRPr="00DD4FE5">
        <w:t>ed in</w:t>
      </w:r>
      <w:r w:rsidRPr="00DD4FE5">
        <w:rPr>
          <w:bCs/>
        </w:rPr>
        <w:t xml:space="preserve"> </w:t>
      </w:r>
      <w:r w:rsidR="009849AF" w:rsidRPr="00DD4FE5">
        <w:rPr>
          <w:bCs/>
        </w:rPr>
        <w:fldChar w:fldCharType="begin"/>
      </w:r>
      <w:r w:rsidR="009849AF" w:rsidRPr="00DD4FE5">
        <w:rPr>
          <w:bCs/>
        </w:rPr>
        <w:instrText xml:space="preserve"> REF _Ref80352381 \h </w:instrText>
      </w:r>
      <w:r w:rsidR="00DD4FE5">
        <w:rPr>
          <w:bCs/>
        </w:rPr>
        <w:instrText xml:space="preserve"> \* MERGEFORMAT </w:instrText>
      </w:r>
      <w:r w:rsidR="009849AF" w:rsidRPr="00DD4FE5">
        <w:rPr>
          <w:bCs/>
        </w:rPr>
      </w:r>
      <w:r w:rsidR="009849AF" w:rsidRPr="00DD4FE5">
        <w:rPr>
          <w:bCs/>
        </w:rPr>
        <w:fldChar w:fldCharType="separate"/>
      </w:r>
      <w:r w:rsidR="00012F31" w:rsidRPr="00DD4FE5">
        <w:t xml:space="preserve">Table </w:t>
      </w:r>
      <w:r w:rsidR="00012F31">
        <w:rPr>
          <w:noProof/>
        </w:rPr>
        <w:t>6</w:t>
      </w:r>
      <w:r w:rsidR="009849AF" w:rsidRPr="00DD4FE5">
        <w:rPr>
          <w:bCs/>
        </w:rPr>
        <w:fldChar w:fldCharType="end"/>
      </w:r>
      <w:r w:rsidRPr="00DD4FE5">
        <w:rPr>
          <w:bCs/>
        </w:rPr>
        <w:t xml:space="preserve"> and </w:t>
      </w:r>
      <w:r w:rsidR="00000776" w:rsidRPr="00DD4FE5">
        <w:rPr>
          <w:bCs/>
        </w:rPr>
        <w:fldChar w:fldCharType="begin"/>
      </w:r>
      <w:r w:rsidR="00000776" w:rsidRPr="00DD4FE5">
        <w:rPr>
          <w:bCs/>
        </w:rPr>
        <w:instrText xml:space="preserve"> REF _Ref80352562 \h </w:instrText>
      </w:r>
      <w:r w:rsidR="00DD4FE5">
        <w:rPr>
          <w:bCs/>
        </w:rPr>
        <w:instrText xml:space="preserve"> \* MERGEFORMAT </w:instrText>
      </w:r>
      <w:r w:rsidR="00000776" w:rsidRPr="00DD4FE5">
        <w:rPr>
          <w:bCs/>
        </w:rPr>
      </w:r>
      <w:r w:rsidR="00000776" w:rsidRPr="00DD4FE5">
        <w:rPr>
          <w:bCs/>
        </w:rPr>
        <w:fldChar w:fldCharType="separate"/>
      </w:r>
      <w:r w:rsidR="00012F31">
        <w:t xml:space="preserve">Figure </w:t>
      </w:r>
      <w:r w:rsidR="00012F31">
        <w:rPr>
          <w:noProof/>
        </w:rPr>
        <w:t>1</w:t>
      </w:r>
      <w:r w:rsidR="00000776" w:rsidRPr="00DD4FE5">
        <w:rPr>
          <w:bCs/>
        </w:rPr>
        <w:fldChar w:fldCharType="end"/>
      </w:r>
      <w:r w:rsidRPr="00DD4FE5">
        <w:rPr>
          <w:bCs/>
        </w:rPr>
        <w:t>.</w:t>
      </w:r>
    </w:p>
    <w:p w14:paraId="78E566AA" w14:textId="189B7AE6" w:rsidR="00E2325C" w:rsidRPr="00DD4FE5" w:rsidRDefault="009849AF" w:rsidP="000F0660">
      <w:pPr>
        <w:pStyle w:val="Caption"/>
      </w:pPr>
      <w:bookmarkStart w:id="24" w:name="_Ref80352381"/>
      <w:r w:rsidRPr="00DD4FE5">
        <w:lastRenderedPageBreak/>
        <w:t xml:space="preserve">Table </w:t>
      </w:r>
      <w:r w:rsidRPr="00DD4FE5">
        <w:fldChar w:fldCharType="begin"/>
      </w:r>
      <w:r w:rsidRPr="00DD4FE5">
        <w:instrText xml:space="preserve"> SEQ Table \* ARABIC </w:instrText>
      </w:r>
      <w:r w:rsidRPr="00DD4FE5">
        <w:fldChar w:fldCharType="separate"/>
      </w:r>
      <w:r w:rsidR="00012F31">
        <w:rPr>
          <w:noProof/>
        </w:rPr>
        <w:t>6</w:t>
      </w:r>
      <w:r w:rsidRPr="00DD4FE5">
        <w:fldChar w:fldCharType="end"/>
      </w:r>
      <w:bookmarkEnd w:id="24"/>
      <w:r w:rsidR="00E2325C" w:rsidRPr="00DD4FE5">
        <w:t xml:space="preserve">: </w:t>
      </w:r>
      <w:r w:rsidR="00E2325C" w:rsidRPr="00DD4FE5">
        <w:rPr>
          <w:rFonts w:eastAsia="MS Mincho"/>
          <w:lang w:eastAsia="ja-JP"/>
        </w:rPr>
        <w:t xml:space="preserve">Efficacy </w:t>
      </w:r>
      <w:r w:rsidR="00DA348C" w:rsidRPr="00DD4FE5">
        <w:rPr>
          <w:rFonts w:eastAsia="MS Mincho"/>
          <w:lang w:eastAsia="ja-JP"/>
        </w:rPr>
        <w:t>r</w:t>
      </w:r>
      <w:r w:rsidR="00E2325C" w:rsidRPr="00DD4FE5">
        <w:rPr>
          <w:rFonts w:eastAsia="MS Mincho"/>
          <w:lang w:eastAsia="ja-JP"/>
        </w:rPr>
        <w:t xml:space="preserve">esults in </w:t>
      </w:r>
      <w:r w:rsidR="00E2325C" w:rsidRPr="00DD4FE5">
        <w:t>Study IMCgp100-202</w:t>
      </w:r>
    </w:p>
    <w:tbl>
      <w:tblPr>
        <w:tblStyle w:val="TableGrid"/>
        <w:tblW w:w="5000" w:type="pct"/>
        <w:jc w:val="center"/>
        <w:tblLook w:val="04A0" w:firstRow="1" w:lastRow="0" w:firstColumn="1" w:lastColumn="0" w:noHBand="0" w:noVBand="1"/>
      </w:tblPr>
      <w:tblGrid>
        <w:gridCol w:w="3822"/>
        <w:gridCol w:w="2597"/>
        <w:gridCol w:w="2597"/>
      </w:tblGrid>
      <w:tr w:rsidR="00E2325C" w:rsidRPr="00DD4FE5" w14:paraId="3094C62E" w14:textId="77777777" w:rsidTr="002A75B6">
        <w:trPr>
          <w:trHeight w:val="726"/>
          <w:jc w:val="center"/>
        </w:trPr>
        <w:tc>
          <w:tcPr>
            <w:tcW w:w="2120" w:type="pct"/>
            <w:tcBorders>
              <w:top w:val="single" w:sz="4" w:space="0" w:color="auto"/>
              <w:left w:val="single" w:sz="4" w:space="0" w:color="auto"/>
              <w:bottom w:val="single" w:sz="4" w:space="0" w:color="auto"/>
              <w:right w:val="single" w:sz="4" w:space="0" w:color="auto"/>
            </w:tcBorders>
            <w:vAlign w:val="bottom"/>
            <w:hideMark/>
          </w:tcPr>
          <w:p w14:paraId="13A07F6C" w14:textId="48663001" w:rsidR="00E2325C" w:rsidRPr="00DD4FE5" w:rsidRDefault="00E2325C" w:rsidP="002A75B6">
            <w:pPr>
              <w:pStyle w:val="Caption"/>
              <w:spacing w:after="0"/>
              <w:rPr>
                <w:rFonts w:eastAsia="MS Mincho"/>
                <w:i/>
                <w:iCs/>
                <w:sz w:val="22"/>
                <w:szCs w:val="22"/>
                <w:lang w:eastAsia="ja-JP"/>
              </w:rPr>
            </w:pPr>
            <w:r w:rsidRPr="00DD4FE5">
              <w:rPr>
                <w:rFonts w:eastAsia="MS Mincho"/>
                <w:sz w:val="22"/>
                <w:szCs w:val="22"/>
                <w:lang w:eastAsia="ja-JP"/>
              </w:rPr>
              <w:t>Endpoint</w:t>
            </w:r>
          </w:p>
        </w:tc>
        <w:tc>
          <w:tcPr>
            <w:tcW w:w="1440" w:type="pct"/>
            <w:tcBorders>
              <w:top w:val="single" w:sz="4" w:space="0" w:color="auto"/>
              <w:left w:val="single" w:sz="4" w:space="0" w:color="auto"/>
              <w:bottom w:val="single" w:sz="4" w:space="0" w:color="auto"/>
              <w:right w:val="single" w:sz="4" w:space="0" w:color="auto"/>
            </w:tcBorders>
            <w:vAlign w:val="center"/>
            <w:hideMark/>
          </w:tcPr>
          <w:p w14:paraId="0F4508DC" w14:textId="7434A6AF" w:rsidR="00E2325C" w:rsidRPr="00DD4FE5" w:rsidRDefault="00E2325C" w:rsidP="002A75B6">
            <w:pPr>
              <w:pStyle w:val="Caption"/>
              <w:spacing w:after="0"/>
              <w:jc w:val="center"/>
              <w:rPr>
                <w:rFonts w:eastAsia="MS Mincho"/>
                <w:i/>
                <w:iCs/>
                <w:sz w:val="22"/>
                <w:szCs w:val="22"/>
                <w:lang w:eastAsia="ja-JP"/>
              </w:rPr>
            </w:pPr>
            <w:r w:rsidRPr="00DD4FE5">
              <w:rPr>
                <w:rFonts w:eastAsia="MS Mincho"/>
                <w:sz w:val="22"/>
                <w:szCs w:val="22"/>
                <w:lang w:eastAsia="ja-JP"/>
              </w:rPr>
              <w:t>KIMMTRAK</w:t>
            </w:r>
            <w:r w:rsidRPr="00DD4FE5">
              <w:rPr>
                <w:rFonts w:eastAsia="MS Mincho"/>
                <w:sz w:val="22"/>
                <w:szCs w:val="22"/>
                <w:lang w:eastAsia="ja-JP"/>
              </w:rPr>
              <w:br/>
              <w:t>(</w:t>
            </w:r>
            <w:r w:rsidR="00DA348C" w:rsidRPr="00DD4FE5">
              <w:rPr>
                <w:rFonts w:eastAsia="MS Mincho"/>
                <w:sz w:val="22"/>
                <w:szCs w:val="22"/>
                <w:lang w:eastAsia="ja-JP"/>
              </w:rPr>
              <w:t>n</w:t>
            </w:r>
            <w:r w:rsidRPr="00DD4FE5">
              <w:rPr>
                <w:rFonts w:eastAsia="MS Mincho"/>
                <w:sz w:val="22"/>
                <w:szCs w:val="22"/>
                <w:lang w:eastAsia="ja-JP"/>
              </w:rPr>
              <w:t>=252)</w:t>
            </w:r>
          </w:p>
        </w:tc>
        <w:tc>
          <w:tcPr>
            <w:tcW w:w="1440" w:type="pct"/>
            <w:tcBorders>
              <w:top w:val="single" w:sz="4" w:space="0" w:color="auto"/>
              <w:left w:val="single" w:sz="4" w:space="0" w:color="auto"/>
              <w:bottom w:val="single" w:sz="4" w:space="0" w:color="auto"/>
              <w:right w:val="single" w:sz="4" w:space="0" w:color="auto"/>
            </w:tcBorders>
            <w:vAlign w:val="center"/>
            <w:hideMark/>
          </w:tcPr>
          <w:p w14:paraId="6671A35B" w14:textId="39F16630" w:rsidR="00E2325C" w:rsidRPr="00DD4FE5" w:rsidRDefault="00DA348C" w:rsidP="002A75B6">
            <w:pPr>
              <w:pStyle w:val="Caption"/>
              <w:spacing w:after="0"/>
              <w:jc w:val="center"/>
              <w:rPr>
                <w:rFonts w:eastAsia="MS Mincho"/>
                <w:i/>
                <w:iCs/>
                <w:sz w:val="22"/>
                <w:szCs w:val="22"/>
                <w:lang w:eastAsia="ja-JP"/>
              </w:rPr>
            </w:pPr>
            <w:r w:rsidRPr="00DD4FE5">
              <w:rPr>
                <w:rFonts w:eastAsia="MS Mincho"/>
                <w:sz w:val="22"/>
                <w:szCs w:val="22"/>
                <w:lang w:eastAsia="ja-JP"/>
              </w:rPr>
              <w:t>IC</w:t>
            </w:r>
            <w:r w:rsidR="00E2325C" w:rsidRPr="00DD4FE5">
              <w:rPr>
                <w:rFonts w:eastAsia="MS Mincho"/>
                <w:sz w:val="22"/>
                <w:szCs w:val="22"/>
                <w:lang w:eastAsia="ja-JP"/>
              </w:rPr>
              <w:br/>
              <w:t>(</w:t>
            </w:r>
            <w:r w:rsidRPr="00DD4FE5">
              <w:rPr>
                <w:rFonts w:eastAsia="MS Mincho"/>
                <w:sz w:val="22"/>
                <w:szCs w:val="22"/>
                <w:lang w:eastAsia="ja-JP"/>
              </w:rPr>
              <w:t>n</w:t>
            </w:r>
            <w:r w:rsidR="00E2325C" w:rsidRPr="00DD4FE5">
              <w:rPr>
                <w:rFonts w:eastAsia="MS Mincho"/>
                <w:sz w:val="22"/>
                <w:szCs w:val="22"/>
                <w:lang w:eastAsia="ja-JP"/>
              </w:rPr>
              <w:t>=126)</w:t>
            </w:r>
          </w:p>
        </w:tc>
      </w:tr>
      <w:tr w:rsidR="00E2325C" w:rsidRPr="00DD4FE5" w14:paraId="151D87C9" w14:textId="77777777" w:rsidTr="002A75B6">
        <w:trPr>
          <w:trHeight w:val="276"/>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683B0AC" w14:textId="77777777" w:rsidR="00E2325C" w:rsidRPr="00DD4FE5" w:rsidRDefault="00E2325C" w:rsidP="002A75B6">
            <w:pPr>
              <w:pStyle w:val="Caption"/>
              <w:spacing w:after="0"/>
              <w:rPr>
                <w:rFonts w:eastAsia="MS Mincho"/>
                <w:i/>
                <w:iCs/>
                <w:sz w:val="22"/>
                <w:szCs w:val="22"/>
                <w:lang w:eastAsia="ja-JP"/>
              </w:rPr>
            </w:pPr>
            <w:r w:rsidRPr="00DD4FE5">
              <w:rPr>
                <w:rFonts w:eastAsia="MS Mincho"/>
                <w:sz w:val="22"/>
                <w:szCs w:val="22"/>
                <w:lang w:eastAsia="ja-JP"/>
              </w:rPr>
              <w:t>Overall survival (OS)</w:t>
            </w:r>
            <w:r w:rsidRPr="00DD4FE5">
              <w:rPr>
                <w:rFonts w:eastAsia="MS Mincho"/>
                <w:sz w:val="22"/>
                <w:szCs w:val="22"/>
                <w:vertAlign w:val="superscript"/>
                <w:lang w:eastAsia="ja-JP"/>
              </w:rPr>
              <w:t xml:space="preserve"> 1</w:t>
            </w:r>
          </w:p>
        </w:tc>
      </w:tr>
      <w:tr w:rsidR="00E2325C" w:rsidRPr="00DD4FE5" w14:paraId="4AC89F8B" w14:textId="77777777" w:rsidTr="002A75B6">
        <w:trPr>
          <w:trHeight w:val="279"/>
          <w:jc w:val="center"/>
        </w:trPr>
        <w:tc>
          <w:tcPr>
            <w:tcW w:w="2120" w:type="pct"/>
            <w:tcBorders>
              <w:top w:val="single" w:sz="4" w:space="0" w:color="auto"/>
              <w:left w:val="single" w:sz="4" w:space="0" w:color="auto"/>
              <w:bottom w:val="single" w:sz="4" w:space="0" w:color="auto"/>
              <w:right w:val="single" w:sz="4" w:space="0" w:color="auto"/>
            </w:tcBorders>
            <w:vAlign w:val="center"/>
            <w:hideMark/>
          </w:tcPr>
          <w:p w14:paraId="28EEE092" w14:textId="60E6BD07" w:rsidR="00E2325C" w:rsidRPr="00DD4FE5" w:rsidRDefault="00E2325C" w:rsidP="002A75B6">
            <w:pPr>
              <w:pStyle w:val="Caption"/>
              <w:spacing w:after="0"/>
              <w:rPr>
                <w:rFonts w:eastAsia="MS Mincho"/>
                <w:b w:val="0"/>
                <w:bCs w:val="0"/>
                <w:i/>
                <w:iCs/>
                <w:sz w:val="22"/>
                <w:szCs w:val="22"/>
                <w:lang w:eastAsia="ja-JP"/>
              </w:rPr>
            </w:pPr>
            <w:r w:rsidRPr="00DD4FE5">
              <w:rPr>
                <w:rFonts w:eastAsia="MS Mincho"/>
                <w:b w:val="0"/>
                <w:bCs w:val="0"/>
                <w:sz w:val="22"/>
                <w:szCs w:val="22"/>
                <w:lang w:eastAsia="ja-JP"/>
              </w:rPr>
              <w:t>Number of deaths</w:t>
            </w:r>
            <w:r w:rsidR="00DD4FE5" w:rsidRPr="00DD4FE5">
              <w:rPr>
                <w:rFonts w:eastAsia="MS Mincho"/>
                <w:b w:val="0"/>
                <w:bCs w:val="0"/>
                <w:sz w:val="22"/>
                <w:szCs w:val="22"/>
                <w:lang w:eastAsia="ja-JP"/>
              </w:rPr>
              <w:t>, n (%)</w:t>
            </w:r>
          </w:p>
        </w:tc>
        <w:tc>
          <w:tcPr>
            <w:tcW w:w="1440" w:type="pct"/>
            <w:tcBorders>
              <w:top w:val="single" w:sz="4" w:space="0" w:color="auto"/>
              <w:left w:val="single" w:sz="4" w:space="0" w:color="auto"/>
              <w:bottom w:val="single" w:sz="4" w:space="0" w:color="auto"/>
              <w:right w:val="single" w:sz="4" w:space="0" w:color="auto"/>
            </w:tcBorders>
            <w:vAlign w:val="center"/>
            <w:hideMark/>
          </w:tcPr>
          <w:p w14:paraId="6F29FD81" w14:textId="7CEA1DEB" w:rsidR="00E2325C" w:rsidRPr="00DD4FE5" w:rsidRDefault="00E2325C" w:rsidP="002A75B6">
            <w:pPr>
              <w:pStyle w:val="Caption"/>
              <w:spacing w:after="0"/>
              <w:jc w:val="center"/>
              <w:rPr>
                <w:rFonts w:eastAsia="MS Mincho"/>
                <w:b w:val="0"/>
                <w:bCs w:val="0"/>
                <w:i/>
                <w:iCs/>
                <w:sz w:val="22"/>
                <w:szCs w:val="22"/>
                <w:lang w:eastAsia="ja-JP"/>
              </w:rPr>
            </w:pPr>
            <w:r w:rsidRPr="00DD4FE5">
              <w:rPr>
                <w:rFonts w:eastAsia="MS Mincho"/>
                <w:b w:val="0"/>
                <w:bCs w:val="0"/>
                <w:sz w:val="22"/>
                <w:szCs w:val="22"/>
                <w:lang w:eastAsia="ja-JP"/>
              </w:rPr>
              <w:t>87 (34.5</w:t>
            </w:r>
            <w:r w:rsidR="0035777F" w:rsidRPr="00DD4FE5">
              <w:rPr>
                <w:rFonts w:eastAsia="MS Mincho"/>
                <w:b w:val="0"/>
                <w:bCs w:val="0"/>
                <w:sz w:val="22"/>
                <w:szCs w:val="22"/>
                <w:lang w:eastAsia="ja-JP"/>
              </w:rPr>
              <w:t>%</w:t>
            </w:r>
            <w:r w:rsidRPr="00DD4FE5">
              <w:rPr>
                <w:rFonts w:eastAsia="MS Mincho"/>
                <w:b w:val="0"/>
                <w:bCs w:val="0"/>
                <w:sz w:val="22"/>
                <w:szCs w:val="22"/>
                <w:lang w:eastAsia="ja-JP"/>
              </w:rPr>
              <w:t>)</w:t>
            </w:r>
          </w:p>
        </w:tc>
        <w:tc>
          <w:tcPr>
            <w:tcW w:w="1440" w:type="pct"/>
            <w:tcBorders>
              <w:top w:val="single" w:sz="4" w:space="0" w:color="auto"/>
              <w:left w:val="single" w:sz="4" w:space="0" w:color="auto"/>
              <w:bottom w:val="single" w:sz="4" w:space="0" w:color="auto"/>
              <w:right w:val="single" w:sz="4" w:space="0" w:color="auto"/>
            </w:tcBorders>
            <w:vAlign w:val="center"/>
            <w:hideMark/>
          </w:tcPr>
          <w:p w14:paraId="38EF2E1B" w14:textId="3C8AC272" w:rsidR="00E2325C" w:rsidRPr="00DD4FE5" w:rsidRDefault="00E2325C" w:rsidP="002A75B6">
            <w:pPr>
              <w:pStyle w:val="Caption"/>
              <w:spacing w:after="0"/>
              <w:jc w:val="center"/>
              <w:rPr>
                <w:rFonts w:eastAsia="MS Mincho"/>
                <w:b w:val="0"/>
                <w:bCs w:val="0"/>
                <w:i/>
                <w:iCs/>
                <w:sz w:val="22"/>
                <w:szCs w:val="22"/>
                <w:lang w:eastAsia="ja-JP"/>
              </w:rPr>
            </w:pPr>
            <w:r w:rsidRPr="00DD4FE5">
              <w:rPr>
                <w:rFonts w:eastAsia="MS Mincho"/>
                <w:b w:val="0"/>
                <w:bCs w:val="0"/>
                <w:sz w:val="22"/>
                <w:szCs w:val="22"/>
                <w:lang w:eastAsia="ja-JP"/>
              </w:rPr>
              <w:t>63 (50</w:t>
            </w:r>
            <w:r w:rsidR="0035777F" w:rsidRPr="00DD4FE5">
              <w:rPr>
                <w:rFonts w:eastAsia="MS Mincho"/>
                <w:b w:val="0"/>
                <w:bCs w:val="0"/>
                <w:sz w:val="22"/>
                <w:szCs w:val="22"/>
                <w:lang w:eastAsia="ja-JP"/>
              </w:rPr>
              <w:t>%</w:t>
            </w:r>
            <w:r w:rsidRPr="00DD4FE5">
              <w:rPr>
                <w:rFonts w:eastAsia="MS Mincho"/>
                <w:b w:val="0"/>
                <w:bCs w:val="0"/>
                <w:sz w:val="22"/>
                <w:szCs w:val="22"/>
                <w:lang w:eastAsia="ja-JP"/>
              </w:rPr>
              <w:t>)</w:t>
            </w:r>
          </w:p>
        </w:tc>
      </w:tr>
      <w:tr w:rsidR="00E2325C" w:rsidRPr="00DD4FE5" w14:paraId="1526EA69" w14:textId="77777777" w:rsidTr="002A75B6">
        <w:trPr>
          <w:trHeight w:val="270"/>
          <w:jc w:val="center"/>
        </w:trPr>
        <w:tc>
          <w:tcPr>
            <w:tcW w:w="2120" w:type="pct"/>
            <w:tcBorders>
              <w:top w:val="single" w:sz="4" w:space="0" w:color="auto"/>
              <w:left w:val="single" w:sz="4" w:space="0" w:color="auto"/>
              <w:bottom w:val="single" w:sz="4" w:space="0" w:color="auto"/>
              <w:right w:val="single" w:sz="4" w:space="0" w:color="auto"/>
            </w:tcBorders>
            <w:vAlign w:val="center"/>
            <w:hideMark/>
          </w:tcPr>
          <w:p w14:paraId="0D9D7A41" w14:textId="325275D8" w:rsidR="00E2325C" w:rsidRPr="00DD4FE5" w:rsidRDefault="00E2325C" w:rsidP="002A75B6">
            <w:pPr>
              <w:pStyle w:val="Caption"/>
              <w:spacing w:after="0"/>
              <w:rPr>
                <w:rFonts w:eastAsia="MS Mincho"/>
                <w:b w:val="0"/>
                <w:bCs w:val="0"/>
                <w:i/>
                <w:iCs/>
                <w:sz w:val="22"/>
                <w:szCs w:val="22"/>
                <w:lang w:eastAsia="ja-JP"/>
              </w:rPr>
            </w:pPr>
            <w:r w:rsidRPr="00DD4FE5">
              <w:rPr>
                <w:rFonts w:eastAsia="MS Mincho"/>
                <w:b w:val="0"/>
                <w:bCs w:val="0"/>
                <w:sz w:val="22"/>
                <w:szCs w:val="22"/>
                <w:lang w:eastAsia="ja-JP"/>
              </w:rPr>
              <w:t>Median</w:t>
            </w:r>
            <w:r w:rsidR="00DD4FE5" w:rsidRPr="00DD4FE5">
              <w:rPr>
                <w:rFonts w:eastAsia="MS Mincho"/>
                <w:b w:val="0"/>
                <w:bCs w:val="0"/>
                <w:sz w:val="22"/>
                <w:szCs w:val="22"/>
                <w:lang w:eastAsia="ja-JP"/>
              </w:rPr>
              <w:t>,</w:t>
            </w:r>
            <w:r w:rsidRPr="00DD4FE5">
              <w:rPr>
                <w:rFonts w:eastAsia="MS Mincho"/>
                <w:b w:val="0"/>
                <w:bCs w:val="0"/>
                <w:sz w:val="22"/>
                <w:szCs w:val="22"/>
                <w:lang w:eastAsia="ja-JP"/>
              </w:rPr>
              <w:t xml:space="preserve"> months (95</w:t>
            </w:r>
            <w:r w:rsidR="0035777F" w:rsidRPr="00DD4FE5">
              <w:rPr>
                <w:rFonts w:eastAsia="MS Mincho"/>
                <w:b w:val="0"/>
                <w:bCs w:val="0"/>
                <w:sz w:val="22"/>
                <w:szCs w:val="22"/>
                <w:lang w:eastAsia="ja-JP"/>
              </w:rPr>
              <w:t>%</w:t>
            </w:r>
            <w:r w:rsidRPr="00DD4FE5">
              <w:rPr>
                <w:rFonts w:eastAsia="MS Mincho"/>
                <w:b w:val="0"/>
                <w:bCs w:val="0"/>
                <w:sz w:val="22"/>
                <w:szCs w:val="22"/>
                <w:lang w:eastAsia="ja-JP"/>
              </w:rPr>
              <w:t xml:space="preserve"> CI)</w:t>
            </w:r>
          </w:p>
        </w:tc>
        <w:tc>
          <w:tcPr>
            <w:tcW w:w="1440" w:type="pct"/>
            <w:tcBorders>
              <w:top w:val="single" w:sz="4" w:space="0" w:color="auto"/>
              <w:left w:val="single" w:sz="4" w:space="0" w:color="auto"/>
              <w:bottom w:val="single" w:sz="4" w:space="0" w:color="auto"/>
              <w:right w:val="single" w:sz="4" w:space="0" w:color="auto"/>
            </w:tcBorders>
            <w:vAlign w:val="center"/>
            <w:hideMark/>
          </w:tcPr>
          <w:p w14:paraId="6D67D286" w14:textId="77777777" w:rsidR="00E2325C" w:rsidRPr="00DD4FE5" w:rsidRDefault="00E2325C" w:rsidP="002A75B6">
            <w:pPr>
              <w:pStyle w:val="Caption"/>
              <w:spacing w:after="0"/>
              <w:jc w:val="center"/>
              <w:rPr>
                <w:rFonts w:eastAsia="MS Mincho"/>
                <w:b w:val="0"/>
                <w:bCs w:val="0"/>
                <w:i/>
                <w:iCs/>
                <w:sz w:val="22"/>
                <w:szCs w:val="22"/>
                <w:lang w:eastAsia="ja-JP"/>
              </w:rPr>
            </w:pPr>
            <w:r w:rsidRPr="00DD4FE5">
              <w:rPr>
                <w:rFonts w:eastAsia="MS Mincho"/>
                <w:b w:val="0"/>
                <w:bCs w:val="0"/>
                <w:sz w:val="22"/>
                <w:szCs w:val="22"/>
                <w:lang w:eastAsia="ja-JP"/>
              </w:rPr>
              <w:t>21.7 (18.6, 28.6)</w:t>
            </w:r>
          </w:p>
        </w:tc>
        <w:tc>
          <w:tcPr>
            <w:tcW w:w="1440" w:type="pct"/>
            <w:tcBorders>
              <w:top w:val="single" w:sz="4" w:space="0" w:color="auto"/>
              <w:left w:val="single" w:sz="4" w:space="0" w:color="auto"/>
              <w:bottom w:val="single" w:sz="4" w:space="0" w:color="auto"/>
              <w:right w:val="single" w:sz="4" w:space="0" w:color="auto"/>
            </w:tcBorders>
            <w:vAlign w:val="center"/>
            <w:hideMark/>
          </w:tcPr>
          <w:p w14:paraId="43044063" w14:textId="77777777" w:rsidR="00E2325C" w:rsidRPr="00DD4FE5" w:rsidRDefault="00E2325C" w:rsidP="002A75B6">
            <w:pPr>
              <w:pStyle w:val="Caption"/>
              <w:spacing w:after="0"/>
              <w:jc w:val="center"/>
              <w:rPr>
                <w:rFonts w:eastAsia="MS Mincho"/>
                <w:b w:val="0"/>
                <w:bCs w:val="0"/>
                <w:i/>
                <w:iCs/>
                <w:sz w:val="22"/>
                <w:szCs w:val="22"/>
                <w:lang w:eastAsia="ja-JP"/>
              </w:rPr>
            </w:pPr>
            <w:r w:rsidRPr="00DD4FE5">
              <w:rPr>
                <w:rFonts w:eastAsia="MS Mincho"/>
                <w:b w:val="0"/>
                <w:bCs w:val="0"/>
                <w:sz w:val="22"/>
                <w:szCs w:val="22"/>
                <w:lang w:eastAsia="ja-JP"/>
              </w:rPr>
              <w:t>16.0 (9.7, 18.4)</w:t>
            </w:r>
          </w:p>
        </w:tc>
      </w:tr>
      <w:tr w:rsidR="00E2325C" w:rsidRPr="00DD4FE5" w14:paraId="0C9C4C07" w14:textId="77777777" w:rsidTr="002A75B6">
        <w:trPr>
          <w:trHeight w:val="259"/>
          <w:jc w:val="center"/>
        </w:trPr>
        <w:tc>
          <w:tcPr>
            <w:tcW w:w="2120" w:type="pct"/>
            <w:tcBorders>
              <w:top w:val="single" w:sz="4" w:space="0" w:color="auto"/>
              <w:left w:val="single" w:sz="4" w:space="0" w:color="auto"/>
              <w:bottom w:val="single" w:sz="4" w:space="0" w:color="auto"/>
              <w:right w:val="single" w:sz="4" w:space="0" w:color="auto"/>
            </w:tcBorders>
            <w:vAlign w:val="center"/>
            <w:hideMark/>
          </w:tcPr>
          <w:p w14:paraId="10FB8CD3" w14:textId="5AF2AB8A" w:rsidR="00E2325C" w:rsidRPr="00DD4FE5" w:rsidRDefault="00E2325C" w:rsidP="002A75B6">
            <w:pPr>
              <w:pStyle w:val="Caption"/>
              <w:spacing w:after="0"/>
              <w:rPr>
                <w:rFonts w:eastAsia="MS Mincho"/>
                <w:b w:val="0"/>
                <w:bCs w:val="0"/>
                <w:i/>
                <w:iCs/>
                <w:sz w:val="22"/>
                <w:szCs w:val="22"/>
                <w:lang w:eastAsia="ja-JP"/>
              </w:rPr>
            </w:pPr>
            <w:r w:rsidRPr="00DD4FE5">
              <w:rPr>
                <w:rFonts w:eastAsia="MS Mincho"/>
                <w:b w:val="0"/>
                <w:bCs w:val="0"/>
                <w:sz w:val="22"/>
                <w:szCs w:val="22"/>
                <w:lang w:eastAsia="ja-JP"/>
              </w:rPr>
              <w:t>HR (95</w:t>
            </w:r>
            <w:r w:rsidR="0035777F" w:rsidRPr="00DD4FE5">
              <w:rPr>
                <w:rFonts w:eastAsia="MS Mincho"/>
                <w:b w:val="0"/>
                <w:bCs w:val="0"/>
                <w:sz w:val="22"/>
                <w:szCs w:val="22"/>
                <w:lang w:eastAsia="ja-JP"/>
              </w:rPr>
              <w:t>%</w:t>
            </w:r>
            <w:r w:rsidRPr="00DD4FE5">
              <w:rPr>
                <w:rFonts w:eastAsia="MS Mincho"/>
                <w:b w:val="0"/>
                <w:bCs w:val="0"/>
                <w:sz w:val="22"/>
                <w:szCs w:val="22"/>
                <w:lang w:eastAsia="ja-JP"/>
              </w:rPr>
              <w:t xml:space="preserve"> CI)</w:t>
            </w:r>
            <w:r w:rsidRPr="00DD4FE5">
              <w:rPr>
                <w:rFonts w:eastAsia="MS Mincho"/>
                <w:b w:val="0"/>
                <w:bCs w:val="0"/>
                <w:sz w:val="22"/>
                <w:szCs w:val="22"/>
                <w:vertAlign w:val="superscript"/>
                <w:lang w:eastAsia="ja-JP"/>
              </w:rPr>
              <w:t>2</w:t>
            </w:r>
          </w:p>
        </w:tc>
        <w:tc>
          <w:tcPr>
            <w:tcW w:w="2880" w:type="pct"/>
            <w:gridSpan w:val="2"/>
            <w:tcBorders>
              <w:top w:val="single" w:sz="4" w:space="0" w:color="auto"/>
              <w:left w:val="single" w:sz="4" w:space="0" w:color="auto"/>
              <w:bottom w:val="single" w:sz="4" w:space="0" w:color="auto"/>
              <w:right w:val="single" w:sz="4" w:space="0" w:color="auto"/>
            </w:tcBorders>
            <w:vAlign w:val="center"/>
            <w:hideMark/>
          </w:tcPr>
          <w:p w14:paraId="1D56237E" w14:textId="77777777" w:rsidR="00E2325C" w:rsidRPr="00DD4FE5" w:rsidRDefault="00E2325C" w:rsidP="002A75B6">
            <w:pPr>
              <w:pStyle w:val="Caption"/>
              <w:spacing w:after="0"/>
              <w:jc w:val="center"/>
              <w:rPr>
                <w:rFonts w:eastAsia="MS Mincho"/>
                <w:b w:val="0"/>
                <w:bCs w:val="0"/>
                <w:i/>
                <w:iCs/>
                <w:sz w:val="22"/>
                <w:szCs w:val="22"/>
                <w:lang w:eastAsia="ja-JP"/>
              </w:rPr>
            </w:pPr>
            <w:r w:rsidRPr="00DD4FE5">
              <w:rPr>
                <w:rFonts w:eastAsia="MS Mincho"/>
                <w:b w:val="0"/>
                <w:bCs w:val="0"/>
                <w:sz w:val="22"/>
                <w:szCs w:val="22"/>
                <w:lang w:eastAsia="ja-JP"/>
              </w:rPr>
              <w:t>0.51 (0.37, 0.71)</w:t>
            </w:r>
          </w:p>
        </w:tc>
      </w:tr>
      <w:tr w:rsidR="00E2325C" w:rsidRPr="00DD4FE5" w14:paraId="7FA7C83D" w14:textId="77777777" w:rsidTr="002A75B6">
        <w:trPr>
          <w:trHeight w:val="292"/>
          <w:jc w:val="center"/>
        </w:trPr>
        <w:tc>
          <w:tcPr>
            <w:tcW w:w="2120" w:type="pct"/>
            <w:tcBorders>
              <w:top w:val="single" w:sz="4" w:space="0" w:color="auto"/>
              <w:left w:val="single" w:sz="4" w:space="0" w:color="auto"/>
              <w:bottom w:val="single" w:sz="4" w:space="0" w:color="auto"/>
              <w:right w:val="single" w:sz="4" w:space="0" w:color="auto"/>
            </w:tcBorders>
            <w:vAlign w:val="center"/>
            <w:hideMark/>
          </w:tcPr>
          <w:p w14:paraId="631D654F" w14:textId="073D0A77" w:rsidR="00E2325C" w:rsidRPr="00DD4FE5" w:rsidRDefault="00E2325C" w:rsidP="002A75B6">
            <w:pPr>
              <w:pStyle w:val="Caption"/>
              <w:spacing w:after="0"/>
              <w:rPr>
                <w:rFonts w:eastAsia="MS Mincho"/>
                <w:b w:val="0"/>
                <w:bCs w:val="0"/>
                <w:i/>
                <w:iCs/>
                <w:sz w:val="22"/>
                <w:szCs w:val="22"/>
                <w:lang w:eastAsia="ja-JP"/>
              </w:rPr>
            </w:pPr>
            <w:r w:rsidRPr="00DD4FE5">
              <w:rPr>
                <w:rFonts w:eastAsia="MS Mincho"/>
                <w:b w:val="0"/>
                <w:bCs w:val="0"/>
                <w:sz w:val="22"/>
                <w:szCs w:val="22"/>
                <w:lang w:eastAsia="ja-JP"/>
              </w:rPr>
              <w:t>p-</w:t>
            </w:r>
            <w:r w:rsidR="00914DA6" w:rsidRPr="00DD4FE5">
              <w:rPr>
                <w:rFonts w:eastAsia="MS Mincho"/>
                <w:b w:val="0"/>
                <w:bCs w:val="0"/>
                <w:sz w:val="22"/>
                <w:szCs w:val="22"/>
                <w:lang w:eastAsia="ja-JP"/>
              </w:rPr>
              <w:t>value</w:t>
            </w:r>
            <w:r w:rsidR="00914DA6" w:rsidRPr="002A75B6">
              <w:rPr>
                <w:rFonts w:eastAsia="MS Mincho"/>
                <w:b w:val="0"/>
                <w:bCs w:val="0"/>
                <w:lang w:eastAsia="ja-JP"/>
              </w:rPr>
              <w:t xml:space="preserve"> </w:t>
            </w:r>
            <w:r w:rsidR="00914DA6" w:rsidRPr="002A75B6">
              <w:rPr>
                <w:rFonts w:eastAsia="MS Mincho"/>
                <w:b w:val="0"/>
                <w:bCs w:val="0"/>
                <w:vertAlign w:val="superscript"/>
                <w:lang w:eastAsia="ja-JP"/>
              </w:rPr>
              <w:t>3</w:t>
            </w:r>
          </w:p>
        </w:tc>
        <w:tc>
          <w:tcPr>
            <w:tcW w:w="2880" w:type="pct"/>
            <w:gridSpan w:val="2"/>
            <w:tcBorders>
              <w:top w:val="single" w:sz="4" w:space="0" w:color="auto"/>
              <w:left w:val="single" w:sz="4" w:space="0" w:color="auto"/>
              <w:bottom w:val="single" w:sz="4" w:space="0" w:color="auto"/>
              <w:right w:val="single" w:sz="4" w:space="0" w:color="auto"/>
            </w:tcBorders>
            <w:vAlign w:val="center"/>
            <w:hideMark/>
          </w:tcPr>
          <w:p w14:paraId="79C46D73" w14:textId="4BC7398B" w:rsidR="00E2325C" w:rsidRPr="00DD4FE5" w:rsidRDefault="00E2325C" w:rsidP="002A75B6">
            <w:pPr>
              <w:pStyle w:val="Caption"/>
              <w:spacing w:after="0"/>
              <w:jc w:val="center"/>
              <w:rPr>
                <w:rFonts w:eastAsia="MS Mincho"/>
                <w:b w:val="0"/>
                <w:bCs w:val="0"/>
                <w:i/>
                <w:iCs/>
                <w:sz w:val="22"/>
                <w:szCs w:val="22"/>
                <w:lang w:eastAsia="ja-JP"/>
              </w:rPr>
            </w:pPr>
            <w:r w:rsidRPr="00DD4FE5">
              <w:rPr>
                <w:rFonts w:eastAsia="MS Mincho"/>
                <w:b w:val="0"/>
                <w:bCs w:val="0"/>
                <w:sz w:val="22"/>
                <w:szCs w:val="22"/>
                <w:lang w:eastAsia="ja-JP"/>
              </w:rPr>
              <w:t>&lt;0.0001</w:t>
            </w:r>
          </w:p>
        </w:tc>
      </w:tr>
      <w:tr w:rsidR="00E2325C" w:rsidRPr="00DD4FE5" w14:paraId="0C5DA37C" w14:textId="77777777" w:rsidTr="002A75B6">
        <w:trPr>
          <w:trHeight w:val="267"/>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2B9C8EA" w14:textId="34F759D2" w:rsidR="00E2325C" w:rsidRPr="00DD4FE5" w:rsidRDefault="00E2325C" w:rsidP="002A75B6">
            <w:pPr>
              <w:pStyle w:val="Caption"/>
              <w:spacing w:after="0"/>
              <w:rPr>
                <w:rFonts w:eastAsia="MS Mincho"/>
                <w:i/>
                <w:iCs/>
                <w:sz w:val="22"/>
                <w:szCs w:val="22"/>
                <w:lang w:eastAsia="ja-JP"/>
              </w:rPr>
            </w:pPr>
            <w:r w:rsidRPr="00DD4FE5">
              <w:rPr>
                <w:rFonts w:eastAsia="MS Mincho"/>
                <w:sz w:val="22"/>
                <w:szCs w:val="22"/>
                <w:lang w:eastAsia="ja-JP"/>
              </w:rPr>
              <w:t>Progression-free survival</w:t>
            </w:r>
            <w:r w:rsidR="00914DA6" w:rsidRPr="002A75B6">
              <w:rPr>
                <w:rFonts w:eastAsia="MS Mincho"/>
                <w:vertAlign w:val="superscript"/>
                <w:lang w:eastAsia="ja-JP"/>
              </w:rPr>
              <w:t xml:space="preserve"> </w:t>
            </w:r>
            <w:r w:rsidRPr="00DD4FE5">
              <w:rPr>
                <w:rFonts w:eastAsia="MS Mincho"/>
                <w:sz w:val="22"/>
                <w:szCs w:val="22"/>
                <w:vertAlign w:val="superscript"/>
                <w:lang w:eastAsia="ja-JP"/>
              </w:rPr>
              <w:t>4</w:t>
            </w:r>
          </w:p>
        </w:tc>
      </w:tr>
      <w:tr w:rsidR="00E2325C" w:rsidRPr="00DD4FE5" w14:paraId="3DEC24A5" w14:textId="77777777" w:rsidTr="002A75B6">
        <w:trPr>
          <w:trHeight w:val="408"/>
          <w:jc w:val="center"/>
        </w:trPr>
        <w:tc>
          <w:tcPr>
            <w:tcW w:w="2120" w:type="pct"/>
            <w:tcBorders>
              <w:top w:val="single" w:sz="4" w:space="0" w:color="auto"/>
              <w:left w:val="single" w:sz="4" w:space="0" w:color="auto"/>
              <w:bottom w:val="single" w:sz="4" w:space="0" w:color="auto"/>
              <w:right w:val="single" w:sz="4" w:space="0" w:color="auto"/>
            </w:tcBorders>
            <w:vAlign w:val="center"/>
            <w:hideMark/>
          </w:tcPr>
          <w:p w14:paraId="7F5583CA" w14:textId="103D9C57" w:rsidR="00E2325C" w:rsidRPr="00DD4FE5" w:rsidRDefault="00E2325C" w:rsidP="002A75B6">
            <w:pPr>
              <w:pStyle w:val="Caption"/>
              <w:spacing w:after="0"/>
              <w:rPr>
                <w:rFonts w:eastAsia="MS Mincho"/>
                <w:b w:val="0"/>
                <w:bCs w:val="0"/>
                <w:i/>
                <w:iCs/>
                <w:sz w:val="22"/>
                <w:szCs w:val="22"/>
                <w:lang w:eastAsia="ja-JP"/>
              </w:rPr>
            </w:pPr>
            <w:r w:rsidRPr="00DD4FE5">
              <w:rPr>
                <w:rFonts w:eastAsia="MS Mincho"/>
                <w:b w:val="0"/>
                <w:bCs w:val="0"/>
                <w:sz w:val="22"/>
                <w:szCs w:val="22"/>
                <w:lang w:eastAsia="ja-JP"/>
              </w:rPr>
              <w:t>Number of patients with event</w:t>
            </w:r>
            <w:r w:rsidR="00DD4FE5" w:rsidRPr="00DD4FE5">
              <w:rPr>
                <w:rFonts w:eastAsia="MS Mincho"/>
                <w:b w:val="0"/>
                <w:bCs w:val="0"/>
                <w:sz w:val="22"/>
                <w:szCs w:val="22"/>
                <w:lang w:eastAsia="ja-JP"/>
              </w:rPr>
              <w:t>, n (%)</w:t>
            </w:r>
          </w:p>
        </w:tc>
        <w:tc>
          <w:tcPr>
            <w:tcW w:w="1440" w:type="pct"/>
            <w:tcBorders>
              <w:top w:val="single" w:sz="4" w:space="0" w:color="auto"/>
              <w:left w:val="single" w:sz="4" w:space="0" w:color="auto"/>
              <w:bottom w:val="single" w:sz="4" w:space="0" w:color="auto"/>
              <w:right w:val="single" w:sz="4" w:space="0" w:color="auto"/>
            </w:tcBorders>
            <w:vAlign w:val="center"/>
            <w:hideMark/>
          </w:tcPr>
          <w:p w14:paraId="0EADE1FC" w14:textId="26A38149" w:rsidR="00E2325C" w:rsidRPr="00DD4FE5" w:rsidRDefault="00E2325C" w:rsidP="002A75B6">
            <w:pPr>
              <w:pStyle w:val="Caption"/>
              <w:spacing w:after="0"/>
              <w:jc w:val="center"/>
              <w:rPr>
                <w:rFonts w:eastAsia="MS Mincho"/>
                <w:b w:val="0"/>
                <w:bCs w:val="0"/>
                <w:i/>
                <w:iCs/>
                <w:sz w:val="22"/>
                <w:szCs w:val="22"/>
                <w:lang w:eastAsia="ja-JP"/>
              </w:rPr>
            </w:pPr>
            <w:r w:rsidRPr="00DD4FE5">
              <w:rPr>
                <w:rFonts w:eastAsia="MS Mincho"/>
                <w:b w:val="0"/>
                <w:bCs w:val="0"/>
                <w:sz w:val="22"/>
                <w:szCs w:val="22"/>
                <w:lang w:eastAsia="ja-JP"/>
              </w:rPr>
              <w:t>198 (78.6</w:t>
            </w:r>
            <w:r w:rsidR="0035777F" w:rsidRPr="00DD4FE5">
              <w:rPr>
                <w:rFonts w:eastAsia="MS Mincho"/>
                <w:b w:val="0"/>
                <w:bCs w:val="0"/>
                <w:sz w:val="22"/>
                <w:szCs w:val="22"/>
                <w:lang w:eastAsia="ja-JP"/>
              </w:rPr>
              <w:t>%</w:t>
            </w:r>
            <w:r w:rsidRPr="00DD4FE5">
              <w:rPr>
                <w:rFonts w:eastAsia="MS Mincho"/>
                <w:b w:val="0"/>
                <w:bCs w:val="0"/>
                <w:sz w:val="22"/>
                <w:szCs w:val="22"/>
                <w:lang w:eastAsia="ja-JP"/>
              </w:rPr>
              <w:t>)</w:t>
            </w:r>
          </w:p>
        </w:tc>
        <w:tc>
          <w:tcPr>
            <w:tcW w:w="1440" w:type="pct"/>
            <w:tcBorders>
              <w:top w:val="single" w:sz="4" w:space="0" w:color="auto"/>
              <w:left w:val="single" w:sz="4" w:space="0" w:color="auto"/>
              <w:bottom w:val="single" w:sz="4" w:space="0" w:color="auto"/>
              <w:right w:val="single" w:sz="4" w:space="0" w:color="auto"/>
            </w:tcBorders>
            <w:vAlign w:val="center"/>
            <w:hideMark/>
          </w:tcPr>
          <w:p w14:paraId="3FC32EEE" w14:textId="69A39287" w:rsidR="00E2325C" w:rsidRPr="00DD4FE5" w:rsidRDefault="00E2325C" w:rsidP="002A75B6">
            <w:pPr>
              <w:pStyle w:val="Caption"/>
              <w:spacing w:after="0"/>
              <w:jc w:val="center"/>
              <w:rPr>
                <w:rFonts w:eastAsia="MS Mincho"/>
                <w:b w:val="0"/>
                <w:bCs w:val="0"/>
                <w:i/>
                <w:iCs/>
                <w:sz w:val="22"/>
                <w:szCs w:val="22"/>
                <w:lang w:eastAsia="ja-JP"/>
              </w:rPr>
            </w:pPr>
            <w:r w:rsidRPr="00DD4FE5">
              <w:rPr>
                <w:rFonts w:eastAsia="MS Mincho"/>
                <w:b w:val="0"/>
                <w:bCs w:val="0"/>
                <w:sz w:val="22"/>
                <w:szCs w:val="22"/>
                <w:lang w:eastAsia="ja-JP"/>
              </w:rPr>
              <w:t>97 (77</w:t>
            </w:r>
            <w:r w:rsidR="0035777F" w:rsidRPr="00DD4FE5">
              <w:rPr>
                <w:rFonts w:eastAsia="MS Mincho"/>
                <w:b w:val="0"/>
                <w:bCs w:val="0"/>
                <w:sz w:val="22"/>
                <w:szCs w:val="22"/>
                <w:lang w:eastAsia="ja-JP"/>
              </w:rPr>
              <w:t>%</w:t>
            </w:r>
            <w:r w:rsidRPr="00DD4FE5">
              <w:rPr>
                <w:rFonts w:eastAsia="MS Mincho"/>
                <w:b w:val="0"/>
                <w:bCs w:val="0"/>
                <w:sz w:val="22"/>
                <w:szCs w:val="22"/>
                <w:lang w:eastAsia="ja-JP"/>
              </w:rPr>
              <w:t>)</w:t>
            </w:r>
          </w:p>
        </w:tc>
      </w:tr>
      <w:tr w:rsidR="00E2325C" w:rsidRPr="00DD4FE5" w14:paraId="6631C0EB" w14:textId="77777777" w:rsidTr="002A75B6">
        <w:trPr>
          <w:trHeight w:val="266"/>
          <w:jc w:val="center"/>
        </w:trPr>
        <w:tc>
          <w:tcPr>
            <w:tcW w:w="2120" w:type="pct"/>
            <w:tcBorders>
              <w:top w:val="single" w:sz="4" w:space="0" w:color="auto"/>
              <w:left w:val="single" w:sz="4" w:space="0" w:color="auto"/>
              <w:bottom w:val="single" w:sz="4" w:space="0" w:color="auto"/>
              <w:right w:val="single" w:sz="4" w:space="0" w:color="auto"/>
            </w:tcBorders>
            <w:vAlign w:val="center"/>
            <w:hideMark/>
          </w:tcPr>
          <w:p w14:paraId="2746B306" w14:textId="030EE282" w:rsidR="00E2325C" w:rsidRPr="00DD4FE5" w:rsidRDefault="00E2325C" w:rsidP="002A75B6">
            <w:pPr>
              <w:pStyle w:val="Caption"/>
              <w:spacing w:after="0"/>
              <w:rPr>
                <w:rFonts w:eastAsia="MS Mincho"/>
                <w:b w:val="0"/>
                <w:bCs w:val="0"/>
                <w:i/>
                <w:iCs/>
                <w:sz w:val="22"/>
                <w:szCs w:val="22"/>
                <w:lang w:eastAsia="ja-JP"/>
              </w:rPr>
            </w:pPr>
            <w:r w:rsidRPr="00DD4FE5">
              <w:rPr>
                <w:rFonts w:eastAsia="MS Mincho"/>
                <w:b w:val="0"/>
                <w:bCs w:val="0"/>
                <w:sz w:val="22"/>
                <w:szCs w:val="22"/>
                <w:lang w:eastAsia="ja-JP"/>
              </w:rPr>
              <w:t>Median</w:t>
            </w:r>
            <w:r w:rsidR="00DD4FE5" w:rsidRPr="00DD4FE5">
              <w:rPr>
                <w:rFonts w:eastAsia="MS Mincho"/>
                <w:b w:val="0"/>
                <w:bCs w:val="0"/>
                <w:sz w:val="22"/>
                <w:szCs w:val="22"/>
                <w:lang w:eastAsia="ja-JP"/>
              </w:rPr>
              <w:t>,</w:t>
            </w:r>
            <w:r w:rsidRPr="00DD4FE5">
              <w:rPr>
                <w:rFonts w:eastAsia="MS Mincho"/>
                <w:b w:val="0"/>
                <w:bCs w:val="0"/>
                <w:sz w:val="22"/>
                <w:szCs w:val="22"/>
                <w:lang w:eastAsia="ja-JP"/>
              </w:rPr>
              <w:t xml:space="preserve"> months (95</w:t>
            </w:r>
            <w:r w:rsidR="0035777F" w:rsidRPr="00DD4FE5">
              <w:rPr>
                <w:rFonts w:eastAsia="MS Mincho"/>
                <w:b w:val="0"/>
                <w:bCs w:val="0"/>
                <w:sz w:val="22"/>
                <w:szCs w:val="22"/>
                <w:lang w:eastAsia="ja-JP"/>
              </w:rPr>
              <w:t>%</w:t>
            </w:r>
            <w:r w:rsidRPr="00DD4FE5">
              <w:rPr>
                <w:rFonts w:eastAsia="MS Mincho"/>
                <w:b w:val="0"/>
                <w:bCs w:val="0"/>
                <w:sz w:val="22"/>
                <w:szCs w:val="22"/>
                <w:lang w:eastAsia="ja-JP"/>
              </w:rPr>
              <w:t xml:space="preserve"> CI)</w:t>
            </w:r>
          </w:p>
        </w:tc>
        <w:tc>
          <w:tcPr>
            <w:tcW w:w="1440" w:type="pct"/>
            <w:tcBorders>
              <w:top w:val="single" w:sz="4" w:space="0" w:color="auto"/>
              <w:left w:val="single" w:sz="4" w:space="0" w:color="auto"/>
              <w:bottom w:val="single" w:sz="4" w:space="0" w:color="auto"/>
              <w:right w:val="single" w:sz="4" w:space="0" w:color="auto"/>
            </w:tcBorders>
            <w:vAlign w:val="center"/>
            <w:hideMark/>
          </w:tcPr>
          <w:p w14:paraId="5E4EA1ED" w14:textId="77777777" w:rsidR="00E2325C" w:rsidRPr="00DD4FE5" w:rsidRDefault="00E2325C" w:rsidP="002A75B6">
            <w:pPr>
              <w:pStyle w:val="Caption"/>
              <w:spacing w:after="0"/>
              <w:jc w:val="center"/>
              <w:rPr>
                <w:rFonts w:eastAsia="MS Mincho"/>
                <w:b w:val="0"/>
                <w:bCs w:val="0"/>
                <w:i/>
                <w:iCs/>
                <w:sz w:val="22"/>
                <w:szCs w:val="22"/>
                <w:lang w:eastAsia="ja-JP"/>
              </w:rPr>
            </w:pPr>
            <w:r w:rsidRPr="00DD4FE5">
              <w:rPr>
                <w:rFonts w:eastAsia="MS Mincho"/>
                <w:b w:val="0"/>
                <w:bCs w:val="0"/>
                <w:sz w:val="22"/>
                <w:szCs w:val="22"/>
                <w:lang w:eastAsia="ja-JP"/>
              </w:rPr>
              <w:t xml:space="preserve">3.3 </w:t>
            </w:r>
            <w:r w:rsidRPr="00DD4FE5">
              <w:rPr>
                <w:b w:val="0"/>
                <w:bCs w:val="0"/>
                <w:sz w:val="22"/>
                <w:szCs w:val="22"/>
              </w:rPr>
              <w:t>(3.0, 5.0)</w:t>
            </w:r>
          </w:p>
        </w:tc>
        <w:tc>
          <w:tcPr>
            <w:tcW w:w="1440" w:type="pct"/>
            <w:tcBorders>
              <w:top w:val="single" w:sz="4" w:space="0" w:color="auto"/>
              <w:left w:val="single" w:sz="4" w:space="0" w:color="auto"/>
              <w:bottom w:val="single" w:sz="4" w:space="0" w:color="auto"/>
              <w:right w:val="single" w:sz="4" w:space="0" w:color="auto"/>
            </w:tcBorders>
            <w:vAlign w:val="center"/>
            <w:hideMark/>
          </w:tcPr>
          <w:p w14:paraId="09A6FC82" w14:textId="77777777" w:rsidR="00E2325C" w:rsidRPr="00DD4FE5" w:rsidRDefault="00E2325C" w:rsidP="002A75B6">
            <w:pPr>
              <w:pStyle w:val="Caption"/>
              <w:spacing w:after="0"/>
              <w:jc w:val="center"/>
              <w:rPr>
                <w:rFonts w:eastAsia="MS Mincho"/>
                <w:b w:val="0"/>
                <w:bCs w:val="0"/>
                <w:i/>
                <w:iCs/>
                <w:sz w:val="22"/>
                <w:szCs w:val="22"/>
                <w:lang w:eastAsia="ja-JP"/>
              </w:rPr>
            </w:pPr>
            <w:r w:rsidRPr="00DD4FE5">
              <w:rPr>
                <w:rFonts w:eastAsia="MS Mincho"/>
                <w:b w:val="0"/>
                <w:bCs w:val="0"/>
                <w:sz w:val="22"/>
                <w:szCs w:val="22"/>
                <w:lang w:eastAsia="ja-JP"/>
              </w:rPr>
              <w:t xml:space="preserve">2.9 </w:t>
            </w:r>
            <w:r w:rsidRPr="00DD4FE5">
              <w:rPr>
                <w:b w:val="0"/>
                <w:bCs w:val="0"/>
                <w:sz w:val="22"/>
                <w:szCs w:val="22"/>
              </w:rPr>
              <w:t>(2.8, 3.0)</w:t>
            </w:r>
          </w:p>
        </w:tc>
      </w:tr>
      <w:tr w:rsidR="00E2325C" w:rsidRPr="00DD4FE5" w14:paraId="131C81F3" w14:textId="77777777" w:rsidTr="002A75B6">
        <w:trPr>
          <w:trHeight w:val="269"/>
          <w:jc w:val="center"/>
        </w:trPr>
        <w:tc>
          <w:tcPr>
            <w:tcW w:w="2120" w:type="pct"/>
            <w:tcBorders>
              <w:top w:val="single" w:sz="4" w:space="0" w:color="auto"/>
              <w:left w:val="single" w:sz="4" w:space="0" w:color="auto"/>
              <w:bottom w:val="single" w:sz="4" w:space="0" w:color="auto"/>
              <w:right w:val="single" w:sz="4" w:space="0" w:color="auto"/>
            </w:tcBorders>
            <w:vAlign w:val="center"/>
            <w:hideMark/>
          </w:tcPr>
          <w:p w14:paraId="1DC2F255" w14:textId="3E1C143B" w:rsidR="00E2325C" w:rsidRPr="00DD4FE5" w:rsidRDefault="00E2325C" w:rsidP="002A75B6">
            <w:pPr>
              <w:pStyle w:val="Caption"/>
              <w:spacing w:after="0"/>
              <w:rPr>
                <w:rFonts w:eastAsia="MS Mincho"/>
                <w:b w:val="0"/>
                <w:bCs w:val="0"/>
                <w:i/>
                <w:iCs/>
                <w:sz w:val="22"/>
                <w:szCs w:val="22"/>
                <w:lang w:eastAsia="ja-JP"/>
              </w:rPr>
            </w:pPr>
            <w:r w:rsidRPr="00DD4FE5">
              <w:rPr>
                <w:rFonts w:eastAsia="MS Mincho"/>
                <w:b w:val="0"/>
                <w:bCs w:val="0"/>
                <w:sz w:val="22"/>
                <w:szCs w:val="22"/>
                <w:lang w:eastAsia="ja-JP"/>
              </w:rPr>
              <w:t>HR (95</w:t>
            </w:r>
            <w:r w:rsidR="0035777F" w:rsidRPr="00DD4FE5">
              <w:rPr>
                <w:rFonts w:eastAsia="MS Mincho"/>
                <w:b w:val="0"/>
                <w:bCs w:val="0"/>
                <w:sz w:val="22"/>
                <w:szCs w:val="22"/>
                <w:lang w:eastAsia="ja-JP"/>
              </w:rPr>
              <w:t>%</w:t>
            </w:r>
            <w:r w:rsidRPr="00DD4FE5">
              <w:rPr>
                <w:rFonts w:eastAsia="MS Mincho"/>
                <w:b w:val="0"/>
                <w:bCs w:val="0"/>
                <w:sz w:val="22"/>
                <w:szCs w:val="22"/>
                <w:lang w:eastAsia="ja-JP"/>
              </w:rPr>
              <w:t xml:space="preserve"> CI)</w:t>
            </w:r>
            <w:r w:rsidR="00914DA6" w:rsidRPr="002A75B6">
              <w:rPr>
                <w:rFonts w:eastAsia="MS Mincho"/>
                <w:b w:val="0"/>
                <w:bCs w:val="0"/>
                <w:lang w:eastAsia="ja-JP"/>
              </w:rPr>
              <w:t xml:space="preserve"> </w:t>
            </w:r>
            <w:r w:rsidR="00914DA6" w:rsidRPr="002A75B6">
              <w:rPr>
                <w:rFonts w:eastAsia="MS Mincho"/>
                <w:b w:val="0"/>
                <w:bCs w:val="0"/>
                <w:vertAlign w:val="superscript"/>
                <w:lang w:eastAsia="ja-JP"/>
              </w:rPr>
              <w:t>2</w:t>
            </w:r>
          </w:p>
        </w:tc>
        <w:tc>
          <w:tcPr>
            <w:tcW w:w="2880" w:type="pct"/>
            <w:gridSpan w:val="2"/>
            <w:tcBorders>
              <w:top w:val="single" w:sz="4" w:space="0" w:color="auto"/>
              <w:left w:val="single" w:sz="4" w:space="0" w:color="auto"/>
              <w:bottom w:val="single" w:sz="4" w:space="0" w:color="auto"/>
              <w:right w:val="single" w:sz="4" w:space="0" w:color="auto"/>
            </w:tcBorders>
            <w:vAlign w:val="center"/>
            <w:hideMark/>
          </w:tcPr>
          <w:p w14:paraId="5AD75D20" w14:textId="77777777" w:rsidR="00E2325C" w:rsidRPr="00DD4FE5" w:rsidRDefault="00E2325C" w:rsidP="002A75B6">
            <w:pPr>
              <w:pStyle w:val="Caption"/>
              <w:spacing w:after="0"/>
              <w:jc w:val="center"/>
              <w:rPr>
                <w:rFonts w:eastAsia="MS Mincho"/>
                <w:b w:val="0"/>
                <w:bCs w:val="0"/>
                <w:i/>
                <w:iCs/>
                <w:sz w:val="22"/>
                <w:szCs w:val="22"/>
                <w:lang w:eastAsia="ja-JP"/>
              </w:rPr>
            </w:pPr>
            <w:r w:rsidRPr="00DD4FE5">
              <w:rPr>
                <w:rFonts w:eastAsia="MS Mincho"/>
                <w:b w:val="0"/>
                <w:bCs w:val="0"/>
                <w:sz w:val="22"/>
                <w:szCs w:val="22"/>
                <w:lang w:eastAsia="ja-JP"/>
              </w:rPr>
              <w:t>0.73 (0.58, 0.94)</w:t>
            </w:r>
          </w:p>
        </w:tc>
      </w:tr>
      <w:tr w:rsidR="00E2325C" w:rsidRPr="00DD4FE5" w14:paraId="659ED0A4" w14:textId="77777777" w:rsidTr="002A75B6">
        <w:trPr>
          <w:trHeight w:val="288"/>
          <w:jc w:val="center"/>
        </w:trPr>
        <w:tc>
          <w:tcPr>
            <w:tcW w:w="2120" w:type="pct"/>
            <w:tcBorders>
              <w:top w:val="single" w:sz="4" w:space="0" w:color="auto"/>
              <w:left w:val="single" w:sz="4" w:space="0" w:color="auto"/>
              <w:bottom w:val="single" w:sz="4" w:space="0" w:color="auto"/>
              <w:right w:val="single" w:sz="4" w:space="0" w:color="auto"/>
            </w:tcBorders>
            <w:vAlign w:val="center"/>
            <w:hideMark/>
          </w:tcPr>
          <w:p w14:paraId="47B1FB47" w14:textId="127EED97" w:rsidR="00E2325C" w:rsidRPr="00DD4FE5" w:rsidRDefault="00E2325C" w:rsidP="002A75B6">
            <w:pPr>
              <w:pStyle w:val="Caption"/>
              <w:spacing w:after="0"/>
              <w:rPr>
                <w:rFonts w:eastAsia="MS Mincho"/>
                <w:b w:val="0"/>
                <w:bCs w:val="0"/>
                <w:i/>
                <w:iCs/>
                <w:sz w:val="22"/>
                <w:szCs w:val="22"/>
                <w:lang w:eastAsia="ja-JP"/>
              </w:rPr>
            </w:pPr>
            <w:r w:rsidRPr="00DD4FE5">
              <w:rPr>
                <w:rFonts w:eastAsia="MS Mincho"/>
                <w:b w:val="0"/>
                <w:bCs w:val="0"/>
                <w:sz w:val="22"/>
                <w:szCs w:val="22"/>
                <w:lang w:eastAsia="ja-JP"/>
              </w:rPr>
              <w:t>p-value</w:t>
            </w:r>
            <w:r w:rsidR="00914DA6" w:rsidRPr="002A75B6">
              <w:rPr>
                <w:rFonts w:eastAsia="MS Mincho"/>
                <w:b w:val="0"/>
                <w:bCs w:val="0"/>
                <w:lang w:eastAsia="ja-JP"/>
              </w:rPr>
              <w:t xml:space="preserve"> </w:t>
            </w:r>
            <w:r w:rsidR="00914DA6" w:rsidRPr="002A75B6">
              <w:rPr>
                <w:rFonts w:eastAsia="MS Mincho"/>
                <w:b w:val="0"/>
                <w:bCs w:val="0"/>
                <w:vertAlign w:val="superscript"/>
                <w:lang w:eastAsia="ja-JP"/>
              </w:rPr>
              <w:t>3</w:t>
            </w:r>
          </w:p>
        </w:tc>
        <w:tc>
          <w:tcPr>
            <w:tcW w:w="2880" w:type="pct"/>
            <w:gridSpan w:val="2"/>
            <w:tcBorders>
              <w:top w:val="single" w:sz="4" w:space="0" w:color="auto"/>
              <w:left w:val="single" w:sz="4" w:space="0" w:color="auto"/>
              <w:bottom w:val="single" w:sz="4" w:space="0" w:color="auto"/>
              <w:right w:val="single" w:sz="4" w:space="0" w:color="auto"/>
            </w:tcBorders>
            <w:vAlign w:val="center"/>
            <w:hideMark/>
          </w:tcPr>
          <w:p w14:paraId="1201AEE2" w14:textId="2A6D7FC4" w:rsidR="00E2325C" w:rsidRPr="00DD4FE5" w:rsidRDefault="00E2325C" w:rsidP="002A75B6">
            <w:pPr>
              <w:pStyle w:val="Caption"/>
              <w:spacing w:after="0"/>
              <w:jc w:val="center"/>
              <w:rPr>
                <w:rFonts w:eastAsia="MS Mincho"/>
                <w:b w:val="0"/>
                <w:bCs w:val="0"/>
                <w:i/>
                <w:iCs/>
                <w:sz w:val="22"/>
                <w:szCs w:val="22"/>
                <w:lang w:eastAsia="ja-JP"/>
              </w:rPr>
            </w:pPr>
            <w:r w:rsidRPr="00DD4FE5">
              <w:rPr>
                <w:rFonts w:eastAsia="MS Mincho"/>
                <w:b w:val="0"/>
                <w:bCs w:val="0"/>
                <w:sz w:val="22"/>
                <w:szCs w:val="22"/>
                <w:lang w:eastAsia="ja-JP"/>
              </w:rPr>
              <w:t>0.0139</w:t>
            </w:r>
          </w:p>
        </w:tc>
      </w:tr>
      <w:tr w:rsidR="00647558" w:rsidRPr="00DD4FE5" w14:paraId="6AE10B9B" w14:textId="77777777" w:rsidTr="002A75B6">
        <w:trPr>
          <w:trHeight w:val="288"/>
          <w:jc w:val="center"/>
        </w:trPr>
        <w:tc>
          <w:tcPr>
            <w:tcW w:w="5000" w:type="pct"/>
            <w:gridSpan w:val="3"/>
            <w:tcBorders>
              <w:top w:val="single" w:sz="4" w:space="0" w:color="auto"/>
              <w:left w:val="single" w:sz="4" w:space="0" w:color="auto"/>
              <w:bottom w:val="single" w:sz="4" w:space="0" w:color="auto"/>
              <w:right w:val="single" w:sz="4" w:space="0" w:color="auto"/>
            </w:tcBorders>
          </w:tcPr>
          <w:p w14:paraId="14E6874B" w14:textId="2CA2A845" w:rsidR="00647558" w:rsidRPr="002A75B6" w:rsidDel="00914DA6" w:rsidRDefault="00647558" w:rsidP="002A75B6">
            <w:pPr>
              <w:pStyle w:val="Caption"/>
              <w:spacing w:after="0"/>
              <w:rPr>
                <w:rFonts w:eastAsia="MS Mincho"/>
                <w:b w:val="0"/>
                <w:bCs w:val="0"/>
                <w:sz w:val="22"/>
                <w:szCs w:val="22"/>
                <w:lang w:eastAsia="ja-JP"/>
              </w:rPr>
            </w:pPr>
            <w:r w:rsidRPr="002A75B6">
              <w:rPr>
                <w:rFonts w:eastAsia="MS Mincho"/>
                <w:lang w:eastAsia="ja-JP"/>
              </w:rPr>
              <w:t>Objective response</w:t>
            </w:r>
            <w:r>
              <w:rPr>
                <w:rFonts w:eastAsia="MS Mincho"/>
                <w:sz w:val="22"/>
                <w:szCs w:val="22"/>
                <w:lang w:eastAsia="ja-JP"/>
              </w:rPr>
              <w:t>s</w:t>
            </w:r>
            <w:r w:rsidRPr="002A75B6">
              <w:rPr>
                <w:rFonts w:eastAsia="MS Mincho"/>
                <w:lang w:eastAsia="ja-JP"/>
              </w:rPr>
              <w:t xml:space="preserve"> </w:t>
            </w:r>
            <w:r w:rsidRPr="002A75B6">
              <w:rPr>
                <w:rFonts w:eastAsia="MS Mincho"/>
                <w:vertAlign w:val="superscript"/>
                <w:lang w:eastAsia="ja-JP"/>
              </w:rPr>
              <w:t>5</w:t>
            </w:r>
          </w:p>
        </w:tc>
      </w:tr>
      <w:tr w:rsidR="00DD4FE5" w:rsidRPr="00DD4FE5" w14:paraId="437BFC06" w14:textId="77777777" w:rsidTr="002A75B6">
        <w:trPr>
          <w:trHeight w:val="288"/>
          <w:jc w:val="center"/>
        </w:trPr>
        <w:tc>
          <w:tcPr>
            <w:tcW w:w="2120" w:type="pct"/>
            <w:tcBorders>
              <w:top w:val="single" w:sz="4" w:space="0" w:color="auto"/>
              <w:left w:val="single" w:sz="4" w:space="0" w:color="auto"/>
              <w:bottom w:val="single" w:sz="4" w:space="0" w:color="auto"/>
              <w:right w:val="single" w:sz="4" w:space="0" w:color="auto"/>
            </w:tcBorders>
            <w:vAlign w:val="center"/>
          </w:tcPr>
          <w:p w14:paraId="604AFFE7" w14:textId="198D042E" w:rsidR="00DD4FE5" w:rsidRPr="002A75B6" w:rsidDel="00914DA6" w:rsidRDefault="00DD4FE5" w:rsidP="002A75B6">
            <w:pPr>
              <w:pStyle w:val="Caption"/>
              <w:spacing w:after="0"/>
              <w:rPr>
                <w:rFonts w:eastAsia="MS Mincho"/>
                <w:b w:val="0"/>
                <w:bCs w:val="0"/>
                <w:sz w:val="22"/>
                <w:szCs w:val="22"/>
                <w:lang w:eastAsia="ja-JP"/>
              </w:rPr>
            </w:pPr>
            <w:r w:rsidRPr="002A75B6">
              <w:rPr>
                <w:rFonts w:eastAsia="MS Mincho"/>
                <w:b w:val="0"/>
                <w:bCs w:val="0"/>
                <w:lang w:eastAsia="ja-JP"/>
              </w:rPr>
              <w:t>Objective response rate (95% CI)</w:t>
            </w:r>
          </w:p>
        </w:tc>
        <w:tc>
          <w:tcPr>
            <w:tcW w:w="1440" w:type="pct"/>
            <w:tcBorders>
              <w:left w:val="single" w:sz="4" w:space="0" w:color="auto"/>
              <w:right w:val="single" w:sz="4" w:space="0" w:color="auto"/>
            </w:tcBorders>
            <w:vAlign w:val="center"/>
          </w:tcPr>
          <w:p w14:paraId="034D2FBB" w14:textId="72A86DB2" w:rsidR="00DD4FE5" w:rsidRPr="002A75B6" w:rsidDel="00914DA6" w:rsidRDefault="00DD4FE5" w:rsidP="002A75B6">
            <w:pPr>
              <w:pStyle w:val="Caption"/>
              <w:spacing w:after="0"/>
              <w:jc w:val="center"/>
              <w:rPr>
                <w:rFonts w:eastAsia="MS Mincho"/>
                <w:b w:val="0"/>
                <w:bCs w:val="0"/>
                <w:sz w:val="22"/>
                <w:szCs w:val="22"/>
                <w:lang w:eastAsia="ja-JP"/>
              </w:rPr>
            </w:pPr>
            <w:r w:rsidRPr="00DD4FE5">
              <w:rPr>
                <w:rFonts w:eastAsia="MS Mincho"/>
                <w:b w:val="0"/>
                <w:bCs w:val="0"/>
                <w:lang w:eastAsia="ja-JP"/>
              </w:rPr>
              <w:t>9.1% (5.9, 13.4)</w:t>
            </w:r>
          </w:p>
        </w:tc>
        <w:tc>
          <w:tcPr>
            <w:tcW w:w="1440" w:type="pct"/>
            <w:tcBorders>
              <w:left w:val="single" w:sz="4" w:space="0" w:color="auto"/>
              <w:right w:val="single" w:sz="4" w:space="0" w:color="auto"/>
            </w:tcBorders>
            <w:vAlign w:val="center"/>
          </w:tcPr>
          <w:p w14:paraId="384829E5" w14:textId="4719CA01" w:rsidR="00DD4FE5" w:rsidRPr="002A75B6" w:rsidDel="00914DA6" w:rsidRDefault="00DD4FE5" w:rsidP="002A75B6">
            <w:pPr>
              <w:pStyle w:val="Caption"/>
              <w:spacing w:after="0"/>
              <w:jc w:val="center"/>
              <w:rPr>
                <w:rFonts w:eastAsia="MS Mincho"/>
                <w:b w:val="0"/>
                <w:bCs w:val="0"/>
                <w:sz w:val="22"/>
                <w:szCs w:val="22"/>
                <w:lang w:eastAsia="ja-JP"/>
              </w:rPr>
            </w:pPr>
            <w:r w:rsidRPr="00DD4FE5">
              <w:rPr>
                <w:rFonts w:eastAsia="MS Mincho"/>
                <w:b w:val="0"/>
                <w:bCs w:val="0"/>
                <w:lang w:eastAsia="ja-JP"/>
              </w:rPr>
              <w:t>4.8% (1.8, 10.1)</w:t>
            </w:r>
          </w:p>
        </w:tc>
      </w:tr>
      <w:tr w:rsidR="00DD4FE5" w:rsidRPr="00DD4FE5" w14:paraId="0C3E75C7" w14:textId="77777777" w:rsidTr="002A75B6">
        <w:trPr>
          <w:trHeight w:val="288"/>
          <w:jc w:val="center"/>
        </w:trPr>
        <w:tc>
          <w:tcPr>
            <w:tcW w:w="2120" w:type="pct"/>
            <w:tcBorders>
              <w:top w:val="single" w:sz="4" w:space="0" w:color="auto"/>
              <w:left w:val="single" w:sz="4" w:space="0" w:color="auto"/>
              <w:bottom w:val="single" w:sz="4" w:space="0" w:color="auto"/>
              <w:right w:val="single" w:sz="4" w:space="0" w:color="auto"/>
            </w:tcBorders>
            <w:vAlign w:val="center"/>
          </w:tcPr>
          <w:p w14:paraId="490FC430" w14:textId="720CAF7E" w:rsidR="00DD4FE5" w:rsidRPr="002A75B6" w:rsidDel="00914DA6" w:rsidRDefault="00DD4FE5" w:rsidP="002A75B6">
            <w:pPr>
              <w:pStyle w:val="Caption"/>
              <w:spacing w:after="0"/>
              <w:rPr>
                <w:rFonts w:eastAsia="MS Mincho"/>
                <w:b w:val="0"/>
                <w:bCs w:val="0"/>
                <w:sz w:val="22"/>
                <w:szCs w:val="22"/>
                <w:lang w:eastAsia="ja-JP"/>
              </w:rPr>
            </w:pPr>
            <w:r w:rsidRPr="00DD4FE5">
              <w:rPr>
                <w:rFonts w:eastAsia="MS Mincho"/>
                <w:b w:val="0"/>
                <w:bCs w:val="0"/>
                <w:lang w:eastAsia="ja-JP"/>
              </w:rPr>
              <w:t>Complete responses</w:t>
            </w:r>
            <w:r w:rsidR="00647558">
              <w:rPr>
                <w:rFonts w:eastAsia="MS Mincho"/>
                <w:b w:val="0"/>
                <w:bCs w:val="0"/>
                <w:sz w:val="22"/>
                <w:szCs w:val="22"/>
                <w:lang w:eastAsia="ja-JP"/>
              </w:rPr>
              <w:t>, n (%)</w:t>
            </w:r>
          </w:p>
        </w:tc>
        <w:tc>
          <w:tcPr>
            <w:tcW w:w="1440" w:type="pct"/>
            <w:tcBorders>
              <w:left w:val="single" w:sz="4" w:space="0" w:color="auto"/>
              <w:right w:val="single" w:sz="4" w:space="0" w:color="auto"/>
            </w:tcBorders>
            <w:vAlign w:val="center"/>
          </w:tcPr>
          <w:p w14:paraId="7CE637A1" w14:textId="413EF542" w:rsidR="00DD4FE5" w:rsidRPr="002A75B6" w:rsidDel="00914DA6" w:rsidRDefault="00647558" w:rsidP="002A75B6">
            <w:pPr>
              <w:pStyle w:val="Caption"/>
              <w:spacing w:after="0"/>
              <w:jc w:val="center"/>
              <w:rPr>
                <w:rFonts w:eastAsia="MS Mincho"/>
                <w:b w:val="0"/>
                <w:bCs w:val="0"/>
                <w:sz w:val="22"/>
                <w:szCs w:val="22"/>
                <w:lang w:eastAsia="ja-JP"/>
              </w:rPr>
            </w:pPr>
            <w:r>
              <w:rPr>
                <w:rFonts w:eastAsia="MS Mincho"/>
                <w:b w:val="0"/>
                <w:bCs w:val="0"/>
                <w:sz w:val="22"/>
                <w:szCs w:val="22"/>
                <w:lang w:eastAsia="ja-JP"/>
              </w:rPr>
              <w:t>1 (0.4%)</w:t>
            </w:r>
          </w:p>
        </w:tc>
        <w:tc>
          <w:tcPr>
            <w:tcW w:w="1440" w:type="pct"/>
            <w:tcBorders>
              <w:left w:val="single" w:sz="4" w:space="0" w:color="auto"/>
              <w:right w:val="single" w:sz="4" w:space="0" w:color="auto"/>
            </w:tcBorders>
            <w:vAlign w:val="center"/>
          </w:tcPr>
          <w:p w14:paraId="26F125A8" w14:textId="181A3179" w:rsidR="00DD4FE5" w:rsidRPr="002A75B6" w:rsidDel="00914DA6" w:rsidRDefault="00647558" w:rsidP="002A75B6">
            <w:pPr>
              <w:pStyle w:val="Caption"/>
              <w:spacing w:after="0"/>
              <w:jc w:val="center"/>
              <w:rPr>
                <w:rFonts w:eastAsia="MS Mincho"/>
                <w:b w:val="0"/>
                <w:bCs w:val="0"/>
                <w:sz w:val="22"/>
                <w:szCs w:val="22"/>
                <w:lang w:eastAsia="ja-JP"/>
              </w:rPr>
            </w:pPr>
            <w:r>
              <w:rPr>
                <w:rFonts w:eastAsia="MS Mincho"/>
                <w:b w:val="0"/>
                <w:bCs w:val="0"/>
                <w:sz w:val="22"/>
                <w:szCs w:val="22"/>
                <w:lang w:eastAsia="ja-JP"/>
              </w:rPr>
              <w:t>0</w:t>
            </w:r>
          </w:p>
        </w:tc>
      </w:tr>
      <w:tr w:rsidR="00DD4FE5" w:rsidRPr="00DD4FE5" w14:paraId="63E2CB27" w14:textId="77777777" w:rsidTr="002A75B6">
        <w:trPr>
          <w:trHeight w:val="288"/>
          <w:jc w:val="center"/>
        </w:trPr>
        <w:tc>
          <w:tcPr>
            <w:tcW w:w="2120" w:type="pct"/>
            <w:tcBorders>
              <w:top w:val="single" w:sz="4" w:space="0" w:color="auto"/>
              <w:left w:val="single" w:sz="4" w:space="0" w:color="auto"/>
              <w:bottom w:val="single" w:sz="4" w:space="0" w:color="auto"/>
              <w:right w:val="single" w:sz="4" w:space="0" w:color="auto"/>
            </w:tcBorders>
            <w:vAlign w:val="center"/>
          </w:tcPr>
          <w:p w14:paraId="6B8EF3A7" w14:textId="18C03C81" w:rsidR="00DD4FE5" w:rsidRPr="002A75B6" w:rsidDel="00914DA6" w:rsidRDefault="00647558" w:rsidP="002A75B6">
            <w:pPr>
              <w:pStyle w:val="Caption"/>
              <w:spacing w:after="0"/>
              <w:rPr>
                <w:rFonts w:eastAsia="MS Mincho"/>
                <w:b w:val="0"/>
                <w:bCs w:val="0"/>
                <w:sz w:val="22"/>
                <w:szCs w:val="22"/>
                <w:lang w:eastAsia="ja-JP"/>
              </w:rPr>
            </w:pPr>
            <w:r>
              <w:rPr>
                <w:rFonts w:eastAsia="MS Mincho"/>
                <w:b w:val="0"/>
                <w:bCs w:val="0"/>
                <w:sz w:val="22"/>
                <w:szCs w:val="22"/>
                <w:lang w:eastAsia="ja-JP"/>
              </w:rPr>
              <w:t>Partial responses, n (%)</w:t>
            </w:r>
          </w:p>
        </w:tc>
        <w:tc>
          <w:tcPr>
            <w:tcW w:w="1440" w:type="pct"/>
            <w:tcBorders>
              <w:left w:val="single" w:sz="4" w:space="0" w:color="auto"/>
              <w:bottom w:val="single" w:sz="4" w:space="0" w:color="auto"/>
              <w:right w:val="single" w:sz="4" w:space="0" w:color="auto"/>
            </w:tcBorders>
            <w:vAlign w:val="center"/>
          </w:tcPr>
          <w:p w14:paraId="4091051E" w14:textId="770CA13E" w:rsidR="00DD4FE5" w:rsidRPr="002A75B6" w:rsidDel="00914DA6" w:rsidRDefault="00647558" w:rsidP="002A75B6">
            <w:pPr>
              <w:pStyle w:val="Caption"/>
              <w:spacing w:after="0"/>
              <w:jc w:val="center"/>
              <w:rPr>
                <w:rFonts w:eastAsia="MS Mincho"/>
                <w:b w:val="0"/>
                <w:bCs w:val="0"/>
                <w:sz w:val="22"/>
                <w:szCs w:val="22"/>
                <w:lang w:eastAsia="ja-JP"/>
              </w:rPr>
            </w:pPr>
            <w:r>
              <w:rPr>
                <w:rFonts w:eastAsia="MS Mincho"/>
                <w:b w:val="0"/>
                <w:bCs w:val="0"/>
                <w:sz w:val="22"/>
                <w:szCs w:val="22"/>
                <w:lang w:eastAsia="ja-JP"/>
              </w:rPr>
              <w:t>22 (8.7%)</w:t>
            </w:r>
          </w:p>
        </w:tc>
        <w:tc>
          <w:tcPr>
            <w:tcW w:w="1440" w:type="pct"/>
            <w:tcBorders>
              <w:left w:val="single" w:sz="4" w:space="0" w:color="auto"/>
              <w:bottom w:val="single" w:sz="4" w:space="0" w:color="auto"/>
              <w:right w:val="single" w:sz="4" w:space="0" w:color="auto"/>
            </w:tcBorders>
            <w:vAlign w:val="center"/>
          </w:tcPr>
          <w:p w14:paraId="66263C43" w14:textId="7E8D1CE4" w:rsidR="00DD4FE5" w:rsidRPr="002A75B6" w:rsidDel="00914DA6" w:rsidRDefault="00B00F6B" w:rsidP="002A75B6">
            <w:pPr>
              <w:pStyle w:val="Caption"/>
              <w:spacing w:after="0"/>
              <w:jc w:val="center"/>
              <w:rPr>
                <w:rFonts w:eastAsia="MS Mincho"/>
                <w:b w:val="0"/>
                <w:bCs w:val="0"/>
                <w:sz w:val="22"/>
                <w:szCs w:val="22"/>
                <w:lang w:eastAsia="ja-JP"/>
              </w:rPr>
            </w:pPr>
            <w:r>
              <w:rPr>
                <w:rFonts w:eastAsia="MS Mincho"/>
                <w:b w:val="0"/>
                <w:bCs w:val="0"/>
                <w:sz w:val="22"/>
                <w:szCs w:val="22"/>
                <w:lang w:eastAsia="ja-JP"/>
              </w:rPr>
              <w:t>6 (4.8%)</w:t>
            </w:r>
          </w:p>
        </w:tc>
      </w:tr>
    </w:tbl>
    <w:p w14:paraId="18B71ACB" w14:textId="44978F41" w:rsidR="00E2325C" w:rsidRPr="00DD4FE5" w:rsidRDefault="00E2325C" w:rsidP="000F0660">
      <w:pPr>
        <w:spacing w:after="0"/>
        <w:rPr>
          <w:sz w:val="20"/>
          <w:szCs w:val="20"/>
        </w:rPr>
      </w:pPr>
      <w:r w:rsidRPr="00DD4FE5">
        <w:rPr>
          <w:sz w:val="20"/>
          <w:szCs w:val="20"/>
        </w:rPr>
        <w:t>CI = Confidence interval, HR = Hazard ratio</w:t>
      </w:r>
      <w:r w:rsidR="00DA348C" w:rsidRPr="00DD4FE5">
        <w:rPr>
          <w:sz w:val="20"/>
          <w:szCs w:val="20"/>
        </w:rPr>
        <w:t>, IC = investigator’s choice of pembrolizumab or ipilimumab or dacarbazine</w:t>
      </w:r>
    </w:p>
    <w:p w14:paraId="438B90D9" w14:textId="730F8601" w:rsidR="00E2325C" w:rsidRPr="00DD4FE5" w:rsidRDefault="00E2325C" w:rsidP="000F0660">
      <w:pPr>
        <w:spacing w:after="0"/>
        <w:rPr>
          <w:sz w:val="20"/>
          <w:szCs w:val="20"/>
        </w:rPr>
      </w:pPr>
      <w:r w:rsidRPr="00DD4FE5">
        <w:rPr>
          <w:sz w:val="20"/>
          <w:szCs w:val="20"/>
          <w:vertAlign w:val="superscript"/>
        </w:rPr>
        <w:t xml:space="preserve">1 </w:t>
      </w:r>
      <w:r w:rsidR="00914DA6" w:rsidRPr="002A75B6">
        <w:rPr>
          <w:sz w:val="20"/>
          <w:szCs w:val="20"/>
        </w:rPr>
        <w:t>P</w:t>
      </w:r>
      <w:r w:rsidRPr="00DD4FE5">
        <w:rPr>
          <w:sz w:val="20"/>
          <w:szCs w:val="20"/>
        </w:rPr>
        <w:t xml:space="preserve">respecified interim </w:t>
      </w:r>
      <w:r w:rsidR="00914DA6" w:rsidRPr="002A75B6">
        <w:rPr>
          <w:sz w:val="20"/>
          <w:szCs w:val="20"/>
        </w:rPr>
        <w:t xml:space="preserve">OS </w:t>
      </w:r>
      <w:r w:rsidRPr="00DD4FE5">
        <w:rPr>
          <w:sz w:val="20"/>
          <w:szCs w:val="20"/>
        </w:rPr>
        <w:t>analysis</w:t>
      </w:r>
      <w:r w:rsidR="00DD4FE5">
        <w:rPr>
          <w:sz w:val="20"/>
          <w:szCs w:val="20"/>
        </w:rPr>
        <w:t xml:space="preserve"> at </w:t>
      </w:r>
      <w:r w:rsidRPr="00DD4FE5">
        <w:rPr>
          <w:sz w:val="20"/>
          <w:szCs w:val="20"/>
        </w:rPr>
        <w:t>150 events</w:t>
      </w:r>
    </w:p>
    <w:p w14:paraId="5C40AA06" w14:textId="2752CB87" w:rsidR="00E2325C" w:rsidRPr="00DD4FE5" w:rsidRDefault="00E2325C" w:rsidP="000F0660">
      <w:pPr>
        <w:spacing w:after="0"/>
        <w:rPr>
          <w:sz w:val="20"/>
          <w:szCs w:val="20"/>
        </w:rPr>
      </w:pPr>
      <w:r w:rsidRPr="00DD4FE5">
        <w:rPr>
          <w:sz w:val="20"/>
          <w:szCs w:val="20"/>
          <w:vertAlign w:val="superscript"/>
        </w:rPr>
        <w:t>2</w:t>
      </w:r>
      <w:r w:rsidRPr="00DD4FE5">
        <w:rPr>
          <w:sz w:val="20"/>
          <w:szCs w:val="20"/>
        </w:rPr>
        <w:t xml:space="preserve"> </w:t>
      </w:r>
      <w:r w:rsidR="00914DA6" w:rsidRPr="00DD4FE5">
        <w:rPr>
          <w:sz w:val="20"/>
          <w:szCs w:val="20"/>
        </w:rPr>
        <w:t xml:space="preserve">Hazard ratio is from a </w:t>
      </w:r>
      <w:r w:rsidR="00DD4FE5" w:rsidRPr="00DD4FE5">
        <w:rPr>
          <w:sz w:val="20"/>
          <w:szCs w:val="20"/>
        </w:rPr>
        <w:t>Cox</w:t>
      </w:r>
      <w:r w:rsidR="00914DA6" w:rsidRPr="00DD4FE5">
        <w:rPr>
          <w:sz w:val="20"/>
          <w:szCs w:val="20"/>
        </w:rPr>
        <w:t xml:space="preserve"> proportional hazards model stratified by LDH status</w:t>
      </w:r>
    </w:p>
    <w:p w14:paraId="37C7962D" w14:textId="2E56CC51" w:rsidR="00E2325C" w:rsidRPr="000F0660" w:rsidRDefault="00E2325C" w:rsidP="000F0660">
      <w:pPr>
        <w:spacing w:after="0"/>
        <w:rPr>
          <w:sz w:val="20"/>
          <w:szCs w:val="20"/>
        </w:rPr>
      </w:pPr>
      <w:r w:rsidRPr="00DD4FE5">
        <w:rPr>
          <w:sz w:val="20"/>
          <w:szCs w:val="20"/>
          <w:vertAlign w:val="superscript"/>
        </w:rPr>
        <w:t>3</w:t>
      </w:r>
      <w:r w:rsidRPr="00DD4FE5">
        <w:rPr>
          <w:sz w:val="20"/>
          <w:szCs w:val="20"/>
        </w:rPr>
        <w:t xml:space="preserve"> </w:t>
      </w:r>
      <w:r w:rsidR="00914DA6" w:rsidRPr="002A75B6">
        <w:rPr>
          <w:sz w:val="20"/>
          <w:szCs w:val="20"/>
        </w:rPr>
        <w:t>Two-sided p-value based on log rank test stratified by LDH</w:t>
      </w:r>
    </w:p>
    <w:p w14:paraId="672F9863" w14:textId="52E903D6" w:rsidR="00E2325C" w:rsidRDefault="00E2325C" w:rsidP="009849AF">
      <w:pPr>
        <w:spacing w:after="0"/>
        <w:rPr>
          <w:sz w:val="20"/>
          <w:szCs w:val="20"/>
        </w:rPr>
      </w:pPr>
      <w:r w:rsidRPr="000F0660">
        <w:rPr>
          <w:sz w:val="20"/>
          <w:szCs w:val="20"/>
          <w:vertAlign w:val="superscript"/>
        </w:rPr>
        <w:t>4</w:t>
      </w:r>
      <w:r w:rsidRPr="000F0660">
        <w:rPr>
          <w:sz w:val="20"/>
          <w:szCs w:val="20"/>
        </w:rPr>
        <w:t xml:space="preserve"> </w:t>
      </w:r>
      <w:r w:rsidR="00DD4FE5">
        <w:rPr>
          <w:sz w:val="20"/>
          <w:szCs w:val="20"/>
        </w:rPr>
        <w:t xml:space="preserve">The interim efficacy boundary was </w:t>
      </w:r>
      <w:r w:rsidR="00DD4FE5" w:rsidRPr="00DD4FE5">
        <w:rPr>
          <w:sz w:val="20"/>
          <w:szCs w:val="20"/>
        </w:rPr>
        <w:t>0.006</w:t>
      </w:r>
      <w:r w:rsidR="00DD4FE5">
        <w:rPr>
          <w:sz w:val="20"/>
          <w:szCs w:val="20"/>
        </w:rPr>
        <w:t>,</w:t>
      </w:r>
      <w:r w:rsidR="00DD4FE5" w:rsidRPr="00DD4FE5">
        <w:rPr>
          <w:sz w:val="20"/>
          <w:szCs w:val="20"/>
        </w:rPr>
        <w:t xml:space="preserve"> determined by a Lan-</w:t>
      </w:r>
      <w:proofErr w:type="spellStart"/>
      <w:r w:rsidR="00DD4FE5" w:rsidRPr="00DD4FE5">
        <w:rPr>
          <w:sz w:val="20"/>
          <w:szCs w:val="20"/>
        </w:rPr>
        <w:t>Demets</w:t>
      </w:r>
      <w:proofErr w:type="spellEnd"/>
      <w:r w:rsidR="00DD4FE5" w:rsidRPr="00DD4FE5">
        <w:rPr>
          <w:sz w:val="20"/>
          <w:szCs w:val="20"/>
        </w:rPr>
        <w:t xml:space="preserve"> alpha spending function with O’Brien Fleming type boundar</w:t>
      </w:r>
      <w:r w:rsidR="00DD4FE5">
        <w:rPr>
          <w:sz w:val="20"/>
          <w:szCs w:val="20"/>
        </w:rPr>
        <w:t>y</w:t>
      </w:r>
      <w:r w:rsidR="00DD4FE5" w:rsidRPr="000F0660" w:rsidDel="00914DA6">
        <w:rPr>
          <w:sz w:val="20"/>
          <w:szCs w:val="20"/>
        </w:rPr>
        <w:t xml:space="preserve"> </w:t>
      </w:r>
    </w:p>
    <w:p w14:paraId="5C8C3C9C" w14:textId="77777777" w:rsidR="00DD4FE5" w:rsidRDefault="00DD4FE5" w:rsidP="009849AF">
      <w:pPr>
        <w:spacing w:after="0"/>
        <w:rPr>
          <w:sz w:val="20"/>
          <w:szCs w:val="20"/>
        </w:rPr>
      </w:pPr>
      <w:r>
        <w:rPr>
          <w:sz w:val="20"/>
          <w:szCs w:val="20"/>
          <w:vertAlign w:val="superscript"/>
        </w:rPr>
        <w:t>5</w:t>
      </w:r>
      <w:r w:rsidRPr="000F0660">
        <w:rPr>
          <w:sz w:val="20"/>
          <w:szCs w:val="20"/>
        </w:rPr>
        <w:t xml:space="preserve"> </w:t>
      </w:r>
      <w:r>
        <w:rPr>
          <w:sz w:val="20"/>
          <w:szCs w:val="20"/>
        </w:rPr>
        <w:t xml:space="preserve">Final PFS analysis, </w:t>
      </w:r>
      <w:r w:rsidRPr="000F0660">
        <w:rPr>
          <w:sz w:val="20"/>
          <w:szCs w:val="20"/>
        </w:rPr>
        <w:t>assessed by investigator using RECIST v1.1 criteria</w:t>
      </w:r>
    </w:p>
    <w:p w14:paraId="728275DC" w14:textId="43116732" w:rsidR="00DD4FE5" w:rsidRDefault="00DD4FE5" w:rsidP="009849AF">
      <w:pPr>
        <w:spacing w:after="0"/>
        <w:rPr>
          <w:sz w:val="20"/>
          <w:szCs w:val="20"/>
        </w:rPr>
      </w:pPr>
      <w:r>
        <w:rPr>
          <w:sz w:val="20"/>
          <w:szCs w:val="20"/>
          <w:vertAlign w:val="superscript"/>
        </w:rPr>
        <w:t>6</w:t>
      </w:r>
      <w:r w:rsidRPr="000F0660">
        <w:rPr>
          <w:sz w:val="20"/>
          <w:szCs w:val="20"/>
        </w:rPr>
        <w:t xml:space="preserve"> </w:t>
      </w:r>
      <w:r>
        <w:rPr>
          <w:sz w:val="20"/>
          <w:szCs w:val="20"/>
        </w:rPr>
        <w:t>Not formally tested</w:t>
      </w:r>
    </w:p>
    <w:p w14:paraId="4D122534" w14:textId="4C2A1342" w:rsidR="000B4674" w:rsidRDefault="000B4674" w:rsidP="009849AF">
      <w:pPr>
        <w:spacing w:after="0"/>
        <w:rPr>
          <w:sz w:val="20"/>
          <w:szCs w:val="20"/>
        </w:rPr>
      </w:pPr>
    </w:p>
    <w:p w14:paraId="21AD85C9" w14:textId="6964BE45" w:rsidR="00E2325C" w:rsidRPr="0012555A" w:rsidRDefault="00000776" w:rsidP="000F0660">
      <w:pPr>
        <w:pStyle w:val="Caption"/>
        <w:rPr>
          <w:i/>
          <w:iCs/>
          <w:noProof/>
        </w:rPr>
      </w:pPr>
      <w:bookmarkStart w:id="25" w:name="_Ref80352562"/>
      <w:r>
        <w:t xml:space="preserve">Figure </w:t>
      </w:r>
      <w:r>
        <w:fldChar w:fldCharType="begin"/>
      </w:r>
      <w:r>
        <w:instrText xml:space="preserve"> SEQ Figure \* ARABIC </w:instrText>
      </w:r>
      <w:r>
        <w:fldChar w:fldCharType="separate"/>
      </w:r>
      <w:r w:rsidR="00012F31">
        <w:rPr>
          <w:noProof/>
        </w:rPr>
        <w:t>1</w:t>
      </w:r>
      <w:r>
        <w:fldChar w:fldCharType="end"/>
      </w:r>
      <w:bookmarkEnd w:id="25"/>
      <w:r w:rsidR="00E2325C" w:rsidRPr="00E2325C">
        <w:t xml:space="preserve">: </w:t>
      </w:r>
      <w:r w:rsidR="00E2325C" w:rsidRPr="00E2325C">
        <w:rPr>
          <w:rFonts w:eastAsia="MS Mincho"/>
          <w:lang w:eastAsia="ja-JP"/>
        </w:rPr>
        <w:t>Kaplan-Meier Curves of Overall Survival in the Study IMCgp100-202</w:t>
      </w:r>
    </w:p>
    <w:p w14:paraId="1BF254B1" w14:textId="78CA801A" w:rsidR="00E2325C" w:rsidRDefault="00E2325C">
      <w:pPr>
        <w:rPr>
          <w:u w:val="single"/>
        </w:rPr>
      </w:pPr>
      <w:r w:rsidRPr="00E2325C">
        <w:rPr>
          <w:noProof/>
        </w:rPr>
        <w:drawing>
          <wp:inline distT="0" distB="0" distL="0" distR="0" wp14:anchorId="064DE5CE" wp14:editId="7575D571">
            <wp:extent cx="5760085" cy="3392170"/>
            <wp:effectExtent l="0" t="0" r="0" b="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085" cy="3392170"/>
                    </a:xfrm>
                    <a:prstGeom prst="rect">
                      <a:avLst/>
                    </a:prstGeom>
                  </pic:spPr>
                </pic:pic>
              </a:graphicData>
            </a:graphic>
          </wp:inline>
        </w:drawing>
      </w:r>
    </w:p>
    <w:p w14:paraId="515EBEFF" w14:textId="237066A0" w:rsidR="00E2325C" w:rsidRPr="00E2325C" w:rsidRDefault="00E2325C" w:rsidP="003775CF">
      <w:r w:rsidRPr="00E2325C">
        <w:lastRenderedPageBreak/>
        <w:t>In the pre-specified subgroup analysis by LDH status, the HR for overall survival was 0.35 (95</w:t>
      </w:r>
      <w:r w:rsidR="0035777F">
        <w:t>%</w:t>
      </w:r>
      <w:r w:rsidRPr="00E2325C">
        <w:t xml:space="preserve"> CI: 0.21, 0.60) in the LDH ≤ ULN and 0.70 (95</w:t>
      </w:r>
      <w:r w:rsidR="0035777F">
        <w:t>%</w:t>
      </w:r>
      <w:r w:rsidRPr="00E2325C">
        <w:t xml:space="preserve"> CI: 0.46, 1.09) in the LDH ≥ ULN subgroup. In patients with ≤ 3 cm liver lesion diameter, treatment with </w:t>
      </w:r>
      <w:proofErr w:type="spellStart"/>
      <w:r w:rsidRPr="00E2325C">
        <w:t>tebentafusp</w:t>
      </w:r>
      <w:proofErr w:type="spellEnd"/>
      <w:r w:rsidRPr="00E2325C">
        <w:t xml:space="preserve"> showed improved OS compared to the investigator’s choice treated group [HR = 0.36 (95</w:t>
      </w:r>
      <w:r w:rsidR="0035777F">
        <w:t>%</w:t>
      </w:r>
      <w:r w:rsidRPr="00E2325C">
        <w:t xml:space="preserve"> CI: 0.21, 0.61)].</w:t>
      </w:r>
    </w:p>
    <w:p w14:paraId="6A2FBD02" w14:textId="77777777" w:rsidR="001A3992" w:rsidRPr="0094457C" w:rsidRDefault="001A3992" w:rsidP="000F0660">
      <w:pPr>
        <w:pStyle w:val="Heading2"/>
        <w:rPr>
          <w:lang w:val="en-US"/>
        </w:rPr>
      </w:pPr>
      <w:bookmarkStart w:id="26" w:name="_Ref80350932"/>
      <w:r w:rsidRPr="0094457C">
        <w:rPr>
          <w:lang w:val="en-US"/>
        </w:rPr>
        <w:t>Pharmacokinetic properties</w:t>
      </w:r>
      <w:bookmarkEnd w:id="26"/>
      <w:r w:rsidRPr="0094457C">
        <w:rPr>
          <w:lang w:val="en-US"/>
        </w:rPr>
        <w:t xml:space="preserve"> </w:t>
      </w:r>
    </w:p>
    <w:p w14:paraId="4472D915" w14:textId="25999BEA" w:rsidR="001A3992" w:rsidRDefault="001A3992" w:rsidP="000F0660">
      <w:pPr>
        <w:pStyle w:val="Heading3"/>
      </w:pPr>
      <w:r w:rsidRPr="00497C85">
        <w:t>Absorption</w:t>
      </w:r>
    </w:p>
    <w:p w14:paraId="28A210D4" w14:textId="2C7C4896" w:rsidR="00E2325C" w:rsidRPr="00E2325C" w:rsidRDefault="009F00B9" w:rsidP="003775CF">
      <w:pPr>
        <w:rPr>
          <w:lang w:val="en-GB"/>
        </w:rPr>
      </w:pPr>
      <w:r>
        <w:rPr>
          <w:color w:val="000000"/>
        </w:rPr>
        <w:t>After a single dose administration,</w:t>
      </w:r>
      <w:r w:rsidR="00E2325C" w:rsidRPr="00547389">
        <w:rPr>
          <w:lang w:val="en-GB"/>
        </w:rPr>
        <w:t xml:space="preserve"> </w:t>
      </w:r>
      <w:proofErr w:type="spellStart"/>
      <w:r w:rsidR="00E2325C" w:rsidRPr="00547389">
        <w:rPr>
          <w:lang w:val="en-GB"/>
        </w:rPr>
        <w:t>tebentafusp</w:t>
      </w:r>
      <w:proofErr w:type="spellEnd"/>
      <w:r w:rsidR="00E2325C" w:rsidRPr="00547389">
        <w:rPr>
          <w:lang w:val="en-GB"/>
        </w:rPr>
        <w:t xml:space="preserve"> </w:t>
      </w:r>
      <w:proofErr w:type="spellStart"/>
      <w:r>
        <w:rPr>
          <w:color w:val="000000"/>
        </w:rPr>
        <w:t>C</w:t>
      </w:r>
      <w:r>
        <w:rPr>
          <w:color w:val="000000"/>
          <w:sz w:val="14"/>
          <w:szCs w:val="14"/>
        </w:rPr>
        <w:t>max</w:t>
      </w:r>
      <w:proofErr w:type="spellEnd"/>
      <w:r>
        <w:rPr>
          <w:color w:val="000000"/>
          <w:sz w:val="14"/>
          <w:szCs w:val="14"/>
        </w:rPr>
        <w:t xml:space="preserve"> </w:t>
      </w:r>
      <w:r>
        <w:rPr>
          <w:color w:val="000000"/>
        </w:rPr>
        <w:t>and AUC</w:t>
      </w:r>
      <w:r>
        <w:rPr>
          <w:color w:val="000000"/>
          <w:sz w:val="14"/>
          <w:szCs w:val="14"/>
        </w:rPr>
        <w:t xml:space="preserve">0-7d </w:t>
      </w:r>
      <w:r>
        <w:rPr>
          <w:color w:val="000000"/>
        </w:rPr>
        <w:t xml:space="preserve">increased in an approximately </w:t>
      </w:r>
      <w:r w:rsidR="00E2325C" w:rsidRPr="00547389">
        <w:rPr>
          <w:lang w:val="en-GB"/>
        </w:rPr>
        <w:t xml:space="preserve">dose-proportional </w:t>
      </w:r>
      <w:r>
        <w:rPr>
          <w:lang w:val="en-GB"/>
        </w:rPr>
        <w:t xml:space="preserve">manner, </w:t>
      </w:r>
      <w:r w:rsidR="00E2325C" w:rsidRPr="00547389">
        <w:rPr>
          <w:lang w:val="en-GB"/>
        </w:rPr>
        <w:t>over a dose range of 20 mcg to 68 mcg</w:t>
      </w:r>
      <w:r>
        <w:rPr>
          <w:lang w:val="en-GB"/>
        </w:rPr>
        <w:t xml:space="preserve"> (0.3 to 1 times the recommended dose)</w:t>
      </w:r>
      <w:r w:rsidR="00E2325C" w:rsidRPr="00547389">
        <w:rPr>
          <w:lang w:val="en-GB"/>
        </w:rPr>
        <w:t xml:space="preserve">. Following </w:t>
      </w:r>
      <w:r>
        <w:rPr>
          <w:lang w:val="en-GB"/>
        </w:rPr>
        <w:t xml:space="preserve">administration of </w:t>
      </w:r>
      <w:proofErr w:type="spellStart"/>
      <w:r>
        <w:rPr>
          <w:lang w:val="en-GB"/>
        </w:rPr>
        <w:t>tebentafusp</w:t>
      </w:r>
      <w:proofErr w:type="spellEnd"/>
      <w:r>
        <w:rPr>
          <w:lang w:val="en-GB"/>
        </w:rPr>
        <w:t xml:space="preserve"> at the recommended dose </w:t>
      </w:r>
      <w:r w:rsidR="00E2325C" w:rsidRPr="00547389">
        <w:rPr>
          <w:lang w:val="en-GB"/>
        </w:rPr>
        <w:t xml:space="preserve">in </w:t>
      </w:r>
      <w:r>
        <w:rPr>
          <w:lang w:val="en-GB"/>
        </w:rPr>
        <w:t xml:space="preserve">patients with </w:t>
      </w:r>
      <w:r w:rsidR="00E2325C" w:rsidRPr="00547389">
        <w:rPr>
          <w:lang w:val="en-GB"/>
        </w:rPr>
        <w:t xml:space="preserve">metastatic uveal melanoma, the </w:t>
      </w:r>
      <w:r>
        <w:rPr>
          <w:lang w:val="en-GB"/>
        </w:rPr>
        <w:t xml:space="preserve">steady-state geometric mean (% CV) </w:t>
      </w:r>
      <w:proofErr w:type="spellStart"/>
      <w:r w:rsidR="00E2325C" w:rsidRPr="00547389">
        <w:rPr>
          <w:lang w:val="en-GB"/>
        </w:rPr>
        <w:t>C</w:t>
      </w:r>
      <w:r w:rsidR="00E2325C" w:rsidRPr="00547389">
        <w:rPr>
          <w:vertAlign w:val="subscript"/>
          <w:lang w:val="en-GB"/>
        </w:rPr>
        <w:t>max</w:t>
      </w:r>
      <w:proofErr w:type="spellEnd"/>
      <w:r w:rsidR="00E2325C" w:rsidRPr="00547389">
        <w:rPr>
          <w:lang w:val="en-GB"/>
        </w:rPr>
        <w:t xml:space="preserve"> </w:t>
      </w:r>
      <w:r>
        <w:rPr>
          <w:lang w:val="en-GB"/>
        </w:rPr>
        <w:t xml:space="preserve">was </w:t>
      </w:r>
      <w:r w:rsidR="00E2325C" w:rsidRPr="00547389">
        <w:rPr>
          <w:lang w:val="en-GB"/>
        </w:rPr>
        <w:t xml:space="preserve">13 ng/mL </w:t>
      </w:r>
      <w:r>
        <w:rPr>
          <w:lang w:val="en-GB"/>
        </w:rPr>
        <w:t>(35%) and AUC</w:t>
      </w:r>
      <w:r w:rsidRPr="002A75B6">
        <w:rPr>
          <w:vertAlign w:val="subscript"/>
          <w:lang w:val="en-GB"/>
        </w:rPr>
        <w:t>0-7d</w:t>
      </w:r>
      <w:r>
        <w:rPr>
          <w:lang w:val="en-GB"/>
        </w:rPr>
        <w:t xml:space="preserve"> was 4.6 </w:t>
      </w:r>
      <w:proofErr w:type="spellStart"/>
      <w:r>
        <w:rPr>
          <w:lang w:val="en-GB"/>
        </w:rPr>
        <w:t>ng.day</w:t>
      </w:r>
      <w:proofErr w:type="spellEnd"/>
      <w:r>
        <w:rPr>
          <w:lang w:val="en-GB"/>
        </w:rPr>
        <w:t>/mL (23%), with no accumulation</w:t>
      </w:r>
      <w:r w:rsidR="00E2325C" w:rsidRPr="00547389">
        <w:rPr>
          <w:lang w:val="en-GB"/>
        </w:rPr>
        <w:t>.</w:t>
      </w:r>
    </w:p>
    <w:p w14:paraId="04FECEED" w14:textId="7EB46382" w:rsidR="001A3992" w:rsidRDefault="001A3992">
      <w:pPr>
        <w:pStyle w:val="Heading3"/>
      </w:pPr>
      <w:r w:rsidRPr="00497C85">
        <w:t>Distribution</w:t>
      </w:r>
    </w:p>
    <w:p w14:paraId="755080A6" w14:textId="0E3C7326" w:rsidR="00E2325C" w:rsidRPr="00E2325C" w:rsidRDefault="009F00B9" w:rsidP="000F0660">
      <w:pPr>
        <w:rPr>
          <w:lang w:eastAsia="ja-JP"/>
        </w:rPr>
      </w:pPr>
      <w:r>
        <w:rPr>
          <w:lang w:eastAsia="ja-JP"/>
        </w:rPr>
        <w:t>The</w:t>
      </w:r>
      <w:r>
        <w:rPr>
          <w:color w:val="000000"/>
        </w:rPr>
        <w:t xml:space="preserve"> geometric mean (% CV) steady-state volume of distribution for </w:t>
      </w:r>
      <w:proofErr w:type="spellStart"/>
      <w:r>
        <w:rPr>
          <w:color w:val="000000"/>
        </w:rPr>
        <w:t>tebentafusp</w:t>
      </w:r>
      <w:proofErr w:type="spellEnd"/>
      <w:r>
        <w:rPr>
          <w:color w:val="000000"/>
        </w:rPr>
        <w:t xml:space="preserve"> is 7.56 L (24%)</w:t>
      </w:r>
      <w:r w:rsidR="00E2325C" w:rsidRPr="008C314E">
        <w:rPr>
          <w:lang w:eastAsia="ja-JP"/>
        </w:rPr>
        <w:t>.</w:t>
      </w:r>
    </w:p>
    <w:p w14:paraId="3E551AD6" w14:textId="19D5D09B" w:rsidR="001A3992" w:rsidRDefault="001A3992">
      <w:pPr>
        <w:pStyle w:val="Heading3"/>
      </w:pPr>
      <w:r w:rsidRPr="00497C85">
        <w:t>Metabolism</w:t>
      </w:r>
    </w:p>
    <w:p w14:paraId="528189AC" w14:textId="5B32C764" w:rsidR="00E2325C" w:rsidRPr="00E2325C" w:rsidRDefault="00EE4DE9" w:rsidP="000F0660">
      <w:r>
        <w:t xml:space="preserve">As a protein, </w:t>
      </w:r>
      <w:proofErr w:type="spellStart"/>
      <w:r>
        <w:t>t</w:t>
      </w:r>
      <w:r w:rsidR="00E2325C">
        <w:t>ebentafusp</w:t>
      </w:r>
      <w:proofErr w:type="spellEnd"/>
      <w:r w:rsidR="00E2325C" w:rsidRPr="008C314E">
        <w:t xml:space="preserve"> is expected to be </w:t>
      </w:r>
      <w:r w:rsidR="009F00B9">
        <w:t>catabolised</w:t>
      </w:r>
      <w:r w:rsidR="009F00B9" w:rsidRPr="008C314E">
        <w:t xml:space="preserve"> </w:t>
      </w:r>
      <w:r w:rsidR="00E2325C" w:rsidRPr="008C314E">
        <w:t>into small peptides and amino acids.</w:t>
      </w:r>
    </w:p>
    <w:p w14:paraId="61F35B2F" w14:textId="73867193" w:rsidR="001A3992" w:rsidRDefault="001A3992">
      <w:pPr>
        <w:pStyle w:val="Heading3"/>
      </w:pPr>
      <w:r w:rsidRPr="00497C85">
        <w:t>Excretion</w:t>
      </w:r>
    </w:p>
    <w:p w14:paraId="422843AD" w14:textId="39C30CF7" w:rsidR="00E2325C" w:rsidRDefault="009F00B9" w:rsidP="009F00B9">
      <w:pPr>
        <w:rPr>
          <w:lang w:val="en-US"/>
        </w:rPr>
      </w:pPr>
      <w:r w:rsidRPr="009F00B9">
        <w:rPr>
          <w:lang w:val="en-US"/>
        </w:rPr>
        <w:t>The geometric mean</w:t>
      </w:r>
      <w:r>
        <w:rPr>
          <w:lang w:val="en-US"/>
        </w:rPr>
        <w:t xml:space="preserve"> (% CV)</w:t>
      </w:r>
      <w:r w:rsidRPr="009F00B9">
        <w:rPr>
          <w:lang w:val="en-US"/>
        </w:rPr>
        <w:t xml:space="preserve"> clearance of </w:t>
      </w:r>
      <w:proofErr w:type="spellStart"/>
      <w:r w:rsidRPr="009F00B9">
        <w:rPr>
          <w:lang w:val="en-US"/>
        </w:rPr>
        <w:t>tebentafusp</w:t>
      </w:r>
      <w:proofErr w:type="spellEnd"/>
      <w:r w:rsidRPr="009F00B9">
        <w:rPr>
          <w:lang w:val="en-US"/>
        </w:rPr>
        <w:t xml:space="preserve"> is 16.4 L/d (25%) and </w:t>
      </w:r>
      <w:r w:rsidR="00EE4DE9">
        <w:rPr>
          <w:lang w:val="en-US"/>
        </w:rPr>
        <w:t xml:space="preserve">the </w:t>
      </w:r>
      <w:r w:rsidRPr="009F00B9">
        <w:rPr>
          <w:lang w:val="en-US"/>
        </w:rPr>
        <w:t>median terminal half-life</w:t>
      </w:r>
      <w:r>
        <w:rPr>
          <w:lang w:val="en-US"/>
        </w:rPr>
        <w:t xml:space="preserve"> </w:t>
      </w:r>
      <w:r w:rsidRPr="009F00B9">
        <w:rPr>
          <w:lang w:val="en-US"/>
        </w:rPr>
        <w:t xml:space="preserve">is 7.5 hours (range: 6.8-7.5 hours). </w:t>
      </w:r>
    </w:p>
    <w:p w14:paraId="3A9811C8" w14:textId="357AD90A" w:rsidR="00962134" w:rsidRPr="00C4778F" w:rsidRDefault="00962134" w:rsidP="000F0660">
      <w:pPr>
        <w:pStyle w:val="Heading3"/>
        <w:rPr>
          <w:lang w:val="en-US"/>
        </w:rPr>
      </w:pPr>
      <w:r w:rsidRPr="00C4778F">
        <w:rPr>
          <w:lang w:val="en-US"/>
        </w:rPr>
        <w:t>Special populations</w:t>
      </w:r>
    </w:p>
    <w:p w14:paraId="23A221E0" w14:textId="06056AC2" w:rsidR="002111CC" w:rsidRDefault="002111CC" w:rsidP="002111CC">
      <w:pPr>
        <w:rPr>
          <w:lang w:val="en-US"/>
        </w:rPr>
      </w:pPr>
      <w:r>
        <w:rPr>
          <w:lang w:val="en-US"/>
        </w:rPr>
        <w:t>W</w:t>
      </w:r>
      <w:r w:rsidR="00962134" w:rsidRPr="00962134">
        <w:rPr>
          <w:lang w:val="en-US"/>
        </w:rPr>
        <w:t xml:space="preserve">eight (43 to 163 kg), </w:t>
      </w:r>
      <w:r>
        <w:rPr>
          <w:lang w:val="en-US"/>
        </w:rPr>
        <w:t>sex (48% female)</w:t>
      </w:r>
      <w:r w:rsidR="00962134" w:rsidRPr="00962134">
        <w:rPr>
          <w:lang w:val="en-US"/>
        </w:rPr>
        <w:t>, age (23 to 91 years)</w:t>
      </w:r>
      <w:r w:rsidR="009B01A1">
        <w:rPr>
          <w:lang w:val="en-US"/>
        </w:rPr>
        <w:t>,</w:t>
      </w:r>
      <w:r w:rsidR="00962134" w:rsidRPr="00962134">
        <w:rPr>
          <w:lang w:val="en-US"/>
        </w:rPr>
        <w:t xml:space="preserve"> </w:t>
      </w:r>
      <w:r w:rsidR="009B01A1" w:rsidRPr="002111CC">
        <w:rPr>
          <w:lang w:val="en-US"/>
        </w:rPr>
        <w:t>mild to moderate renal impairment</w:t>
      </w:r>
      <w:r w:rsidR="009B01A1">
        <w:rPr>
          <w:lang w:val="en-US"/>
        </w:rPr>
        <w:t xml:space="preserve"> (c</w:t>
      </w:r>
      <w:r w:rsidR="009B01A1" w:rsidRPr="002111CC">
        <w:rPr>
          <w:lang w:val="en-US"/>
        </w:rPr>
        <w:t xml:space="preserve">reatinine clearance estimated by C-G formula </w:t>
      </w:r>
      <w:r w:rsidR="009B01A1">
        <w:rPr>
          <w:lang w:val="en-US"/>
        </w:rPr>
        <w:t>[</w:t>
      </w:r>
      <w:proofErr w:type="spellStart"/>
      <w:r w:rsidR="009B01A1" w:rsidRPr="002111CC">
        <w:rPr>
          <w:lang w:val="en-US"/>
        </w:rPr>
        <w:t>CLcr</w:t>
      </w:r>
      <w:proofErr w:type="spellEnd"/>
      <w:r w:rsidR="009B01A1">
        <w:rPr>
          <w:lang w:val="en-US"/>
        </w:rPr>
        <w:t>]</w:t>
      </w:r>
      <w:r w:rsidR="009B01A1" w:rsidRPr="002111CC">
        <w:rPr>
          <w:lang w:val="en-US"/>
        </w:rPr>
        <w:t xml:space="preserve"> </w:t>
      </w:r>
      <w:r w:rsidR="009B01A1">
        <w:rPr>
          <w:lang w:val="en-US"/>
        </w:rPr>
        <w:t xml:space="preserve">of </w:t>
      </w:r>
      <w:r w:rsidR="009B01A1" w:rsidRPr="002111CC">
        <w:rPr>
          <w:lang w:val="en-US"/>
        </w:rPr>
        <w:t>30 to 89 mL/min)</w:t>
      </w:r>
      <w:r w:rsidR="009B01A1">
        <w:rPr>
          <w:lang w:val="en-US"/>
        </w:rPr>
        <w:t>,</w:t>
      </w:r>
      <w:r w:rsidR="009B01A1" w:rsidRPr="002111CC">
        <w:rPr>
          <w:lang w:val="en-US"/>
        </w:rPr>
        <w:t xml:space="preserve"> </w:t>
      </w:r>
      <w:r w:rsidR="009B01A1">
        <w:rPr>
          <w:lang w:val="en-US"/>
        </w:rPr>
        <w:t>and</w:t>
      </w:r>
      <w:r w:rsidR="009B01A1" w:rsidRPr="002111CC">
        <w:rPr>
          <w:lang w:val="en-US"/>
        </w:rPr>
        <w:t xml:space="preserve"> mild hepatic</w:t>
      </w:r>
      <w:r w:rsidR="009B01A1">
        <w:rPr>
          <w:lang w:val="en-US"/>
        </w:rPr>
        <w:t xml:space="preserve"> </w:t>
      </w:r>
      <w:r w:rsidR="009B01A1" w:rsidRPr="002111CC">
        <w:rPr>
          <w:lang w:val="en-US"/>
        </w:rPr>
        <w:t xml:space="preserve">impairment </w:t>
      </w:r>
      <w:r w:rsidR="009B01A1">
        <w:rPr>
          <w:lang w:val="en-US"/>
        </w:rPr>
        <w:t>(elevated</w:t>
      </w:r>
      <w:r w:rsidR="009B01A1" w:rsidRPr="002111CC">
        <w:rPr>
          <w:lang w:val="en-US"/>
        </w:rPr>
        <w:t xml:space="preserve"> aspartate aminotransferase </w:t>
      </w:r>
      <w:r w:rsidR="009B01A1">
        <w:rPr>
          <w:lang w:val="en-US"/>
        </w:rPr>
        <w:t>[</w:t>
      </w:r>
      <w:r w:rsidR="009B01A1" w:rsidRPr="002111CC">
        <w:rPr>
          <w:lang w:val="en-US"/>
        </w:rPr>
        <w:t>AST</w:t>
      </w:r>
      <w:r w:rsidR="009B01A1">
        <w:rPr>
          <w:lang w:val="en-US"/>
        </w:rPr>
        <w:t xml:space="preserve">] with normal total bilirubin [TB], </w:t>
      </w:r>
      <w:r w:rsidR="009B01A1" w:rsidRPr="002111CC">
        <w:rPr>
          <w:lang w:val="en-US"/>
        </w:rPr>
        <w:t xml:space="preserve">or </w:t>
      </w:r>
      <w:r w:rsidR="009B01A1">
        <w:rPr>
          <w:lang w:val="en-US"/>
        </w:rPr>
        <w:t>TB &gt;</w:t>
      </w:r>
      <w:r w:rsidR="009B01A1" w:rsidRPr="002111CC">
        <w:rPr>
          <w:lang w:val="en-US"/>
        </w:rPr>
        <w:t>1 to 1.5</w:t>
      </w:r>
      <w:r w:rsidR="009B01A1">
        <w:rPr>
          <w:lang w:val="en-US"/>
        </w:rPr>
        <w:t xml:space="preserve"> times the upper limit of normal [ULN] with</w:t>
      </w:r>
      <w:r w:rsidR="009B01A1" w:rsidRPr="002111CC">
        <w:rPr>
          <w:lang w:val="en-US"/>
        </w:rPr>
        <w:t xml:space="preserve"> any AST)</w:t>
      </w:r>
      <w:r w:rsidR="009B01A1">
        <w:rPr>
          <w:lang w:val="en-US"/>
        </w:rPr>
        <w:t xml:space="preserve"> had no</w:t>
      </w:r>
      <w:r w:rsidR="009B01A1" w:rsidRPr="002111CC">
        <w:rPr>
          <w:lang w:val="en-US"/>
        </w:rPr>
        <w:t xml:space="preserve"> clinically significant </w:t>
      </w:r>
      <w:r w:rsidR="009B01A1">
        <w:rPr>
          <w:lang w:val="en-US"/>
        </w:rPr>
        <w:t>effect</w:t>
      </w:r>
      <w:r w:rsidR="009B01A1" w:rsidRPr="002111CC">
        <w:rPr>
          <w:lang w:val="en-US"/>
        </w:rPr>
        <w:t xml:space="preserve"> </w:t>
      </w:r>
      <w:r w:rsidR="00962134" w:rsidRPr="00962134">
        <w:rPr>
          <w:lang w:val="en-US"/>
        </w:rPr>
        <w:t xml:space="preserve">on </w:t>
      </w:r>
      <w:r w:rsidR="009B01A1" w:rsidRPr="002111CC">
        <w:rPr>
          <w:lang w:val="en-US"/>
        </w:rPr>
        <w:t xml:space="preserve">the pharmacokinetics of </w:t>
      </w:r>
      <w:proofErr w:type="spellStart"/>
      <w:r w:rsidR="00962134" w:rsidRPr="00962134">
        <w:rPr>
          <w:lang w:val="en-US"/>
        </w:rPr>
        <w:t>tebentafusp</w:t>
      </w:r>
      <w:proofErr w:type="spellEnd"/>
      <w:r w:rsidR="00962134" w:rsidRPr="00962134">
        <w:rPr>
          <w:lang w:val="en-US"/>
        </w:rPr>
        <w:t>.</w:t>
      </w:r>
    </w:p>
    <w:p w14:paraId="4939E367" w14:textId="2C2F8AFB" w:rsidR="00962134" w:rsidRDefault="002111CC" w:rsidP="002111CC">
      <w:pPr>
        <w:rPr>
          <w:lang w:val="en-US"/>
        </w:rPr>
      </w:pPr>
      <w:proofErr w:type="spellStart"/>
      <w:r w:rsidRPr="002111CC">
        <w:rPr>
          <w:lang w:val="en-US"/>
        </w:rPr>
        <w:t>Tebentafusp</w:t>
      </w:r>
      <w:proofErr w:type="spellEnd"/>
      <w:r w:rsidRPr="002111CC">
        <w:rPr>
          <w:lang w:val="en-US"/>
        </w:rPr>
        <w:t xml:space="preserve"> has not been studied in patients with severe </w:t>
      </w:r>
      <w:r w:rsidR="0004689C" w:rsidRPr="002111CC">
        <w:rPr>
          <w:lang w:val="en-US"/>
        </w:rPr>
        <w:t xml:space="preserve">renal impairment </w:t>
      </w:r>
      <w:r w:rsidRPr="002111CC">
        <w:rPr>
          <w:lang w:val="en-US"/>
        </w:rPr>
        <w:t>(</w:t>
      </w:r>
      <w:proofErr w:type="spellStart"/>
      <w:r w:rsidRPr="002111CC">
        <w:rPr>
          <w:lang w:val="en-US"/>
        </w:rPr>
        <w:t>CLcr</w:t>
      </w:r>
      <w:proofErr w:type="spellEnd"/>
      <w:r w:rsidRPr="002111CC">
        <w:rPr>
          <w:lang w:val="en-US"/>
        </w:rPr>
        <w:t xml:space="preserve"> &lt;30 mL/min) or in</w:t>
      </w:r>
      <w:r>
        <w:rPr>
          <w:lang w:val="en-US"/>
        </w:rPr>
        <w:t xml:space="preserve"> </w:t>
      </w:r>
      <w:r w:rsidRPr="002111CC">
        <w:rPr>
          <w:lang w:val="en-US"/>
        </w:rPr>
        <w:t xml:space="preserve">patients with moderate </w:t>
      </w:r>
      <w:r w:rsidR="0004689C">
        <w:rPr>
          <w:lang w:val="en-US"/>
        </w:rPr>
        <w:t xml:space="preserve">hepatic impairment </w:t>
      </w:r>
      <w:r w:rsidRPr="002111CC">
        <w:rPr>
          <w:lang w:val="en-US"/>
        </w:rPr>
        <w:t xml:space="preserve">(TB &gt;1.5 to 3x ULN, any AST) </w:t>
      </w:r>
      <w:r w:rsidR="0004689C">
        <w:rPr>
          <w:lang w:val="en-US"/>
        </w:rPr>
        <w:t>or</w:t>
      </w:r>
      <w:r w:rsidRPr="002111CC">
        <w:rPr>
          <w:lang w:val="en-US"/>
        </w:rPr>
        <w:t xml:space="preserve"> severe </w:t>
      </w:r>
      <w:r w:rsidR="00EE4DE9" w:rsidRPr="002111CC">
        <w:rPr>
          <w:lang w:val="en-US"/>
        </w:rPr>
        <w:t>hepatic</w:t>
      </w:r>
      <w:r w:rsidR="00EE4DE9">
        <w:rPr>
          <w:lang w:val="en-US"/>
        </w:rPr>
        <w:t xml:space="preserve"> </w:t>
      </w:r>
      <w:r w:rsidR="00EE4DE9" w:rsidRPr="002111CC">
        <w:rPr>
          <w:lang w:val="en-US"/>
        </w:rPr>
        <w:t xml:space="preserve">impairment </w:t>
      </w:r>
      <w:r w:rsidRPr="002111CC">
        <w:rPr>
          <w:lang w:val="en-US"/>
        </w:rPr>
        <w:t>(TB &gt;3 to 10x ULN, any AST).</w:t>
      </w:r>
    </w:p>
    <w:p w14:paraId="02F99557" w14:textId="77777777" w:rsidR="001E4FB5" w:rsidRPr="002A75B6" w:rsidRDefault="001E4FB5" w:rsidP="002A75B6">
      <w:pPr>
        <w:pStyle w:val="Heading3"/>
        <w:rPr>
          <w:lang w:val="en-US"/>
        </w:rPr>
      </w:pPr>
      <w:r w:rsidRPr="002A75B6">
        <w:rPr>
          <w:lang w:val="en-US"/>
        </w:rPr>
        <w:t>Immunogenicity</w:t>
      </w:r>
    </w:p>
    <w:p w14:paraId="3363CCC6" w14:textId="189F5FB6" w:rsidR="001E4FB5" w:rsidRPr="00962134" w:rsidRDefault="001E4FB5" w:rsidP="001E4FB5">
      <w:r>
        <w:t xml:space="preserve">Median </w:t>
      </w:r>
      <w:proofErr w:type="spellStart"/>
      <w:r>
        <w:t>titer</w:t>
      </w:r>
      <w:proofErr w:type="spellEnd"/>
      <w:r>
        <w:t xml:space="preserve"> in the ADA-positive subgroup was 8192 across the 67 treatment cycles. The exposure (AUC</w:t>
      </w:r>
      <w:r w:rsidRPr="002A75B6">
        <w:rPr>
          <w:vertAlign w:val="subscript"/>
        </w:rPr>
        <w:t>0-7 days</w:t>
      </w:r>
      <w:r>
        <w:t xml:space="preserve">) of </w:t>
      </w:r>
      <w:proofErr w:type="spellStart"/>
      <w:r>
        <w:t>tebentafusp</w:t>
      </w:r>
      <w:proofErr w:type="spellEnd"/>
      <w:r>
        <w:t xml:space="preserve"> decreased by 97% and terminal half-life decreased to 10-14 minutes in patients with ADA </w:t>
      </w:r>
      <w:proofErr w:type="spellStart"/>
      <w:r>
        <w:t>titers</w:t>
      </w:r>
      <w:proofErr w:type="spellEnd"/>
      <w:r>
        <w:t xml:space="preserve"> greater than 8192.</w:t>
      </w:r>
    </w:p>
    <w:p w14:paraId="1EF129B1" w14:textId="32EE4516" w:rsidR="00962134" w:rsidRPr="00962134" w:rsidRDefault="00962134"/>
    <w:p w14:paraId="4FFDF2F0" w14:textId="77777777" w:rsidR="001A3992" w:rsidRPr="000B4674" w:rsidRDefault="001A3992" w:rsidP="000F0660">
      <w:pPr>
        <w:pStyle w:val="Heading2"/>
        <w:numPr>
          <w:ilvl w:val="1"/>
          <w:numId w:val="24"/>
        </w:numPr>
        <w:rPr>
          <w:lang w:val="en-US"/>
        </w:rPr>
      </w:pPr>
      <w:bookmarkStart w:id="27" w:name="_Ref80351361"/>
      <w:r w:rsidRPr="00BA1C4E">
        <w:rPr>
          <w:lang w:val="en-US"/>
        </w:rPr>
        <w:t>Preclinical safety data</w:t>
      </w:r>
      <w:bookmarkEnd w:id="27"/>
    </w:p>
    <w:p w14:paraId="5C5DCB5C" w14:textId="49F6C5A1" w:rsidR="001A3992" w:rsidRDefault="001A3992" w:rsidP="000F0660">
      <w:pPr>
        <w:pStyle w:val="Heading3"/>
      </w:pPr>
      <w:r w:rsidRPr="00497C85">
        <w:t>Genotoxicity</w:t>
      </w:r>
    </w:p>
    <w:p w14:paraId="11B927C8" w14:textId="0405C7DF" w:rsidR="00000776" w:rsidRDefault="00000776" w:rsidP="00000776">
      <w:r w:rsidRPr="00A379A4">
        <w:t xml:space="preserve">No genotoxicity studies have been conducted with </w:t>
      </w:r>
      <w:proofErr w:type="spellStart"/>
      <w:r w:rsidRPr="00A379A4">
        <w:t>tebentafusp</w:t>
      </w:r>
      <w:proofErr w:type="spellEnd"/>
      <w:r>
        <w:t>.</w:t>
      </w:r>
    </w:p>
    <w:p w14:paraId="154F7106" w14:textId="7E84FF63" w:rsidR="001A3992" w:rsidRDefault="001A3992">
      <w:pPr>
        <w:pStyle w:val="Heading3"/>
        <w:rPr>
          <w:lang w:val="en-US"/>
        </w:rPr>
      </w:pPr>
      <w:proofErr w:type="spellStart"/>
      <w:r w:rsidRPr="00497C85">
        <w:t>Carcin</w:t>
      </w:r>
      <w:r w:rsidRPr="00497C85">
        <w:rPr>
          <w:lang w:val="en-US"/>
        </w:rPr>
        <w:t>ogenicity</w:t>
      </w:r>
      <w:proofErr w:type="spellEnd"/>
    </w:p>
    <w:p w14:paraId="4F468455" w14:textId="1C6638FF" w:rsidR="00A379A4" w:rsidRDefault="00A379A4" w:rsidP="00000776">
      <w:r w:rsidRPr="00A379A4">
        <w:t xml:space="preserve">No carcinogenicity studies have been conducted with </w:t>
      </w:r>
      <w:proofErr w:type="spellStart"/>
      <w:r w:rsidRPr="00A379A4">
        <w:t>tebentafusp</w:t>
      </w:r>
      <w:proofErr w:type="spellEnd"/>
      <w:r w:rsidR="00000776">
        <w:t>.</w:t>
      </w:r>
    </w:p>
    <w:p w14:paraId="23AFBC89" w14:textId="77777777" w:rsidR="001A3992" w:rsidRPr="0094457C" w:rsidRDefault="001A3992" w:rsidP="000F0660">
      <w:pPr>
        <w:pStyle w:val="Heading1"/>
      </w:pPr>
      <w:r w:rsidRPr="0094457C">
        <w:lastRenderedPageBreak/>
        <w:t>Pharmaceutical particulars</w:t>
      </w:r>
    </w:p>
    <w:p w14:paraId="27E0A6F1" w14:textId="119F75FD" w:rsidR="001A3992" w:rsidRPr="000B4674" w:rsidRDefault="001A3992" w:rsidP="000F0660">
      <w:pPr>
        <w:pStyle w:val="Heading2"/>
        <w:numPr>
          <w:ilvl w:val="1"/>
          <w:numId w:val="30"/>
        </w:numPr>
        <w:rPr>
          <w:lang w:val="en-US"/>
        </w:rPr>
      </w:pPr>
      <w:bookmarkStart w:id="28" w:name="_Ref80367085"/>
      <w:r w:rsidRPr="00BA1C4E">
        <w:rPr>
          <w:lang w:val="en-US"/>
        </w:rPr>
        <w:t>List of excipients</w:t>
      </w:r>
      <w:bookmarkEnd w:id="28"/>
      <w:r w:rsidRPr="00BA1C4E">
        <w:rPr>
          <w:lang w:val="en-US"/>
        </w:rPr>
        <w:t xml:space="preserve"> </w:t>
      </w:r>
    </w:p>
    <w:p w14:paraId="73856EC1" w14:textId="77777777" w:rsidR="00A379A4" w:rsidRPr="005A2442" w:rsidRDefault="00A379A4" w:rsidP="00B044BA">
      <w:pPr>
        <w:spacing w:after="0"/>
        <w:rPr>
          <w:lang w:val="en-US"/>
        </w:rPr>
      </w:pPr>
      <w:r w:rsidRPr="005A2442">
        <w:rPr>
          <w:lang w:val="en-US"/>
        </w:rPr>
        <w:t>Citric acid monohydrate</w:t>
      </w:r>
    </w:p>
    <w:p w14:paraId="60F6C4F1" w14:textId="008B812D" w:rsidR="00A379A4" w:rsidRPr="005A2442" w:rsidRDefault="005A2442" w:rsidP="00B044BA">
      <w:pPr>
        <w:spacing w:after="0"/>
        <w:rPr>
          <w:lang w:val="de-DE"/>
        </w:rPr>
      </w:pPr>
      <w:r w:rsidRPr="2990A4E7">
        <w:rPr>
          <w:lang w:val="de-DE"/>
        </w:rPr>
        <w:t xml:space="preserve">Dibasic sodium phosphate </w:t>
      </w:r>
    </w:p>
    <w:p w14:paraId="75EE41DE" w14:textId="77777777" w:rsidR="00A379A4" w:rsidRPr="005A2442" w:rsidRDefault="00A379A4" w:rsidP="00B044BA">
      <w:pPr>
        <w:spacing w:after="0"/>
        <w:rPr>
          <w:lang w:val="de-DE"/>
        </w:rPr>
      </w:pPr>
      <w:r w:rsidRPr="005A2442">
        <w:rPr>
          <w:lang w:val="de-DE"/>
        </w:rPr>
        <w:t>Mannitol</w:t>
      </w:r>
    </w:p>
    <w:p w14:paraId="5061C634" w14:textId="7DD9A053" w:rsidR="00A379A4" w:rsidRPr="005A2442" w:rsidRDefault="00A379A4" w:rsidP="00B044BA">
      <w:pPr>
        <w:spacing w:after="0"/>
        <w:rPr>
          <w:lang w:val="de-DE"/>
        </w:rPr>
      </w:pPr>
      <w:r w:rsidRPr="2990A4E7">
        <w:rPr>
          <w:lang w:val="de-DE"/>
        </w:rPr>
        <w:t>Trehalose</w:t>
      </w:r>
      <w:r w:rsidR="007F1FD7" w:rsidRPr="2990A4E7">
        <w:rPr>
          <w:lang w:val="de-DE"/>
        </w:rPr>
        <w:t xml:space="preserve"> dihydrate</w:t>
      </w:r>
    </w:p>
    <w:p w14:paraId="51FD89BD" w14:textId="77777777" w:rsidR="00A379A4" w:rsidRPr="005A2442" w:rsidRDefault="00A379A4" w:rsidP="00B044BA">
      <w:pPr>
        <w:spacing w:after="0"/>
        <w:rPr>
          <w:lang w:val="en-US"/>
        </w:rPr>
      </w:pPr>
      <w:r w:rsidRPr="005A2442">
        <w:rPr>
          <w:lang w:val="en-US"/>
        </w:rPr>
        <w:t>Polysorbate 20</w:t>
      </w:r>
    </w:p>
    <w:p w14:paraId="0699F121" w14:textId="77777777" w:rsidR="00A379A4" w:rsidRPr="00A379A4" w:rsidRDefault="00A379A4" w:rsidP="00B044BA">
      <w:pPr>
        <w:spacing w:after="0"/>
        <w:rPr>
          <w:lang w:val="en-US"/>
        </w:rPr>
      </w:pPr>
      <w:r w:rsidRPr="005A2442">
        <w:rPr>
          <w:lang w:val="en-US"/>
        </w:rPr>
        <w:t>Water for injection</w:t>
      </w:r>
    </w:p>
    <w:p w14:paraId="42523817" w14:textId="77777777" w:rsidR="001A3992" w:rsidRPr="000B4674" w:rsidRDefault="001A3992" w:rsidP="000F0660">
      <w:pPr>
        <w:pStyle w:val="Heading2"/>
        <w:numPr>
          <w:ilvl w:val="1"/>
          <w:numId w:val="24"/>
        </w:numPr>
        <w:rPr>
          <w:lang w:val="en-US"/>
        </w:rPr>
      </w:pPr>
      <w:r w:rsidRPr="00BA1C4E">
        <w:rPr>
          <w:lang w:val="en-US"/>
        </w:rPr>
        <w:t xml:space="preserve">Incompatibilities </w:t>
      </w:r>
    </w:p>
    <w:p w14:paraId="752BDCF8" w14:textId="05653E10" w:rsidR="00A379A4" w:rsidRPr="00A379A4" w:rsidRDefault="00A379A4">
      <w:pPr>
        <w:rPr>
          <w:noProof/>
        </w:rPr>
      </w:pPr>
      <w:r w:rsidRPr="00A379A4">
        <w:rPr>
          <w:noProof/>
        </w:rPr>
        <w:t xml:space="preserve">This medicinal product must not be mixed with other medicinal products except those mentioned in </w:t>
      </w:r>
      <w:r>
        <w:rPr>
          <w:noProof/>
        </w:rPr>
        <w:t>S</w:t>
      </w:r>
      <w:r w:rsidRPr="00A379A4">
        <w:rPr>
          <w:noProof/>
        </w:rPr>
        <w:t>ection </w:t>
      </w:r>
      <w:r w:rsidR="00C4778F">
        <w:rPr>
          <w:noProof/>
        </w:rPr>
        <w:t xml:space="preserve">4.2 </w:t>
      </w:r>
      <w:r w:rsidR="00000776">
        <w:rPr>
          <w:noProof/>
        </w:rPr>
        <w:fldChar w:fldCharType="begin"/>
      </w:r>
      <w:r w:rsidR="00000776">
        <w:rPr>
          <w:noProof/>
        </w:rPr>
        <w:instrText xml:space="preserve"> REF _Ref80351853 \h </w:instrText>
      </w:r>
      <w:r w:rsidR="00000776">
        <w:rPr>
          <w:noProof/>
        </w:rPr>
      </w:r>
      <w:r w:rsidR="00000776">
        <w:rPr>
          <w:noProof/>
        </w:rPr>
        <w:fldChar w:fldCharType="separate"/>
      </w:r>
      <w:r w:rsidR="00012F31" w:rsidRPr="00497C85">
        <w:t>Dose and method of administration</w:t>
      </w:r>
      <w:r w:rsidR="00000776">
        <w:rPr>
          <w:noProof/>
        </w:rPr>
        <w:fldChar w:fldCharType="end"/>
      </w:r>
      <w:r w:rsidRPr="00A379A4">
        <w:rPr>
          <w:noProof/>
        </w:rPr>
        <w:t>.</w:t>
      </w:r>
    </w:p>
    <w:p w14:paraId="6830EF37" w14:textId="28660F01" w:rsidR="001A3992" w:rsidRPr="00BA1C4E" w:rsidRDefault="001A3992" w:rsidP="00BA1C4E">
      <w:pPr>
        <w:pStyle w:val="Heading2"/>
        <w:numPr>
          <w:ilvl w:val="1"/>
          <w:numId w:val="24"/>
        </w:numPr>
        <w:rPr>
          <w:lang w:val="en-US"/>
        </w:rPr>
      </w:pPr>
      <w:r w:rsidRPr="00BA1C4E">
        <w:rPr>
          <w:lang w:val="en-US"/>
        </w:rPr>
        <w:t>Shelf life</w:t>
      </w:r>
    </w:p>
    <w:p w14:paraId="6DA899C5" w14:textId="671CF344" w:rsidR="00000776" w:rsidRDefault="00000776" w:rsidP="00000776">
      <w:pPr>
        <w:rPr>
          <w:lang w:val="en-US"/>
        </w:rPr>
      </w:pPr>
      <w:r w:rsidRPr="00000776">
        <w:rPr>
          <w:lang w:val="en-US"/>
        </w:rPr>
        <w:t>In Australia, information on the shelf life can be found on the public summary of the Australian Register of Therapeutic Goods (ARTG). The expiry date can be found on the packaging</w:t>
      </w:r>
      <w:r w:rsidR="00E7118A">
        <w:rPr>
          <w:lang w:val="en-US"/>
        </w:rPr>
        <w:t>.</w:t>
      </w:r>
    </w:p>
    <w:p w14:paraId="68B5A0AD" w14:textId="73BD20F3" w:rsidR="001E3ECE" w:rsidRPr="00BA1C4E" w:rsidRDefault="001E3ECE" w:rsidP="000F0660">
      <w:pPr>
        <w:rPr>
          <w:lang w:val="en-US"/>
        </w:rPr>
      </w:pPr>
      <w:r>
        <w:rPr>
          <w:lang w:val="en-US"/>
        </w:rPr>
        <w:t xml:space="preserve">For the in-use shelf life and storage conditions after vial opening and after dilution of the medicinal product, see Section 4.2 </w:t>
      </w:r>
      <w:r>
        <w:rPr>
          <w:lang w:val="en-US"/>
        </w:rPr>
        <w:fldChar w:fldCharType="begin"/>
      </w:r>
      <w:r>
        <w:rPr>
          <w:lang w:val="en-US"/>
        </w:rPr>
        <w:instrText xml:space="preserve"> REF _Ref80351853 \h </w:instrText>
      </w:r>
      <w:r>
        <w:rPr>
          <w:lang w:val="en-US"/>
        </w:rPr>
      </w:r>
      <w:r>
        <w:rPr>
          <w:lang w:val="en-US"/>
        </w:rPr>
        <w:fldChar w:fldCharType="separate"/>
      </w:r>
      <w:r w:rsidR="00012F31" w:rsidRPr="00497C85">
        <w:t>Dose and method of administration</w:t>
      </w:r>
      <w:r>
        <w:rPr>
          <w:lang w:val="en-US"/>
        </w:rPr>
        <w:fldChar w:fldCharType="end"/>
      </w:r>
      <w:r>
        <w:rPr>
          <w:lang w:val="en-US"/>
        </w:rPr>
        <w:t>.</w:t>
      </w:r>
    </w:p>
    <w:p w14:paraId="55A7EEBB" w14:textId="192B92BA" w:rsidR="001A3992" w:rsidRPr="0094457C" w:rsidRDefault="001A3992" w:rsidP="000F0660">
      <w:pPr>
        <w:pStyle w:val="Heading2"/>
        <w:rPr>
          <w:lang w:val="en-US"/>
        </w:rPr>
      </w:pPr>
      <w:r w:rsidRPr="0094457C">
        <w:rPr>
          <w:lang w:val="en-US"/>
        </w:rPr>
        <w:t xml:space="preserve">Special precautions for storage </w:t>
      </w:r>
    </w:p>
    <w:p w14:paraId="2DC4410C" w14:textId="1A9F18DA" w:rsidR="00000776" w:rsidRPr="00A379A4" w:rsidRDefault="00E7118A" w:rsidP="00000776">
      <w:pPr>
        <w:rPr>
          <w:noProof/>
        </w:rPr>
      </w:pPr>
      <w:r w:rsidRPr="00E7118A">
        <w:rPr>
          <w:noProof/>
        </w:rPr>
        <w:t>Store at 2°C to 8°C (Refrigerate. Do not freeze).</w:t>
      </w:r>
      <w:r>
        <w:rPr>
          <w:noProof/>
        </w:rPr>
        <w:t xml:space="preserve"> </w:t>
      </w:r>
      <w:r w:rsidR="00000776" w:rsidRPr="00A379A4">
        <w:rPr>
          <w:noProof/>
        </w:rPr>
        <w:t>Keep the vial in the outer carton in order to protect from light.</w:t>
      </w:r>
    </w:p>
    <w:p w14:paraId="267E710C" w14:textId="2D18615D" w:rsidR="001A3992" w:rsidRPr="0094457C" w:rsidRDefault="001A3992" w:rsidP="000F0660">
      <w:pPr>
        <w:pStyle w:val="Heading2"/>
        <w:rPr>
          <w:lang w:val="en-US"/>
        </w:rPr>
      </w:pPr>
      <w:r w:rsidRPr="0094457C">
        <w:rPr>
          <w:lang w:val="en-US"/>
        </w:rPr>
        <w:t xml:space="preserve">Nature and contents of container </w:t>
      </w:r>
    </w:p>
    <w:p w14:paraId="4A4CA64B" w14:textId="07D1DFC5" w:rsidR="00E40498" w:rsidRPr="00E40498" w:rsidRDefault="00E40498">
      <w:pPr>
        <w:rPr>
          <w:noProof/>
        </w:rPr>
      </w:pPr>
      <w:r w:rsidRPr="00E40498">
        <w:rPr>
          <w:noProof/>
        </w:rPr>
        <w:t>Type I glass vial with a bromobutyl rubber stopper and an aluminium/plastic flip-off seal, containing 0.5 mL concentrate</w:t>
      </w:r>
      <w:r w:rsidR="001E3ECE">
        <w:rPr>
          <w:noProof/>
        </w:rPr>
        <w:t>d solution for infusion</w:t>
      </w:r>
      <w:r w:rsidRPr="00E40498">
        <w:rPr>
          <w:noProof/>
        </w:rPr>
        <w:t>.</w:t>
      </w:r>
    </w:p>
    <w:p w14:paraId="587307EE" w14:textId="19823E25" w:rsidR="00E40498" w:rsidRPr="00E40498" w:rsidRDefault="00E40498">
      <w:pPr>
        <w:rPr>
          <w:noProof/>
        </w:rPr>
      </w:pPr>
      <w:r w:rsidRPr="00E40498">
        <w:rPr>
          <w:noProof/>
        </w:rPr>
        <w:t>Pack size of 1 vial</w:t>
      </w:r>
      <w:r w:rsidR="001E3ECE">
        <w:rPr>
          <w:noProof/>
        </w:rPr>
        <w:t>.</w:t>
      </w:r>
    </w:p>
    <w:p w14:paraId="5BC3AF87" w14:textId="77777777" w:rsidR="001A3992" w:rsidRPr="000B4674" w:rsidRDefault="001A3992" w:rsidP="000F0660">
      <w:pPr>
        <w:pStyle w:val="Heading2"/>
        <w:numPr>
          <w:ilvl w:val="1"/>
          <w:numId w:val="24"/>
        </w:numPr>
        <w:rPr>
          <w:lang w:val="en-US"/>
        </w:rPr>
      </w:pPr>
      <w:r w:rsidRPr="00BA1C4E">
        <w:rPr>
          <w:lang w:val="en-US"/>
        </w:rPr>
        <w:t xml:space="preserve">Special precautions for disposal </w:t>
      </w:r>
    </w:p>
    <w:p w14:paraId="7D31A388" w14:textId="14F8A9CE" w:rsidR="00497C85" w:rsidRPr="00E40498" w:rsidRDefault="00497C85">
      <w:pPr>
        <w:rPr>
          <w:lang w:val="en"/>
        </w:rPr>
      </w:pPr>
      <w:r w:rsidRPr="00E40498">
        <w:rPr>
          <w:lang w:val="en"/>
        </w:rPr>
        <w:t xml:space="preserve">In Australia, any unused medicine or waste material should be disposed of by taking to your local pharmacy. </w:t>
      </w:r>
    </w:p>
    <w:p w14:paraId="7A6D39A8" w14:textId="77777777" w:rsidR="001A3992" w:rsidRPr="000B4674" w:rsidRDefault="001A3992" w:rsidP="000F0660">
      <w:pPr>
        <w:pStyle w:val="Heading2"/>
        <w:numPr>
          <w:ilvl w:val="1"/>
          <w:numId w:val="24"/>
        </w:numPr>
        <w:rPr>
          <w:lang w:val="en-US"/>
        </w:rPr>
      </w:pPr>
      <w:r w:rsidRPr="00BA1C4E">
        <w:rPr>
          <w:lang w:val="en-US"/>
        </w:rPr>
        <w:t>Physicochemical properties</w:t>
      </w:r>
    </w:p>
    <w:p w14:paraId="658568CB" w14:textId="6871722C" w:rsidR="0012555A" w:rsidRDefault="001A3992" w:rsidP="000B4674">
      <w:pPr>
        <w:pStyle w:val="Heading3"/>
        <w:rPr>
          <w:lang w:val="en-US"/>
        </w:rPr>
      </w:pPr>
      <w:r w:rsidRPr="009E61A6">
        <w:rPr>
          <w:lang w:val="en-US"/>
        </w:rPr>
        <w:t>Chemical structure</w:t>
      </w:r>
    </w:p>
    <w:p w14:paraId="6335F3B9" w14:textId="0DAEA402" w:rsidR="008C3816" w:rsidRPr="00BA1C4E" w:rsidRDefault="008C3816" w:rsidP="000F0660">
      <w:pPr>
        <w:rPr>
          <w:lang w:val="en-US"/>
        </w:rPr>
      </w:pPr>
      <w:proofErr w:type="spellStart"/>
      <w:r w:rsidRPr="008C3816">
        <w:rPr>
          <w:lang w:val="en-US"/>
        </w:rPr>
        <w:t>Tebentafusp</w:t>
      </w:r>
      <w:proofErr w:type="spellEnd"/>
      <w:r w:rsidRPr="008C3816">
        <w:rPr>
          <w:lang w:val="en-US"/>
        </w:rPr>
        <w:t xml:space="preserve"> is a bispecific gp100-targeted T cell receptor fusion protein with an approximate molecular weight of 77 </w:t>
      </w:r>
      <w:proofErr w:type="spellStart"/>
      <w:r w:rsidRPr="008C3816">
        <w:rPr>
          <w:lang w:val="en-US"/>
        </w:rPr>
        <w:t>kDa</w:t>
      </w:r>
      <w:proofErr w:type="spellEnd"/>
      <w:r w:rsidRPr="008C3816">
        <w:rPr>
          <w:lang w:val="en-US"/>
        </w:rPr>
        <w:t xml:space="preserve">. </w:t>
      </w:r>
      <w:proofErr w:type="spellStart"/>
      <w:r w:rsidRPr="008C3816">
        <w:rPr>
          <w:lang w:val="en-US"/>
        </w:rPr>
        <w:t>Tebentafusp</w:t>
      </w:r>
      <w:proofErr w:type="spellEnd"/>
      <w:r w:rsidRPr="008C3816">
        <w:rPr>
          <w:lang w:val="en-US"/>
        </w:rPr>
        <w:t xml:space="preserve"> is produced by recombinant DNA technology in </w:t>
      </w:r>
      <w:r w:rsidRPr="000F0660">
        <w:rPr>
          <w:i/>
          <w:iCs/>
          <w:lang w:val="en-US"/>
        </w:rPr>
        <w:t xml:space="preserve">Escherichia coli </w:t>
      </w:r>
      <w:r w:rsidRPr="008C3816">
        <w:rPr>
          <w:lang w:val="en-US"/>
        </w:rPr>
        <w:t>cells.</w:t>
      </w:r>
    </w:p>
    <w:p w14:paraId="6D3C60BF" w14:textId="4A1232D3" w:rsidR="001A3992" w:rsidRDefault="001A3992" w:rsidP="007F1FD7">
      <w:pPr>
        <w:pStyle w:val="Heading3"/>
        <w:rPr>
          <w:lang w:val="en-US"/>
        </w:rPr>
      </w:pPr>
      <w:r w:rsidRPr="00497C85">
        <w:rPr>
          <w:lang w:val="en-US"/>
        </w:rPr>
        <w:t>CAS number</w:t>
      </w:r>
    </w:p>
    <w:p w14:paraId="3734A4E4" w14:textId="1F1A0A0F" w:rsidR="0012555A" w:rsidRPr="0012555A" w:rsidRDefault="0012555A">
      <w:pPr>
        <w:rPr>
          <w:lang w:val="en-US"/>
        </w:rPr>
      </w:pPr>
      <w:r w:rsidRPr="0012555A">
        <w:rPr>
          <w:lang w:val="en-US"/>
        </w:rPr>
        <w:t>1874157-95-5</w:t>
      </w:r>
    </w:p>
    <w:p w14:paraId="40587A6B" w14:textId="43B443A9" w:rsidR="001A3992" w:rsidRPr="0094457C" w:rsidRDefault="001A3992" w:rsidP="000F0660">
      <w:pPr>
        <w:pStyle w:val="Heading1"/>
        <w:numPr>
          <w:ilvl w:val="0"/>
          <w:numId w:val="24"/>
        </w:numPr>
        <w:ind w:left="567" w:hanging="567"/>
      </w:pPr>
      <w:r w:rsidRPr="0094457C">
        <w:lastRenderedPageBreak/>
        <w:t>Medicine schedule (Poisons Standard)</w:t>
      </w:r>
    </w:p>
    <w:p w14:paraId="75947339" w14:textId="0D490A92" w:rsidR="0012555A" w:rsidRPr="0012555A" w:rsidRDefault="0012555A">
      <w:pPr>
        <w:rPr>
          <w:lang w:val="en-US"/>
        </w:rPr>
      </w:pPr>
      <w:r w:rsidRPr="0012555A">
        <w:rPr>
          <w:lang w:val="en-US"/>
        </w:rPr>
        <w:t xml:space="preserve">Schedule 4 </w:t>
      </w:r>
      <w:r w:rsidR="00B044BA">
        <w:rPr>
          <w:lang w:val="en-US"/>
        </w:rPr>
        <w:t>– P</w:t>
      </w:r>
      <w:r w:rsidRPr="0012555A">
        <w:rPr>
          <w:lang w:val="en-US"/>
        </w:rPr>
        <w:t>rescription Only Medicine</w:t>
      </w:r>
      <w:r w:rsidR="008C3816">
        <w:rPr>
          <w:lang w:val="en-US"/>
        </w:rPr>
        <w:t>.</w:t>
      </w:r>
    </w:p>
    <w:p w14:paraId="1D5D3E9A" w14:textId="5B1540D3" w:rsidR="001A3992" w:rsidRPr="0094457C" w:rsidRDefault="001A3992" w:rsidP="000F0660">
      <w:pPr>
        <w:pStyle w:val="Heading1"/>
        <w:numPr>
          <w:ilvl w:val="0"/>
          <w:numId w:val="24"/>
        </w:numPr>
        <w:ind w:left="567" w:hanging="567"/>
      </w:pPr>
      <w:r w:rsidRPr="0094457C">
        <w:t>Sponsor</w:t>
      </w:r>
    </w:p>
    <w:p w14:paraId="5964C6E0" w14:textId="714F2C2D" w:rsidR="0012555A" w:rsidRDefault="0012555A" w:rsidP="00B044BA">
      <w:pPr>
        <w:spacing w:after="0"/>
        <w:rPr>
          <w:lang w:val="en-US"/>
        </w:rPr>
      </w:pPr>
      <w:r w:rsidRPr="0012555A">
        <w:rPr>
          <w:lang w:val="en-US"/>
        </w:rPr>
        <w:t xml:space="preserve">Adjutor Healthcare </w:t>
      </w:r>
      <w:r w:rsidR="00C4778F">
        <w:rPr>
          <w:lang w:val="en-US"/>
        </w:rPr>
        <w:t>Pty Ltd</w:t>
      </w:r>
    </w:p>
    <w:p w14:paraId="055EAA25" w14:textId="6198F559" w:rsidR="00D945FE" w:rsidRDefault="00D945FE" w:rsidP="00B044BA">
      <w:pPr>
        <w:spacing w:after="0"/>
        <w:rPr>
          <w:lang w:val="en-US"/>
        </w:rPr>
      </w:pPr>
      <w:r>
        <w:rPr>
          <w:lang w:val="en-US"/>
        </w:rPr>
        <w:t xml:space="preserve">3 Grandview Avenue </w:t>
      </w:r>
    </w:p>
    <w:p w14:paraId="440946E6" w14:textId="61B7275B" w:rsidR="00D945FE" w:rsidRDefault="00D945FE" w:rsidP="00B044BA">
      <w:pPr>
        <w:spacing w:after="0"/>
        <w:rPr>
          <w:lang w:val="en-US"/>
        </w:rPr>
      </w:pPr>
      <w:r>
        <w:rPr>
          <w:lang w:val="en-US"/>
        </w:rPr>
        <w:t>Point Cook VIC 3030</w:t>
      </w:r>
    </w:p>
    <w:p w14:paraId="61F11D89" w14:textId="1812C9B8" w:rsidR="00C4778F" w:rsidRDefault="00D945FE" w:rsidP="00B044BA">
      <w:pPr>
        <w:spacing w:after="0"/>
        <w:rPr>
          <w:lang w:val="en-US"/>
        </w:rPr>
      </w:pPr>
      <w:r>
        <w:rPr>
          <w:lang w:val="en-US"/>
        </w:rPr>
        <w:t xml:space="preserve">Australia </w:t>
      </w:r>
    </w:p>
    <w:p w14:paraId="06EF7D8B" w14:textId="0B97DBC7" w:rsidR="005A2442" w:rsidRPr="0012555A" w:rsidRDefault="005A2442" w:rsidP="00B044BA">
      <w:pPr>
        <w:spacing w:after="0"/>
        <w:rPr>
          <w:lang w:val="en-US"/>
        </w:rPr>
      </w:pPr>
      <w:r>
        <w:rPr>
          <w:lang w:val="en-US"/>
        </w:rPr>
        <w:t>Phone:</w:t>
      </w:r>
      <w:r w:rsidR="008C3816">
        <w:rPr>
          <w:lang w:val="en-US"/>
        </w:rPr>
        <w:t xml:space="preserve"> </w:t>
      </w:r>
      <w:r w:rsidR="008C3816" w:rsidRPr="008C3816">
        <w:rPr>
          <w:lang w:val="en-US"/>
        </w:rPr>
        <w:t>0418 314 763</w:t>
      </w:r>
    </w:p>
    <w:p w14:paraId="6C885A8E" w14:textId="313AA1CD" w:rsidR="0012555A" w:rsidRPr="000B4674" w:rsidRDefault="001A3992" w:rsidP="000F0660">
      <w:pPr>
        <w:pStyle w:val="Heading1"/>
        <w:numPr>
          <w:ilvl w:val="0"/>
          <w:numId w:val="24"/>
        </w:numPr>
        <w:ind w:left="567" w:hanging="567"/>
      </w:pPr>
      <w:r w:rsidRPr="00BA1C4E">
        <w:t xml:space="preserve">Date of first approval </w:t>
      </w:r>
    </w:p>
    <w:p w14:paraId="315DFB9B" w14:textId="7B99DA40" w:rsidR="0012555A" w:rsidRPr="00B044BA" w:rsidRDefault="00B97F45">
      <w:pPr>
        <w:rPr>
          <w:i/>
          <w:iCs/>
          <w:lang w:val="en-US"/>
        </w:rPr>
      </w:pPr>
      <w:r w:rsidRPr="00B97F45">
        <w:rPr>
          <w:lang w:val="en-US"/>
        </w:rPr>
        <w:t>03 June 2022</w:t>
      </w:r>
    </w:p>
    <w:p w14:paraId="7205E756" w14:textId="2B2BE54C" w:rsidR="001A3992" w:rsidRPr="000B4674" w:rsidRDefault="001A3992" w:rsidP="000F0660">
      <w:pPr>
        <w:pStyle w:val="Heading1"/>
        <w:numPr>
          <w:ilvl w:val="0"/>
          <w:numId w:val="24"/>
        </w:numPr>
        <w:ind w:left="567" w:hanging="567"/>
      </w:pPr>
      <w:r w:rsidRPr="00BA1C4E">
        <w:t xml:space="preserve">Date of revision </w:t>
      </w:r>
    </w:p>
    <w:p w14:paraId="4E086CE0" w14:textId="4DFABC1A" w:rsidR="0012555A" w:rsidRDefault="00D945FE">
      <w:pPr>
        <w:rPr>
          <w:lang w:val="en-US"/>
        </w:rPr>
      </w:pPr>
      <w:r>
        <w:rPr>
          <w:lang w:val="en-US"/>
        </w:rPr>
        <w:t xml:space="preserve">Not </w:t>
      </w:r>
      <w:r w:rsidR="008C3816">
        <w:rPr>
          <w:lang w:val="en-US"/>
        </w:rPr>
        <w:t>a</w:t>
      </w:r>
      <w:r>
        <w:rPr>
          <w:lang w:val="en-US"/>
        </w:rPr>
        <w:t>pplicable</w:t>
      </w:r>
      <w:r w:rsidR="008C3816">
        <w:rPr>
          <w:lang w:val="en-US"/>
        </w:rPr>
        <w:t>.</w:t>
      </w:r>
    </w:p>
    <w:p w14:paraId="124D94BD" w14:textId="77777777" w:rsidR="008C3816" w:rsidRPr="0012555A" w:rsidRDefault="008C3816">
      <w:pPr>
        <w:rPr>
          <w:lang w:val="en-US"/>
        </w:rPr>
      </w:pPr>
    </w:p>
    <w:p w14:paraId="6788CDEB" w14:textId="77777777" w:rsidR="001A3992" w:rsidRPr="00497C85" w:rsidRDefault="001A3992" w:rsidP="000F0660">
      <w:pPr>
        <w:pStyle w:val="Heading3"/>
        <w:rPr>
          <w:lang w:val="en-US"/>
        </w:rPr>
      </w:pPr>
      <w:r w:rsidRPr="00497C85">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975"/>
        <w:gridCol w:w="7031"/>
      </w:tblGrid>
      <w:tr w:rsidR="00ED0937" w:rsidRPr="00497C85" w14:paraId="26022269" w14:textId="77777777" w:rsidTr="000F06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2F2F2" w:themeFill="background1" w:themeFillShade="F2"/>
            <w:vAlign w:val="center"/>
          </w:tcPr>
          <w:p w14:paraId="06509DFF" w14:textId="05D09A09" w:rsidR="00ED0937" w:rsidRPr="00497C85" w:rsidRDefault="00ED0937">
            <w:pPr>
              <w:rPr>
                <w:lang w:val="en-US"/>
              </w:rPr>
            </w:pPr>
            <w:r w:rsidRPr="00497C85">
              <w:rPr>
                <w:lang w:val="en-US"/>
              </w:rPr>
              <w:t xml:space="preserve">Section </w:t>
            </w:r>
            <w:r w:rsidR="00BA1C4E">
              <w:rPr>
                <w:lang w:val="en-US"/>
              </w:rPr>
              <w:t>c</w:t>
            </w:r>
            <w:r w:rsidRPr="00497C85">
              <w:rPr>
                <w:lang w:val="en-US"/>
              </w:rPr>
              <w:t>hanged</w:t>
            </w:r>
          </w:p>
        </w:tc>
        <w:tc>
          <w:tcPr>
            <w:tcW w:w="7031" w:type="dxa"/>
            <w:shd w:val="clear" w:color="auto" w:fill="F2F2F2" w:themeFill="background1" w:themeFillShade="F2"/>
            <w:vAlign w:val="center"/>
          </w:tcPr>
          <w:p w14:paraId="5DC9E925" w14:textId="77777777" w:rsidR="00ED0937" w:rsidRPr="00497C85" w:rsidRDefault="00ED0937">
            <w:pPr>
              <w:cnfStyle w:val="100000000000" w:firstRow="1" w:lastRow="0" w:firstColumn="0" w:lastColumn="0" w:oddVBand="0" w:evenVBand="0" w:oddHBand="0" w:evenHBand="0" w:firstRowFirstColumn="0" w:firstRowLastColumn="0" w:lastRowFirstColumn="0" w:lastRowLastColumn="0"/>
              <w:rPr>
                <w:lang w:val="en-US"/>
              </w:rPr>
            </w:pPr>
            <w:r w:rsidRPr="00497C85">
              <w:rPr>
                <w:lang w:val="en-US"/>
              </w:rPr>
              <w:t>Summary of new information</w:t>
            </w:r>
          </w:p>
        </w:tc>
      </w:tr>
      <w:tr w:rsidR="00ED0937" w:rsidRPr="00497C85" w14:paraId="2B94904C" w14:textId="77777777" w:rsidTr="000F0660">
        <w:tc>
          <w:tcPr>
            <w:cnfStyle w:val="001000000000" w:firstRow="0" w:lastRow="0" w:firstColumn="1" w:lastColumn="0" w:oddVBand="0" w:evenVBand="0" w:oddHBand="0" w:evenHBand="0" w:firstRowFirstColumn="0" w:firstRowLastColumn="0" w:lastRowFirstColumn="0" w:lastRowLastColumn="0"/>
            <w:tcW w:w="1975" w:type="dxa"/>
            <w:vAlign w:val="center"/>
          </w:tcPr>
          <w:p w14:paraId="3AEED430" w14:textId="471CA673" w:rsidR="00ED0937" w:rsidRPr="0012555A" w:rsidRDefault="008C3816">
            <w:pPr>
              <w:rPr>
                <w:lang w:val="en-US"/>
              </w:rPr>
            </w:pPr>
            <w:r>
              <w:rPr>
                <w:lang w:val="en-US"/>
              </w:rPr>
              <w:t>N/A</w:t>
            </w:r>
          </w:p>
        </w:tc>
        <w:tc>
          <w:tcPr>
            <w:tcW w:w="7031" w:type="dxa"/>
            <w:vAlign w:val="center"/>
          </w:tcPr>
          <w:p w14:paraId="774EF832" w14:textId="690FA050" w:rsidR="00ED0937" w:rsidRPr="0012555A" w:rsidRDefault="00D945FE">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New Product Information </w:t>
            </w:r>
          </w:p>
        </w:tc>
      </w:tr>
    </w:tbl>
    <w:p w14:paraId="562A6FFB" w14:textId="77777777" w:rsidR="00960CD5" w:rsidRPr="00497C85" w:rsidRDefault="00960CD5" w:rsidP="009E61A6"/>
    <w:sectPr w:rsidR="00960CD5" w:rsidRPr="00497C8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6CF5A" w14:textId="77777777" w:rsidR="00A15780" w:rsidRDefault="00A15780" w:rsidP="000F0660">
      <w:r>
        <w:separator/>
      </w:r>
    </w:p>
  </w:endnote>
  <w:endnote w:type="continuationSeparator" w:id="0">
    <w:p w14:paraId="25C95DB9" w14:textId="77777777" w:rsidR="00A15780" w:rsidRDefault="00A15780" w:rsidP="000F0660">
      <w:r>
        <w:continuationSeparator/>
      </w:r>
    </w:p>
  </w:endnote>
  <w:endnote w:type="continuationNotice" w:id="1">
    <w:p w14:paraId="354A3694" w14:textId="77777777" w:rsidR="00A15780" w:rsidRDefault="00A157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F86C" w14:textId="5B610287" w:rsidR="00DD4FE5" w:rsidRPr="00954258" w:rsidRDefault="00DD4FE5" w:rsidP="009E4238">
    <w:pPr>
      <w:pStyle w:val="Footer"/>
      <w:pBdr>
        <w:top w:val="single" w:sz="4" w:space="1" w:color="auto"/>
      </w:pBdr>
      <w:jc w:val="center"/>
      <w:rPr>
        <w:sz w:val="20"/>
        <w:szCs w:val="20"/>
      </w:rPr>
    </w:pPr>
    <w:r w:rsidRPr="00954258">
      <w:rPr>
        <w:sz w:val="20"/>
        <w:szCs w:val="20"/>
      </w:rPr>
      <w:t>Australian PI: KIMMTRAK</w:t>
    </w:r>
    <w:r w:rsidRPr="00954258">
      <w:rPr>
        <w:sz w:val="20"/>
        <w:szCs w:val="20"/>
      </w:rPr>
      <w:ptab w:relativeTo="margin" w:alignment="center" w:leader="none"/>
    </w:r>
    <w:r w:rsidR="004917AF">
      <w:rPr>
        <w:sz w:val="20"/>
        <w:szCs w:val="20"/>
      </w:rPr>
      <w:t xml:space="preserve"> </w:t>
    </w:r>
    <w:r w:rsidRPr="00954258">
      <w:rPr>
        <w:sz w:val="20"/>
        <w:szCs w:val="20"/>
      </w:rPr>
      <w:t>V</w:t>
    </w:r>
    <w:r w:rsidR="00B97F45">
      <w:rPr>
        <w:sz w:val="20"/>
        <w:szCs w:val="20"/>
      </w:rPr>
      <w:t>7</w:t>
    </w:r>
    <w:r w:rsidR="001B2422">
      <w:rPr>
        <w:sz w:val="20"/>
        <w:szCs w:val="20"/>
      </w:rPr>
      <w:t>.</w:t>
    </w:r>
    <w:r w:rsidR="00B97F45">
      <w:rPr>
        <w:sz w:val="20"/>
        <w:szCs w:val="20"/>
      </w:rPr>
      <w:t>0</w:t>
    </w:r>
    <w:r>
      <w:rPr>
        <w:sz w:val="20"/>
        <w:szCs w:val="20"/>
      </w:rPr>
      <w:t xml:space="preserve"> </w:t>
    </w:r>
    <w:r w:rsidR="00B97F45">
      <w:rPr>
        <w:sz w:val="20"/>
        <w:szCs w:val="20"/>
      </w:rPr>
      <w:t>03</w:t>
    </w:r>
    <w:r w:rsidR="00BD362B">
      <w:rPr>
        <w:sz w:val="20"/>
        <w:szCs w:val="20"/>
      </w:rPr>
      <w:t xml:space="preserve"> </w:t>
    </w:r>
    <w:r w:rsidR="00B97F45">
      <w:rPr>
        <w:sz w:val="20"/>
        <w:szCs w:val="20"/>
      </w:rPr>
      <w:t xml:space="preserve">Jun </w:t>
    </w:r>
    <w:r>
      <w:rPr>
        <w:sz w:val="20"/>
        <w:szCs w:val="20"/>
      </w:rPr>
      <w:t>2022</w:t>
    </w:r>
    <w:r w:rsidRPr="000F0660">
      <w:rPr>
        <w:sz w:val="20"/>
        <w:szCs w:val="20"/>
      </w:rPr>
      <w:ptab w:relativeTo="margin" w:alignment="right" w:leader="none"/>
    </w:r>
    <w:r w:rsidRPr="00B6266B">
      <w:rPr>
        <w:sz w:val="20"/>
        <w:szCs w:val="20"/>
      </w:rPr>
      <w:t xml:space="preserve">Page </w:t>
    </w:r>
    <w:r w:rsidRPr="00B6266B">
      <w:rPr>
        <w:b/>
        <w:bCs/>
        <w:sz w:val="20"/>
        <w:szCs w:val="20"/>
      </w:rPr>
      <w:fldChar w:fldCharType="begin"/>
    </w:r>
    <w:r w:rsidRPr="00B6266B">
      <w:rPr>
        <w:b/>
        <w:bCs/>
        <w:sz w:val="20"/>
        <w:szCs w:val="20"/>
      </w:rPr>
      <w:instrText xml:space="preserve"> PAGE  \* Arabic  \* MERGEFORMAT </w:instrText>
    </w:r>
    <w:r w:rsidRPr="00B6266B">
      <w:rPr>
        <w:b/>
        <w:bCs/>
        <w:sz w:val="20"/>
        <w:szCs w:val="20"/>
      </w:rPr>
      <w:fldChar w:fldCharType="separate"/>
    </w:r>
    <w:r>
      <w:rPr>
        <w:b/>
        <w:bCs/>
        <w:sz w:val="20"/>
        <w:szCs w:val="20"/>
      </w:rPr>
      <w:t>1</w:t>
    </w:r>
    <w:r w:rsidRPr="00B6266B">
      <w:rPr>
        <w:b/>
        <w:bCs/>
        <w:sz w:val="20"/>
        <w:szCs w:val="20"/>
      </w:rPr>
      <w:fldChar w:fldCharType="end"/>
    </w:r>
    <w:r w:rsidRPr="00B6266B">
      <w:rPr>
        <w:sz w:val="20"/>
        <w:szCs w:val="20"/>
      </w:rPr>
      <w:t xml:space="preserve"> of </w:t>
    </w:r>
    <w:r w:rsidRPr="00B6266B">
      <w:rPr>
        <w:b/>
        <w:bCs/>
        <w:sz w:val="20"/>
        <w:szCs w:val="20"/>
      </w:rPr>
      <w:fldChar w:fldCharType="begin"/>
    </w:r>
    <w:r w:rsidRPr="00B6266B">
      <w:rPr>
        <w:b/>
        <w:bCs/>
        <w:sz w:val="20"/>
        <w:szCs w:val="20"/>
      </w:rPr>
      <w:instrText xml:space="preserve"> NUMPAGES  \* Arabic  \* MERGEFORMAT </w:instrText>
    </w:r>
    <w:r w:rsidRPr="00B6266B">
      <w:rPr>
        <w:b/>
        <w:bCs/>
        <w:sz w:val="20"/>
        <w:szCs w:val="20"/>
      </w:rPr>
      <w:fldChar w:fldCharType="separate"/>
    </w:r>
    <w:r>
      <w:rPr>
        <w:b/>
        <w:bCs/>
        <w:sz w:val="20"/>
        <w:szCs w:val="20"/>
      </w:rPr>
      <w:t>1</w:t>
    </w:r>
    <w:r w:rsidRPr="00B6266B">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74806" w14:textId="77777777" w:rsidR="00A15780" w:rsidRDefault="00A15780" w:rsidP="000F0660">
      <w:r>
        <w:separator/>
      </w:r>
    </w:p>
  </w:footnote>
  <w:footnote w:type="continuationSeparator" w:id="0">
    <w:p w14:paraId="16824D6C" w14:textId="77777777" w:rsidR="00A15780" w:rsidRDefault="00A15780" w:rsidP="000F0660">
      <w:r>
        <w:continuationSeparator/>
      </w:r>
    </w:p>
  </w:footnote>
  <w:footnote w:type="continuationNotice" w:id="1">
    <w:p w14:paraId="1467581B" w14:textId="77777777" w:rsidR="00A15780" w:rsidRDefault="00A157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3775CF" w:rsidRPr="000B2145" w14:paraId="458689B2" w14:textId="77777777" w:rsidTr="00FE1A86">
      <w:trPr>
        <w:trHeight w:val="1012"/>
      </w:trPr>
      <w:tc>
        <w:tcPr>
          <w:tcW w:w="9039" w:type="dxa"/>
          <w:shd w:val="clear" w:color="auto" w:fill="E4F2E0"/>
        </w:tcPr>
        <w:p w14:paraId="5E24D183" w14:textId="77777777" w:rsidR="003775CF" w:rsidRPr="000E4791" w:rsidRDefault="003775CF" w:rsidP="003775CF">
          <w:pPr>
            <w:pStyle w:val="Footer"/>
            <w:rPr>
              <w:b/>
              <w:sz w:val="18"/>
              <w:szCs w:val="18"/>
            </w:rPr>
          </w:pPr>
          <w:bookmarkStart w:id="29" w:name="_Hlk109054010"/>
          <w:r w:rsidRPr="00EE2A41">
            <w:rPr>
              <w:b/>
              <w:sz w:val="18"/>
              <w:szCs w:val="18"/>
            </w:rPr>
            <w:t xml:space="preserve">Attachment </w:t>
          </w:r>
          <w:proofErr w:type="spellStart"/>
          <w:r w:rsidRPr="00B126D2">
            <w:rPr>
              <w:b/>
              <w:sz w:val="18"/>
              <w:szCs w:val="18"/>
            </w:rPr>
            <w:t>AusPAR</w:t>
          </w:r>
          <w:proofErr w:type="spellEnd"/>
          <w:r w:rsidRPr="00B126D2">
            <w:rPr>
              <w:b/>
              <w:sz w:val="18"/>
              <w:szCs w:val="18"/>
            </w:rPr>
            <w:t xml:space="preserve"> - </w:t>
          </w:r>
          <w:proofErr w:type="spellStart"/>
          <w:r w:rsidRPr="00B126D2">
            <w:rPr>
              <w:b/>
              <w:sz w:val="18"/>
              <w:szCs w:val="18"/>
            </w:rPr>
            <w:t>Kimmtrak</w:t>
          </w:r>
          <w:proofErr w:type="spellEnd"/>
          <w:r w:rsidRPr="00B126D2">
            <w:rPr>
              <w:b/>
              <w:sz w:val="18"/>
              <w:szCs w:val="18"/>
            </w:rPr>
            <w:t xml:space="preserve"> - </w:t>
          </w:r>
          <w:proofErr w:type="spellStart"/>
          <w:r w:rsidRPr="00B126D2">
            <w:rPr>
              <w:b/>
              <w:sz w:val="18"/>
              <w:szCs w:val="18"/>
            </w:rPr>
            <w:t>tebentafusp</w:t>
          </w:r>
          <w:proofErr w:type="spellEnd"/>
          <w:r w:rsidRPr="00B126D2">
            <w:rPr>
              <w:b/>
              <w:sz w:val="18"/>
              <w:szCs w:val="18"/>
            </w:rPr>
            <w:t xml:space="preserve"> - Adjutor Healthcare Pty Ltd - PM-2021-04357-1-4</w:t>
          </w:r>
          <w:r>
            <w:rPr>
              <w:b/>
              <w:sz w:val="18"/>
              <w:szCs w:val="18"/>
            </w:rPr>
            <w:t xml:space="preserve"> </w:t>
          </w:r>
          <w:r w:rsidRPr="00B126D2">
            <w:rPr>
              <w:b/>
              <w:sz w:val="18"/>
              <w:szCs w:val="18"/>
            </w:rPr>
            <w:t>Final 25 October 2022</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29"/>
  </w:tbl>
  <w:p w14:paraId="057B70C5" w14:textId="77777777" w:rsidR="003775CF" w:rsidRDefault="00377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C151EC"/>
    <w:multiLevelType w:val="hybridMultilevel"/>
    <w:tmpl w:val="2B76B98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2D23706"/>
    <w:multiLevelType w:val="hybridMultilevel"/>
    <w:tmpl w:val="CE90E92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70C4E9E"/>
    <w:multiLevelType w:val="hybridMultilevel"/>
    <w:tmpl w:val="05948036"/>
    <w:lvl w:ilvl="0" w:tplc="0409001B">
      <w:start w:val="1"/>
      <w:numFmt w:val="lowerRoman"/>
      <w:lvlText w:val="%1."/>
      <w:lvlJc w:val="right"/>
      <w:pPr>
        <w:ind w:left="2781" w:hanging="360"/>
      </w:pPr>
    </w:lvl>
    <w:lvl w:ilvl="1" w:tplc="04070019" w:tentative="1">
      <w:start w:val="1"/>
      <w:numFmt w:val="lowerLetter"/>
      <w:lvlText w:val="%2."/>
      <w:lvlJc w:val="left"/>
      <w:pPr>
        <w:ind w:left="3501" w:hanging="360"/>
      </w:pPr>
    </w:lvl>
    <w:lvl w:ilvl="2" w:tplc="0407001B" w:tentative="1">
      <w:start w:val="1"/>
      <w:numFmt w:val="lowerRoman"/>
      <w:lvlText w:val="%3."/>
      <w:lvlJc w:val="right"/>
      <w:pPr>
        <w:ind w:left="4221" w:hanging="180"/>
      </w:pPr>
    </w:lvl>
    <w:lvl w:ilvl="3" w:tplc="0407000F" w:tentative="1">
      <w:start w:val="1"/>
      <w:numFmt w:val="decimal"/>
      <w:lvlText w:val="%4."/>
      <w:lvlJc w:val="left"/>
      <w:pPr>
        <w:ind w:left="4941" w:hanging="360"/>
      </w:pPr>
    </w:lvl>
    <w:lvl w:ilvl="4" w:tplc="04070019" w:tentative="1">
      <w:start w:val="1"/>
      <w:numFmt w:val="lowerLetter"/>
      <w:lvlText w:val="%5."/>
      <w:lvlJc w:val="left"/>
      <w:pPr>
        <w:ind w:left="5661" w:hanging="360"/>
      </w:pPr>
    </w:lvl>
    <w:lvl w:ilvl="5" w:tplc="0407001B" w:tentative="1">
      <w:start w:val="1"/>
      <w:numFmt w:val="lowerRoman"/>
      <w:lvlText w:val="%6."/>
      <w:lvlJc w:val="right"/>
      <w:pPr>
        <w:ind w:left="6381" w:hanging="180"/>
      </w:pPr>
    </w:lvl>
    <w:lvl w:ilvl="6" w:tplc="0407000F" w:tentative="1">
      <w:start w:val="1"/>
      <w:numFmt w:val="decimal"/>
      <w:lvlText w:val="%7."/>
      <w:lvlJc w:val="left"/>
      <w:pPr>
        <w:ind w:left="7101" w:hanging="360"/>
      </w:pPr>
    </w:lvl>
    <w:lvl w:ilvl="7" w:tplc="04070019" w:tentative="1">
      <w:start w:val="1"/>
      <w:numFmt w:val="lowerLetter"/>
      <w:lvlText w:val="%8."/>
      <w:lvlJc w:val="left"/>
      <w:pPr>
        <w:ind w:left="7821" w:hanging="360"/>
      </w:pPr>
    </w:lvl>
    <w:lvl w:ilvl="8" w:tplc="0407001B" w:tentative="1">
      <w:start w:val="1"/>
      <w:numFmt w:val="lowerRoman"/>
      <w:lvlText w:val="%9."/>
      <w:lvlJc w:val="right"/>
      <w:pPr>
        <w:ind w:left="8541" w:hanging="180"/>
      </w:pPr>
    </w:lvl>
  </w:abstractNum>
  <w:abstractNum w:abstractNumId="5" w15:restartNumberingAfterBreak="0">
    <w:nsid w:val="1741497A"/>
    <w:multiLevelType w:val="hybridMultilevel"/>
    <w:tmpl w:val="43D6D3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047FFD"/>
    <w:multiLevelType w:val="hybridMultilevel"/>
    <w:tmpl w:val="A2D66AB6"/>
    <w:lvl w:ilvl="0" w:tplc="43BE57DE">
      <w:start w:val="1"/>
      <w:numFmt w:val="lowerRoman"/>
      <w:lvlText w:val="%1."/>
      <w:lvlJc w:val="righ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ABD6DAF"/>
    <w:multiLevelType w:val="hybridMultilevel"/>
    <w:tmpl w:val="14ECE670"/>
    <w:lvl w:ilvl="0" w:tplc="4B8E1BCE">
      <w:start w:val="1"/>
      <w:numFmt w:val="lowerLetter"/>
      <w:lvlText w:val="2%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B5A12B4"/>
    <w:multiLevelType w:val="hybridMultilevel"/>
    <w:tmpl w:val="3DBCE172"/>
    <w:lvl w:ilvl="0" w:tplc="4B8E1BCE">
      <w:start w:val="1"/>
      <w:numFmt w:val="lowerLetter"/>
      <w:lvlText w:val="2%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0EA6C2B"/>
    <w:multiLevelType w:val="hybridMultilevel"/>
    <w:tmpl w:val="14ECE670"/>
    <w:lvl w:ilvl="0" w:tplc="4B8E1BCE">
      <w:start w:val="1"/>
      <w:numFmt w:val="lowerLetter"/>
      <w:lvlText w:val="2%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7031D4"/>
    <w:multiLevelType w:val="hybridMultilevel"/>
    <w:tmpl w:val="8BBAE1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98C1C2E"/>
    <w:multiLevelType w:val="hybridMultilevel"/>
    <w:tmpl w:val="AE12608E"/>
    <w:lvl w:ilvl="0" w:tplc="A03CA242">
      <w:start w:val="500"/>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A91D02"/>
    <w:multiLevelType w:val="hybridMultilevel"/>
    <w:tmpl w:val="FFF606E2"/>
    <w:lvl w:ilvl="0" w:tplc="0C09001B">
      <w:start w:val="1"/>
      <w:numFmt w:val="lowerRoman"/>
      <w:lvlText w:val="%1."/>
      <w:lvlJc w:val="right"/>
      <w:pPr>
        <w:ind w:left="1080" w:hanging="360"/>
      </w:pPr>
    </w:lvl>
    <w:lvl w:ilvl="1" w:tplc="7A6CE50C">
      <w:start w:val="1"/>
      <w:numFmt w:val="lowerRoman"/>
      <w:lvlText w:val="%2."/>
      <w:lvlJc w:val="right"/>
      <w:pPr>
        <w:ind w:left="1800" w:hanging="360"/>
      </w:pPr>
      <w:rPr>
        <w:rFonts w:hint="default"/>
      </w:rPr>
    </w:lvl>
    <w:lvl w:ilvl="2" w:tplc="0C090017">
      <w:start w:val="1"/>
      <w:numFmt w:val="lowerLetter"/>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B660090"/>
    <w:multiLevelType w:val="hybridMultilevel"/>
    <w:tmpl w:val="4C606224"/>
    <w:lvl w:ilvl="0" w:tplc="0C090019">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020D25"/>
    <w:multiLevelType w:val="hybridMultilevel"/>
    <w:tmpl w:val="CFA222B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0B2249A"/>
    <w:multiLevelType w:val="hybridMultilevel"/>
    <w:tmpl w:val="C414C7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78C088B"/>
    <w:multiLevelType w:val="hybridMultilevel"/>
    <w:tmpl w:val="F294C832"/>
    <w:lvl w:ilvl="0" w:tplc="D8B4ED1C">
      <w:start w:val="100"/>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94117D5"/>
    <w:multiLevelType w:val="hybridMultilevel"/>
    <w:tmpl w:val="1A5EE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62423F"/>
    <w:multiLevelType w:val="hybridMultilevel"/>
    <w:tmpl w:val="C8E6C31C"/>
    <w:lvl w:ilvl="0" w:tplc="DB7C9EE2">
      <w:start w:val="1"/>
      <w:numFmt w:val="lowerLetter"/>
      <w:lvlText w:val="1%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10F7020"/>
    <w:multiLevelType w:val="hybridMultilevel"/>
    <w:tmpl w:val="B2A03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8234E8"/>
    <w:multiLevelType w:val="hybridMultilevel"/>
    <w:tmpl w:val="989ABE92"/>
    <w:lvl w:ilvl="0" w:tplc="0C090017">
      <w:start w:val="1"/>
      <w:numFmt w:val="lowerLetter"/>
      <w:lvlText w:val="%1)"/>
      <w:lvlJc w:val="left"/>
      <w:pPr>
        <w:ind w:left="720" w:hanging="360"/>
      </w:pPr>
    </w:lvl>
    <w:lvl w:ilvl="1" w:tplc="7A6CE50C">
      <w:start w:val="1"/>
      <w:numFmt w:val="lowerRoman"/>
      <w:lvlText w:val="%2."/>
      <w:lvlJc w:val="right"/>
      <w:pPr>
        <w:ind w:left="1440" w:hanging="360"/>
      </w:pPr>
      <w:rPr>
        <w:rFonts w:hint="default"/>
      </w:rPr>
    </w:lvl>
    <w:lvl w:ilvl="2" w:tplc="0C090017">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AE477B"/>
    <w:multiLevelType w:val="hybridMultilevel"/>
    <w:tmpl w:val="B59CD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9C3BDE"/>
    <w:multiLevelType w:val="hybridMultilevel"/>
    <w:tmpl w:val="C3A64DB4"/>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2F0678E"/>
    <w:multiLevelType w:val="hybridMultilevel"/>
    <w:tmpl w:val="E0EECB2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3E51A46"/>
    <w:multiLevelType w:val="hybridMultilevel"/>
    <w:tmpl w:val="616CCE1E"/>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636FC9"/>
    <w:multiLevelType w:val="hybridMultilevel"/>
    <w:tmpl w:val="A9D4BE5C"/>
    <w:lvl w:ilvl="0" w:tplc="04090001">
      <w:start w:val="1"/>
      <w:numFmt w:val="bullet"/>
      <w:lvlText w:val=""/>
      <w:lvlJc w:val="left"/>
      <w:pPr>
        <w:ind w:left="720" w:hanging="360"/>
      </w:pPr>
      <w:rPr>
        <w:rFonts w:ascii="Symbol" w:hAnsi="Symbol" w:hint="default"/>
      </w:rPr>
    </w:lvl>
    <w:lvl w:ilvl="1" w:tplc="810055EA">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32797"/>
    <w:multiLevelType w:val="multilevel"/>
    <w:tmpl w:val="CEA2A6F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2190242"/>
    <w:multiLevelType w:val="hybridMultilevel"/>
    <w:tmpl w:val="1DC2156C"/>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6924F9"/>
    <w:multiLevelType w:val="hybridMultilevel"/>
    <w:tmpl w:val="85AEF546"/>
    <w:lvl w:ilvl="0" w:tplc="04090019">
      <w:start w:val="1"/>
      <w:numFmt w:val="lowerLetter"/>
      <w:lvlText w:val="%1."/>
      <w:lvlJc w:val="left"/>
      <w:pPr>
        <w:ind w:left="1287" w:hanging="360"/>
      </w:pPr>
      <w:rPr>
        <w:rFont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5" w15:restartNumberingAfterBreak="0">
    <w:nsid w:val="78940E5A"/>
    <w:multiLevelType w:val="hybridMultilevel"/>
    <w:tmpl w:val="656093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F0D6D44"/>
    <w:multiLevelType w:val="hybridMultilevel"/>
    <w:tmpl w:val="17BCFD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0"/>
  </w:num>
  <w:num w:numId="4">
    <w:abstractNumId w:val="23"/>
  </w:num>
  <w:num w:numId="5">
    <w:abstractNumId w:val="37"/>
  </w:num>
  <w:num w:numId="6">
    <w:abstractNumId w:val="32"/>
  </w:num>
  <w:num w:numId="7">
    <w:abstractNumId w:val="28"/>
  </w:num>
  <w:num w:numId="8">
    <w:abstractNumId w:val="33"/>
  </w:num>
  <w:num w:numId="9">
    <w:abstractNumId w:val="10"/>
  </w:num>
  <w:num w:numId="10">
    <w:abstractNumId w:val="27"/>
  </w:num>
  <w:num w:numId="11">
    <w:abstractNumId w:val="22"/>
  </w:num>
  <w:num w:numId="12">
    <w:abstractNumId w:val="34"/>
  </w:num>
  <w:num w:numId="13">
    <w:abstractNumId w:val="4"/>
  </w:num>
  <w:num w:numId="14">
    <w:abstractNumId w:val="18"/>
  </w:num>
  <w:num w:numId="15">
    <w:abstractNumId w:val="35"/>
  </w:num>
  <w:num w:numId="16">
    <w:abstractNumId w:val="29"/>
  </w:num>
  <w:num w:numId="17">
    <w:abstractNumId w:val="5"/>
  </w:num>
  <w:num w:numId="18">
    <w:abstractNumId w:val="3"/>
  </w:num>
  <w:num w:numId="19">
    <w:abstractNumId w:val="30"/>
    <w:lvlOverride w:ilvl="0"/>
    <w:lvlOverride w:ilvl="1">
      <w:startOverride w:val="10"/>
    </w:lvlOverride>
  </w:num>
  <w:num w:numId="20">
    <w:abstractNumId w:val="2"/>
  </w:num>
  <w:num w:numId="21">
    <w:abstractNumId w:val="17"/>
  </w:num>
  <w:num w:numId="22">
    <w:abstractNumId w:val="12"/>
  </w:num>
  <w:num w:numId="23">
    <w:abstractNumId w:val="21"/>
  </w:num>
  <w:num w:numId="24">
    <w:abstractNumId w:val="30"/>
    <w:lvlOverride w:ilvl="0">
      <w:startOverride w:val="4"/>
    </w:lvlOverride>
    <w:lvlOverride w:ilvl="1">
      <w:startOverride w:val="3"/>
    </w:lvlOverride>
  </w:num>
  <w:num w:numId="25">
    <w:abstractNumId w:val="30"/>
    <w:lvlOverride w:ilvl="0">
      <w:startOverride w:val="4"/>
    </w:lvlOverride>
    <w:lvlOverride w:ilvl="1">
      <w:startOverride w:val="6"/>
    </w:lvlOverride>
  </w:num>
  <w:num w:numId="26">
    <w:abstractNumId w:val="30"/>
    <w:lvlOverride w:ilvl="0">
      <w:startOverride w:val="5"/>
    </w:lvlOverride>
    <w:lvlOverride w:ilvl="1">
      <w:startOverride w:val="1"/>
    </w:lvlOverride>
  </w:num>
  <w:num w:numId="27">
    <w:abstractNumId w:val="16"/>
  </w:num>
  <w:num w:numId="28">
    <w:abstractNumId w:val="14"/>
  </w:num>
  <w:num w:numId="29">
    <w:abstractNumId w:val="13"/>
  </w:num>
  <w:num w:numId="30">
    <w:abstractNumId w:val="30"/>
    <w:lvlOverride w:ilvl="0">
      <w:startOverride w:val="6"/>
    </w:lvlOverride>
    <w:lvlOverride w:ilvl="1">
      <w:startOverride w:val="1"/>
    </w:lvlOverride>
  </w:num>
  <w:num w:numId="31">
    <w:abstractNumId w:val="36"/>
  </w:num>
  <w:num w:numId="32">
    <w:abstractNumId w:val="19"/>
  </w:num>
  <w:num w:numId="33">
    <w:abstractNumId w:val="6"/>
  </w:num>
  <w:num w:numId="34">
    <w:abstractNumId w:val="26"/>
  </w:num>
  <w:num w:numId="35">
    <w:abstractNumId w:val="15"/>
  </w:num>
  <w:num w:numId="36">
    <w:abstractNumId w:val="24"/>
  </w:num>
  <w:num w:numId="37">
    <w:abstractNumId w:val="25"/>
  </w:num>
  <w:num w:numId="38">
    <w:abstractNumId w:val="11"/>
  </w:num>
  <w:num w:numId="39">
    <w:abstractNumId w:val="20"/>
  </w:num>
  <w:num w:numId="40">
    <w:abstractNumId w:val="31"/>
  </w:num>
  <w:num w:numId="41">
    <w:abstractNumId w:val="30"/>
    <w:lvlOverride w:ilvl="0"/>
    <w:lvlOverride w:ilvl="1">
      <w:startOverride w:val="10"/>
    </w:lvlOverride>
  </w:num>
  <w:num w:numId="42">
    <w:abstractNumId w:val="8"/>
  </w:num>
  <w:num w:numId="43">
    <w:abstractNumId w:val="7"/>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8C"/>
    <w:rsid w:val="00000776"/>
    <w:rsid w:val="00012F31"/>
    <w:rsid w:val="0004689C"/>
    <w:rsid w:val="000652B4"/>
    <w:rsid w:val="00093842"/>
    <w:rsid w:val="000A21CC"/>
    <w:rsid w:val="000B0EFB"/>
    <w:rsid w:val="000B26AC"/>
    <w:rsid w:val="000B310F"/>
    <w:rsid w:val="000B3F72"/>
    <w:rsid w:val="000B4674"/>
    <w:rsid w:val="000B7834"/>
    <w:rsid w:val="000C1B98"/>
    <w:rsid w:val="000C580B"/>
    <w:rsid w:val="000D30F2"/>
    <w:rsid w:val="000F0660"/>
    <w:rsid w:val="000F17D3"/>
    <w:rsid w:val="00100EDA"/>
    <w:rsid w:val="00110096"/>
    <w:rsid w:val="001170C0"/>
    <w:rsid w:val="0012115D"/>
    <w:rsid w:val="00122C54"/>
    <w:rsid w:val="0012555A"/>
    <w:rsid w:val="001261F8"/>
    <w:rsid w:val="00144154"/>
    <w:rsid w:val="00146DA3"/>
    <w:rsid w:val="00151355"/>
    <w:rsid w:val="00151399"/>
    <w:rsid w:val="00181C83"/>
    <w:rsid w:val="00185BB3"/>
    <w:rsid w:val="0019187F"/>
    <w:rsid w:val="00193892"/>
    <w:rsid w:val="001A3992"/>
    <w:rsid w:val="001A56E1"/>
    <w:rsid w:val="001B2422"/>
    <w:rsid w:val="001B7C74"/>
    <w:rsid w:val="001C49B1"/>
    <w:rsid w:val="001D2D8E"/>
    <w:rsid w:val="001E0070"/>
    <w:rsid w:val="001E035C"/>
    <w:rsid w:val="001E3ECE"/>
    <w:rsid w:val="001E4FB5"/>
    <w:rsid w:val="001E509A"/>
    <w:rsid w:val="002111CC"/>
    <w:rsid w:val="002162E8"/>
    <w:rsid w:val="00252013"/>
    <w:rsid w:val="0026121D"/>
    <w:rsid w:val="002627D6"/>
    <w:rsid w:val="00266135"/>
    <w:rsid w:val="00294D15"/>
    <w:rsid w:val="002A092B"/>
    <w:rsid w:val="002A319A"/>
    <w:rsid w:val="002A75B6"/>
    <w:rsid w:val="002B424E"/>
    <w:rsid w:val="002E0D5C"/>
    <w:rsid w:val="002E277D"/>
    <w:rsid w:val="00321822"/>
    <w:rsid w:val="00345816"/>
    <w:rsid w:val="0035093B"/>
    <w:rsid w:val="0035777F"/>
    <w:rsid w:val="003775CF"/>
    <w:rsid w:val="00383ACE"/>
    <w:rsid w:val="003B66C8"/>
    <w:rsid w:val="003B6DAB"/>
    <w:rsid w:val="003F123C"/>
    <w:rsid w:val="003F56EF"/>
    <w:rsid w:val="004032BD"/>
    <w:rsid w:val="00407F45"/>
    <w:rsid w:val="004117A1"/>
    <w:rsid w:val="0041228E"/>
    <w:rsid w:val="00431ACD"/>
    <w:rsid w:val="00451167"/>
    <w:rsid w:val="004743D8"/>
    <w:rsid w:val="00480507"/>
    <w:rsid w:val="00480AFB"/>
    <w:rsid w:val="00480D71"/>
    <w:rsid w:val="00481CAB"/>
    <w:rsid w:val="00487574"/>
    <w:rsid w:val="004917AF"/>
    <w:rsid w:val="004957AF"/>
    <w:rsid w:val="00497C85"/>
    <w:rsid w:val="004B2BD0"/>
    <w:rsid w:val="004E1E89"/>
    <w:rsid w:val="004E29A3"/>
    <w:rsid w:val="00501304"/>
    <w:rsid w:val="0050315C"/>
    <w:rsid w:val="00507CA5"/>
    <w:rsid w:val="00512BA0"/>
    <w:rsid w:val="00516C5F"/>
    <w:rsid w:val="00523E2F"/>
    <w:rsid w:val="00534C88"/>
    <w:rsid w:val="005373A9"/>
    <w:rsid w:val="0054004F"/>
    <w:rsid w:val="00540897"/>
    <w:rsid w:val="00546D20"/>
    <w:rsid w:val="005660A5"/>
    <w:rsid w:val="0057073B"/>
    <w:rsid w:val="005930A1"/>
    <w:rsid w:val="005A2442"/>
    <w:rsid w:val="005B0380"/>
    <w:rsid w:val="005B7CF9"/>
    <w:rsid w:val="005C5ACF"/>
    <w:rsid w:val="005E74DA"/>
    <w:rsid w:val="005E7C0E"/>
    <w:rsid w:val="00614754"/>
    <w:rsid w:val="0061730E"/>
    <w:rsid w:val="00646FA9"/>
    <w:rsid w:val="00647558"/>
    <w:rsid w:val="006572AD"/>
    <w:rsid w:val="00677840"/>
    <w:rsid w:val="00691C5B"/>
    <w:rsid w:val="006A063E"/>
    <w:rsid w:val="006A5235"/>
    <w:rsid w:val="006B2CD3"/>
    <w:rsid w:val="006B41C6"/>
    <w:rsid w:val="006C25AF"/>
    <w:rsid w:val="006D287B"/>
    <w:rsid w:val="00710478"/>
    <w:rsid w:val="007119B6"/>
    <w:rsid w:val="00712B3C"/>
    <w:rsid w:val="00714C2C"/>
    <w:rsid w:val="0072372C"/>
    <w:rsid w:val="007623D0"/>
    <w:rsid w:val="007869FE"/>
    <w:rsid w:val="00793DB4"/>
    <w:rsid w:val="0079556F"/>
    <w:rsid w:val="007A7E79"/>
    <w:rsid w:val="007B43B1"/>
    <w:rsid w:val="007C2D52"/>
    <w:rsid w:val="007D5016"/>
    <w:rsid w:val="007E693C"/>
    <w:rsid w:val="007E781F"/>
    <w:rsid w:val="007F1FD7"/>
    <w:rsid w:val="008032D5"/>
    <w:rsid w:val="00811220"/>
    <w:rsid w:val="00840EF0"/>
    <w:rsid w:val="00852599"/>
    <w:rsid w:val="0086508A"/>
    <w:rsid w:val="00886B49"/>
    <w:rsid w:val="008908F0"/>
    <w:rsid w:val="008A14D5"/>
    <w:rsid w:val="008A248E"/>
    <w:rsid w:val="008A467A"/>
    <w:rsid w:val="008A6458"/>
    <w:rsid w:val="008B04F9"/>
    <w:rsid w:val="008C3816"/>
    <w:rsid w:val="008C3F62"/>
    <w:rsid w:val="008D691C"/>
    <w:rsid w:val="008E5BBE"/>
    <w:rsid w:val="008F278F"/>
    <w:rsid w:val="008F3870"/>
    <w:rsid w:val="00905D32"/>
    <w:rsid w:val="00914DA6"/>
    <w:rsid w:val="0091569D"/>
    <w:rsid w:val="00916A0C"/>
    <w:rsid w:val="00930C77"/>
    <w:rsid w:val="00931851"/>
    <w:rsid w:val="0093440E"/>
    <w:rsid w:val="00937AFE"/>
    <w:rsid w:val="0094457C"/>
    <w:rsid w:val="009456E3"/>
    <w:rsid w:val="00954258"/>
    <w:rsid w:val="00960CD5"/>
    <w:rsid w:val="00961F79"/>
    <w:rsid w:val="00962134"/>
    <w:rsid w:val="0098383E"/>
    <w:rsid w:val="009849AF"/>
    <w:rsid w:val="0098594E"/>
    <w:rsid w:val="009A0FD8"/>
    <w:rsid w:val="009A1899"/>
    <w:rsid w:val="009A398C"/>
    <w:rsid w:val="009B01A1"/>
    <w:rsid w:val="009C2B75"/>
    <w:rsid w:val="009E36F3"/>
    <w:rsid w:val="009E4238"/>
    <w:rsid w:val="009E61A6"/>
    <w:rsid w:val="009F00B9"/>
    <w:rsid w:val="00A01F5F"/>
    <w:rsid w:val="00A03267"/>
    <w:rsid w:val="00A06D4F"/>
    <w:rsid w:val="00A13E43"/>
    <w:rsid w:val="00A15780"/>
    <w:rsid w:val="00A22532"/>
    <w:rsid w:val="00A379A4"/>
    <w:rsid w:val="00A443B7"/>
    <w:rsid w:val="00A70028"/>
    <w:rsid w:val="00A72126"/>
    <w:rsid w:val="00A72A0B"/>
    <w:rsid w:val="00A8663F"/>
    <w:rsid w:val="00A92D3D"/>
    <w:rsid w:val="00AA52B0"/>
    <w:rsid w:val="00AD0D16"/>
    <w:rsid w:val="00AD3542"/>
    <w:rsid w:val="00AD6866"/>
    <w:rsid w:val="00AF19BD"/>
    <w:rsid w:val="00AF6F27"/>
    <w:rsid w:val="00AF7A03"/>
    <w:rsid w:val="00B00F6B"/>
    <w:rsid w:val="00B044BA"/>
    <w:rsid w:val="00B31AEC"/>
    <w:rsid w:val="00B35FA3"/>
    <w:rsid w:val="00B3629F"/>
    <w:rsid w:val="00B4303F"/>
    <w:rsid w:val="00B55F74"/>
    <w:rsid w:val="00B6275C"/>
    <w:rsid w:val="00B754EA"/>
    <w:rsid w:val="00B8026E"/>
    <w:rsid w:val="00B97F45"/>
    <w:rsid w:val="00BA1C4E"/>
    <w:rsid w:val="00BA4917"/>
    <w:rsid w:val="00BB298D"/>
    <w:rsid w:val="00BB5414"/>
    <w:rsid w:val="00BC1258"/>
    <w:rsid w:val="00BC5CCD"/>
    <w:rsid w:val="00BD362B"/>
    <w:rsid w:val="00BE2FBD"/>
    <w:rsid w:val="00BE4677"/>
    <w:rsid w:val="00BF3C8C"/>
    <w:rsid w:val="00C06BA8"/>
    <w:rsid w:val="00C11312"/>
    <w:rsid w:val="00C1526B"/>
    <w:rsid w:val="00C32C98"/>
    <w:rsid w:val="00C4778F"/>
    <w:rsid w:val="00C668A6"/>
    <w:rsid w:val="00C66FD8"/>
    <w:rsid w:val="00CA28AD"/>
    <w:rsid w:val="00CA6CCF"/>
    <w:rsid w:val="00CC61B1"/>
    <w:rsid w:val="00CD457D"/>
    <w:rsid w:val="00CD6E37"/>
    <w:rsid w:val="00D22392"/>
    <w:rsid w:val="00D40339"/>
    <w:rsid w:val="00D43033"/>
    <w:rsid w:val="00D44BA0"/>
    <w:rsid w:val="00D479B6"/>
    <w:rsid w:val="00D511D7"/>
    <w:rsid w:val="00D5779A"/>
    <w:rsid w:val="00D57867"/>
    <w:rsid w:val="00D83381"/>
    <w:rsid w:val="00D945FE"/>
    <w:rsid w:val="00DA1ED1"/>
    <w:rsid w:val="00DA348C"/>
    <w:rsid w:val="00DC1C9E"/>
    <w:rsid w:val="00DD4FE5"/>
    <w:rsid w:val="00DE7E14"/>
    <w:rsid w:val="00DF5E99"/>
    <w:rsid w:val="00DF616B"/>
    <w:rsid w:val="00E04925"/>
    <w:rsid w:val="00E20106"/>
    <w:rsid w:val="00E2325C"/>
    <w:rsid w:val="00E40498"/>
    <w:rsid w:val="00E43F18"/>
    <w:rsid w:val="00E47385"/>
    <w:rsid w:val="00E60D08"/>
    <w:rsid w:val="00E635F9"/>
    <w:rsid w:val="00E7118A"/>
    <w:rsid w:val="00E72C64"/>
    <w:rsid w:val="00E74A56"/>
    <w:rsid w:val="00E908C9"/>
    <w:rsid w:val="00EA0111"/>
    <w:rsid w:val="00EA444A"/>
    <w:rsid w:val="00EB3638"/>
    <w:rsid w:val="00ED0937"/>
    <w:rsid w:val="00ED2505"/>
    <w:rsid w:val="00ED4EAF"/>
    <w:rsid w:val="00EE4DE9"/>
    <w:rsid w:val="00EE602A"/>
    <w:rsid w:val="00F17D3A"/>
    <w:rsid w:val="00F2006E"/>
    <w:rsid w:val="00F350F8"/>
    <w:rsid w:val="00F41480"/>
    <w:rsid w:val="00F45A54"/>
    <w:rsid w:val="00F54434"/>
    <w:rsid w:val="00F65456"/>
    <w:rsid w:val="00F72700"/>
    <w:rsid w:val="00F72D0F"/>
    <w:rsid w:val="00F73E85"/>
    <w:rsid w:val="00F90A13"/>
    <w:rsid w:val="00F91B11"/>
    <w:rsid w:val="00FA626B"/>
    <w:rsid w:val="00FA6471"/>
    <w:rsid w:val="00FB2193"/>
    <w:rsid w:val="00FB39CF"/>
    <w:rsid w:val="00FC2813"/>
    <w:rsid w:val="00FC5FB0"/>
    <w:rsid w:val="00FE28F2"/>
    <w:rsid w:val="00FF1E8F"/>
    <w:rsid w:val="0173F9B4"/>
    <w:rsid w:val="085D5CB3"/>
    <w:rsid w:val="1B430F7F"/>
    <w:rsid w:val="26251637"/>
    <w:rsid w:val="2990A4E7"/>
    <w:rsid w:val="345C8524"/>
    <w:rsid w:val="34E4B883"/>
    <w:rsid w:val="37BFDB3E"/>
    <w:rsid w:val="468FF8B3"/>
    <w:rsid w:val="59381A61"/>
    <w:rsid w:val="5F485896"/>
    <w:rsid w:val="666DE583"/>
    <w:rsid w:val="76FFD3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41858"/>
  <w15:docId w15:val="{8626624E-8FF0-415C-AEDB-475C8246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CD3"/>
    <w:pPr>
      <w:spacing w:line="240" w:lineRule="auto"/>
    </w:pPr>
    <w:rPr>
      <w:rFonts w:asciiTheme="majorHAnsi" w:hAnsiTheme="majorHAnsi" w:cs="Times New Roman"/>
    </w:rPr>
  </w:style>
  <w:style w:type="paragraph" w:styleId="Heading1">
    <w:name w:val="heading 1"/>
    <w:basedOn w:val="Normal"/>
    <w:next w:val="Normal"/>
    <w:link w:val="Heading1Char"/>
    <w:uiPriority w:val="9"/>
    <w:qFormat/>
    <w:rsid w:val="00BA1C4E"/>
    <w:pPr>
      <w:keepNext/>
      <w:keepLines/>
      <w:numPr>
        <w:numId w:val="1"/>
      </w:numPr>
      <w:spacing w:before="360" w:after="240"/>
      <w:ind w:left="567" w:hanging="567"/>
      <w:outlineLvl w:val="0"/>
    </w:pPr>
    <w:rPr>
      <w:rFonts w:eastAsiaTheme="majorEastAsia" w:cstheme="majorBidi"/>
      <w:b/>
      <w:bCs/>
      <w:caps/>
      <w:sz w:val="28"/>
      <w:szCs w:val="28"/>
      <w:lang w:val="en-US"/>
    </w:rPr>
  </w:style>
  <w:style w:type="paragraph" w:styleId="Heading2">
    <w:name w:val="heading 2"/>
    <w:basedOn w:val="Normal"/>
    <w:next w:val="Normal"/>
    <w:link w:val="Heading2Char"/>
    <w:uiPriority w:val="9"/>
    <w:unhideWhenUsed/>
    <w:qFormat/>
    <w:rsid w:val="00BA1C4E"/>
    <w:pPr>
      <w:numPr>
        <w:ilvl w:val="1"/>
        <w:numId w:val="1"/>
      </w:numPr>
      <w:spacing w:before="240" w:after="240"/>
      <w:ind w:left="578" w:hanging="578"/>
      <w:outlineLvl w:val="1"/>
    </w:pPr>
    <w:rPr>
      <w:b/>
      <w:smallCaps/>
      <w:sz w:val="24"/>
    </w:rPr>
  </w:style>
  <w:style w:type="paragraph" w:styleId="Heading3">
    <w:name w:val="heading 3"/>
    <w:basedOn w:val="Normal"/>
    <w:next w:val="Normal"/>
    <w:link w:val="Heading3Char"/>
    <w:uiPriority w:val="9"/>
    <w:unhideWhenUsed/>
    <w:qFormat/>
    <w:rsid w:val="00BA1C4E"/>
    <w:pPr>
      <w:keepNext/>
      <w:keepLines/>
      <w:spacing w:before="240" w:after="120"/>
      <w:outlineLvl w:val="2"/>
    </w:pPr>
    <w:rPr>
      <w:rFonts w:eastAsia="MS Mincho" w:cstheme="majorBidi"/>
      <w:b/>
      <w:bCs/>
      <w:lang w:eastAsia="ja-JP"/>
    </w:rPr>
  </w:style>
  <w:style w:type="paragraph" w:styleId="Heading4">
    <w:name w:val="heading 4"/>
    <w:basedOn w:val="Normal"/>
    <w:next w:val="Normal"/>
    <w:link w:val="Heading4Char"/>
    <w:uiPriority w:val="9"/>
    <w:unhideWhenUsed/>
    <w:qFormat/>
    <w:rsid w:val="00BA1C4E"/>
    <w:pPr>
      <w:spacing w:before="240" w:after="120"/>
      <w:outlineLvl w:val="3"/>
    </w:pPr>
    <w:rPr>
      <w:rFonts w:ascii="Cambria" w:hAnsi="Cambria"/>
      <w:u w:val="single"/>
    </w:rPr>
  </w:style>
  <w:style w:type="paragraph" w:styleId="Heading5">
    <w:name w:val="heading 5"/>
    <w:basedOn w:val="Normal"/>
    <w:next w:val="Normal"/>
    <w:link w:val="Heading5Char"/>
    <w:uiPriority w:val="9"/>
    <w:unhideWhenUsed/>
    <w:qFormat/>
    <w:rsid w:val="00BA1C4E"/>
    <w:pPr>
      <w:spacing w:before="240" w:after="120"/>
      <w:outlineLvl w:val="4"/>
    </w:pPr>
    <w:rPr>
      <w:i/>
      <w:iCs/>
      <w:lang w:eastAsia="ja-JP"/>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C4E"/>
    <w:rPr>
      <w:rFonts w:asciiTheme="majorHAnsi" w:eastAsiaTheme="majorEastAsia" w:hAnsiTheme="majorHAnsi" w:cstheme="majorBidi"/>
      <w:b/>
      <w:bCs/>
      <w:caps/>
      <w:sz w:val="28"/>
      <w:szCs w:val="28"/>
      <w:lang w:val="en-US"/>
    </w:rPr>
  </w:style>
  <w:style w:type="character" w:customStyle="1" w:styleId="Heading2Char">
    <w:name w:val="Heading 2 Char"/>
    <w:basedOn w:val="DefaultParagraphFont"/>
    <w:link w:val="Heading2"/>
    <w:uiPriority w:val="9"/>
    <w:rsid w:val="00BA1C4E"/>
    <w:rPr>
      <w:rFonts w:asciiTheme="majorHAnsi" w:hAnsiTheme="majorHAnsi" w:cs="Times New Roman"/>
      <w:b/>
      <w:smallCaps/>
      <w:sz w:val="24"/>
    </w:rPr>
  </w:style>
  <w:style w:type="character" w:customStyle="1" w:styleId="Heading3Char">
    <w:name w:val="Heading 3 Char"/>
    <w:basedOn w:val="DefaultParagraphFont"/>
    <w:link w:val="Heading3"/>
    <w:uiPriority w:val="9"/>
    <w:rsid w:val="00BA1C4E"/>
    <w:rPr>
      <w:rFonts w:asciiTheme="majorHAnsi" w:eastAsia="MS Mincho" w:hAnsiTheme="majorHAnsi" w:cstheme="majorBidi"/>
      <w:b/>
      <w:bCs/>
      <w:lang w:eastAsia="ja-JP"/>
    </w:rPr>
  </w:style>
  <w:style w:type="character" w:customStyle="1" w:styleId="Heading4Char">
    <w:name w:val="Heading 4 Char"/>
    <w:basedOn w:val="DefaultParagraphFont"/>
    <w:link w:val="Heading4"/>
    <w:uiPriority w:val="9"/>
    <w:rsid w:val="00BA1C4E"/>
    <w:rPr>
      <w:rFonts w:ascii="Cambria" w:hAnsi="Cambria" w:cs="Times New Roman"/>
      <w:u w:val="single"/>
    </w:rPr>
  </w:style>
  <w:style w:type="character" w:customStyle="1" w:styleId="Heading5Char">
    <w:name w:val="Heading 5 Char"/>
    <w:basedOn w:val="DefaultParagraphFont"/>
    <w:link w:val="Heading5"/>
    <w:uiPriority w:val="9"/>
    <w:rsid w:val="00BA1C4E"/>
    <w:rPr>
      <w:rFonts w:asciiTheme="majorHAnsi" w:hAnsiTheme="majorHAnsi" w:cs="Times New Roman"/>
      <w:i/>
      <w:iCs/>
      <w:lang w:eastAsia="ja-JP"/>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aliases w:val="Bullet points1"/>
    <w:basedOn w:val="Normal"/>
    <w:link w:val="ListParagraphChar"/>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aliases w:val="Annotationtext,Char1,Zchn Zchn1, Char1, Zchn Zchn1, Car17, Car17 Car, Char Char Char, Char Char1,Char Char Char,Char Char1,Comment Text Char Char,Comment Text Char Char Char,Comment Text Char Char1,Comment Text Char Char1 Char"/>
    <w:basedOn w:val="Normal"/>
    <w:link w:val="CommentTextChar"/>
    <w:uiPriority w:val="99"/>
    <w:unhideWhenUsed/>
    <w:qFormat/>
    <w:rsid w:val="001A3992"/>
    <w:rPr>
      <w:rFonts w:ascii="Cambria" w:hAnsi="Cambria"/>
      <w:sz w:val="20"/>
      <w:szCs w:val="20"/>
    </w:rPr>
  </w:style>
  <w:style w:type="character" w:customStyle="1" w:styleId="CommentTextChar">
    <w:name w:val="Comment Text Char"/>
    <w:aliases w:val="Annotationtext Char,Char1 Char,Zchn Zchn1 Char, Char1 Char, Zchn Zchn1 Char, Car17 Char, Car17 Car Char, Char Char Char Char, Char Char1 Char,Char Char Char Char,Char Char1 Char,Comment Text Char Char Char1"/>
    <w:basedOn w:val="DefaultParagraphFont"/>
    <w:link w:val="CommentText"/>
    <w:uiPriority w:val="99"/>
    <w:qForma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pPr>
  </w:style>
  <w:style w:type="character" w:customStyle="1" w:styleId="HeaderChar">
    <w:name w:val="Header Char"/>
    <w:basedOn w:val="DefaultParagraphFont"/>
    <w:link w:val="Header"/>
    <w:uiPriority w:val="99"/>
    <w:rsid w:val="00CA6CCF"/>
  </w:style>
  <w:style w:type="paragraph" w:customStyle="1" w:styleId="C-BodyText">
    <w:name w:val="C-Body Text"/>
    <w:link w:val="C-BodyTextChar"/>
    <w:rsid w:val="00383ACE"/>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link w:val="C-BodyText"/>
    <w:locked/>
    <w:rsid w:val="00383ACE"/>
    <w:rPr>
      <w:rFonts w:ascii="Times New Roman" w:eastAsia="Times New Roman" w:hAnsi="Times New Roman" w:cs="Times New Roman"/>
      <w:sz w:val="24"/>
      <w:szCs w:val="20"/>
      <w:lang w:val="en-US"/>
    </w:rPr>
  </w:style>
  <w:style w:type="table" w:styleId="TableGrid">
    <w:name w:val="Table Grid"/>
    <w:basedOn w:val="TableNormal"/>
    <w:uiPriority w:val="59"/>
    <w:rsid w:val="00D5779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aliases w:val="9 pt,10 pt  Bold,10 pt,9pt"/>
    <w:basedOn w:val="Normal"/>
    <w:link w:val="TableChar1"/>
    <w:rsid w:val="00D5779A"/>
    <w:pPr>
      <w:widowControl w:val="0"/>
      <w:spacing w:after="0"/>
    </w:pPr>
    <w:rPr>
      <w:rFonts w:ascii="Arial" w:eastAsia="Times New Roman" w:hAnsi="Arial"/>
      <w:sz w:val="18"/>
      <w:szCs w:val="20"/>
      <w:lang w:val="en-US"/>
    </w:rPr>
  </w:style>
  <w:style w:type="character" w:customStyle="1" w:styleId="TableChar1">
    <w:name w:val="Table Char1"/>
    <w:link w:val="Table"/>
    <w:locked/>
    <w:rsid w:val="00D5779A"/>
    <w:rPr>
      <w:rFonts w:ascii="Arial" w:eastAsia="Times New Roman" w:hAnsi="Arial" w:cs="Times New Roman"/>
      <w:sz w:val="18"/>
      <w:szCs w:val="20"/>
      <w:lang w:val="en-US"/>
    </w:rPr>
  </w:style>
  <w:style w:type="paragraph" w:styleId="Caption">
    <w:name w:val="caption"/>
    <w:aliases w:val="Char"/>
    <w:basedOn w:val="Normal"/>
    <w:next w:val="Normal"/>
    <w:link w:val="CaptionChar"/>
    <w:unhideWhenUsed/>
    <w:qFormat/>
    <w:rsid w:val="0094457C"/>
    <w:pPr>
      <w:keepNext/>
      <w:tabs>
        <w:tab w:val="left" w:pos="567"/>
      </w:tabs>
      <w:spacing w:after="120"/>
    </w:pPr>
    <w:rPr>
      <w:rFonts w:eastAsia="Times New Roman"/>
      <w:b/>
      <w:bCs/>
      <w:lang w:val="en-GB"/>
    </w:rPr>
  </w:style>
  <w:style w:type="character" w:customStyle="1" w:styleId="CaptionChar">
    <w:name w:val="Caption Char"/>
    <w:aliases w:val="Char Char"/>
    <w:link w:val="Caption"/>
    <w:rsid w:val="0094457C"/>
    <w:rPr>
      <w:rFonts w:asciiTheme="majorHAnsi" w:eastAsia="Times New Roman" w:hAnsiTheme="majorHAnsi" w:cs="Times New Roman"/>
      <w:b/>
      <w:bCs/>
      <w:lang w:val="en-GB"/>
    </w:rPr>
  </w:style>
  <w:style w:type="character" w:customStyle="1" w:styleId="TextChar">
    <w:name w:val="Text Char"/>
    <w:link w:val="Text"/>
    <w:locked/>
    <w:rsid w:val="007A7E79"/>
    <w:rPr>
      <w:rFonts w:ascii="MS Mincho" w:eastAsia="MS Mincho" w:hAnsi="MS Mincho"/>
      <w:sz w:val="24"/>
      <w:lang w:eastAsia="ja-JP"/>
    </w:rPr>
  </w:style>
  <w:style w:type="paragraph" w:customStyle="1" w:styleId="Text">
    <w:name w:val="Text"/>
    <w:aliases w:val="Graphic"/>
    <w:basedOn w:val="Normal"/>
    <w:link w:val="TextChar"/>
    <w:qFormat/>
    <w:rsid w:val="007A7E79"/>
    <w:pPr>
      <w:spacing w:before="120" w:after="160" w:line="256" w:lineRule="auto"/>
      <w:jc w:val="both"/>
    </w:pPr>
    <w:rPr>
      <w:rFonts w:ascii="MS Mincho" w:eastAsia="MS Mincho" w:hAnsi="MS Mincho"/>
      <w:sz w:val="24"/>
      <w:lang w:eastAsia="ja-JP"/>
    </w:rPr>
  </w:style>
  <w:style w:type="paragraph" w:customStyle="1" w:styleId="Default">
    <w:name w:val="Default"/>
    <w:rsid w:val="007A7E79"/>
    <w:pPr>
      <w:autoSpaceDE w:val="0"/>
      <w:autoSpaceDN w:val="0"/>
      <w:adjustRightInd w:val="0"/>
      <w:spacing w:after="0" w:line="240" w:lineRule="auto"/>
    </w:pPr>
    <w:rPr>
      <w:rFonts w:ascii="Times New Roman" w:eastAsia="SimSun" w:hAnsi="Times New Roman" w:cs="Times New Roman"/>
      <w:color w:val="000000"/>
      <w:sz w:val="24"/>
      <w:szCs w:val="24"/>
      <w:lang w:val="en-US" w:eastAsia="en-GB"/>
    </w:rPr>
  </w:style>
  <w:style w:type="character" w:customStyle="1" w:styleId="normaltextrun">
    <w:name w:val="normaltextrun"/>
    <w:basedOn w:val="DefaultParagraphFont"/>
    <w:rsid w:val="0091569D"/>
  </w:style>
  <w:style w:type="paragraph" w:customStyle="1" w:styleId="paragraph">
    <w:name w:val="paragraph"/>
    <w:basedOn w:val="Normal"/>
    <w:rsid w:val="0091569D"/>
    <w:pPr>
      <w:spacing w:before="100" w:beforeAutospacing="1" w:after="100" w:afterAutospacing="1"/>
    </w:pPr>
    <w:rPr>
      <w:rFonts w:ascii="Times New Roman" w:eastAsia="Times New Roman" w:hAnsi="Times New Roman"/>
      <w:sz w:val="24"/>
      <w:szCs w:val="24"/>
      <w:lang w:val="en-US"/>
    </w:rPr>
  </w:style>
  <w:style w:type="character" w:customStyle="1" w:styleId="ListParagraphChar">
    <w:name w:val="List Paragraph Char"/>
    <w:aliases w:val="Bullet points1 Char"/>
    <w:basedOn w:val="DefaultParagraphFont"/>
    <w:link w:val="ListParagraph"/>
    <w:uiPriority w:val="34"/>
    <w:locked/>
    <w:rsid w:val="00E40498"/>
    <w:rPr>
      <w:rFonts w:ascii="Cambria" w:hAnsi="Cambria"/>
    </w:rPr>
  </w:style>
  <w:style w:type="paragraph" w:styleId="CommentSubject">
    <w:name w:val="annotation subject"/>
    <w:basedOn w:val="CommentText"/>
    <w:next w:val="CommentText"/>
    <w:link w:val="CommentSubjectChar"/>
    <w:uiPriority w:val="99"/>
    <w:semiHidden/>
    <w:unhideWhenUsed/>
    <w:rsid w:val="007119B6"/>
    <w:rPr>
      <w:rFonts w:asciiTheme="minorHAnsi" w:hAnsiTheme="minorHAnsi"/>
      <w:b/>
      <w:bCs/>
    </w:rPr>
  </w:style>
  <w:style w:type="character" w:customStyle="1" w:styleId="CommentSubjectChar">
    <w:name w:val="Comment Subject Char"/>
    <w:basedOn w:val="CommentTextChar"/>
    <w:link w:val="CommentSubject"/>
    <w:uiPriority w:val="99"/>
    <w:semiHidden/>
    <w:rsid w:val="007119B6"/>
    <w:rPr>
      <w:rFonts w:ascii="Cambria" w:hAnsi="Cambria"/>
      <w:b/>
      <w:bCs/>
      <w:sz w:val="20"/>
      <w:szCs w:val="20"/>
    </w:rPr>
  </w:style>
  <w:style w:type="character" w:styleId="UnresolvedMention">
    <w:name w:val="Unresolved Mention"/>
    <w:basedOn w:val="DefaultParagraphFont"/>
    <w:uiPriority w:val="99"/>
    <w:semiHidden/>
    <w:unhideWhenUsed/>
    <w:rsid w:val="009A398C"/>
    <w:rPr>
      <w:color w:val="605E5C"/>
      <w:shd w:val="clear" w:color="auto" w:fill="E1DFDD"/>
    </w:rPr>
  </w:style>
  <w:style w:type="paragraph" w:styleId="Title">
    <w:name w:val="Title"/>
    <w:basedOn w:val="Heading1"/>
    <w:next w:val="Normal"/>
    <w:link w:val="TitleChar"/>
    <w:uiPriority w:val="10"/>
    <w:qFormat/>
    <w:rsid w:val="0094457C"/>
    <w:pPr>
      <w:numPr>
        <w:numId w:val="0"/>
      </w:numPr>
    </w:pPr>
    <w:rPr>
      <w:rFonts w:eastAsia="SimSun"/>
    </w:rPr>
  </w:style>
  <w:style w:type="character" w:customStyle="1" w:styleId="TitleChar">
    <w:name w:val="Title Char"/>
    <w:basedOn w:val="DefaultParagraphFont"/>
    <w:link w:val="Title"/>
    <w:uiPriority w:val="10"/>
    <w:rsid w:val="0094457C"/>
    <w:rPr>
      <w:rFonts w:asciiTheme="majorHAnsi" w:eastAsia="SimSun" w:hAnsiTheme="majorHAnsi" w:cstheme="majorBidi"/>
      <w:b/>
      <w:bCs/>
      <w:caps/>
      <w:sz w:val="28"/>
      <w:szCs w:val="28"/>
    </w:rPr>
  </w:style>
  <w:style w:type="paragraph" w:styleId="NormalWeb">
    <w:name w:val="Normal (Web)"/>
    <w:basedOn w:val="Normal"/>
    <w:uiPriority w:val="99"/>
    <w:semiHidden/>
    <w:unhideWhenUsed/>
    <w:rsid w:val="00930C77"/>
    <w:pPr>
      <w:spacing w:before="100" w:beforeAutospacing="1" w:after="100" w:afterAutospacing="1"/>
    </w:pPr>
    <w:rPr>
      <w:rFonts w:ascii="Times New Roman" w:eastAsia="Times New Roman" w:hAnsi="Times New Roman"/>
      <w:sz w:val="24"/>
      <w:szCs w:val="24"/>
      <w:lang w:val="en-NZ" w:eastAsia="en-NZ"/>
    </w:rPr>
  </w:style>
  <w:style w:type="character" w:styleId="FollowedHyperlink">
    <w:name w:val="FollowedHyperlink"/>
    <w:basedOn w:val="DefaultParagraphFont"/>
    <w:uiPriority w:val="99"/>
    <w:semiHidden/>
    <w:unhideWhenUsed/>
    <w:rsid w:val="005B7CF9"/>
    <w:rPr>
      <w:color w:val="800080" w:themeColor="followedHyperlink"/>
      <w:u w:val="single"/>
    </w:rPr>
  </w:style>
  <w:style w:type="paragraph" w:styleId="Revision">
    <w:name w:val="Revision"/>
    <w:hidden/>
    <w:uiPriority w:val="99"/>
    <w:semiHidden/>
    <w:rsid w:val="00954258"/>
    <w:pPr>
      <w:spacing w:after="0" w:line="240" w:lineRule="auto"/>
    </w:pPr>
    <w:rPr>
      <w:rFonts w:asciiTheme="majorHAnsi" w:hAnsiTheme="majorHAnsi" w:cs="Times New Roman"/>
    </w:rPr>
  </w:style>
  <w:style w:type="paragraph" w:customStyle="1" w:styleId="pf0">
    <w:name w:val="pf0"/>
    <w:basedOn w:val="Normal"/>
    <w:rsid w:val="00B4303F"/>
    <w:pPr>
      <w:spacing w:before="100" w:beforeAutospacing="1" w:after="100" w:afterAutospacing="1"/>
    </w:pPr>
    <w:rPr>
      <w:rFonts w:ascii="Times New Roman" w:eastAsia="Times New Roman" w:hAnsi="Times New Roman"/>
      <w:sz w:val="24"/>
      <w:szCs w:val="24"/>
      <w:lang w:eastAsia="en-AU"/>
    </w:rPr>
  </w:style>
  <w:style w:type="character" w:customStyle="1" w:styleId="cf01">
    <w:name w:val="cf01"/>
    <w:basedOn w:val="DefaultParagraphFont"/>
    <w:rsid w:val="00B4303F"/>
    <w:rPr>
      <w:rFonts w:ascii="Segoe UI" w:hAnsi="Segoe UI" w:cs="Segoe UI" w:hint="default"/>
      <w:sz w:val="18"/>
      <w:szCs w:val="18"/>
    </w:rPr>
  </w:style>
  <w:style w:type="paragraph" w:styleId="NoSpacing">
    <w:name w:val="No Spacing"/>
    <w:uiPriority w:val="1"/>
    <w:qFormat/>
    <w:rsid w:val="00A72126"/>
    <w:pPr>
      <w:spacing w:after="0" w:line="240" w:lineRule="auto"/>
    </w:pPr>
    <w:rPr>
      <w:rFonts w:asciiTheme="majorHAnsi" w:hAnsiTheme="maj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7860">
      <w:bodyDiv w:val="1"/>
      <w:marLeft w:val="0"/>
      <w:marRight w:val="0"/>
      <w:marTop w:val="0"/>
      <w:marBottom w:val="0"/>
      <w:divBdr>
        <w:top w:val="none" w:sz="0" w:space="0" w:color="auto"/>
        <w:left w:val="none" w:sz="0" w:space="0" w:color="auto"/>
        <w:bottom w:val="none" w:sz="0" w:space="0" w:color="auto"/>
        <w:right w:val="none" w:sz="0" w:space="0" w:color="auto"/>
      </w:divBdr>
    </w:div>
    <w:div w:id="477575342">
      <w:bodyDiv w:val="1"/>
      <w:marLeft w:val="0"/>
      <w:marRight w:val="0"/>
      <w:marTop w:val="0"/>
      <w:marBottom w:val="0"/>
      <w:divBdr>
        <w:top w:val="none" w:sz="0" w:space="0" w:color="auto"/>
        <w:left w:val="none" w:sz="0" w:space="0" w:color="auto"/>
        <w:bottom w:val="none" w:sz="0" w:space="0" w:color="auto"/>
        <w:right w:val="none" w:sz="0" w:space="0" w:color="auto"/>
      </w:divBdr>
    </w:div>
    <w:div w:id="494339655">
      <w:bodyDiv w:val="1"/>
      <w:marLeft w:val="0"/>
      <w:marRight w:val="0"/>
      <w:marTop w:val="0"/>
      <w:marBottom w:val="0"/>
      <w:divBdr>
        <w:top w:val="none" w:sz="0" w:space="0" w:color="auto"/>
        <w:left w:val="none" w:sz="0" w:space="0" w:color="auto"/>
        <w:bottom w:val="none" w:sz="0" w:space="0" w:color="auto"/>
        <w:right w:val="none" w:sz="0" w:space="0" w:color="auto"/>
      </w:divBdr>
    </w:div>
    <w:div w:id="1309163898">
      <w:bodyDiv w:val="1"/>
      <w:marLeft w:val="0"/>
      <w:marRight w:val="0"/>
      <w:marTop w:val="0"/>
      <w:marBottom w:val="0"/>
      <w:divBdr>
        <w:top w:val="none" w:sz="0" w:space="0" w:color="auto"/>
        <w:left w:val="none" w:sz="0" w:space="0" w:color="auto"/>
        <w:bottom w:val="none" w:sz="0" w:space="0" w:color="auto"/>
        <w:right w:val="none" w:sz="0" w:space="0" w:color="auto"/>
      </w:divBdr>
    </w:div>
    <w:div w:id="1416628998">
      <w:bodyDiv w:val="1"/>
      <w:marLeft w:val="0"/>
      <w:marRight w:val="0"/>
      <w:marTop w:val="0"/>
      <w:marBottom w:val="0"/>
      <w:divBdr>
        <w:top w:val="none" w:sz="0" w:space="0" w:color="auto"/>
        <w:left w:val="none" w:sz="0" w:space="0" w:color="auto"/>
        <w:bottom w:val="none" w:sz="0" w:space="0" w:color="auto"/>
        <w:right w:val="none" w:sz="0" w:space="0" w:color="auto"/>
      </w:divBdr>
      <w:divsChild>
        <w:div w:id="567694020">
          <w:marLeft w:val="0"/>
          <w:marRight w:val="0"/>
          <w:marTop w:val="0"/>
          <w:marBottom w:val="0"/>
          <w:divBdr>
            <w:top w:val="none" w:sz="0" w:space="0" w:color="auto"/>
            <w:left w:val="none" w:sz="0" w:space="0" w:color="auto"/>
            <w:bottom w:val="none" w:sz="0" w:space="0" w:color="auto"/>
            <w:right w:val="none" w:sz="0" w:space="0" w:color="auto"/>
          </w:divBdr>
        </w:div>
      </w:divsChild>
    </w:div>
    <w:div w:id="1482036610">
      <w:bodyDiv w:val="1"/>
      <w:marLeft w:val="0"/>
      <w:marRight w:val="0"/>
      <w:marTop w:val="0"/>
      <w:marBottom w:val="0"/>
      <w:divBdr>
        <w:top w:val="none" w:sz="0" w:space="0" w:color="auto"/>
        <w:left w:val="none" w:sz="0" w:space="0" w:color="auto"/>
        <w:bottom w:val="none" w:sz="0" w:space="0" w:color="auto"/>
        <w:right w:val="none" w:sz="0" w:space="0" w:color="auto"/>
      </w:divBdr>
      <w:divsChild>
        <w:div w:id="2123071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16725BF448442A0FA938D6A844CB4" ma:contentTypeVersion="10" ma:contentTypeDescription="Create a new document." ma:contentTypeScope="" ma:versionID="f6caaadc7fb75be406489aee8a8786d3">
  <xsd:schema xmlns:xsd="http://www.w3.org/2001/XMLSchema" xmlns:xs="http://www.w3.org/2001/XMLSchema" xmlns:p="http://schemas.microsoft.com/office/2006/metadata/properties" xmlns:ns2="7547fb63-c083-47da-a909-6851bd35a5ed" xmlns:ns3="334f802d-593a-4ea5-80bf-799b82ea653f" targetNamespace="http://schemas.microsoft.com/office/2006/metadata/properties" ma:root="true" ma:fieldsID="b3c1b22147de4036f1a5f79e5a3dc609" ns2:_="" ns3:_="">
    <xsd:import namespace="7547fb63-c083-47da-a909-6851bd35a5ed"/>
    <xsd:import namespace="334f802d-593a-4ea5-80bf-799b82ea65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7fb63-c083-47da-a909-6851bd35a5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4f802d-593a-4ea5-80bf-799b82ea65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845DA-9FDF-4F95-A7DF-30B080D40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7fb63-c083-47da-a909-6851bd35a5ed"/>
    <ds:schemaRef ds:uri="334f802d-593a-4ea5-80bf-799b82ea6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1659BF-4A23-4CBB-A568-54B776F78A88}">
  <ds:schemaRefs>
    <ds:schemaRef ds:uri="http://schemas.microsoft.com/sharepoint/v3/contenttype/forms"/>
  </ds:schemaRefs>
</ds:datastoreItem>
</file>

<file path=customXml/itemProps3.xml><?xml version="1.0" encoding="utf-8"?>
<ds:datastoreItem xmlns:ds="http://schemas.openxmlformats.org/officeDocument/2006/customXml" ds:itemID="{D3FA906E-E843-4BDD-A79A-11DC5B2809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0EF236-8D51-4008-B5A2-9CF8A13E3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5305</Words>
  <Characters>30135</Characters>
  <Application>Microsoft Office Word</Application>
  <DocSecurity>0</DocSecurity>
  <Lines>886</Lines>
  <Paragraphs>632</Paragraphs>
  <ScaleCrop>false</ScaleCrop>
  <HeadingPairs>
    <vt:vector size="2" baseType="variant">
      <vt:variant>
        <vt:lpstr>Title</vt:lpstr>
      </vt:variant>
      <vt:variant>
        <vt:i4>1</vt:i4>
      </vt:variant>
    </vt:vector>
  </HeadingPairs>
  <TitlesOfParts>
    <vt:vector size="1" baseType="lpstr">
      <vt:lpstr>Attachment-Product information for Kimmtrak</vt:lpstr>
    </vt:vector>
  </TitlesOfParts>
  <Company>Adjutor Healthcare Pty Ltd</Company>
  <LinksUpToDate>false</LinksUpToDate>
  <CharactersWithSpaces>34808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Attachment-Product information for Kimmtrak</dc:title>
  <dc:subject>prescription medicines</dc:subject>
  <dc:creator>Adjutor Healthcare Pty Ltd</dc:creator>
  <cp:keywords/>
  <cp:lastModifiedBy>LACK, Janet</cp:lastModifiedBy>
  <cp:revision>2</cp:revision>
  <cp:lastPrinted>2021-11-18T02:00:00Z</cp:lastPrinted>
  <dcterms:created xsi:type="dcterms:W3CDTF">2022-11-14T00:28:00Z</dcterms:created>
  <dcterms:modified xsi:type="dcterms:W3CDTF">2022-11-14T00:28:00Z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0x010100C3616725BF448442A0FA938D6A844CB4</vt:lpwstr>
  </property>
</Properties>
</file>