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1062" w14:textId="77777777" w:rsidR="001B6303" w:rsidRPr="00B64CA9" w:rsidRDefault="001B6303" w:rsidP="001B6303">
      <w:pPr>
        <w:tabs>
          <w:tab w:val="left" w:pos="284"/>
        </w:tabs>
        <w:spacing w:after="480" w:line="240" w:lineRule="auto"/>
        <w:rPr>
          <w:rFonts w:asciiTheme="majorHAnsi" w:hAnsiTheme="majorHAnsi"/>
        </w:rPr>
      </w:pPr>
      <w:r w:rsidRPr="00B64CA9">
        <w:rPr>
          <w:noProof/>
          <w:lang w:eastAsia="en-AU"/>
        </w:rPr>
        <mc:AlternateContent>
          <mc:Choice Requires="wps">
            <w:drawing>
              <wp:inline distT="0" distB="0" distL="0" distR="0" wp14:anchorId="7F89ED70" wp14:editId="6966E363">
                <wp:extent cx="252095" cy="252095"/>
                <wp:effectExtent l="0" t="0" r="14605" b="146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wps:spPr>
                      <wps:txbx>
                        <w:txbxContent>
                          <w:p w14:paraId="6F2042E2" w14:textId="77777777" w:rsidR="00494F5C" w:rsidRPr="00BE2A26" w:rsidRDefault="00494F5C" w:rsidP="001B630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F89ED70"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" filled="f" stroked="f">
                <v:textbox inset="0,0,0,0">
                  <w:txbxContent>
                    <w:p w14:paraId="6F2042E2" w14:textId="77777777" w:rsidR="00494F5C" w:rsidRPr="00BE2A26" w:rsidRDefault="00494F5C" w:rsidP="001B630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B64CA9">
        <w:rPr>
          <w:rFonts w:asciiTheme="majorHAnsi" w:hAnsiTheme="majorHAnsi"/>
        </w:rPr>
        <w:t>This medicinal product is subject to additional monitoring in Australia</w:t>
      </w:r>
      <w:r w:rsidR="008F4547" w:rsidRPr="00B64CA9">
        <w:rPr>
          <w:rFonts w:asciiTheme="majorHAnsi" w:hAnsiTheme="majorHAnsi"/>
        </w:rPr>
        <w:t xml:space="preserve"> due to approval of an extension of indications</w:t>
      </w:r>
      <w:r w:rsidRPr="00B64CA9">
        <w:rPr>
          <w:rFonts w:asciiTheme="majorHAnsi" w:hAnsiTheme="majorHAnsi"/>
        </w:rPr>
        <w:t xml:space="preserve">. This will allow quick identification of new safety information. Healthcare professionals are asked to report any suspected adverse events at </w:t>
      </w:r>
      <w:hyperlink r:id="rId11" w:history="1">
        <w:r w:rsidRPr="00B64CA9">
          <w:rPr>
            <w:rStyle w:val="Hyperlink"/>
            <w:rFonts w:asciiTheme="majorHAnsi" w:hAnsiTheme="majorHAnsi"/>
          </w:rPr>
          <w:t>www.tga.gov.au/reporting-problems</w:t>
        </w:r>
      </w:hyperlink>
      <w:r w:rsidRPr="00B64CA9">
        <w:rPr>
          <w:rFonts w:asciiTheme="majorHAnsi" w:hAnsiTheme="majorHAnsi"/>
        </w:rPr>
        <w:t>.</w:t>
      </w:r>
    </w:p>
    <w:p w14:paraId="7E034C1A" w14:textId="77777777" w:rsidR="000329BE" w:rsidRPr="00B64CA9" w:rsidRDefault="004032BD" w:rsidP="00253D7C">
      <w:pPr>
        <w:pStyle w:val="Heading1"/>
        <w:numPr>
          <w:ilvl w:val="0"/>
          <w:numId w:val="0"/>
        </w:numPr>
        <w:spacing w:before="0" w:line="240" w:lineRule="auto"/>
        <w:jc w:val="both"/>
        <w:rPr>
          <w:rFonts w:eastAsia="SimSun" w:cstheme="minorHAnsi"/>
        </w:rPr>
      </w:pPr>
      <w:r w:rsidRPr="00B64CA9">
        <w:rPr>
          <w:rFonts w:eastAsia="SimSun" w:cstheme="minorHAnsi"/>
        </w:rPr>
        <w:t>Australian P</w:t>
      </w:r>
      <w:r w:rsidR="000329BE" w:rsidRPr="00B64CA9">
        <w:rPr>
          <w:rFonts w:eastAsia="SimSun" w:cstheme="minorHAnsi"/>
        </w:rPr>
        <w:t xml:space="preserve">RODUCT </w:t>
      </w:r>
      <w:r w:rsidRPr="00B64CA9">
        <w:rPr>
          <w:rFonts w:eastAsia="SimSun" w:cstheme="minorHAnsi"/>
        </w:rPr>
        <w:t>I</w:t>
      </w:r>
      <w:r w:rsidR="000329BE" w:rsidRPr="00B64CA9">
        <w:rPr>
          <w:rFonts w:eastAsia="SimSun" w:cstheme="minorHAnsi"/>
        </w:rPr>
        <w:t>NFORMATION</w:t>
      </w:r>
      <w:r w:rsidRPr="00B64CA9">
        <w:rPr>
          <w:rFonts w:eastAsia="SimSun" w:cstheme="minorHAnsi"/>
        </w:rPr>
        <w:t xml:space="preserve"> </w:t>
      </w:r>
    </w:p>
    <w:p w14:paraId="5F8B6CBE" w14:textId="77777777" w:rsidR="004032BD" w:rsidRPr="00B64CA9" w:rsidRDefault="00E83219" w:rsidP="00253D7C">
      <w:pPr>
        <w:pStyle w:val="Heading1"/>
        <w:numPr>
          <w:ilvl w:val="0"/>
          <w:numId w:val="0"/>
        </w:numPr>
        <w:spacing w:before="0" w:line="240" w:lineRule="auto"/>
        <w:jc w:val="both"/>
        <w:rPr>
          <w:rFonts w:eastAsia="SimSun" w:cstheme="minorHAnsi"/>
        </w:rPr>
      </w:pPr>
      <w:r w:rsidRPr="00B64CA9">
        <w:rPr>
          <w:rFonts w:eastAsia="SimSun" w:cstheme="minorHAnsi"/>
        </w:rPr>
        <w:t>COSENTYX</w:t>
      </w:r>
      <w:r w:rsidR="00AF5503" w:rsidRPr="00B64CA9">
        <w:rPr>
          <w:rFonts w:eastAsia="SimSun" w:cstheme="minorHAnsi"/>
          <w:vertAlign w:val="superscript"/>
        </w:rPr>
        <w:t>®</w:t>
      </w:r>
      <w:r w:rsidR="007E693C" w:rsidRPr="00B64CA9">
        <w:rPr>
          <w:rFonts w:eastAsia="SimSun" w:cstheme="minorHAnsi"/>
        </w:rPr>
        <w:t xml:space="preserve"> </w:t>
      </w:r>
      <w:r w:rsidR="004032BD" w:rsidRPr="00B64CA9">
        <w:rPr>
          <w:rFonts w:eastAsia="SimSun" w:cstheme="minorHAnsi"/>
        </w:rPr>
        <w:t>(</w:t>
      </w:r>
      <w:proofErr w:type="spellStart"/>
      <w:r w:rsidRPr="00B64CA9">
        <w:rPr>
          <w:rFonts w:eastAsia="SimSun" w:cstheme="minorHAnsi"/>
          <w:caps w:val="0"/>
        </w:rPr>
        <w:t>secukinumab</w:t>
      </w:r>
      <w:proofErr w:type="spellEnd"/>
      <w:r w:rsidR="00AB3537" w:rsidRPr="00B64CA9">
        <w:rPr>
          <w:rFonts w:eastAsia="SimSun" w:cstheme="minorHAnsi"/>
        </w:rPr>
        <w:t xml:space="preserve"> </w:t>
      </w:r>
      <w:r w:rsidR="00AB3537" w:rsidRPr="00B64CA9">
        <w:rPr>
          <w:rFonts w:eastAsia="SimSun" w:cstheme="minorHAnsi"/>
          <w:caps w:val="0"/>
        </w:rPr>
        <w:t>[</w:t>
      </w:r>
      <w:proofErr w:type="spellStart"/>
      <w:r w:rsidR="00AB3537" w:rsidRPr="00B64CA9">
        <w:rPr>
          <w:rFonts w:eastAsia="SimSun" w:cstheme="minorHAnsi"/>
          <w:caps w:val="0"/>
        </w:rPr>
        <w:t>rch</w:t>
      </w:r>
      <w:proofErr w:type="spellEnd"/>
      <w:r w:rsidR="00AB3537" w:rsidRPr="00B64CA9">
        <w:rPr>
          <w:rFonts w:eastAsia="SimSun" w:cstheme="minorHAnsi"/>
          <w:caps w:val="0"/>
        </w:rPr>
        <w:t>]</w:t>
      </w:r>
      <w:r w:rsidR="004032BD" w:rsidRPr="00B64CA9">
        <w:rPr>
          <w:rFonts w:eastAsia="SimSun" w:cstheme="minorHAnsi"/>
        </w:rPr>
        <w:t>)</w:t>
      </w:r>
      <w:r w:rsidR="00497C85" w:rsidRPr="00B64CA9">
        <w:rPr>
          <w:rFonts w:eastAsia="SimSun" w:cstheme="minorHAnsi"/>
        </w:rPr>
        <w:t xml:space="preserve"> </w:t>
      </w:r>
    </w:p>
    <w:p w14:paraId="02D79310" w14:textId="77777777" w:rsidR="001B6303" w:rsidRPr="00B64CA9" w:rsidRDefault="001B6303" w:rsidP="001B6303">
      <w:pPr>
        <w:pStyle w:val="Heading1"/>
        <w:numPr>
          <w:ilvl w:val="0"/>
          <w:numId w:val="0"/>
        </w:numPr>
        <w:spacing w:before="0" w:line="240" w:lineRule="auto"/>
        <w:jc w:val="both"/>
        <w:rPr>
          <w:rFonts w:eastAsia="SimSun" w:cstheme="minorHAnsi"/>
        </w:rPr>
      </w:pPr>
      <w:r w:rsidRPr="00B64CA9">
        <w:rPr>
          <w:rFonts w:eastAsia="SimSun" w:cstheme="minorHAnsi"/>
        </w:rPr>
        <w:t xml:space="preserve">75 </w:t>
      </w:r>
      <w:r w:rsidRPr="00B64CA9">
        <w:rPr>
          <w:rFonts w:eastAsia="SimSun" w:cstheme="minorHAnsi"/>
          <w:caps w:val="0"/>
        </w:rPr>
        <w:t>mg</w:t>
      </w:r>
      <w:r w:rsidRPr="00B64CA9">
        <w:rPr>
          <w:rFonts w:eastAsia="SimSun" w:cstheme="minorHAnsi"/>
        </w:rPr>
        <w:t xml:space="preserve"> / 0.5 </w:t>
      </w:r>
      <w:r w:rsidRPr="00B64CA9">
        <w:rPr>
          <w:rFonts w:eastAsia="SimSun" w:cstheme="minorHAnsi"/>
          <w:caps w:val="0"/>
        </w:rPr>
        <w:t>m</w:t>
      </w:r>
      <w:r w:rsidRPr="00B64CA9">
        <w:rPr>
          <w:rFonts w:eastAsia="SimSun" w:cstheme="minorHAnsi"/>
        </w:rPr>
        <w:t>L SOLUTION FOR INJECTION IN PREFILLED SYRINGE</w:t>
      </w:r>
    </w:p>
    <w:p w14:paraId="23317EB8" w14:textId="77777777" w:rsidR="00AB3537" w:rsidRPr="00B64CA9" w:rsidRDefault="00AB3537" w:rsidP="0081558E">
      <w:pPr>
        <w:pStyle w:val="Heading1"/>
        <w:numPr>
          <w:ilvl w:val="0"/>
          <w:numId w:val="0"/>
        </w:numPr>
        <w:spacing w:before="0" w:line="240" w:lineRule="auto"/>
        <w:jc w:val="both"/>
        <w:rPr>
          <w:rFonts w:eastAsia="SimSun" w:cstheme="minorHAnsi"/>
        </w:rPr>
      </w:pPr>
      <w:r w:rsidRPr="00B64CA9">
        <w:rPr>
          <w:rFonts w:eastAsia="SimSun" w:cstheme="minorHAnsi"/>
        </w:rPr>
        <w:t xml:space="preserve">150 </w:t>
      </w:r>
      <w:r w:rsidRPr="00B64CA9">
        <w:rPr>
          <w:rFonts w:eastAsia="SimSun" w:cstheme="minorHAnsi"/>
          <w:caps w:val="0"/>
        </w:rPr>
        <w:t>mg</w:t>
      </w:r>
      <w:r w:rsidRPr="00B64CA9">
        <w:rPr>
          <w:rFonts w:eastAsia="SimSun" w:cstheme="minorHAnsi"/>
        </w:rPr>
        <w:t xml:space="preserve">/1 </w:t>
      </w:r>
      <w:r w:rsidRPr="00B64CA9">
        <w:rPr>
          <w:rFonts w:eastAsia="SimSun" w:cstheme="minorHAnsi"/>
          <w:caps w:val="0"/>
        </w:rPr>
        <w:t>m</w:t>
      </w:r>
      <w:r w:rsidRPr="00B64CA9">
        <w:rPr>
          <w:rFonts w:eastAsia="SimSun" w:cstheme="minorHAnsi"/>
        </w:rPr>
        <w:t>L solution for injection in prefilled syringe</w:t>
      </w:r>
    </w:p>
    <w:p w14:paraId="3CD70B46" w14:textId="77777777" w:rsidR="00AB3537" w:rsidRPr="00B64CA9" w:rsidRDefault="00AB3537" w:rsidP="0081558E">
      <w:pPr>
        <w:pStyle w:val="Heading1"/>
        <w:numPr>
          <w:ilvl w:val="0"/>
          <w:numId w:val="0"/>
        </w:numPr>
        <w:spacing w:before="0" w:line="240" w:lineRule="auto"/>
        <w:jc w:val="both"/>
        <w:rPr>
          <w:rFonts w:eastAsia="SimSun" w:cstheme="minorHAnsi"/>
        </w:rPr>
      </w:pPr>
      <w:r w:rsidRPr="00B64CA9">
        <w:rPr>
          <w:rFonts w:eastAsia="SimSun" w:cstheme="minorHAnsi"/>
        </w:rPr>
        <w:t xml:space="preserve">150 </w:t>
      </w:r>
      <w:r w:rsidRPr="00B64CA9">
        <w:rPr>
          <w:rFonts w:eastAsia="SimSun" w:cstheme="minorHAnsi"/>
          <w:caps w:val="0"/>
        </w:rPr>
        <w:t>mg</w:t>
      </w:r>
      <w:r w:rsidRPr="00B64CA9">
        <w:rPr>
          <w:rFonts w:eastAsia="SimSun" w:cstheme="minorHAnsi"/>
        </w:rPr>
        <w:t xml:space="preserve">/1 </w:t>
      </w:r>
      <w:r w:rsidRPr="00B64CA9">
        <w:rPr>
          <w:rFonts w:eastAsia="SimSun" w:cstheme="minorHAnsi"/>
          <w:caps w:val="0"/>
        </w:rPr>
        <w:t>m</w:t>
      </w:r>
      <w:r w:rsidRPr="00B64CA9">
        <w:rPr>
          <w:rFonts w:eastAsia="SimSun" w:cstheme="minorHAnsi"/>
        </w:rPr>
        <w:t>L solution for injection in prefilled pen</w:t>
      </w:r>
    </w:p>
    <w:p w14:paraId="20D85047" w14:textId="77777777" w:rsidR="00AB3537" w:rsidRPr="00B64CA9" w:rsidRDefault="00AB3537" w:rsidP="0081558E">
      <w:pPr>
        <w:pStyle w:val="Heading1"/>
        <w:numPr>
          <w:ilvl w:val="0"/>
          <w:numId w:val="0"/>
        </w:numPr>
        <w:spacing w:before="0" w:line="240" w:lineRule="auto"/>
        <w:jc w:val="both"/>
        <w:rPr>
          <w:rFonts w:eastAsia="SimSun" w:cstheme="minorHAnsi"/>
        </w:rPr>
      </w:pPr>
      <w:r w:rsidRPr="00B64CA9">
        <w:rPr>
          <w:rFonts w:eastAsia="SimSun" w:cstheme="minorHAnsi"/>
        </w:rPr>
        <w:t xml:space="preserve">150 </w:t>
      </w:r>
      <w:r w:rsidRPr="00B64CA9">
        <w:rPr>
          <w:rFonts w:eastAsia="SimSun" w:cstheme="minorHAnsi"/>
          <w:caps w:val="0"/>
        </w:rPr>
        <w:t>mg</w:t>
      </w:r>
      <w:r w:rsidRPr="00B64CA9">
        <w:rPr>
          <w:rFonts w:eastAsia="SimSun" w:cstheme="minorHAnsi"/>
        </w:rPr>
        <w:t xml:space="preserve"> powder for injection in vial</w:t>
      </w:r>
    </w:p>
    <w:p w14:paraId="258C7116" w14:textId="77777777" w:rsidR="001B6303" w:rsidRPr="00B64CA9" w:rsidRDefault="001B6303" w:rsidP="001B6303">
      <w:pPr>
        <w:spacing w:after="0"/>
      </w:pPr>
      <w:r w:rsidRPr="00B64CA9">
        <w:rPr>
          <w:rFonts w:asciiTheme="majorHAnsi" w:hAnsiTheme="majorHAnsi"/>
          <w:b/>
          <w:sz w:val="28"/>
          <w:szCs w:val="28"/>
        </w:rPr>
        <w:t>300 mg/2 mL SOLUTION FOR INJECTION IN PREFILLED SYRINGE</w:t>
      </w:r>
      <w:r w:rsidRPr="00B64CA9">
        <w:t xml:space="preserve"> </w:t>
      </w:r>
    </w:p>
    <w:p w14:paraId="17DB22CD" w14:textId="77777777" w:rsidR="001B6303" w:rsidRPr="00B64CA9" w:rsidRDefault="001B6303" w:rsidP="00B64CA9">
      <w:r w:rsidRPr="00B64CA9">
        <w:rPr>
          <w:rFonts w:asciiTheme="majorHAnsi" w:hAnsiTheme="majorHAnsi"/>
          <w:b/>
          <w:sz w:val="28"/>
          <w:szCs w:val="28"/>
        </w:rPr>
        <w:t>300 mg/2 mL SOLUTION FOR INJECTION IN PREFILLED PEN</w:t>
      </w:r>
    </w:p>
    <w:p w14:paraId="4CD2C2BA" w14:textId="77777777" w:rsidR="00AB3537" w:rsidRPr="00B64CA9" w:rsidRDefault="00AB3537" w:rsidP="0081558E">
      <w:pPr>
        <w:jc w:val="both"/>
      </w:pPr>
    </w:p>
    <w:p w14:paraId="4C853282" w14:textId="77777777" w:rsidR="001A3992" w:rsidRPr="00B64CA9" w:rsidRDefault="001A3992" w:rsidP="0081558E">
      <w:pPr>
        <w:pStyle w:val="Heading1"/>
        <w:spacing w:before="0" w:after="120"/>
        <w:ind w:left="431" w:hanging="431"/>
        <w:jc w:val="both"/>
        <w:rPr>
          <w:rFonts w:cstheme="minorHAnsi"/>
        </w:rPr>
      </w:pPr>
      <w:r w:rsidRPr="00B64CA9">
        <w:rPr>
          <w:rFonts w:cstheme="minorHAnsi"/>
        </w:rPr>
        <w:t>Name of the medicine</w:t>
      </w:r>
    </w:p>
    <w:p w14:paraId="2CEF965F" w14:textId="77777777" w:rsidR="009608E9" w:rsidRPr="00B64CA9" w:rsidRDefault="009608E9" w:rsidP="0081558E">
      <w:pPr>
        <w:jc w:val="both"/>
        <w:rPr>
          <w:rFonts w:cstheme="minorHAnsi"/>
          <w:szCs w:val="20"/>
        </w:rPr>
      </w:pPr>
      <w:proofErr w:type="spellStart"/>
      <w:r w:rsidRPr="00B64CA9">
        <w:rPr>
          <w:rFonts w:cstheme="minorHAnsi"/>
          <w:szCs w:val="20"/>
        </w:rPr>
        <w:t>Secukinumab</w:t>
      </w:r>
      <w:proofErr w:type="spellEnd"/>
      <w:r w:rsidRPr="00B64CA9">
        <w:rPr>
          <w:rFonts w:cstheme="minorHAnsi"/>
          <w:szCs w:val="20"/>
        </w:rPr>
        <w:t xml:space="preserve"> (</w:t>
      </w:r>
      <w:proofErr w:type="spellStart"/>
      <w:r w:rsidRPr="00B64CA9">
        <w:rPr>
          <w:rFonts w:cstheme="minorHAnsi"/>
          <w:szCs w:val="20"/>
        </w:rPr>
        <w:t>rch</w:t>
      </w:r>
      <w:proofErr w:type="spellEnd"/>
      <w:r w:rsidRPr="00B64CA9">
        <w:rPr>
          <w:rFonts w:cstheme="minorHAnsi"/>
          <w:szCs w:val="20"/>
        </w:rPr>
        <w:t>)</w:t>
      </w:r>
    </w:p>
    <w:p w14:paraId="7E6878A0" w14:textId="77777777" w:rsidR="009608E9" w:rsidRPr="00B64CA9" w:rsidRDefault="009608E9" w:rsidP="0081558E">
      <w:pPr>
        <w:jc w:val="both"/>
        <w:rPr>
          <w:rFonts w:cstheme="minorHAnsi"/>
          <w:szCs w:val="20"/>
        </w:rPr>
      </w:pPr>
      <w:r w:rsidRPr="00B64CA9">
        <w:rPr>
          <w:rFonts w:cstheme="minorHAnsi"/>
          <w:szCs w:val="20"/>
        </w:rPr>
        <w:t>Chemical name:</w:t>
      </w:r>
      <w:r w:rsidR="00AB3537" w:rsidRPr="00B64CA9">
        <w:rPr>
          <w:rFonts w:cstheme="minorHAnsi"/>
          <w:szCs w:val="20"/>
        </w:rPr>
        <w:t xml:space="preserve"> </w:t>
      </w:r>
      <w:r w:rsidRPr="00B64CA9">
        <w:rPr>
          <w:rFonts w:cstheme="minorHAnsi"/>
          <w:szCs w:val="20"/>
        </w:rPr>
        <w:t xml:space="preserve">Recombinant human monoclonal anti-human Interleukin-17A (IL-17A, IL-17) antibody of the IgG1/kappa isotype </w:t>
      </w:r>
    </w:p>
    <w:p w14:paraId="08E88239" w14:textId="77777777" w:rsidR="001A3992" w:rsidRPr="00B64CA9" w:rsidRDefault="001A3992" w:rsidP="00253D7C">
      <w:pPr>
        <w:pStyle w:val="Heading1"/>
        <w:spacing w:before="0" w:after="120"/>
        <w:ind w:left="431" w:hanging="431"/>
        <w:jc w:val="both"/>
        <w:rPr>
          <w:rFonts w:cstheme="minorHAnsi"/>
        </w:rPr>
      </w:pPr>
      <w:r w:rsidRPr="00B64CA9">
        <w:rPr>
          <w:rFonts w:cstheme="minorHAnsi"/>
        </w:rPr>
        <w:t>Qualitative and quantitative composition</w:t>
      </w:r>
    </w:p>
    <w:p w14:paraId="5AD86DFE" w14:textId="77777777" w:rsidR="009608E9" w:rsidRPr="00B64CA9" w:rsidRDefault="009608E9" w:rsidP="0081558E">
      <w:pPr>
        <w:jc w:val="both"/>
        <w:rPr>
          <w:rFonts w:cstheme="minorHAnsi"/>
          <w:szCs w:val="20"/>
        </w:rPr>
      </w:pPr>
      <w:proofErr w:type="spellStart"/>
      <w:r w:rsidRPr="00B64CA9">
        <w:rPr>
          <w:rFonts w:cstheme="minorHAnsi"/>
          <w:szCs w:val="20"/>
        </w:rPr>
        <w:t>Secukinumab</w:t>
      </w:r>
      <w:proofErr w:type="spellEnd"/>
      <w:r w:rsidRPr="00B64CA9">
        <w:rPr>
          <w:rFonts w:cstheme="minorHAnsi"/>
          <w:szCs w:val="20"/>
        </w:rPr>
        <w:t xml:space="preserve"> is a recombinant fully human monoclonal antibody selective for interleukin-17A. </w:t>
      </w:r>
      <w:proofErr w:type="spellStart"/>
      <w:r w:rsidRPr="00B64CA9">
        <w:rPr>
          <w:rFonts w:cstheme="minorHAnsi"/>
          <w:szCs w:val="20"/>
        </w:rPr>
        <w:t>Secukinumab</w:t>
      </w:r>
      <w:proofErr w:type="spellEnd"/>
      <w:r w:rsidRPr="00B64CA9">
        <w:rPr>
          <w:rFonts w:cstheme="minorHAnsi"/>
          <w:szCs w:val="20"/>
        </w:rPr>
        <w:t xml:space="preserve"> is of the IgG1/κ-class produced in Chinese Hamster Ovary (CHO) cells.</w:t>
      </w:r>
    </w:p>
    <w:p w14:paraId="3C008656" w14:textId="77777777" w:rsidR="001A3992" w:rsidRPr="00B64CA9" w:rsidRDefault="001A3992" w:rsidP="0081558E">
      <w:pPr>
        <w:pStyle w:val="Heading1"/>
        <w:spacing w:before="0" w:after="120"/>
        <w:jc w:val="both"/>
        <w:rPr>
          <w:rFonts w:cstheme="minorHAnsi"/>
        </w:rPr>
      </w:pPr>
      <w:r w:rsidRPr="00B64CA9">
        <w:rPr>
          <w:rFonts w:cstheme="minorHAnsi"/>
        </w:rPr>
        <w:t>Pharmaceutical form</w:t>
      </w:r>
    </w:p>
    <w:p w14:paraId="7B2E5BA5" w14:textId="77777777" w:rsidR="009608E9" w:rsidRPr="00B64CA9" w:rsidRDefault="009608E9" w:rsidP="0081558E">
      <w:pPr>
        <w:spacing w:after="0"/>
        <w:jc w:val="both"/>
        <w:rPr>
          <w:rFonts w:asciiTheme="majorHAnsi" w:hAnsiTheme="majorHAnsi" w:cstheme="minorHAnsi"/>
          <w:b/>
          <w:u w:val="single"/>
        </w:rPr>
      </w:pPr>
      <w:r w:rsidRPr="00B64CA9">
        <w:rPr>
          <w:rFonts w:asciiTheme="majorHAnsi" w:hAnsiTheme="majorHAnsi" w:cstheme="minorHAnsi"/>
          <w:b/>
          <w:u w:val="single"/>
        </w:rPr>
        <w:t>Powder for injection</w:t>
      </w:r>
    </w:p>
    <w:p w14:paraId="3C7EB0F1" w14:textId="77777777" w:rsidR="009608E9" w:rsidRPr="00B64CA9" w:rsidRDefault="009608E9" w:rsidP="0081558E">
      <w:pPr>
        <w:jc w:val="both"/>
        <w:rPr>
          <w:rFonts w:cs="Arial"/>
          <w:szCs w:val="20"/>
        </w:rPr>
      </w:pPr>
      <w:r w:rsidRPr="00B64CA9">
        <w:rPr>
          <w:rFonts w:cstheme="minorHAnsi"/>
          <w:szCs w:val="20"/>
        </w:rPr>
        <w:t xml:space="preserve">Each vial of powder for injection contains 150 mg of </w:t>
      </w:r>
      <w:proofErr w:type="spellStart"/>
      <w:r w:rsidRPr="00B64CA9">
        <w:rPr>
          <w:rFonts w:cstheme="minorHAnsi"/>
          <w:szCs w:val="20"/>
        </w:rPr>
        <w:t>secukinumab</w:t>
      </w:r>
      <w:proofErr w:type="spellEnd"/>
      <w:r w:rsidRPr="00B64CA9">
        <w:rPr>
          <w:rFonts w:cstheme="minorHAnsi"/>
          <w:szCs w:val="20"/>
        </w:rPr>
        <w:t xml:space="preserve"> as a lyophilised cake in glass vials. </w:t>
      </w:r>
    </w:p>
    <w:p w14:paraId="6356EBE2" w14:textId="77777777" w:rsidR="009608E9" w:rsidRPr="00B64CA9" w:rsidRDefault="009608E9" w:rsidP="0081558E">
      <w:pPr>
        <w:spacing w:after="0"/>
        <w:jc w:val="both"/>
        <w:rPr>
          <w:rFonts w:ascii="Arial" w:hAnsi="Arial" w:cs="Arial"/>
          <w:b/>
          <w:u w:val="single"/>
        </w:rPr>
      </w:pPr>
      <w:r w:rsidRPr="00B64CA9">
        <w:rPr>
          <w:rFonts w:asciiTheme="majorHAnsi" w:hAnsiTheme="majorHAnsi" w:cstheme="minorHAnsi"/>
          <w:b/>
          <w:u w:val="single"/>
        </w:rPr>
        <w:t>Solution for injection</w:t>
      </w:r>
    </w:p>
    <w:p w14:paraId="18A4313E" w14:textId="77777777" w:rsidR="001B6303" w:rsidRPr="00B64CA9" w:rsidRDefault="001B6303" w:rsidP="001B6303">
      <w:pPr>
        <w:jc w:val="both"/>
        <w:rPr>
          <w:rFonts w:cstheme="minorHAnsi"/>
          <w:szCs w:val="20"/>
        </w:rPr>
      </w:pPr>
      <w:r w:rsidRPr="00B64CA9">
        <w:rPr>
          <w:rFonts w:cstheme="minorHAnsi"/>
          <w:szCs w:val="20"/>
        </w:rPr>
        <w:t xml:space="preserve">Solution for injection in a single-use, 0.5mL pre-filled syringe containing 75 mg </w:t>
      </w:r>
      <w:proofErr w:type="spellStart"/>
      <w:r w:rsidRPr="00B64CA9">
        <w:rPr>
          <w:rFonts w:cstheme="minorHAnsi"/>
          <w:szCs w:val="20"/>
        </w:rPr>
        <w:t>secukinumab</w:t>
      </w:r>
      <w:proofErr w:type="spellEnd"/>
      <w:r w:rsidRPr="00B64CA9">
        <w:rPr>
          <w:rFonts w:cstheme="minorHAnsi"/>
          <w:szCs w:val="20"/>
        </w:rPr>
        <w:t>.</w:t>
      </w:r>
    </w:p>
    <w:p w14:paraId="6E01DFD4" w14:textId="77777777" w:rsidR="009608E9" w:rsidRPr="00B64CA9" w:rsidRDefault="009608E9" w:rsidP="0081558E">
      <w:pPr>
        <w:jc w:val="both"/>
        <w:rPr>
          <w:rFonts w:cstheme="minorHAnsi"/>
          <w:szCs w:val="20"/>
        </w:rPr>
      </w:pPr>
      <w:r w:rsidRPr="00B64CA9">
        <w:rPr>
          <w:rFonts w:cstheme="minorHAnsi"/>
          <w:szCs w:val="20"/>
        </w:rPr>
        <w:t xml:space="preserve">Solution for injection in a single-use, </w:t>
      </w:r>
      <w:r w:rsidR="001B6303" w:rsidRPr="00B64CA9">
        <w:rPr>
          <w:rFonts w:cstheme="minorHAnsi"/>
          <w:szCs w:val="20"/>
        </w:rPr>
        <w:t xml:space="preserve">1 mL </w:t>
      </w:r>
      <w:r w:rsidRPr="00B64CA9">
        <w:rPr>
          <w:rFonts w:cstheme="minorHAnsi"/>
          <w:szCs w:val="20"/>
        </w:rPr>
        <w:t>pre-filled syringe and/or pen (auto-injector)</w:t>
      </w:r>
      <w:r w:rsidR="00462FD0" w:rsidRPr="00B64CA9">
        <w:rPr>
          <w:rFonts w:cstheme="minorHAnsi"/>
          <w:szCs w:val="20"/>
        </w:rPr>
        <w:t xml:space="preserve"> containing 150 mg of </w:t>
      </w:r>
      <w:proofErr w:type="spellStart"/>
      <w:r w:rsidR="00462FD0" w:rsidRPr="00B64CA9">
        <w:rPr>
          <w:rFonts w:cstheme="minorHAnsi"/>
          <w:szCs w:val="20"/>
        </w:rPr>
        <w:t>secukinumab</w:t>
      </w:r>
      <w:proofErr w:type="spellEnd"/>
      <w:r w:rsidRPr="00B64CA9">
        <w:rPr>
          <w:rFonts w:cstheme="minorHAnsi"/>
          <w:szCs w:val="20"/>
        </w:rPr>
        <w:t>.</w:t>
      </w:r>
    </w:p>
    <w:p w14:paraId="58F4ACB8" w14:textId="77777777" w:rsidR="001B6303" w:rsidRPr="00B64CA9" w:rsidRDefault="001B6303" w:rsidP="0081558E">
      <w:pPr>
        <w:jc w:val="both"/>
        <w:rPr>
          <w:rFonts w:cs="Arial"/>
          <w:szCs w:val="20"/>
        </w:rPr>
      </w:pPr>
      <w:r w:rsidRPr="00B64CA9">
        <w:rPr>
          <w:rFonts w:cstheme="minorHAnsi"/>
          <w:szCs w:val="20"/>
        </w:rPr>
        <w:t xml:space="preserve">Solution for injection in a single-use, 2 mL pre-filled syringe and/or pen (auto-injector) containing 300 mg of </w:t>
      </w:r>
      <w:proofErr w:type="spellStart"/>
      <w:r w:rsidRPr="00B64CA9">
        <w:rPr>
          <w:rFonts w:cstheme="minorHAnsi"/>
          <w:szCs w:val="20"/>
        </w:rPr>
        <w:t>secukinumab</w:t>
      </w:r>
      <w:proofErr w:type="spellEnd"/>
      <w:r w:rsidRPr="00B64CA9">
        <w:rPr>
          <w:rFonts w:cstheme="minorHAnsi"/>
          <w:szCs w:val="20"/>
        </w:rPr>
        <w:t>.</w:t>
      </w:r>
    </w:p>
    <w:p w14:paraId="3D92ED7B" w14:textId="77777777" w:rsidR="001A3992" w:rsidRPr="00B64CA9" w:rsidRDefault="001A3992" w:rsidP="00290F28">
      <w:pPr>
        <w:pStyle w:val="Heading1"/>
        <w:pageBreakBefore/>
        <w:spacing w:before="0" w:after="120"/>
        <w:ind w:left="431" w:hanging="431"/>
        <w:jc w:val="both"/>
        <w:rPr>
          <w:rFonts w:cstheme="minorHAnsi"/>
        </w:rPr>
      </w:pPr>
      <w:r w:rsidRPr="00B64CA9">
        <w:rPr>
          <w:rFonts w:cstheme="minorHAnsi"/>
        </w:rPr>
        <w:lastRenderedPageBreak/>
        <w:t>Clinical particulars</w:t>
      </w:r>
    </w:p>
    <w:p w14:paraId="48AD4AF8" w14:textId="77777777" w:rsidR="001A3992" w:rsidRPr="00B64CA9" w:rsidRDefault="001A3992" w:rsidP="00733D88">
      <w:pPr>
        <w:pStyle w:val="Heading2"/>
        <w:spacing w:before="0" w:after="120"/>
        <w:ind w:left="567"/>
        <w:jc w:val="both"/>
        <w:rPr>
          <w:rFonts w:cstheme="minorHAnsi"/>
        </w:rPr>
      </w:pPr>
      <w:r w:rsidRPr="00B64CA9">
        <w:rPr>
          <w:rFonts w:cstheme="minorHAnsi"/>
        </w:rPr>
        <w:t xml:space="preserve">Therapeutic indications </w:t>
      </w:r>
    </w:p>
    <w:p w14:paraId="3B21EA47"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Plaque psoriasis</w:t>
      </w:r>
    </w:p>
    <w:p w14:paraId="1F258BFF" w14:textId="77777777" w:rsidR="008A42F5" w:rsidRPr="00B64CA9" w:rsidRDefault="008A42F5" w:rsidP="0081558E">
      <w:pPr>
        <w:jc w:val="both"/>
        <w:rPr>
          <w:rFonts w:cs="Arial"/>
        </w:rPr>
      </w:pPr>
      <w:r w:rsidRPr="00B64CA9">
        <w:rPr>
          <w:rFonts w:cs="Arial"/>
        </w:rPr>
        <w:t xml:space="preserve">COSENTYX is indicated for the treatment of moderate to severe plaque psoriasis in patients </w:t>
      </w:r>
      <w:r w:rsidR="001B6303" w:rsidRPr="00B64CA9">
        <w:rPr>
          <w:rFonts w:cs="Arial"/>
        </w:rPr>
        <w:t xml:space="preserve">6 years and older </w:t>
      </w:r>
      <w:r w:rsidRPr="00B64CA9">
        <w:rPr>
          <w:rFonts w:cs="Arial"/>
        </w:rPr>
        <w:t>who are candidates for systemic therapy or phototherapy.</w:t>
      </w:r>
    </w:p>
    <w:p w14:paraId="7E78862E"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Psoriatic arthritis</w:t>
      </w:r>
    </w:p>
    <w:p w14:paraId="70C09D07" w14:textId="77777777" w:rsidR="008A42F5" w:rsidRPr="00B64CA9" w:rsidRDefault="008A42F5" w:rsidP="0081558E">
      <w:pPr>
        <w:jc w:val="both"/>
        <w:rPr>
          <w:rFonts w:cs="Arial"/>
        </w:rPr>
      </w:pPr>
      <w:r w:rsidRPr="00B64CA9">
        <w:rPr>
          <w:rFonts w:cs="Arial"/>
        </w:rPr>
        <w:t xml:space="preserve">COSENTYX is indicated for the treatment of adult patients with active psoriatic arthritis </w:t>
      </w:r>
      <w:r w:rsidR="001B6303" w:rsidRPr="00B64CA9">
        <w:rPr>
          <w:rFonts w:cs="Arial"/>
        </w:rPr>
        <w:t xml:space="preserve">including axial manifestations of psoriatic arthritis </w:t>
      </w:r>
      <w:r w:rsidRPr="00B64CA9">
        <w:rPr>
          <w:rFonts w:cs="Arial"/>
        </w:rPr>
        <w:t>when the response to previous disease-modifying anti-rheumatic drug (DMARD) therapy has been inadequate.</w:t>
      </w:r>
    </w:p>
    <w:p w14:paraId="2854FB5F" w14:textId="77777777" w:rsidR="006A29F4" w:rsidRPr="00B64CA9" w:rsidRDefault="006A29F4" w:rsidP="0081558E">
      <w:pPr>
        <w:spacing w:after="0"/>
        <w:jc w:val="both"/>
        <w:rPr>
          <w:rFonts w:asciiTheme="majorHAnsi" w:hAnsiTheme="majorHAnsi" w:cstheme="minorHAnsi"/>
          <w:b/>
          <w:u w:val="single"/>
        </w:rPr>
      </w:pPr>
      <w:r w:rsidRPr="00B64CA9">
        <w:rPr>
          <w:rFonts w:asciiTheme="majorHAnsi" w:hAnsiTheme="majorHAnsi" w:cstheme="minorHAnsi"/>
          <w:b/>
          <w:u w:val="single"/>
        </w:rPr>
        <w:t xml:space="preserve">Axial </w:t>
      </w:r>
      <w:proofErr w:type="spellStart"/>
      <w:r w:rsidRPr="00B64CA9">
        <w:rPr>
          <w:rFonts w:asciiTheme="majorHAnsi" w:hAnsiTheme="majorHAnsi" w:cstheme="minorHAnsi"/>
          <w:b/>
          <w:u w:val="single"/>
        </w:rPr>
        <w:t>spondyloarthritis</w:t>
      </w:r>
      <w:proofErr w:type="spellEnd"/>
      <w:r w:rsidRPr="00B64CA9">
        <w:rPr>
          <w:rFonts w:asciiTheme="majorHAnsi" w:hAnsiTheme="majorHAnsi" w:cstheme="minorHAnsi"/>
          <w:b/>
          <w:u w:val="single"/>
        </w:rPr>
        <w:t xml:space="preserve"> (</w:t>
      </w:r>
      <w:proofErr w:type="spellStart"/>
      <w:r w:rsidRPr="00B64CA9">
        <w:rPr>
          <w:rFonts w:asciiTheme="majorHAnsi" w:hAnsiTheme="majorHAnsi" w:cstheme="minorHAnsi"/>
          <w:b/>
          <w:u w:val="single"/>
        </w:rPr>
        <w:t>axSpA</w:t>
      </w:r>
      <w:proofErr w:type="spellEnd"/>
      <w:r w:rsidRPr="00B64CA9">
        <w:rPr>
          <w:rFonts w:asciiTheme="majorHAnsi" w:hAnsiTheme="majorHAnsi" w:cstheme="minorHAnsi"/>
          <w:b/>
          <w:u w:val="single"/>
        </w:rPr>
        <w:t>) with or without radiographic damage</w:t>
      </w:r>
    </w:p>
    <w:p w14:paraId="5F3C3FA8"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Ankylosing spondylitis</w:t>
      </w:r>
      <w:r w:rsidR="00D926FD" w:rsidRPr="00B64CA9">
        <w:rPr>
          <w:rFonts w:asciiTheme="majorHAnsi" w:hAnsiTheme="majorHAnsi" w:cstheme="minorHAnsi"/>
          <w:b/>
          <w:u w:val="single"/>
        </w:rPr>
        <w:t xml:space="preserve"> (</w:t>
      </w:r>
      <w:proofErr w:type="spellStart"/>
      <w:r w:rsidR="00D926FD" w:rsidRPr="00B64CA9">
        <w:rPr>
          <w:rFonts w:asciiTheme="majorHAnsi" w:hAnsiTheme="majorHAnsi" w:cstheme="minorHAnsi"/>
          <w:b/>
          <w:u w:val="single"/>
        </w:rPr>
        <w:t>axSpA</w:t>
      </w:r>
      <w:proofErr w:type="spellEnd"/>
      <w:r w:rsidR="00D926FD" w:rsidRPr="00B64CA9">
        <w:rPr>
          <w:rFonts w:asciiTheme="majorHAnsi" w:hAnsiTheme="majorHAnsi" w:cstheme="minorHAnsi"/>
          <w:b/>
          <w:u w:val="single"/>
        </w:rPr>
        <w:t xml:space="preserve"> with radiographic damage)</w:t>
      </w:r>
    </w:p>
    <w:p w14:paraId="2562E933" w14:textId="77777777" w:rsidR="003164E0" w:rsidRPr="00B64CA9" w:rsidRDefault="008A42F5" w:rsidP="0081558E">
      <w:pPr>
        <w:jc w:val="both"/>
        <w:rPr>
          <w:rFonts w:cs="Arial"/>
        </w:rPr>
      </w:pPr>
      <w:r w:rsidRPr="00B64CA9">
        <w:rPr>
          <w:rFonts w:cs="Arial"/>
        </w:rPr>
        <w:t>COSENTYX is indicated for the treatment of adult patients with active ankylosing spondylitis.</w:t>
      </w:r>
    </w:p>
    <w:p w14:paraId="5E9902D9" w14:textId="77777777" w:rsidR="006A29F4" w:rsidRPr="00B64CA9" w:rsidRDefault="006A29F4" w:rsidP="002D07A3">
      <w:pPr>
        <w:spacing w:after="0"/>
        <w:jc w:val="both"/>
        <w:rPr>
          <w:rFonts w:asciiTheme="majorHAnsi" w:hAnsiTheme="majorHAnsi" w:cstheme="minorHAnsi"/>
          <w:b/>
          <w:u w:val="single"/>
        </w:rPr>
      </w:pPr>
      <w:r w:rsidRPr="00B64CA9">
        <w:rPr>
          <w:rFonts w:asciiTheme="majorHAnsi" w:hAnsiTheme="majorHAnsi" w:cstheme="minorHAnsi"/>
          <w:b/>
          <w:u w:val="single"/>
        </w:rPr>
        <w:t xml:space="preserve">Non-radiographic axial </w:t>
      </w:r>
      <w:proofErr w:type="spellStart"/>
      <w:r w:rsidRPr="00B64CA9">
        <w:rPr>
          <w:rFonts w:asciiTheme="majorHAnsi" w:hAnsiTheme="majorHAnsi" w:cstheme="minorHAnsi"/>
          <w:b/>
          <w:u w:val="single"/>
        </w:rPr>
        <w:t>spondyloarthritis</w:t>
      </w:r>
      <w:proofErr w:type="spellEnd"/>
      <w:r w:rsidRPr="00B64CA9">
        <w:rPr>
          <w:rFonts w:asciiTheme="majorHAnsi" w:hAnsiTheme="majorHAnsi" w:cstheme="minorHAnsi"/>
          <w:b/>
          <w:u w:val="single"/>
        </w:rPr>
        <w:t xml:space="preserve"> (</w:t>
      </w:r>
      <w:proofErr w:type="spellStart"/>
      <w:r w:rsidRPr="00B64CA9">
        <w:rPr>
          <w:rFonts w:asciiTheme="majorHAnsi" w:hAnsiTheme="majorHAnsi" w:cstheme="minorHAnsi"/>
          <w:b/>
          <w:u w:val="single"/>
        </w:rPr>
        <w:t>axSpA</w:t>
      </w:r>
      <w:proofErr w:type="spellEnd"/>
      <w:r w:rsidRPr="00B64CA9">
        <w:rPr>
          <w:rFonts w:asciiTheme="majorHAnsi" w:hAnsiTheme="majorHAnsi" w:cstheme="minorHAnsi"/>
          <w:b/>
          <w:u w:val="single"/>
        </w:rPr>
        <w:t xml:space="preserve"> without radiographic damage</w:t>
      </w:r>
      <w:r w:rsidR="00D926FD" w:rsidRPr="00B64CA9">
        <w:rPr>
          <w:rFonts w:asciiTheme="majorHAnsi" w:hAnsiTheme="majorHAnsi" w:cstheme="minorHAnsi"/>
          <w:b/>
          <w:u w:val="single"/>
        </w:rPr>
        <w:t>)</w:t>
      </w:r>
    </w:p>
    <w:p w14:paraId="2F0F16F3" w14:textId="77777777" w:rsidR="006A29F4" w:rsidRPr="00B64CA9" w:rsidRDefault="00AF5503" w:rsidP="006A29F4">
      <w:pPr>
        <w:jc w:val="both"/>
        <w:rPr>
          <w:rFonts w:cs="Arial"/>
        </w:rPr>
      </w:pPr>
      <w:r w:rsidRPr="00B64CA9">
        <w:rPr>
          <w:rFonts w:cs="Arial"/>
        </w:rPr>
        <w:t>COSENTYX</w:t>
      </w:r>
      <w:r w:rsidR="006A29F4" w:rsidRPr="00B64CA9">
        <w:rPr>
          <w:rFonts w:cs="Arial"/>
        </w:rPr>
        <w:t xml:space="preserve"> is indicated for the treatment of adult</w:t>
      </w:r>
      <w:r w:rsidR="00FD6A5E" w:rsidRPr="00B64CA9">
        <w:rPr>
          <w:rFonts w:cs="Arial"/>
        </w:rPr>
        <w:t xml:space="preserve"> patients</w:t>
      </w:r>
      <w:r w:rsidR="006A29F4" w:rsidRPr="00B64CA9">
        <w:rPr>
          <w:rFonts w:cs="Arial"/>
        </w:rPr>
        <w:t xml:space="preserve"> with active non-radiographic axial </w:t>
      </w:r>
      <w:proofErr w:type="spellStart"/>
      <w:r w:rsidR="006A29F4" w:rsidRPr="00B64CA9">
        <w:rPr>
          <w:rFonts w:cs="Arial"/>
        </w:rPr>
        <w:t>spondyloarthritis</w:t>
      </w:r>
      <w:proofErr w:type="spellEnd"/>
      <w:r w:rsidR="002630ED" w:rsidRPr="00B64CA9">
        <w:rPr>
          <w:rFonts w:cs="Arial"/>
        </w:rPr>
        <w:t xml:space="preserve"> (nr-</w:t>
      </w:r>
      <w:proofErr w:type="spellStart"/>
      <w:r w:rsidR="002630ED" w:rsidRPr="00B64CA9">
        <w:rPr>
          <w:rFonts w:cs="Arial"/>
        </w:rPr>
        <w:t>axSpA</w:t>
      </w:r>
      <w:proofErr w:type="spellEnd"/>
      <w:r w:rsidR="002630ED" w:rsidRPr="00B64CA9">
        <w:rPr>
          <w:rFonts w:cs="Arial"/>
        </w:rPr>
        <w:t>)</w:t>
      </w:r>
      <w:r w:rsidR="006A29F4" w:rsidRPr="00B64CA9">
        <w:rPr>
          <w:rFonts w:cs="Arial"/>
        </w:rPr>
        <w:t xml:space="preserve"> with objective signs of inflammation</w:t>
      </w:r>
      <w:r w:rsidR="002630ED" w:rsidRPr="00B64CA9">
        <w:rPr>
          <w:rFonts w:cs="Arial"/>
        </w:rPr>
        <w:t xml:space="preserve"> as indicated by elevated C-reactive protein (CRP) and/or MRI change, who have had an inadequate response to, or are intolerant to, NSAIDs</w:t>
      </w:r>
      <w:r w:rsidR="006A29F4" w:rsidRPr="00B64CA9">
        <w:rPr>
          <w:rFonts w:cs="Arial"/>
        </w:rPr>
        <w:t>.</w:t>
      </w:r>
    </w:p>
    <w:p w14:paraId="70F03321" w14:textId="77777777" w:rsidR="001A3992" w:rsidRPr="00B64CA9" w:rsidRDefault="001A3992" w:rsidP="00253D7C">
      <w:pPr>
        <w:pStyle w:val="Heading2"/>
        <w:spacing w:before="0" w:after="120"/>
        <w:ind w:left="578" w:hanging="578"/>
        <w:jc w:val="both"/>
        <w:rPr>
          <w:rFonts w:cstheme="minorHAnsi"/>
        </w:rPr>
      </w:pPr>
      <w:r w:rsidRPr="00B64CA9">
        <w:rPr>
          <w:rFonts w:cstheme="minorHAnsi"/>
        </w:rPr>
        <w:t xml:space="preserve">Dose and method of administration </w:t>
      </w:r>
    </w:p>
    <w:p w14:paraId="49E6646F"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Dosage</w:t>
      </w:r>
    </w:p>
    <w:p w14:paraId="26A7E273"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Plaque psoriasis</w:t>
      </w:r>
    </w:p>
    <w:p w14:paraId="11A70D61" w14:textId="77777777" w:rsidR="001B6303" w:rsidRPr="00B64CA9" w:rsidRDefault="001B6303" w:rsidP="001B6303">
      <w:pPr>
        <w:spacing w:after="120"/>
        <w:jc w:val="both"/>
        <w:rPr>
          <w:rFonts w:asciiTheme="majorHAnsi" w:hAnsiTheme="majorHAnsi" w:cstheme="minorHAnsi"/>
          <w:b/>
          <w:i/>
        </w:rPr>
      </w:pPr>
      <w:r w:rsidRPr="00B64CA9">
        <w:rPr>
          <w:rFonts w:asciiTheme="majorHAnsi" w:hAnsiTheme="majorHAnsi" w:cstheme="minorHAnsi"/>
          <w:b/>
          <w:i/>
        </w:rPr>
        <w:t>Adult patients</w:t>
      </w:r>
    </w:p>
    <w:p w14:paraId="50B8ED2C" w14:textId="77777777" w:rsidR="008A42F5" w:rsidRPr="00B64CA9" w:rsidRDefault="008A42F5" w:rsidP="0081558E">
      <w:pPr>
        <w:jc w:val="both"/>
        <w:rPr>
          <w:rFonts w:cs="Arial"/>
        </w:rPr>
      </w:pPr>
      <w:r w:rsidRPr="00B64CA9">
        <w:rPr>
          <w:rFonts w:cs="Arial"/>
        </w:rPr>
        <w:t xml:space="preserve">The recommended dose is 300 mg by subcutaneous injection with initial dosing at weeks 0, 1, 2, 3, and 4 followed by the same dose every month. </w:t>
      </w:r>
      <w:r w:rsidR="001A25E7" w:rsidRPr="00B64CA9">
        <w:rPr>
          <w:rFonts w:cs="Arial"/>
        </w:rPr>
        <w:t xml:space="preserve">Some patients </w:t>
      </w:r>
      <w:r w:rsidR="00950FDB" w:rsidRPr="00B64CA9">
        <w:rPr>
          <w:rFonts w:cs="Arial"/>
        </w:rPr>
        <w:t xml:space="preserve">≥90 kgs </w:t>
      </w:r>
      <w:r w:rsidR="001A25E7" w:rsidRPr="00B64CA9">
        <w:rPr>
          <w:rFonts w:cs="Arial"/>
        </w:rPr>
        <w:t xml:space="preserve">may derive an additional benefit from receiving 300 mg every 2 weeks. </w:t>
      </w:r>
      <w:r w:rsidRPr="00B64CA9">
        <w:rPr>
          <w:rFonts w:cs="Arial"/>
        </w:rPr>
        <w:t xml:space="preserve">Each 300 mg dose is given </w:t>
      </w:r>
      <w:r w:rsidR="001B6303" w:rsidRPr="00B64CA9">
        <w:rPr>
          <w:rFonts w:cs="Arial"/>
        </w:rPr>
        <w:t xml:space="preserve">as one subcutaneous injection of 300 mg or </w:t>
      </w:r>
      <w:r w:rsidRPr="00B64CA9">
        <w:rPr>
          <w:rFonts w:cs="Arial"/>
        </w:rPr>
        <w:t xml:space="preserve">as two subcutaneous injections of 150 mg.  </w:t>
      </w:r>
    </w:p>
    <w:p w14:paraId="616F8DE5" w14:textId="77777777" w:rsidR="001B6303" w:rsidRPr="00B64CA9" w:rsidRDefault="001B6303" w:rsidP="001B6303">
      <w:pPr>
        <w:spacing w:after="120"/>
        <w:jc w:val="both"/>
        <w:rPr>
          <w:rFonts w:asciiTheme="majorHAnsi" w:hAnsiTheme="majorHAnsi" w:cstheme="minorHAnsi"/>
          <w:b/>
          <w:i/>
        </w:rPr>
      </w:pPr>
      <w:r w:rsidRPr="00B64CA9">
        <w:rPr>
          <w:rFonts w:asciiTheme="majorHAnsi" w:hAnsiTheme="majorHAnsi" w:cstheme="minorHAnsi"/>
          <w:b/>
          <w:i/>
        </w:rPr>
        <w:t>Paediatric patients</w:t>
      </w:r>
    </w:p>
    <w:p w14:paraId="0FA36D06" w14:textId="77777777" w:rsidR="001B6303" w:rsidRPr="00B64CA9" w:rsidRDefault="001B6303" w:rsidP="001B6303">
      <w:pPr>
        <w:jc w:val="both"/>
        <w:rPr>
          <w:rFonts w:cs="Arial"/>
        </w:rPr>
      </w:pPr>
      <w:r w:rsidRPr="00B64CA9">
        <w:rPr>
          <w:rFonts w:cs="Arial"/>
        </w:rPr>
        <w:t>The recommended dose is based on body weight (Table 1) and administered by subcutaneous injection with initial dosing at Weeks 0, 1, 2, 3, and 4 followed by the same dose every month. Each 75 mg dose is given as one subcutaneous injection of 75 mg. Each 150 mg dose is given as one subcutaneous injection of 150 mg. Each 300 mg dose is given as one subcutaneous injection of 300 mg or as two subcutaneous injections of 150 mg.</w:t>
      </w:r>
    </w:p>
    <w:p w14:paraId="0B9A4910" w14:textId="77777777" w:rsidR="001B6303" w:rsidRPr="00B64CA9" w:rsidRDefault="001B6303" w:rsidP="001B6303">
      <w:pPr>
        <w:jc w:val="both"/>
        <w:rPr>
          <w:rFonts w:ascii="Arial" w:hAnsi="Arial" w:cs="Arial"/>
          <w:b/>
          <w:sz w:val="20"/>
          <w:szCs w:val="20"/>
        </w:rPr>
      </w:pPr>
      <w:bookmarkStart w:id="0" w:name="_Toc16487897"/>
      <w:bookmarkStart w:id="1" w:name="_Toc42673191"/>
      <w:bookmarkStart w:id="2" w:name="_Toc42759415"/>
      <w:r w:rsidRPr="00B64CA9">
        <w:rPr>
          <w:rFonts w:ascii="Arial" w:hAnsi="Arial" w:cs="Arial"/>
          <w:b/>
          <w:sz w:val="20"/>
          <w:szCs w:val="20"/>
        </w:rPr>
        <w:t>Table 1</w:t>
      </w:r>
      <w:r w:rsidRPr="00B64CA9">
        <w:rPr>
          <w:rFonts w:ascii="Arial" w:hAnsi="Arial" w:cs="Arial"/>
          <w:b/>
          <w:sz w:val="20"/>
          <w:szCs w:val="20"/>
        </w:rPr>
        <w:tab/>
      </w:r>
      <w:r w:rsidRPr="00B64CA9">
        <w:rPr>
          <w:rFonts w:ascii="Arial" w:hAnsi="Arial" w:cs="Arial"/>
          <w:b/>
          <w:sz w:val="20"/>
          <w:szCs w:val="20"/>
        </w:rPr>
        <w:tab/>
        <w:t>Recommended dose of Cosentyx for paediatric plaque psoriasis</w:t>
      </w:r>
      <w:bookmarkEnd w:id="0"/>
      <w:bookmarkEnd w:id="1"/>
      <w:bookmarkEnd w:id="2"/>
    </w:p>
    <w:tbl>
      <w:tblPr>
        <w:tblW w:w="6663" w:type="dxa"/>
        <w:jc w:val="center"/>
        <w:tblCellMar>
          <w:left w:w="0" w:type="dxa"/>
          <w:right w:w="0" w:type="dxa"/>
        </w:tblCellMar>
        <w:tblLook w:val="04A0" w:firstRow="1" w:lastRow="0" w:firstColumn="1" w:lastColumn="0" w:noHBand="0" w:noVBand="1"/>
      </w:tblPr>
      <w:tblGrid>
        <w:gridCol w:w="2977"/>
        <w:gridCol w:w="3686"/>
      </w:tblGrid>
      <w:tr w:rsidR="001B6303" w:rsidRPr="00B64CA9" w14:paraId="025D2583" w14:textId="77777777" w:rsidTr="005A26F4">
        <w:trPr>
          <w:trHeight w:val="193"/>
          <w:jc w:val="center"/>
        </w:trPr>
        <w:tc>
          <w:tcPr>
            <w:tcW w:w="297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1A209"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b/>
                <w:bCs/>
                <w:sz w:val="18"/>
                <w:szCs w:val="18"/>
                <w:lang w:eastAsia="zh-CN"/>
              </w:rPr>
              <w:t>Body weight at time of dosing</w:t>
            </w:r>
          </w:p>
        </w:tc>
        <w:tc>
          <w:tcPr>
            <w:tcW w:w="368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E20817"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b/>
                <w:bCs/>
                <w:sz w:val="18"/>
                <w:szCs w:val="18"/>
                <w:lang w:eastAsia="zh-CN"/>
              </w:rPr>
              <w:t>Recommended Dose</w:t>
            </w:r>
          </w:p>
        </w:tc>
      </w:tr>
      <w:tr w:rsidR="001B6303" w:rsidRPr="00B64CA9" w14:paraId="098EFFD7" w14:textId="77777777" w:rsidTr="005A26F4">
        <w:trPr>
          <w:trHeight w:val="398"/>
          <w:jc w:val="center"/>
        </w:trPr>
        <w:tc>
          <w:tcPr>
            <w:tcW w:w="297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4CD2F"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t>&lt;25</w:t>
            </w:r>
            <w:r w:rsidRPr="00B64CA9">
              <w:rPr>
                <w:rFonts w:ascii="Arial" w:eastAsia="MS Mincho" w:hAnsi="Arial" w:cs="Arial"/>
                <w:sz w:val="24"/>
                <w:lang w:eastAsia="zh-CN"/>
              </w:rPr>
              <w:t> </w:t>
            </w:r>
            <w:r w:rsidRPr="00B64CA9">
              <w:rPr>
                <w:rFonts w:ascii="Arial" w:eastAsia="MS Mincho" w:hAnsi="Arial" w:cs="Arial"/>
                <w:sz w:val="18"/>
                <w:szCs w:val="18"/>
                <w:lang w:eastAsia="zh-CN"/>
              </w:rPr>
              <w:t>kg</w:t>
            </w:r>
          </w:p>
        </w:tc>
        <w:tc>
          <w:tcPr>
            <w:tcW w:w="368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05F90"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t>75</w:t>
            </w:r>
            <w:r w:rsidRPr="00B64CA9">
              <w:rPr>
                <w:rFonts w:ascii="Arial" w:eastAsia="MS Mincho" w:hAnsi="Arial" w:cs="Arial"/>
                <w:sz w:val="24"/>
                <w:lang w:eastAsia="zh-CN"/>
              </w:rPr>
              <w:t> </w:t>
            </w:r>
            <w:r w:rsidRPr="00B64CA9">
              <w:rPr>
                <w:rFonts w:ascii="Arial" w:eastAsia="MS Mincho" w:hAnsi="Arial" w:cs="Arial"/>
                <w:sz w:val="18"/>
                <w:szCs w:val="18"/>
                <w:lang w:eastAsia="zh-CN"/>
              </w:rPr>
              <w:t>mg</w:t>
            </w:r>
          </w:p>
        </w:tc>
      </w:tr>
      <w:tr w:rsidR="001B6303" w:rsidRPr="00B64CA9" w14:paraId="3E373AFF" w14:textId="77777777" w:rsidTr="005A26F4">
        <w:trPr>
          <w:trHeight w:val="398"/>
          <w:jc w:val="center"/>
        </w:trPr>
        <w:tc>
          <w:tcPr>
            <w:tcW w:w="297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F99D91"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t>25 to &lt;50</w:t>
            </w:r>
            <w:r w:rsidRPr="00B64CA9">
              <w:rPr>
                <w:rFonts w:ascii="Arial" w:eastAsia="MS Mincho" w:hAnsi="Arial" w:cs="Arial"/>
                <w:sz w:val="24"/>
                <w:lang w:eastAsia="zh-CN"/>
              </w:rPr>
              <w:t> </w:t>
            </w:r>
            <w:r w:rsidRPr="00B64CA9">
              <w:rPr>
                <w:rFonts w:ascii="Arial" w:eastAsia="MS Mincho" w:hAnsi="Arial" w:cs="Arial"/>
                <w:sz w:val="18"/>
                <w:szCs w:val="18"/>
                <w:lang w:eastAsia="zh-CN"/>
              </w:rPr>
              <w:t>kg</w:t>
            </w:r>
          </w:p>
        </w:tc>
        <w:tc>
          <w:tcPr>
            <w:tcW w:w="368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1EA1EF"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t>75</w:t>
            </w:r>
            <w:r w:rsidRPr="00B64CA9">
              <w:rPr>
                <w:rFonts w:ascii="Arial" w:eastAsia="MS Mincho" w:hAnsi="Arial" w:cs="Arial"/>
                <w:sz w:val="24"/>
                <w:lang w:eastAsia="zh-CN"/>
              </w:rPr>
              <w:t> </w:t>
            </w:r>
            <w:r w:rsidRPr="00B64CA9">
              <w:rPr>
                <w:rFonts w:ascii="Arial" w:eastAsia="MS Mincho" w:hAnsi="Arial" w:cs="Arial"/>
                <w:sz w:val="18"/>
                <w:szCs w:val="18"/>
                <w:lang w:eastAsia="zh-CN"/>
              </w:rPr>
              <w:t>mg (*may be increased to 150</w:t>
            </w:r>
            <w:r w:rsidRPr="00B64CA9">
              <w:rPr>
                <w:rFonts w:ascii="Arial" w:eastAsia="MS Mincho" w:hAnsi="Arial" w:cs="Arial"/>
                <w:sz w:val="24"/>
                <w:lang w:eastAsia="zh-CN"/>
              </w:rPr>
              <w:t> </w:t>
            </w:r>
            <w:r w:rsidRPr="00B64CA9">
              <w:rPr>
                <w:rFonts w:ascii="Arial" w:eastAsia="MS Mincho" w:hAnsi="Arial" w:cs="Arial"/>
                <w:sz w:val="18"/>
                <w:szCs w:val="18"/>
                <w:lang w:eastAsia="zh-CN"/>
              </w:rPr>
              <w:t>mg)</w:t>
            </w:r>
          </w:p>
        </w:tc>
      </w:tr>
      <w:tr w:rsidR="001B6303" w:rsidRPr="00B64CA9" w14:paraId="0E8B1021" w14:textId="77777777" w:rsidTr="005A26F4">
        <w:trPr>
          <w:trHeight w:val="398"/>
          <w:jc w:val="center"/>
        </w:trPr>
        <w:tc>
          <w:tcPr>
            <w:tcW w:w="297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DF1523"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lastRenderedPageBreak/>
              <w:t>≥50</w:t>
            </w:r>
            <w:r w:rsidRPr="00B64CA9">
              <w:rPr>
                <w:rFonts w:ascii="Arial" w:eastAsia="MS Mincho" w:hAnsi="Arial" w:cs="Arial"/>
                <w:sz w:val="24"/>
                <w:lang w:eastAsia="zh-CN"/>
              </w:rPr>
              <w:t> </w:t>
            </w:r>
            <w:r w:rsidRPr="00B64CA9">
              <w:rPr>
                <w:rFonts w:ascii="Arial" w:eastAsia="MS Mincho" w:hAnsi="Arial" w:cs="Arial"/>
                <w:sz w:val="18"/>
                <w:szCs w:val="18"/>
                <w:lang w:eastAsia="zh-CN"/>
              </w:rPr>
              <w:t>kg</w:t>
            </w:r>
          </w:p>
        </w:tc>
        <w:tc>
          <w:tcPr>
            <w:tcW w:w="368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3ACB02" w14:textId="77777777" w:rsidR="001B6303" w:rsidRPr="00B64CA9" w:rsidRDefault="001B6303" w:rsidP="005A26F4">
            <w:pPr>
              <w:spacing w:before="120" w:after="0" w:line="240" w:lineRule="auto"/>
              <w:jc w:val="both"/>
              <w:rPr>
                <w:rFonts w:ascii="Arial" w:eastAsia="MS Mincho" w:hAnsi="Arial" w:cs="Arial"/>
                <w:sz w:val="18"/>
                <w:szCs w:val="18"/>
                <w:lang w:eastAsia="zh-CN"/>
              </w:rPr>
            </w:pPr>
            <w:r w:rsidRPr="00B64CA9">
              <w:rPr>
                <w:rFonts w:ascii="Arial" w:eastAsia="MS Mincho" w:hAnsi="Arial" w:cs="Arial"/>
                <w:sz w:val="18"/>
                <w:szCs w:val="18"/>
                <w:lang w:eastAsia="zh-CN"/>
              </w:rPr>
              <w:t>150</w:t>
            </w:r>
            <w:r w:rsidRPr="00B64CA9">
              <w:rPr>
                <w:rFonts w:ascii="Arial" w:eastAsia="MS Mincho" w:hAnsi="Arial" w:cs="Arial"/>
                <w:sz w:val="24"/>
                <w:lang w:eastAsia="zh-CN"/>
              </w:rPr>
              <w:t> </w:t>
            </w:r>
            <w:r w:rsidRPr="00B64CA9">
              <w:rPr>
                <w:rFonts w:ascii="Arial" w:eastAsia="MS Mincho" w:hAnsi="Arial" w:cs="Arial"/>
                <w:sz w:val="18"/>
                <w:szCs w:val="18"/>
                <w:lang w:eastAsia="zh-CN"/>
              </w:rPr>
              <w:t>mg (*may be increased to 300</w:t>
            </w:r>
            <w:r w:rsidRPr="00B64CA9">
              <w:rPr>
                <w:rFonts w:ascii="Arial" w:eastAsia="MS Mincho" w:hAnsi="Arial" w:cs="Arial"/>
                <w:sz w:val="24"/>
                <w:lang w:eastAsia="zh-CN"/>
              </w:rPr>
              <w:t> </w:t>
            </w:r>
            <w:r w:rsidRPr="00B64CA9">
              <w:rPr>
                <w:rFonts w:ascii="Arial" w:eastAsia="MS Mincho" w:hAnsi="Arial" w:cs="Arial"/>
                <w:sz w:val="18"/>
                <w:szCs w:val="18"/>
                <w:lang w:eastAsia="zh-CN"/>
              </w:rPr>
              <w:t>mg)</w:t>
            </w:r>
          </w:p>
        </w:tc>
      </w:tr>
      <w:tr w:rsidR="001B6303" w:rsidRPr="00B64CA9" w14:paraId="14CBAA7E" w14:textId="77777777" w:rsidTr="005A26F4">
        <w:trPr>
          <w:trHeight w:val="398"/>
          <w:jc w:val="center"/>
        </w:trPr>
        <w:tc>
          <w:tcPr>
            <w:tcW w:w="6663" w:type="dxa"/>
            <w:gridSpan w:val="2"/>
            <w:tcBorders>
              <w:top w:val="single" w:sz="4" w:space="0" w:color="auto"/>
            </w:tcBorders>
            <w:tcMar>
              <w:top w:w="15" w:type="dxa"/>
              <w:left w:w="108" w:type="dxa"/>
              <w:bottom w:w="0" w:type="dxa"/>
              <w:right w:w="108" w:type="dxa"/>
            </w:tcMar>
            <w:vAlign w:val="center"/>
          </w:tcPr>
          <w:p w14:paraId="07F673F8" w14:textId="77777777" w:rsidR="001B6303" w:rsidRPr="00B64CA9" w:rsidRDefault="001B6303" w:rsidP="005A26F4">
            <w:pPr>
              <w:spacing w:before="120" w:after="0" w:line="240" w:lineRule="auto"/>
              <w:jc w:val="both"/>
              <w:rPr>
                <w:rFonts w:ascii="Arial" w:eastAsia="MS Mincho" w:hAnsi="Arial" w:cs="Arial"/>
                <w:i/>
                <w:sz w:val="16"/>
                <w:szCs w:val="18"/>
                <w:lang w:eastAsia="zh-CN"/>
              </w:rPr>
            </w:pPr>
            <w:r w:rsidRPr="00B64CA9">
              <w:rPr>
                <w:rFonts w:ascii="Arial" w:eastAsia="MS Mincho" w:hAnsi="Arial" w:cs="Arial"/>
                <w:i/>
                <w:sz w:val="16"/>
                <w:szCs w:val="18"/>
                <w:lang w:eastAsia="zh-CN"/>
              </w:rPr>
              <w:t>*Some patients may derive additional benefit from the higher dose.</w:t>
            </w:r>
          </w:p>
        </w:tc>
      </w:tr>
    </w:tbl>
    <w:p w14:paraId="64585C7E" w14:textId="77777777" w:rsidR="001B6303" w:rsidRPr="00B64CA9" w:rsidRDefault="001B6303" w:rsidP="0081558E">
      <w:pPr>
        <w:jc w:val="both"/>
        <w:rPr>
          <w:rFonts w:cs="Arial"/>
        </w:rPr>
      </w:pPr>
    </w:p>
    <w:p w14:paraId="2CE13ADF"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 xml:space="preserve">Psoriatic arthritis </w:t>
      </w:r>
    </w:p>
    <w:p w14:paraId="579C4278" w14:textId="77777777" w:rsidR="008A42F5" w:rsidRPr="00B64CA9" w:rsidRDefault="008A42F5" w:rsidP="0081558E">
      <w:pPr>
        <w:jc w:val="both"/>
        <w:rPr>
          <w:rFonts w:cs="Arial"/>
        </w:rPr>
      </w:pPr>
      <w:r w:rsidRPr="00B64CA9">
        <w:rPr>
          <w:rFonts w:cs="Arial"/>
        </w:rPr>
        <w:t xml:space="preserve">The recommended dose is 150 mg by subcutaneous injection with initial dosing at Weeks 0, 1, 2, 3, and 4 followed by the same dose every month. </w:t>
      </w:r>
      <w:r w:rsidR="00253D7C" w:rsidRPr="00B64CA9">
        <w:rPr>
          <w:rFonts w:cs="Arial"/>
        </w:rPr>
        <w:t>Based on clinical response, the dose can be increased to 300 mg.</w:t>
      </w:r>
    </w:p>
    <w:p w14:paraId="20AEDE0C" w14:textId="77777777" w:rsidR="001A25E7" w:rsidRPr="00B64CA9" w:rsidRDefault="001A25E7" w:rsidP="0081558E">
      <w:pPr>
        <w:jc w:val="both"/>
        <w:rPr>
          <w:rFonts w:cs="Arial"/>
        </w:rPr>
      </w:pPr>
      <w:r w:rsidRPr="00B64CA9">
        <w:rPr>
          <w:rFonts w:cs="Arial"/>
        </w:rPr>
        <w:t>For patients with concomitant moderate to severe plaque psoriasis,</w:t>
      </w:r>
      <w:r w:rsidR="00447E85" w:rsidRPr="00B64CA9">
        <w:rPr>
          <w:rFonts w:cs="Arial"/>
        </w:rPr>
        <w:t xml:space="preserve"> please refer to adult plaque psoriasis recommendation</w:t>
      </w:r>
      <w:r w:rsidRPr="00B64CA9">
        <w:rPr>
          <w:rFonts w:cs="Arial"/>
        </w:rPr>
        <w:t>.</w:t>
      </w:r>
    </w:p>
    <w:p w14:paraId="6F892DC6" w14:textId="77777777" w:rsidR="008A42F5" w:rsidRPr="00B64CA9" w:rsidRDefault="008A42F5" w:rsidP="0081558E">
      <w:pPr>
        <w:jc w:val="both"/>
        <w:rPr>
          <w:rFonts w:cs="Arial"/>
        </w:rPr>
      </w:pPr>
      <w:r w:rsidRPr="00B64CA9">
        <w:rPr>
          <w:rFonts w:cs="Arial"/>
        </w:rPr>
        <w:t xml:space="preserve">For patients who are anti-TNF-alpha inadequate responders (IR), the recommended dose is 300 mg by subcutaneous injection with initial dosing at Weeks 0, 1, 2, 3, and 4 followed by the same dose every month. Each 300 mg dose is given </w:t>
      </w:r>
      <w:r w:rsidR="00906A4A" w:rsidRPr="00B64CA9">
        <w:rPr>
          <w:rFonts w:cs="Arial"/>
        </w:rPr>
        <w:t xml:space="preserve">as one subcutaneous injection of 300 mg or </w:t>
      </w:r>
      <w:r w:rsidRPr="00B64CA9">
        <w:rPr>
          <w:rFonts w:cs="Arial"/>
        </w:rPr>
        <w:t>as two subcutaneous injections of 150 mg.</w:t>
      </w:r>
    </w:p>
    <w:p w14:paraId="7CAE06B4" w14:textId="77777777" w:rsidR="008A42F5" w:rsidRPr="00B64CA9" w:rsidRDefault="008A42F5" w:rsidP="0081558E">
      <w:pPr>
        <w:jc w:val="both"/>
        <w:rPr>
          <w:rFonts w:cs="Arial"/>
        </w:rPr>
      </w:pPr>
      <w:r w:rsidRPr="00B64CA9">
        <w:rPr>
          <w:rFonts w:cs="Arial"/>
        </w:rPr>
        <w:t>COSENTYX may be administered with or without methotrexate.</w:t>
      </w:r>
    </w:p>
    <w:p w14:paraId="3B44184F" w14:textId="77777777" w:rsidR="00D926FD" w:rsidRPr="00B64CA9" w:rsidRDefault="00D926FD" w:rsidP="002D07A3">
      <w:pPr>
        <w:pStyle w:val="Nottoc-headings"/>
        <w:spacing w:after="120" w:line="276" w:lineRule="auto"/>
        <w:rPr>
          <w:rFonts w:asciiTheme="majorHAnsi" w:hAnsiTheme="majorHAnsi" w:cstheme="minorHAnsi"/>
          <w:b/>
        </w:rPr>
      </w:pPr>
      <w:r w:rsidRPr="00B64CA9">
        <w:rPr>
          <w:rFonts w:asciiTheme="majorHAnsi" w:eastAsiaTheme="minorHAnsi" w:hAnsiTheme="majorHAnsi" w:cstheme="minorHAnsi"/>
          <w:b/>
          <w:sz w:val="22"/>
          <w:szCs w:val="22"/>
          <w:lang w:bidi="ar-SA"/>
        </w:rPr>
        <w:t xml:space="preserve">Axial </w:t>
      </w:r>
      <w:proofErr w:type="spellStart"/>
      <w:r w:rsidRPr="00B64CA9">
        <w:rPr>
          <w:rFonts w:asciiTheme="majorHAnsi" w:eastAsiaTheme="minorHAnsi" w:hAnsiTheme="majorHAnsi" w:cstheme="minorHAnsi"/>
          <w:b/>
          <w:sz w:val="22"/>
          <w:szCs w:val="22"/>
          <w:lang w:bidi="ar-SA"/>
        </w:rPr>
        <w:t>spondyloarthritis</w:t>
      </w:r>
      <w:proofErr w:type="spellEnd"/>
    </w:p>
    <w:p w14:paraId="3E655E59" w14:textId="77777777" w:rsidR="008A42F5" w:rsidRPr="00B64CA9" w:rsidRDefault="008A42F5" w:rsidP="002D07A3">
      <w:pPr>
        <w:spacing w:after="120"/>
        <w:jc w:val="both"/>
        <w:rPr>
          <w:rFonts w:asciiTheme="majorHAnsi" w:hAnsiTheme="majorHAnsi" w:cstheme="minorHAnsi"/>
          <w:b/>
        </w:rPr>
      </w:pPr>
      <w:r w:rsidRPr="00B64CA9">
        <w:rPr>
          <w:rFonts w:asciiTheme="majorHAnsi" w:hAnsiTheme="majorHAnsi" w:cstheme="minorHAnsi"/>
          <w:b/>
        </w:rPr>
        <w:t>Ankylosing spondylitis</w:t>
      </w:r>
    </w:p>
    <w:p w14:paraId="51E15964" w14:textId="77777777" w:rsidR="008A42F5" w:rsidRPr="00B64CA9" w:rsidRDefault="008A42F5" w:rsidP="002D07A3">
      <w:pPr>
        <w:spacing w:after="120"/>
        <w:jc w:val="both"/>
        <w:rPr>
          <w:rFonts w:cs="Arial"/>
        </w:rPr>
      </w:pPr>
      <w:r w:rsidRPr="00B64CA9">
        <w:rPr>
          <w:rFonts w:cs="Arial"/>
        </w:rPr>
        <w:t xml:space="preserve">The recommended dose is 150 mg by subcutaneous injection with initial dosing at Weeks 0, 1, 2, 3, and 4 followed by </w:t>
      </w:r>
      <w:r w:rsidR="00253D7C" w:rsidRPr="00B64CA9">
        <w:rPr>
          <w:rFonts w:cs="Arial"/>
        </w:rPr>
        <w:t>the same dose every month</w:t>
      </w:r>
      <w:r w:rsidRPr="00B64CA9">
        <w:rPr>
          <w:rFonts w:cs="Arial"/>
        </w:rPr>
        <w:t>.</w:t>
      </w:r>
      <w:r w:rsidR="000329BE" w:rsidRPr="00B64CA9">
        <w:rPr>
          <w:rFonts w:cs="Arial"/>
        </w:rPr>
        <w:t xml:space="preserve"> </w:t>
      </w:r>
      <w:r w:rsidRPr="00B64CA9">
        <w:rPr>
          <w:rFonts w:cs="Arial"/>
        </w:rPr>
        <w:t xml:space="preserve"> </w:t>
      </w:r>
      <w:r w:rsidR="000329BE" w:rsidRPr="00B64CA9">
        <w:rPr>
          <w:rFonts w:cs="Arial"/>
        </w:rPr>
        <w:t xml:space="preserve">Based on clinical response, the dose can be increased to 300 mg.  Each 300 mg dose is given </w:t>
      </w:r>
      <w:r w:rsidR="00906A4A" w:rsidRPr="00B64CA9">
        <w:rPr>
          <w:rFonts w:cs="Arial"/>
        </w:rPr>
        <w:t xml:space="preserve">as one subcutaneous injection of 300 mg or </w:t>
      </w:r>
      <w:r w:rsidR="000329BE" w:rsidRPr="00B64CA9">
        <w:rPr>
          <w:rFonts w:cs="Arial"/>
        </w:rPr>
        <w:t>as two subcutaneous injections of 150 mg.</w:t>
      </w:r>
    </w:p>
    <w:p w14:paraId="4D2F4218" w14:textId="77777777" w:rsidR="00D926FD" w:rsidRPr="00B64CA9" w:rsidRDefault="00D926FD" w:rsidP="002D07A3">
      <w:pPr>
        <w:pStyle w:val="Nottoc-headings"/>
        <w:spacing w:after="120" w:line="276" w:lineRule="auto"/>
        <w:rPr>
          <w:rFonts w:asciiTheme="majorHAnsi" w:eastAsiaTheme="minorHAnsi" w:hAnsiTheme="majorHAnsi" w:cstheme="minorHAnsi"/>
          <w:b/>
          <w:sz w:val="22"/>
          <w:szCs w:val="22"/>
          <w:lang w:bidi="ar-SA"/>
        </w:rPr>
      </w:pPr>
      <w:r w:rsidRPr="00B64CA9">
        <w:rPr>
          <w:rFonts w:asciiTheme="majorHAnsi" w:eastAsiaTheme="minorHAnsi" w:hAnsiTheme="majorHAnsi" w:cstheme="minorHAnsi"/>
          <w:b/>
          <w:sz w:val="22"/>
          <w:szCs w:val="22"/>
          <w:lang w:bidi="ar-SA"/>
        </w:rPr>
        <w:t xml:space="preserve">Non-radiographic axial </w:t>
      </w:r>
      <w:proofErr w:type="spellStart"/>
      <w:r w:rsidRPr="00B64CA9">
        <w:rPr>
          <w:rFonts w:asciiTheme="majorHAnsi" w:eastAsiaTheme="minorHAnsi" w:hAnsiTheme="majorHAnsi" w:cstheme="minorHAnsi"/>
          <w:b/>
          <w:sz w:val="22"/>
          <w:szCs w:val="22"/>
          <w:lang w:bidi="ar-SA"/>
        </w:rPr>
        <w:t>spondyloarthritis</w:t>
      </w:r>
      <w:proofErr w:type="spellEnd"/>
    </w:p>
    <w:p w14:paraId="29077AB9" w14:textId="77777777" w:rsidR="00B95A3F" w:rsidRPr="00B64CA9" w:rsidRDefault="00D0095D" w:rsidP="002D07A3">
      <w:pPr>
        <w:spacing w:after="120"/>
        <w:jc w:val="both"/>
        <w:rPr>
          <w:rFonts w:cs="Arial"/>
        </w:rPr>
      </w:pPr>
      <w:r w:rsidRPr="00B64CA9">
        <w:rPr>
          <w:rFonts w:cs="Arial"/>
          <w:u w:val="single"/>
        </w:rPr>
        <w:t>With a loading dose:</w:t>
      </w:r>
      <w:r w:rsidRPr="00B64CA9">
        <w:rPr>
          <w:rFonts w:cs="Arial"/>
        </w:rPr>
        <w:t xml:space="preserve"> </w:t>
      </w:r>
      <w:r w:rsidR="00D926FD" w:rsidRPr="00B64CA9">
        <w:rPr>
          <w:rFonts w:cs="Arial"/>
        </w:rPr>
        <w:t xml:space="preserve">The recommended dose is 150 mg by subcutaneous injection with initial dosing at Weeks 0, 1, 2, 3, and 4 followed by </w:t>
      </w:r>
      <w:r w:rsidR="0056614B" w:rsidRPr="00B64CA9">
        <w:rPr>
          <w:rFonts w:cs="Arial"/>
        </w:rPr>
        <w:t xml:space="preserve">the same dose every </w:t>
      </w:r>
      <w:r w:rsidR="00D926FD" w:rsidRPr="00B64CA9">
        <w:rPr>
          <w:rFonts w:cs="Arial"/>
        </w:rPr>
        <w:t>month.</w:t>
      </w:r>
    </w:p>
    <w:p w14:paraId="1EFBC32E" w14:textId="77777777" w:rsidR="00D926FD" w:rsidRPr="00B64CA9" w:rsidRDefault="00B95A3F" w:rsidP="002D07A3">
      <w:pPr>
        <w:spacing w:after="120"/>
        <w:jc w:val="both"/>
        <w:rPr>
          <w:rFonts w:cs="Arial"/>
        </w:rPr>
      </w:pPr>
      <w:r w:rsidRPr="00B64CA9">
        <w:rPr>
          <w:rFonts w:cs="Arial"/>
          <w:u w:val="single"/>
        </w:rPr>
        <w:t>Without a loading dose:</w:t>
      </w:r>
      <w:r w:rsidRPr="00B64CA9">
        <w:rPr>
          <w:rFonts w:cs="Arial"/>
        </w:rPr>
        <w:t xml:space="preserve"> The recommended dose is 150 mg by subcutaneous injection every month.</w:t>
      </w:r>
    </w:p>
    <w:p w14:paraId="3B7B897D"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Assessment Prior to Initiation of COSENTYX</w:t>
      </w:r>
    </w:p>
    <w:p w14:paraId="0D5648B8" w14:textId="77777777" w:rsidR="008A42F5" w:rsidRPr="00B64CA9" w:rsidRDefault="008A42F5" w:rsidP="0081558E">
      <w:pPr>
        <w:jc w:val="both"/>
        <w:rPr>
          <w:rFonts w:cs="Arial"/>
        </w:rPr>
      </w:pPr>
      <w:r w:rsidRPr="00B64CA9">
        <w:rPr>
          <w:rFonts w:cs="Arial"/>
        </w:rPr>
        <w:t xml:space="preserve">Evaluate patients for tuberculosis (TB) infection prior to initiating treatment with COSENTYX </w:t>
      </w:r>
      <w:r w:rsidRPr="00B64CA9">
        <w:rPr>
          <w:rFonts w:cs="Arial"/>
          <w:iCs/>
        </w:rPr>
        <w:t xml:space="preserve">(see </w:t>
      </w:r>
      <w:r w:rsidR="008302EB" w:rsidRPr="00B64CA9">
        <w:rPr>
          <w:rFonts w:cs="Arial"/>
          <w:iCs/>
        </w:rPr>
        <w:t xml:space="preserve">section 4.4. SPECIAL WARNINGS AND </w:t>
      </w:r>
      <w:r w:rsidRPr="00B64CA9">
        <w:rPr>
          <w:rFonts w:cs="Arial"/>
          <w:iCs/>
        </w:rPr>
        <w:t>PRECAUTIONS</w:t>
      </w:r>
      <w:r w:rsidR="008302EB" w:rsidRPr="00B64CA9">
        <w:rPr>
          <w:rFonts w:cs="Arial"/>
          <w:iCs/>
        </w:rPr>
        <w:t xml:space="preserve"> FOR USE</w:t>
      </w:r>
      <w:r w:rsidRPr="00B64CA9">
        <w:rPr>
          <w:rFonts w:cs="Arial"/>
          <w:iCs/>
        </w:rPr>
        <w:t>)</w:t>
      </w:r>
    </w:p>
    <w:p w14:paraId="4230792F"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Special populations</w:t>
      </w:r>
    </w:p>
    <w:p w14:paraId="58A5DEB5"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Patients with renal or hepatic impairment</w:t>
      </w:r>
    </w:p>
    <w:p w14:paraId="6E5DAF66" w14:textId="77777777" w:rsidR="008A42F5" w:rsidRPr="00B64CA9" w:rsidRDefault="008A42F5" w:rsidP="0081558E">
      <w:pPr>
        <w:jc w:val="both"/>
        <w:rPr>
          <w:rFonts w:cs="Arial"/>
        </w:rPr>
      </w:pPr>
      <w:r w:rsidRPr="00B64CA9">
        <w:rPr>
          <w:rFonts w:cs="Arial"/>
        </w:rPr>
        <w:t>COSENTYX has not been specifically studied in these patient populations. No dose recommendations can be made.</w:t>
      </w:r>
    </w:p>
    <w:p w14:paraId="1B1EE09B"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Paediatric and adolescent patients</w:t>
      </w:r>
    </w:p>
    <w:p w14:paraId="0A9B5A3A" w14:textId="77777777" w:rsidR="008A42F5" w:rsidRPr="00B64CA9" w:rsidRDefault="008A42F5" w:rsidP="0081558E">
      <w:pPr>
        <w:jc w:val="both"/>
        <w:rPr>
          <w:rFonts w:cs="Arial"/>
        </w:rPr>
      </w:pPr>
      <w:r w:rsidRPr="00B64CA9">
        <w:rPr>
          <w:rFonts w:cs="Arial"/>
        </w:rPr>
        <w:t xml:space="preserve">Safety and effectiveness in </w:t>
      </w:r>
      <w:r w:rsidR="00906A4A" w:rsidRPr="00B64CA9">
        <w:rPr>
          <w:rFonts w:cs="Arial"/>
        </w:rPr>
        <w:t xml:space="preserve">paediatric </w:t>
      </w:r>
      <w:r w:rsidRPr="00B64CA9">
        <w:rPr>
          <w:rFonts w:cs="Arial"/>
        </w:rPr>
        <w:t xml:space="preserve">patients </w:t>
      </w:r>
      <w:r w:rsidR="00906A4A" w:rsidRPr="00B64CA9">
        <w:rPr>
          <w:rFonts w:cs="Arial"/>
        </w:rPr>
        <w:t xml:space="preserve">with plaque psoriasis </w:t>
      </w:r>
      <w:r w:rsidRPr="00B64CA9">
        <w:rPr>
          <w:rFonts w:cs="Arial"/>
        </w:rPr>
        <w:t xml:space="preserve">below the age of </w:t>
      </w:r>
      <w:r w:rsidR="00906A4A" w:rsidRPr="00B64CA9">
        <w:rPr>
          <w:rFonts w:cs="Arial"/>
        </w:rPr>
        <w:t>6</w:t>
      </w:r>
      <w:r w:rsidRPr="00B64CA9">
        <w:rPr>
          <w:rFonts w:cs="Arial"/>
        </w:rPr>
        <w:t xml:space="preserve"> years have not yet been established. </w:t>
      </w:r>
    </w:p>
    <w:p w14:paraId="04E1143A" w14:textId="77777777" w:rsidR="00906A4A" w:rsidRPr="00B64CA9" w:rsidRDefault="00906A4A" w:rsidP="00906A4A">
      <w:pPr>
        <w:jc w:val="both"/>
        <w:rPr>
          <w:rFonts w:cs="Arial"/>
        </w:rPr>
      </w:pPr>
      <w:r w:rsidRPr="00B64CA9">
        <w:rPr>
          <w:rFonts w:cs="Arial"/>
        </w:rPr>
        <w:lastRenderedPageBreak/>
        <w:t xml:space="preserve">Safety and effectiveness in paediatric patients below the age of 18 years in other indications have not yet been established.  </w:t>
      </w:r>
    </w:p>
    <w:p w14:paraId="49D1AE8A"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Elderly patients (≥ 65 years of age)</w:t>
      </w:r>
    </w:p>
    <w:p w14:paraId="0C21CA30" w14:textId="77777777" w:rsidR="008A42F5" w:rsidRPr="00B64CA9" w:rsidRDefault="008A42F5" w:rsidP="0081558E">
      <w:pPr>
        <w:jc w:val="both"/>
        <w:rPr>
          <w:rFonts w:cs="Arial"/>
        </w:rPr>
      </w:pPr>
      <w:r w:rsidRPr="00B64CA9">
        <w:rPr>
          <w:rFonts w:cs="Arial"/>
        </w:rPr>
        <w:t>No dose adjustment is needed for elderly patients.</w:t>
      </w:r>
    </w:p>
    <w:p w14:paraId="0756560D" w14:textId="77777777" w:rsidR="008A42F5" w:rsidRPr="00B64CA9" w:rsidRDefault="008A42F5" w:rsidP="0081558E">
      <w:pPr>
        <w:spacing w:after="0"/>
        <w:jc w:val="both"/>
        <w:rPr>
          <w:rFonts w:asciiTheme="majorHAnsi" w:hAnsiTheme="majorHAnsi" w:cstheme="minorHAnsi"/>
          <w:b/>
          <w:u w:val="single"/>
        </w:rPr>
      </w:pPr>
      <w:r w:rsidRPr="00B64CA9">
        <w:rPr>
          <w:rFonts w:asciiTheme="majorHAnsi" w:hAnsiTheme="majorHAnsi" w:cstheme="minorHAnsi"/>
          <w:b/>
          <w:u w:val="single"/>
        </w:rPr>
        <w:t>Administration</w:t>
      </w:r>
    </w:p>
    <w:p w14:paraId="162FF68F" w14:textId="77777777" w:rsidR="00353978" w:rsidRPr="00B64CA9" w:rsidRDefault="008A42F5" w:rsidP="002D07A3">
      <w:pPr>
        <w:jc w:val="both"/>
        <w:rPr>
          <w:rFonts w:asciiTheme="majorHAnsi" w:hAnsiTheme="majorHAnsi" w:cstheme="minorHAnsi"/>
          <w:b/>
        </w:rPr>
      </w:pPr>
      <w:r w:rsidRPr="00B64CA9">
        <w:rPr>
          <w:rFonts w:cs="Arial"/>
        </w:rPr>
        <w:t>The product is for single use in one patient only. Discard any residue.</w:t>
      </w:r>
      <w:r w:rsidR="00AB2973" w:rsidRPr="00B64CA9">
        <w:rPr>
          <w:rFonts w:cs="Arial"/>
        </w:rPr>
        <w:t xml:space="preserve"> </w:t>
      </w:r>
    </w:p>
    <w:p w14:paraId="49128A84"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Powder for injection</w:t>
      </w:r>
    </w:p>
    <w:p w14:paraId="6758B721" w14:textId="77777777" w:rsidR="008A42F5" w:rsidRPr="00B64CA9" w:rsidRDefault="008A42F5" w:rsidP="0081558E">
      <w:pPr>
        <w:jc w:val="both"/>
        <w:rPr>
          <w:rFonts w:cs="Arial"/>
        </w:rPr>
      </w:pPr>
      <w:r w:rsidRPr="00B64CA9">
        <w:rPr>
          <w:rFonts w:cs="Arial"/>
        </w:rPr>
        <w:t>COSENTYX is administered by subcutaneous injection. Each vial of COSENTYX must be reconstituted with 1 mL of sterile water for injections to obtain a 150 mg/mL solution. The powder for injection should be administered by healthcare professionals only.</w:t>
      </w:r>
    </w:p>
    <w:p w14:paraId="51764A46" w14:textId="77777777" w:rsidR="008A42F5" w:rsidRPr="00B64CA9" w:rsidRDefault="008A42F5" w:rsidP="00EB2484">
      <w:pPr>
        <w:spacing w:after="0"/>
        <w:jc w:val="both"/>
        <w:rPr>
          <w:rFonts w:asciiTheme="majorHAnsi" w:hAnsiTheme="majorHAnsi" w:cstheme="minorHAnsi"/>
          <w:b/>
        </w:rPr>
      </w:pPr>
      <w:r w:rsidRPr="00B64CA9">
        <w:rPr>
          <w:rFonts w:asciiTheme="majorHAnsi" w:hAnsiTheme="majorHAnsi" w:cstheme="minorHAnsi"/>
          <w:b/>
        </w:rPr>
        <w:t>Prefilled syringe and pre-filled pen</w:t>
      </w:r>
    </w:p>
    <w:p w14:paraId="420C3EBD" w14:textId="77777777" w:rsidR="008A42F5" w:rsidRPr="00B64CA9" w:rsidRDefault="008A42F5" w:rsidP="0081558E">
      <w:pPr>
        <w:jc w:val="both"/>
        <w:rPr>
          <w:rFonts w:cs="Arial"/>
        </w:rPr>
      </w:pPr>
      <w:r w:rsidRPr="00B64CA9">
        <w:rPr>
          <w:rFonts w:cs="Arial"/>
        </w:rPr>
        <w:t xml:space="preserve">COSENTYX is administered by subcutaneous injection. If possible, areas of the skin that show psoriasis should be avoided as injection sites. </w:t>
      </w:r>
    </w:p>
    <w:p w14:paraId="6ACFB44C" w14:textId="77777777" w:rsidR="008A42F5" w:rsidRPr="00B64CA9" w:rsidRDefault="008A42F5" w:rsidP="0081558E">
      <w:pPr>
        <w:jc w:val="both"/>
        <w:rPr>
          <w:rFonts w:cs="Arial"/>
        </w:rPr>
      </w:pPr>
      <w:r w:rsidRPr="00B64CA9">
        <w:rPr>
          <w:rFonts w:cs="Arial"/>
        </w:rPr>
        <w:t xml:space="preserve">Before injection, </w:t>
      </w:r>
      <w:proofErr w:type="spellStart"/>
      <w:r w:rsidRPr="00B64CA9">
        <w:rPr>
          <w:rFonts w:cs="Arial"/>
        </w:rPr>
        <w:t>secukinumab</w:t>
      </w:r>
      <w:proofErr w:type="spellEnd"/>
      <w:r w:rsidRPr="00B64CA9">
        <w:rPr>
          <w:rFonts w:cs="Arial"/>
        </w:rPr>
        <w:t xml:space="preserve"> may be allowed to reach room temperature (20 minutes) without removing the needle cap during this time.</w:t>
      </w:r>
    </w:p>
    <w:p w14:paraId="3D44A712" w14:textId="77777777" w:rsidR="008A42F5" w:rsidRPr="00B64CA9" w:rsidRDefault="008A42F5" w:rsidP="0081558E">
      <w:pPr>
        <w:jc w:val="both"/>
        <w:rPr>
          <w:rFonts w:cs="Arial"/>
        </w:rPr>
      </w:pPr>
      <w:r w:rsidRPr="00B64CA9">
        <w:rPr>
          <w:rFonts w:cs="Arial"/>
        </w:rPr>
        <w:t>Prior to administration, the liquid must be checked whether it is clear and colourless. The solution should not be used if discoloured, or cloudy, or if foreign particles are present.</w:t>
      </w:r>
    </w:p>
    <w:p w14:paraId="0DCA20E7" w14:textId="77777777" w:rsidR="008A42F5" w:rsidRPr="00B64CA9" w:rsidRDefault="008A42F5" w:rsidP="0081558E">
      <w:pPr>
        <w:jc w:val="both"/>
        <w:rPr>
          <w:rFonts w:cs="Arial"/>
        </w:rPr>
      </w:pPr>
      <w:r w:rsidRPr="00B64CA9">
        <w:rPr>
          <w:rFonts w:cs="Arial"/>
        </w:rPr>
        <w:t xml:space="preserve">After proper training in subcutaneous injection technique, patients </w:t>
      </w:r>
      <w:r w:rsidR="00906A4A" w:rsidRPr="00B64CA9">
        <w:rPr>
          <w:rFonts w:cstheme="minorHAnsi"/>
        </w:rPr>
        <w:t>≥ 12 years old</w:t>
      </w:r>
      <w:r w:rsidR="00906A4A" w:rsidRPr="00B64CA9">
        <w:rPr>
          <w:rFonts w:cs="Arial"/>
        </w:rPr>
        <w:t xml:space="preserve"> </w:t>
      </w:r>
      <w:r w:rsidRPr="00B64CA9">
        <w:rPr>
          <w:rFonts w:cs="Arial"/>
        </w:rPr>
        <w:t xml:space="preserve">may self-inject COSENTYX </w:t>
      </w:r>
      <w:r w:rsidR="00906A4A" w:rsidRPr="00B64CA9">
        <w:rPr>
          <w:rFonts w:cs="Arial"/>
        </w:rPr>
        <w:t xml:space="preserve">or, for all patients </w:t>
      </w:r>
      <w:r w:rsidR="00906A4A" w:rsidRPr="00B64CA9">
        <w:rPr>
          <w:rFonts w:cstheme="minorHAnsi"/>
        </w:rPr>
        <w:t>≥</w:t>
      </w:r>
      <w:r w:rsidR="00906A4A" w:rsidRPr="00B64CA9">
        <w:rPr>
          <w:rFonts w:cs="Arial"/>
        </w:rPr>
        <w:t xml:space="preserve"> 6 years old, the injection may be given by a caregiver </w:t>
      </w:r>
      <w:r w:rsidRPr="00B64CA9">
        <w:rPr>
          <w:rFonts w:cs="Arial"/>
        </w:rPr>
        <w:t>if a physician determines that it is appropriate. However, the physician should ensure appropriate follow-up of patients. Patients</w:t>
      </w:r>
      <w:r w:rsidR="00906A4A" w:rsidRPr="00B64CA9">
        <w:rPr>
          <w:rFonts w:cs="Arial"/>
        </w:rPr>
        <w:t xml:space="preserve"> and/or caregivers</w:t>
      </w:r>
      <w:r w:rsidRPr="00B64CA9">
        <w:rPr>
          <w:rFonts w:cs="Arial"/>
        </w:rPr>
        <w:t xml:space="preserve"> should be instructed to inject the full amount of COSENTYX according to the instructions provided in the package leaflet. Comprehensive instructions for administration are given in the package leaflet.</w:t>
      </w:r>
    </w:p>
    <w:p w14:paraId="1E5CFCB6" w14:textId="77777777" w:rsidR="00906A4A" w:rsidRPr="00B64CA9" w:rsidRDefault="00906A4A" w:rsidP="00906A4A">
      <w:pPr>
        <w:spacing w:after="0"/>
        <w:jc w:val="both"/>
        <w:rPr>
          <w:rFonts w:cs="Arial"/>
        </w:rPr>
      </w:pPr>
      <w:r w:rsidRPr="00B64CA9">
        <w:rPr>
          <w:i/>
        </w:rPr>
        <w:t>Pre-filled syringe</w:t>
      </w:r>
      <w:r w:rsidRPr="00B64CA9">
        <w:rPr>
          <w:rFonts w:cs="Arial"/>
        </w:rPr>
        <w:t xml:space="preserve"> </w:t>
      </w:r>
    </w:p>
    <w:p w14:paraId="70578DD5" w14:textId="77777777" w:rsidR="00906A4A" w:rsidRPr="00B64CA9" w:rsidRDefault="00906A4A" w:rsidP="00906A4A">
      <w:pPr>
        <w:jc w:val="both"/>
        <w:rPr>
          <w:rFonts w:cs="Arial"/>
        </w:rPr>
      </w:pPr>
      <w:r w:rsidRPr="00B64CA9">
        <w:rPr>
          <w:rFonts w:cs="Arial"/>
        </w:rPr>
        <w:t xml:space="preserve">For patients receiving the 75 mg dose, the 75 mg/0.5 mL pre-filled syringe should be used.  The intended injection sites for the 75 mg/0.5 mL pre-filled syringe are lower abdomen and front of the thighs (excluding the area 5 centimetres around the navel) or the upper outer arms if a caregiver is giving the injection, and the needle should be inserted at 45 degrees to the skin. </w:t>
      </w:r>
    </w:p>
    <w:p w14:paraId="69E91BAA" w14:textId="77777777" w:rsidR="00906A4A" w:rsidRPr="00B64CA9" w:rsidRDefault="00906A4A" w:rsidP="00906A4A">
      <w:pPr>
        <w:jc w:val="both"/>
      </w:pPr>
      <w:r w:rsidRPr="00B64CA9">
        <w:t xml:space="preserve">The intended injection sites for the 150 mg/1 mL and 300 mg/2 mL pre-filled syringe are front of the thighs or lower abdomen (excluding the area 5 centimetres around the navel) or the outer upper arms if a caregiver is giving the injection, and the needle should be inserted at a </w:t>
      </w:r>
      <w:proofErr w:type="gramStart"/>
      <w:r w:rsidRPr="00B64CA9">
        <w:t>45 degree</w:t>
      </w:r>
      <w:proofErr w:type="gramEnd"/>
      <w:r w:rsidRPr="00B64CA9">
        <w:t xml:space="preserve"> angle to the skin.</w:t>
      </w:r>
    </w:p>
    <w:p w14:paraId="2ED72931" w14:textId="77777777" w:rsidR="00906A4A" w:rsidRPr="00B64CA9" w:rsidRDefault="00906A4A" w:rsidP="00906A4A">
      <w:pPr>
        <w:spacing w:after="0"/>
        <w:jc w:val="both"/>
        <w:rPr>
          <w:i/>
        </w:rPr>
      </w:pPr>
      <w:r w:rsidRPr="00B64CA9">
        <w:rPr>
          <w:i/>
        </w:rPr>
        <w:t xml:space="preserve">Pre-filled pen </w:t>
      </w:r>
    </w:p>
    <w:p w14:paraId="0F540DE0" w14:textId="77777777" w:rsidR="00906A4A" w:rsidRPr="00B64CA9" w:rsidRDefault="00906A4A" w:rsidP="0081558E">
      <w:pPr>
        <w:jc w:val="both"/>
        <w:rPr>
          <w:sz w:val="24"/>
        </w:rPr>
      </w:pPr>
      <w:r w:rsidRPr="00B64CA9">
        <w:t xml:space="preserve">The intended injection sites for the 150 mg/1 mL and 300 mg/2 mL pre-filled pen are front of the thighs or lower abdomen (excluding the area 5 centimetres around the navel) or the outer upper arms if a caregiver is giving the injection, and the needle should be inserted at a </w:t>
      </w:r>
      <w:proofErr w:type="gramStart"/>
      <w:r w:rsidRPr="00B64CA9">
        <w:t>90 degree</w:t>
      </w:r>
      <w:proofErr w:type="gramEnd"/>
      <w:r w:rsidRPr="00B64CA9">
        <w:t xml:space="preserve"> angle to the skin.</w:t>
      </w:r>
    </w:p>
    <w:p w14:paraId="26A51262" w14:textId="77777777" w:rsidR="001A3992" w:rsidRPr="00B64CA9" w:rsidRDefault="001A3992" w:rsidP="00290F28">
      <w:pPr>
        <w:pStyle w:val="Heading2"/>
        <w:pageBreakBefore/>
        <w:spacing w:before="0" w:after="120"/>
        <w:ind w:left="578" w:hanging="578"/>
        <w:jc w:val="both"/>
        <w:rPr>
          <w:rFonts w:cstheme="minorHAnsi"/>
        </w:rPr>
      </w:pPr>
      <w:r w:rsidRPr="00B64CA9">
        <w:rPr>
          <w:rFonts w:cstheme="minorHAnsi"/>
        </w:rPr>
        <w:lastRenderedPageBreak/>
        <w:t>Contraindications</w:t>
      </w:r>
    </w:p>
    <w:p w14:paraId="25BF026F" w14:textId="77777777" w:rsidR="008A42F5" w:rsidRPr="00B64CA9" w:rsidRDefault="008A42F5" w:rsidP="0081558E">
      <w:pPr>
        <w:jc w:val="both"/>
        <w:rPr>
          <w:rFonts w:cs="Arial"/>
        </w:rPr>
      </w:pPr>
      <w:r w:rsidRPr="00B64CA9">
        <w:rPr>
          <w:rFonts w:cs="Arial"/>
        </w:rPr>
        <w:t xml:space="preserve">Severe hypersensitivity reactions to the active substance or to any of the excipients (see ingredients in </w:t>
      </w:r>
      <w:r w:rsidR="008302EB" w:rsidRPr="00B64CA9">
        <w:rPr>
          <w:rFonts w:cs="Arial"/>
        </w:rPr>
        <w:t>section 6.1 LIST OF EXCIPIENTS</w:t>
      </w:r>
      <w:r w:rsidRPr="00B64CA9">
        <w:rPr>
          <w:rFonts w:cs="Arial"/>
        </w:rPr>
        <w:t xml:space="preserve">, and </w:t>
      </w:r>
      <w:r w:rsidR="008302EB" w:rsidRPr="00B64CA9">
        <w:rPr>
          <w:rFonts w:cs="Arial"/>
        </w:rPr>
        <w:t xml:space="preserve">section 4.8 </w:t>
      </w:r>
      <w:r w:rsidRPr="00B64CA9">
        <w:rPr>
          <w:rFonts w:cs="Arial"/>
        </w:rPr>
        <w:t>ADVERSE EFFECTS).</w:t>
      </w:r>
    </w:p>
    <w:p w14:paraId="2BCD2515" w14:textId="77777777" w:rsidR="008A42F5" w:rsidRPr="00B64CA9" w:rsidRDefault="008A42F5" w:rsidP="0081558E">
      <w:pPr>
        <w:jc w:val="both"/>
        <w:rPr>
          <w:sz w:val="24"/>
        </w:rPr>
      </w:pPr>
      <w:r w:rsidRPr="00B64CA9">
        <w:rPr>
          <w:rFonts w:cs="Arial"/>
        </w:rPr>
        <w:t xml:space="preserve">Clinically important, active infections (see </w:t>
      </w:r>
      <w:r w:rsidR="008302EB" w:rsidRPr="00B64CA9">
        <w:rPr>
          <w:rFonts w:cs="Arial"/>
        </w:rPr>
        <w:t xml:space="preserve">section 4.4 </w:t>
      </w:r>
      <w:r w:rsidR="008302EB" w:rsidRPr="00B64CA9">
        <w:rPr>
          <w:rFonts w:cs="Arial"/>
          <w:iCs/>
        </w:rPr>
        <w:t>SPECIAL WARNINGS AND PRECAUTIONS FOR USE</w:t>
      </w:r>
      <w:r w:rsidRPr="00B64CA9">
        <w:rPr>
          <w:rFonts w:cs="Arial"/>
        </w:rPr>
        <w:t>).</w:t>
      </w:r>
    </w:p>
    <w:p w14:paraId="7814586A" w14:textId="77777777" w:rsidR="001A3992" w:rsidRPr="00B64CA9" w:rsidRDefault="00E74A56" w:rsidP="002D07A3">
      <w:pPr>
        <w:pStyle w:val="Heading2"/>
        <w:spacing w:before="0" w:after="120"/>
        <w:ind w:left="578" w:hanging="578"/>
        <w:jc w:val="both"/>
        <w:rPr>
          <w:rFonts w:cstheme="minorHAnsi"/>
        </w:rPr>
      </w:pPr>
      <w:r w:rsidRPr="00B64CA9">
        <w:rPr>
          <w:rFonts w:cstheme="minorHAnsi"/>
        </w:rPr>
        <w:t>Special warnings and p</w:t>
      </w:r>
      <w:r w:rsidR="001A3992" w:rsidRPr="00B64CA9">
        <w:rPr>
          <w:rFonts w:cstheme="minorHAnsi"/>
        </w:rPr>
        <w:t xml:space="preserve">recautions </w:t>
      </w:r>
      <w:r w:rsidRPr="00B64CA9">
        <w:rPr>
          <w:rFonts w:cstheme="minorHAnsi"/>
        </w:rPr>
        <w:t>for use</w:t>
      </w:r>
    </w:p>
    <w:p w14:paraId="3F90C6C8" w14:textId="77777777" w:rsidR="008A42F5" w:rsidRPr="00B64CA9" w:rsidRDefault="008A42F5" w:rsidP="0022141A">
      <w:pPr>
        <w:pStyle w:val="Heading3"/>
        <w:spacing w:before="0" w:after="120"/>
        <w:ind w:left="0"/>
        <w:jc w:val="both"/>
        <w:rPr>
          <w:rFonts w:cstheme="minorHAnsi"/>
        </w:rPr>
      </w:pPr>
      <w:r w:rsidRPr="00B64CA9">
        <w:rPr>
          <w:rFonts w:cstheme="minorHAnsi"/>
        </w:rPr>
        <w:t>Infections</w:t>
      </w:r>
    </w:p>
    <w:p w14:paraId="3026AC44" w14:textId="77777777" w:rsidR="008A42F5" w:rsidRPr="00B64CA9" w:rsidRDefault="008A42F5" w:rsidP="0022141A">
      <w:pPr>
        <w:jc w:val="both"/>
        <w:rPr>
          <w:rFonts w:eastAsia="MS Mincho" w:cs="Arial"/>
        </w:rPr>
      </w:pPr>
      <w:r w:rsidRPr="00B64CA9">
        <w:rPr>
          <w:rFonts w:eastAsia="MS Mincho" w:cs="Arial"/>
        </w:rPr>
        <w:t xml:space="preserve">COSENTYX has the potential to increase the risk of infections. In clinical studies, infections have been observed in patients receiving COSENTYX (see </w:t>
      </w:r>
      <w:r w:rsidR="008302EB" w:rsidRPr="00B64CA9">
        <w:rPr>
          <w:rFonts w:eastAsia="MS Mincho" w:cs="Arial"/>
        </w:rPr>
        <w:t xml:space="preserve">section 4.8 </w:t>
      </w:r>
      <w:r w:rsidRPr="00B64CA9">
        <w:rPr>
          <w:rFonts w:eastAsia="MS Mincho" w:cs="Arial"/>
        </w:rPr>
        <w:t>ADVERSE EFFECTS). Most of these were mild or moderate.</w:t>
      </w:r>
    </w:p>
    <w:p w14:paraId="56AB7CBA" w14:textId="77777777" w:rsidR="008A42F5" w:rsidRPr="00B64CA9" w:rsidRDefault="008A42F5" w:rsidP="0022141A">
      <w:pPr>
        <w:jc w:val="both"/>
        <w:rPr>
          <w:rFonts w:eastAsia="MS Mincho" w:cs="Arial"/>
        </w:rPr>
      </w:pPr>
      <w:r w:rsidRPr="00B64CA9">
        <w:rPr>
          <w:rFonts w:eastAsia="MS Mincho" w:cs="Arial"/>
        </w:rPr>
        <w:t xml:space="preserve">Related to the mechanism of action of COSENTYX, non-serious mucocutaneous candida infections were more frequently reported for </w:t>
      </w:r>
      <w:proofErr w:type="spellStart"/>
      <w:r w:rsidRPr="00B64CA9">
        <w:rPr>
          <w:rFonts w:eastAsia="MS Mincho" w:cs="Arial"/>
        </w:rPr>
        <w:t>secukinumab</w:t>
      </w:r>
      <w:proofErr w:type="spellEnd"/>
      <w:r w:rsidRPr="00B64CA9">
        <w:rPr>
          <w:rFonts w:eastAsia="MS Mincho" w:cs="Arial"/>
        </w:rPr>
        <w:t xml:space="preserve"> than placebo in the psoriasis clinical studies (3.55 per 100 patient years for </w:t>
      </w:r>
      <w:proofErr w:type="spellStart"/>
      <w:r w:rsidRPr="00B64CA9">
        <w:rPr>
          <w:rFonts w:eastAsia="MS Mincho" w:cs="Arial"/>
        </w:rPr>
        <w:t>secukinumab</w:t>
      </w:r>
      <w:proofErr w:type="spellEnd"/>
      <w:r w:rsidRPr="00B64CA9">
        <w:rPr>
          <w:rFonts w:eastAsia="MS Mincho" w:cs="Arial"/>
        </w:rPr>
        <w:t xml:space="preserve"> 300 mg versus 1.00 per 100 patient years for placebo) (see </w:t>
      </w:r>
      <w:r w:rsidR="008302EB" w:rsidRPr="00B64CA9">
        <w:rPr>
          <w:rFonts w:eastAsia="MS Mincho" w:cs="Arial"/>
        </w:rPr>
        <w:t>section 4.8 ADVERSE EFFECTS</w:t>
      </w:r>
      <w:r w:rsidRPr="00B64CA9">
        <w:rPr>
          <w:rFonts w:eastAsia="MS Mincho" w:cs="Arial"/>
        </w:rPr>
        <w:t xml:space="preserve">). </w:t>
      </w:r>
    </w:p>
    <w:p w14:paraId="0BDCC51D" w14:textId="77777777" w:rsidR="008A42F5" w:rsidRPr="00B64CA9" w:rsidRDefault="008A42F5" w:rsidP="0022141A">
      <w:pPr>
        <w:jc w:val="both"/>
        <w:rPr>
          <w:rFonts w:eastAsia="MS Mincho" w:cs="Arial"/>
        </w:rPr>
      </w:pPr>
      <w:r w:rsidRPr="00B64CA9">
        <w:rPr>
          <w:rFonts w:cs="Arial"/>
        </w:rPr>
        <w:t xml:space="preserve">A similar increase in risk of infection was seen in placebo-controlled trials in patients with psoriatic arthritis and </w:t>
      </w:r>
      <w:r w:rsidR="002E4CC9" w:rsidRPr="00B64CA9">
        <w:rPr>
          <w:rFonts w:cs="Arial"/>
        </w:rPr>
        <w:t xml:space="preserve">axial </w:t>
      </w:r>
      <w:proofErr w:type="spellStart"/>
      <w:r w:rsidR="002E4CC9" w:rsidRPr="00B64CA9">
        <w:rPr>
          <w:rFonts w:cs="Arial"/>
        </w:rPr>
        <w:t>spondyloarthritis</w:t>
      </w:r>
      <w:proofErr w:type="spellEnd"/>
      <w:r w:rsidRPr="00B64CA9">
        <w:rPr>
          <w:rFonts w:cs="Arial"/>
        </w:rPr>
        <w:t>. The incidence of some types of infections appeared to be dose-depende</w:t>
      </w:r>
      <w:r w:rsidR="00CC78C5" w:rsidRPr="00B64CA9">
        <w:rPr>
          <w:rFonts w:cs="Arial"/>
        </w:rPr>
        <w:t xml:space="preserve">nt in clinical studies (see </w:t>
      </w:r>
      <w:r w:rsidR="008302EB" w:rsidRPr="00B64CA9">
        <w:rPr>
          <w:rFonts w:cs="Arial"/>
        </w:rPr>
        <w:t>section 4.8 ADVERSE EFFECTS</w:t>
      </w:r>
      <w:r w:rsidR="00CC78C5" w:rsidRPr="00B64CA9">
        <w:rPr>
          <w:rFonts w:cs="Arial"/>
        </w:rPr>
        <w:t>).</w:t>
      </w:r>
    </w:p>
    <w:p w14:paraId="2F829F56" w14:textId="77777777" w:rsidR="008A42F5" w:rsidRPr="00B64CA9" w:rsidRDefault="008A42F5" w:rsidP="0022141A">
      <w:pPr>
        <w:jc w:val="both"/>
        <w:rPr>
          <w:rFonts w:eastAsia="MS Mincho" w:cs="Arial"/>
        </w:rPr>
      </w:pPr>
      <w:r w:rsidRPr="00B64CA9">
        <w:rPr>
          <w:rFonts w:eastAsia="MS Mincho" w:cs="Arial"/>
        </w:rPr>
        <w:t>Caution should be exercised when considering the use of COSENTYX in patients with a chronic infection or a history of recurrent infection.</w:t>
      </w:r>
    </w:p>
    <w:p w14:paraId="412769C1" w14:textId="77777777" w:rsidR="008A42F5" w:rsidRPr="00B64CA9" w:rsidRDefault="008A42F5" w:rsidP="0022141A">
      <w:pPr>
        <w:jc w:val="both"/>
        <w:rPr>
          <w:rFonts w:eastAsia="MS Mincho" w:cs="Arial"/>
        </w:rPr>
      </w:pPr>
      <w:r w:rsidRPr="00B64CA9">
        <w:rPr>
          <w:rFonts w:eastAsia="MS Mincho" w:cs="Arial"/>
        </w:rPr>
        <w:t>Patients should be instructed to seek medical advice if signs or symptoms suggestive of an infection occur. If a patient develops a serious infection, the patient should be closely monitored and COSENTYX should not be administered until the infection resolves.</w:t>
      </w:r>
    </w:p>
    <w:p w14:paraId="2010DDD8" w14:textId="77777777" w:rsidR="008A42F5" w:rsidRPr="00B64CA9" w:rsidRDefault="008A42F5" w:rsidP="0022141A">
      <w:pPr>
        <w:jc w:val="both"/>
        <w:rPr>
          <w:rFonts w:eastAsia="MS Mincho" w:cs="Arial"/>
        </w:rPr>
      </w:pPr>
      <w:r w:rsidRPr="00B64CA9">
        <w:rPr>
          <w:rFonts w:eastAsia="MS Mincho" w:cs="Arial"/>
        </w:rPr>
        <w:t>No increased susceptibility to tuberculosis was reported from clinical studies. However, COSENTYX should not be given to patients with active tuberculosis. Anti-tuberculosis therapy should be considered prior to initiation of COSENTYX in patients with latent tuberculosis.</w:t>
      </w:r>
    </w:p>
    <w:p w14:paraId="421B5AF2" w14:textId="77777777" w:rsidR="008A42F5" w:rsidRPr="00B64CA9" w:rsidRDefault="008A42F5" w:rsidP="0022141A">
      <w:pPr>
        <w:pStyle w:val="Heading3"/>
        <w:spacing w:before="0" w:after="120"/>
        <w:ind w:left="0"/>
        <w:jc w:val="both"/>
        <w:rPr>
          <w:rFonts w:cstheme="minorHAnsi"/>
        </w:rPr>
      </w:pPr>
      <w:r w:rsidRPr="00B64CA9">
        <w:rPr>
          <w:rFonts w:cstheme="minorHAnsi"/>
        </w:rPr>
        <w:t>Crohn’s disease</w:t>
      </w:r>
    </w:p>
    <w:p w14:paraId="2E7CC796" w14:textId="77777777" w:rsidR="008A42F5" w:rsidRPr="00B64CA9" w:rsidRDefault="008A42F5" w:rsidP="0022141A">
      <w:pPr>
        <w:jc w:val="both"/>
        <w:rPr>
          <w:rFonts w:eastAsia="MS Mincho" w:cs="Arial"/>
        </w:rPr>
      </w:pPr>
      <w:r w:rsidRPr="00B64CA9">
        <w:rPr>
          <w:rFonts w:eastAsia="MS Mincho" w:cs="Arial"/>
        </w:rPr>
        <w:t>Caution should be exercised, when prescribing COSENTYX to patients with inflammatory bowel disease.  Exacerbations, in some cases serious, occurred in</w:t>
      </w:r>
      <w:r w:rsidR="00671CE3" w:rsidRPr="00B64CA9">
        <w:rPr>
          <w:rFonts w:eastAsia="MS Mincho" w:cs="Arial"/>
        </w:rPr>
        <w:t xml:space="preserve"> </w:t>
      </w:r>
      <w:r w:rsidRPr="00B64CA9">
        <w:rPr>
          <w:rFonts w:eastAsia="MS Mincho" w:cs="Arial"/>
        </w:rPr>
        <w:t>COSENTYX</w:t>
      </w:r>
      <w:r w:rsidR="00671CE3" w:rsidRPr="00B64CA9">
        <w:rPr>
          <w:rFonts w:eastAsia="MS Mincho" w:cs="Arial"/>
        </w:rPr>
        <w:t xml:space="preserve"> </w:t>
      </w:r>
      <w:r w:rsidRPr="00B64CA9">
        <w:rPr>
          <w:rFonts w:eastAsia="MS Mincho" w:cs="Arial"/>
        </w:rPr>
        <w:t>treated patients during clinical trials in plaque psoriasis, psoriatic arthritis, and ankylosing spondylitis.  In addition, new onset inflammatory bowel disease cases</w:t>
      </w:r>
      <w:r w:rsidR="00671CE3" w:rsidRPr="00B64CA9">
        <w:rPr>
          <w:rFonts w:eastAsia="MS Mincho" w:cs="Arial"/>
        </w:rPr>
        <w:t xml:space="preserve"> </w:t>
      </w:r>
      <w:r w:rsidR="00564581" w:rsidRPr="00B64CA9">
        <w:rPr>
          <w:rFonts w:eastAsia="MS Mincho" w:cs="Arial"/>
        </w:rPr>
        <w:t xml:space="preserve">occurred in clinical trials with COSENTYX and </w:t>
      </w:r>
      <w:r w:rsidR="00671CE3" w:rsidRPr="00B64CA9">
        <w:rPr>
          <w:rFonts w:eastAsia="MS Mincho" w:cs="Arial"/>
        </w:rPr>
        <w:t>have been reported with post-marketing use</w:t>
      </w:r>
      <w:r w:rsidRPr="00B64CA9">
        <w:rPr>
          <w:rFonts w:eastAsia="MS Mincho" w:cs="Arial"/>
        </w:rPr>
        <w:t xml:space="preserve">.  </w:t>
      </w:r>
    </w:p>
    <w:p w14:paraId="04019EE3" w14:textId="77777777" w:rsidR="008A42F5" w:rsidRPr="00B64CA9" w:rsidRDefault="008A42F5" w:rsidP="0022141A">
      <w:pPr>
        <w:jc w:val="both"/>
        <w:rPr>
          <w:rFonts w:eastAsia="MS Mincho" w:cs="Arial"/>
        </w:rPr>
      </w:pPr>
      <w:r w:rsidRPr="00B64CA9">
        <w:rPr>
          <w:rFonts w:eastAsia="MS Mincho" w:cs="Arial"/>
        </w:rPr>
        <w:t>Patients who are treated with COSENTYX should be monitored for signs and symptoms of inflammatory bowel disease.</w:t>
      </w:r>
    </w:p>
    <w:p w14:paraId="4D391254" w14:textId="77777777" w:rsidR="008A42F5" w:rsidRPr="00B64CA9" w:rsidRDefault="008A42F5" w:rsidP="0022141A">
      <w:pPr>
        <w:pStyle w:val="Heading3"/>
        <w:spacing w:before="0" w:after="120"/>
        <w:ind w:left="0"/>
        <w:jc w:val="both"/>
        <w:rPr>
          <w:rFonts w:cstheme="minorHAnsi"/>
        </w:rPr>
      </w:pPr>
      <w:r w:rsidRPr="00B64CA9">
        <w:rPr>
          <w:rFonts w:cstheme="minorHAnsi"/>
        </w:rPr>
        <w:lastRenderedPageBreak/>
        <w:t>Hypersensitivity reactions</w:t>
      </w:r>
    </w:p>
    <w:p w14:paraId="2180EC45" w14:textId="77777777" w:rsidR="008A42F5" w:rsidRPr="00B64CA9" w:rsidRDefault="008A42F5" w:rsidP="0022141A">
      <w:pPr>
        <w:jc w:val="both"/>
        <w:rPr>
          <w:rFonts w:eastAsia="MS Mincho" w:cs="Arial"/>
        </w:rPr>
      </w:pPr>
      <w:r w:rsidRPr="00B64CA9">
        <w:rPr>
          <w:rFonts w:eastAsia="MS Mincho" w:cs="Arial"/>
        </w:rPr>
        <w:t>In clinical studies, rare cases of anaphylactic reactions have been observed in patients receiving COSENTYX. If an anaphylactic or other serious allergic reaction occurs, administration of COSENTYX should be discontinued immediately and appropriate therapy initiated.</w:t>
      </w:r>
    </w:p>
    <w:p w14:paraId="69F4DF0B" w14:textId="77777777" w:rsidR="008A42F5" w:rsidRPr="00B64CA9" w:rsidRDefault="008A42F5" w:rsidP="0022141A">
      <w:pPr>
        <w:pStyle w:val="Heading3"/>
        <w:spacing w:before="0" w:after="120"/>
        <w:ind w:left="0"/>
        <w:jc w:val="both"/>
        <w:rPr>
          <w:rFonts w:cstheme="minorHAnsi"/>
        </w:rPr>
      </w:pPr>
      <w:r w:rsidRPr="00B64CA9">
        <w:rPr>
          <w:rFonts w:cstheme="minorHAnsi"/>
        </w:rPr>
        <w:t xml:space="preserve">Latex-sensitive individuals – prefilled-syringe/pen only </w:t>
      </w:r>
    </w:p>
    <w:p w14:paraId="721D89E0" w14:textId="77777777" w:rsidR="008A42F5" w:rsidRPr="00B64CA9" w:rsidRDefault="008A42F5" w:rsidP="0022141A">
      <w:pPr>
        <w:jc w:val="both"/>
        <w:rPr>
          <w:rFonts w:eastAsia="MS Mincho" w:cs="Arial"/>
        </w:rPr>
      </w:pPr>
      <w:r w:rsidRPr="00B64CA9">
        <w:rPr>
          <w:rFonts w:eastAsia="MS Mincho" w:cs="Arial"/>
        </w:rPr>
        <w:t>The removable cap</w:t>
      </w:r>
      <w:r w:rsidR="00906A4A" w:rsidRPr="00B64CA9">
        <w:rPr>
          <w:rFonts w:eastAsia="MS Mincho" w:cs="Arial"/>
        </w:rPr>
        <w:t>s</w:t>
      </w:r>
      <w:r w:rsidRPr="00B64CA9">
        <w:rPr>
          <w:rFonts w:eastAsia="MS Mincho" w:cs="Arial"/>
        </w:rPr>
        <w:t xml:space="preserve"> of the COSENTYX </w:t>
      </w:r>
      <w:r w:rsidR="00906A4A" w:rsidRPr="00B64CA9">
        <w:rPr>
          <w:rFonts w:eastAsia="MS Mincho" w:cs="Arial"/>
        </w:rPr>
        <w:t xml:space="preserve">1 mL and 2 mL </w:t>
      </w:r>
      <w:r w:rsidRPr="00B64CA9">
        <w:rPr>
          <w:rFonts w:eastAsia="MS Mincho" w:cs="Arial"/>
        </w:rPr>
        <w:t>pre-filled syringe/pen</w:t>
      </w:r>
      <w:r w:rsidR="00906A4A" w:rsidRPr="00B64CA9">
        <w:rPr>
          <w:rFonts w:eastAsia="MS Mincho" w:cs="Arial"/>
        </w:rPr>
        <w:t>, and 0.5 mL pre-filled syringe,</w:t>
      </w:r>
      <w:r w:rsidRPr="00B64CA9">
        <w:rPr>
          <w:rFonts w:eastAsia="MS Mincho" w:cs="Arial"/>
        </w:rPr>
        <w:t xml:space="preserve"> contains a derivative of natural rubber latex. Although no natural rubber latex is detected in the cap, the safe use of COSENTYX pre-filled syringe/pen in latex-sensitive individuals has not been studied.</w:t>
      </w:r>
    </w:p>
    <w:p w14:paraId="723F5141" w14:textId="77777777" w:rsidR="008A42F5" w:rsidRPr="00B64CA9" w:rsidRDefault="008A42F5" w:rsidP="0022141A">
      <w:pPr>
        <w:pStyle w:val="Heading3"/>
        <w:spacing w:before="0" w:after="120"/>
        <w:ind w:left="0"/>
        <w:jc w:val="both"/>
        <w:rPr>
          <w:rFonts w:cstheme="minorHAnsi"/>
        </w:rPr>
      </w:pPr>
      <w:r w:rsidRPr="00B64CA9">
        <w:rPr>
          <w:rFonts w:cstheme="minorHAnsi"/>
        </w:rPr>
        <w:t>Vaccinations</w:t>
      </w:r>
    </w:p>
    <w:p w14:paraId="021D26A0" w14:textId="77777777" w:rsidR="008A42F5" w:rsidRPr="00B64CA9" w:rsidRDefault="008A42F5" w:rsidP="0022141A">
      <w:pPr>
        <w:jc w:val="both"/>
        <w:rPr>
          <w:rFonts w:eastAsia="MS Mincho" w:cs="Arial"/>
        </w:rPr>
      </w:pPr>
      <w:r w:rsidRPr="00B64CA9">
        <w:rPr>
          <w:rFonts w:eastAsia="MS Mincho" w:cs="Arial"/>
        </w:rPr>
        <w:t xml:space="preserve">Live vaccines should not be given concurrently with COSENTYX (see </w:t>
      </w:r>
      <w:r w:rsidR="008302EB" w:rsidRPr="00B64CA9">
        <w:rPr>
          <w:rFonts w:eastAsia="MS Mincho" w:cs="Arial"/>
        </w:rPr>
        <w:t xml:space="preserve">section 4.5 </w:t>
      </w:r>
      <w:r w:rsidRPr="00B64CA9">
        <w:rPr>
          <w:rFonts w:eastAsia="MS Mincho" w:cs="Arial"/>
        </w:rPr>
        <w:t xml:space="preserve">INTERACTIONS WITH OTHER MEDICINES). </w:t>
      </w:r>
    </w:p>
    <w:p w14:paraId="335F6CEA" w14:textId="77777777" w:rsidR="008A42F5" w:rsidRPr="00B64CA9" w:rsidRDefault="008A42F5" w:rsidP="0022141A">
      <w:pPr>
        <w:jc w:val="both"/>
        <w:rPr>
          <w:rFonts w:eastAsia="MS Mincho" w:cs="Arial"/>
        </w:rPr>
      </w:pPr>
      <w:r w:rsidRPr="00B64CA9">
        <w:rPr>
          <w:rFonts w:eastAsia="MS Mincho" w:cs="Arial"/>
        </w:rPr>
        <w:t xml:space="preserve">Patients treated with COSENTYX may receive vaccinations, except for live vaccines. In a study, after </w:t>
      </w:r>
      <w:r w:rsidRPr="00B64CA9">
        <w:rPr>
          <w:i/>
          <w:iCs/>
        </w:rPr>
        <w:t>meningococcal</w:t>
      </w:r>
      <w:r w:rsidRPr="00B64CA9">
        <w:rPr>
          <w:rFonts w:eastAsia="MS Mincho" w:cs="Arial"/>
        </w:rPr>
        <w:t xml:space="preserve"> and inactivated </w:t>
      </w:r>
      <w:r w:rsidRPr="00B64CA9">
        <w:rPr>
          <w:i/>
          <w:iCs/>
        </w:rPr>
        <w:t>influenza</w:t>
      </w:r>
      <w:r w:rsidRPr="00B64CA9">
        <w:rPr>
          <w:rFonts w:eastAsia="MS Mincho" w:cs="Arial"/>
        </w:rPr>
        <w:t xml:space="preserve"> vaccinations, a similar proportion of COSENTYX-treated and placebo-treated patients were able to mount an adequate immune response of at least a 4-fold increase in antibody titres to </w:t>
      </w:r>
      <w:r w:rsidRPr="00B64CA9">
        <w:rPr>
          <w:i/>
          <w:iCs/>
        </w:rPr>
        <w:t>meningococcal</w:t>
      </w:r>
      <w:r w:rsidRPr="00B64CA9">
        <w:rPr>
          <w:rFonts w:eastAsia="MS Mincho" w:cs="Arial"/>
        </w:rPr>
        <w:t xml:space="preserve"> or </w:t>
      </w:r>
      <w:r w:rsidRPr="00B64CA9">
        <w:rPr>
          <w:i/>
          <w:iCs/>
        </w:rPr>
        <w:t>influenza</w:t>
      </w:r>
      <w:r w:rsidRPr="00B64CA9">
        <w:rPr>
          <w:rFonts w:eastAsia="MS Mincho" w:cs="Arial"/>
        </w:rPr>
        <w:t xml:space="preserve"> </w:t>
      </w:r>
      <w:r w:rsidRPr="00B64CA9">
        <w:rPr>
          <w:rFonts w:eastAsia="MS Mincho"/>
        </w:rPr>
        <w:t>vaccines</w:t>
      </w:r>
      <w:r w:rsidRPr="00B64CA9">
        <w:rPr>
          <w:rFonts w:eastAsia="MS Mincho" w:cs="Arial"/>
        </w:rPr>
        <w:t xml:space="preserve">. The data suggest that COSENTYX does not suppress the humoral immune response to the meningococcal and influenza vaccines. </w:t>
      </w:r>
    </w:p>
    <w:p w14:paraId="6EE22DF7" w14:textId="77777777" w:rsidR="008A42F5" w:rsidRPr="00B64CA9" w:rsidRDefault="008A42F5" w:rsidP="0022141A">
      <w:pPr>
        <w:jc w:val="both"/>
        <w:rPr>
          <w:rFonts w:eastAsia="MS Mincho" w:cs="Arial"/>
        </w:rPr>
      </w:pPr>
      <w:r w:rsidRPr="00B64CA9">
        <w:rPr>
          <w:rFonts w:eastAsia="MS Mincho" w:cs="Arial"/>
        </w:rPr>
        <w:t>Patients receiving COSENTYX may receive concurrent inactivated or non-live vaccinations.</w:t>
      </w:r>
    </w:p>
    <w:p w14:paraId="760A4F38" w14:textId="77777777" w:rsidR="00906A4A" w:rsidRPr="00B64CA9" w:rsidRDefault="00906A4A" w:rsidP="00906A4A">
      <w:pPr>
        <w:jc w:val="both"/>
        <w:rPr>
          <w:rFonts w:eastAsia="MS Mincho" w:cs="Arial"/>
        </w:rPr>
      </w:pPr>
      <w:r w:rsidRPr="00B64CA9">
        <w:rPr>
          <w:rFonts w:eastAsia="MS Mincho" w:cs="Arial"/>
        </w:rPr>
        <w:t>Prior to initiating therapy with COSENTYX, it is recommended that paediatric patients receive all age-appropriate immunisations as per current immunisation guidelines.</w:t>
      </w:r>
    </w:p>
    <w:p w14:paraId="048E062B" w14:textId="77777777" w:rsidR="001A3992" w:rsidRPr="00B64CA9" w:rsidRDefault="001A3992" w:rsidP="0022141A">
      <w:pPr>
        <w:pStyle w:val="Heading3"/>
        <w:spacing w:before="0" w:after="120"/>
        <w:ind w:left="0"/>
        <w:jc w:val="both"/>
        <w:rPr>
          <w:rFonts w:cstheme="minorHAnsi"/>
        </w:rPr>
      </w:pPr>
      <w:r w:rsidRPr="00B64CA9">
        <w:rPr>
          <w:rFonts w:cstheme="minorHAnsi"/>
        </w:rPr>
        <w:t>Use in hepatic impairment</w:t>
      </w:r>
    </w:p>
    <w:p w14:paraId="578F459C" w14:textId="77777777" w:rsidR="008A42F5" w:rsidRPr="00B64CA9" w:rsidRDefault="008A42F5" w:rsidP="0022141A">
      <w:pPr>
        <w:jc w:val="both"/>
        <w:rPr>
          <w:rFonts w:eastAsia="MS Mincho" w:cs="Arial"/>
        </w:rPr>
      </w:pPr>
      <w:r w:rsidRPr="00B64CA9">
        <w:rPr>
          <w:rFonts w:eastAsia="MS Mincho" w:cs="Arial"/>
        </w:rPr>
        <w:t>No data are available in patients with hepatic impairment.</w:t>
      </w:r>
    </w:p>
    <w:p w14:paraId="2E6E4F09" w14:textId="77777777" w:rsidR="001A3992" w:rsidRPr="00B64CA9" w:rsidRDefault="001A3992" w:rsidP="0022141A">
      <w:pPr>
        <w:pStyle w:val="Heading3"/>
        <w:spacing w:before="0" w:after="120"/>
        <w:ind w:left="0"/>
        <w:jc w:val="both"/>
        <w:rPr>
          <w:rFonts w:cstheme="minorHAnsi"/>
        </w:rPr>
      </w:pPr>
      <w:r w:rsidRPr="00B64CA9">
        <w:rPr>
          <w:rFonts w:cstheme="minorHAnsi"/>
        </w:rPr>
        <w:t xml:space="preserve">Use in renal </w:t>
      </w:r>
      <w:r w:rsidR="00EB2484" w:rsidRPr="00B64CA9">
        <w:rPr>
          <w:rFonts w:cstheme="minorHAnsi"/>
        </w:rPr>
        <w:t>impairment</w:t>
      </w:r>
    </w:p>
    <w:p w14:paraId="58DACC2F" w14:textId="77777777" w:rsidR="008A42F5" w:rsidRPr="00B64CA9" w:rsidRDefault="008A42F5" w:rsidP="0022141A">
      <w:pPr>
        <w:jc w:val="both"/>
        <w:rPr>
          <w:rFonts w:eastAsia="MS Mincho" w:cs="Arial"/>
        </w:rPr>
      </w:pPr>
      <w:r w:rsidRPr="00B64CA9">
        <w:rPr>
          <w:rFonts w:eastAsia="MS Mincho" w:cs="Arial"/>
        </w:rPr>
        <w:t>No data are available in patients with renal impairment.</w:t>
      </w:r>
    </w:p>
    <w:p w14:paraId="5CD7FE97" w14:textId="77777777" w:rsidR="001A3992" w:rsidRPr="00B64CA9" w:rsidRDefault="001A3992" w:rsidP="0022141A">
      <w:pPr>
        <w:pStyle w:val="Heading3"/>
        <w:spacing w:before="0" w:after="120"/>
        <w:ind w:left="0"/>
        <w:jc w:val="both"/>
        <w:rPr>
          <w:rFonts w:cstheme="minorHAnsi"/>
        </w:rPr>
      </w:pPr>
      <w:r w:rsidRPr="00B64CA9">
        <w:rPr>
          <w:rFonts w:cstheme="minorHAnsi"/>
        </w:rPr>
        <w:t>Use in the elderly</w:t>
      </w:r>
    </w:p>
    <w:p w14:paraId="654EC6B0" w14:textId="77777777" w:rsidR="008A42F5" w:rsidRPr="00B64CA9" w:rsidRDefault="008A42F5" w:rsidP="0022141A">
      <w:pPr>
        <w:jc w:val="both"/>
        <w:rPr>
          <w:rFonts w:eastAsia="MS Mincho" w:cs="Arial"/>
        </w:rPr>
      </w:pPr>
      <w:r w:rsidRPr="00B64CA9">
        <w:rPr>
          <w:rFonts w:eastAsia="MS Mincho" w:cs="Arial"/>
        </w:rPr>
        <w:t>Based on population PK analysis, clearance in patients aged 65 and older (n=230) and patients less than 65 years of age was similar.</w:t>
      </w:r>
    </w:p>
    <w:p w14:paraId="1A2933FE" w14:textId="77777777" w:rsidR="001A3992" w:rsidRPr="00B64CA9" w:rsidRDefault="001A3992" w:rsidP="0022141A">
      <w:pPr>
        <w:pStyle w:val="Heading3"/>
        <w:spacing w:before="0" w:after="120"/>
        <w:ind w:left="0"/>
        <w:jc w:val="both"/>
        <w:rPr>
          <w:rFonts w:cstheme="minorHAnsi"/>
        </w:rPr>
      </w:pPr>
      <w:r w:rsidRPr="00B64CA9">
        <w:rPr>
          <w:rFonts w:cstheme="minorHAnsi"/>
        </w:rPr>
        <w:t>Paediatric use</w:t>
      </w:r>
    </w:p>
    <w:p w14:paraId="39BC59E3" w14:textId="77777777" w:rsidR="008A42F5" w:rsidRPr="00B64CA9" w:rsidRDefault="008A42F5" w:rsidP="0022141A">
      <w:pPr>
        <w:jc w:val="both"/>
        <w:rPr>
          <w:rFonts w:eastAsia="MS Mincho" w:cs="Arial"/>
        </w:rPr>
      </w:pPr>
      <w:r w:rsidRPr="00B64CA9">
        <w:rPr>
          <w:rFonts w:eastAsia="MS Mincho" w:cs="Arial"/>
        </w:rPr>
        <w:t xml:space="preserve">Safety and effectiveness in </w:t>
      </w:r>
      <w:r w:rsidR="00906A4A" w:rsidRPr="00B64CA9">
        <w:rPr>
          <w:rFonts w:eastAsia="MS Mincho" w:cs="Arial"/>
        </w:rPr>
        <w:t xml:space="preserve">paediatric </w:t>
      </w:r>
      <w:r w:rsidRPr="00B64CA9">
        <w:rPr>
          <w:rFonts w:eastAsia="MS Mincho" w:cs="Arial"/>
        </w:rPr>
        <w:t xml:space="preserve">patients </w:t>
      </w:r>
      <w:r w:rsidR="00906A4A" w:rsidRPr="00B64CA9">
        <w:rPr>
          <w:rFonts w:eastAsia="MS Mincho" w:cs="Arial"/>
        </w:rPr>
        <w:t xml:space="preserve">with plaque psoriasis </w:t>
      </w:r>
      <w:r w:rsidRPr="00B64CA9">
        <w:rPr>
          <w:rFonts w:eastAsia="MS Mincho" w:cs="Arial"/>
        </w:rPr>
        <w:t xml:space="preserve">below the age of </w:t>
      </w:r>
      <w:r w:rsidR="00906A4A" w:rsidRPr="00B64CA9">
        <w:rPr>
          <w:rFonts w:eastAsia="MS Mincho" w:cs="Arial"/>
        </w:rPr>
        <w:t>6</w:t>
      </w:r>
      <w:r w:rsidRPr="00B64CA9">
        <w:rPr>
          <w:rFonts w:eastAsia="MS Mincho" w:cs="Arial"/>
        </w:rPr>
        <w:t xml:space="preserve"> years have not yet been established.</w:t>
      </w:r>
    </w:p>
    <w:p w14:paraId="09D11F4D" w14:textId="77777777" w:rsidR="00906A4A" w:rsidRPr="00B64CA9" w:rsidRDefault="00906A4A" w:rsidP="0022141A">
      <w:pPr>
        <w:jc w:val="both"/>
        <w:rPr>
          <w:rFonts w:eastAsia="MS Mincho" w:cs="Arial"/>
        </w:rPr>
      </w:pPr>
      <w:r w:rsidRPr="00B64CA9">
        <w:rPr>
          <w:rFonts w:eastAsia="MS Mincho" w:cs="Arial"/>
        </w:rPr>
        <w:t>Safety and effectiveness in paediatric patients below the age of 18 years in other indications have not yet been established.</w:t>
      </w:r>
    </w:p>
    <w:p w14:paraId="36AA8B8A" w14:textId="77777777" w:rsidR="001A3992" w:rsidRPr="00B64CA9" w:rsidRDefault="001A3992" w:rsidP="0022141A">
      <w:pPr>
        <w:pStyle w:val="Heading3"/>
        <w:spacing w:before="0" w:after="120"/>
        <w:ind w:left="0"/>
        <w:jc w:val="both"/>
        <w:rPr>
          <w:rFonts w:cstheme="minorHAnsi"/>
        </w:rPr>
      </w:pPr>
      <w:r w:rsidRPr="00B64CA9">
        <w:rPr>
          <w:rFonts w:cstheme="minorHAnsi"/>
        </w:rPr>
        <w:lastRenderedPageBreak/>
        <w:t>Effects on laboratory tests</w:t>
      </w:r>
    </w:p>
    <w:p w14:paraId="47B7FA4F" w14:textId="77777777" w:rsidR="008A42F5" w:rsidRPr="00B64CA9" w:rsidRDefault="008A42F5" w:rsidP="0022141A">
      <w:pPr>
        <w:jc w:val="both"/>
        <w:rPr>
          <w:rFonts w:eastAsia="MS Mincho" w:cs="Arial"/>
        </w:rPr>
      </w:pPr>
      <w:r w:rsidRPr="00B64CA9">
        <w:rPr>
          <w:rFonts w:eastAsia="MS Mincho" w:cs="Arial"/>
        </w:rPr>
        <w:t>There is no known interference between COSENTYX and routine laboratory tests.</w:t>
      </w:r>
    </w:p>
    <w:p w14:paraId="780A85FB"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Interactions with other medicines and other forms of interactions</w:t>
      </w:r>
    </w:p>
    <w:p w14:paraId="46C2F3DB" w14:textId="77777777" w:rsidR="008A42F5" w:rsidRPr="00B64CA9" w:rsidRDefault="008A42F5" w:rsidP="00EB2484">
      <w:pPr>
        <w:jc w:val="both"/>
        <w:rPr>
          <w:rFonts w:eastAsia="MS Mincho" w:cs="Arial"/>
        </w:rPr>
      </w:pPr>
      <w:r w:rsidRPr="00B64CA9">
        <w:rPr>
          <w:rFonts w:eastAsia="MS Mincho" w:cs="Arial"/>
        </w:rPr>
        <w:t xml:space="preserve">Live vaccines should not be given concurrently with COSENTYX (see also </w:t>
      </w:r>
      <w:r w:rsidR="008302EB" w:rsidRPr="00B64CA9">
        <w:rPr>
          <w:rFonts w:eastAsia="MS Mincho" w:cs="Arial"/>
        </w:rPr>
        <w:t xml:space="preserve">section 4.4 </w:t>
      </w:r>
      <w:r w:rsidR="008302EB" w:rsidRPr="00B64CA9">
        <w:rPr>
          <w:rFonts w:cs="Arial"/>
          <w:iCs/>
        </w:rPr>
        <w:t>SPECIAL WARNINGS AND PRECAUTIONS FOR USE</w:t>
      </w:r>
      <w:r w:rsidRPr="00B64CA9">
        <w:rPr>
          <w:rFonts w:eastAsia="MS Mincho" w:cs="Arial"/>
        </w:rPr>
        <w:t>).</w:t>
      </w:r>
    </w:p>
    <w:p w14:paraId="4011F432" w14:textId="77777777" w:rsidR="008A42F5" w:rsidRPr="00B64CA9" w:rsidRDefault="008A42F5" w:rsidP="00EB2484">
      <w:pPr>
        <w:jc w:val="both"/>
        <w:rPr>
          <w:rFonts w:eastAsia="MS Mincho" w:cs="Arial"/>
        </w:rPr>
      </w:pPr>
      <w:r w:rsidRPr="00B64CA9">
        <w:rPr>
          <w:rFonts w:eastAsia="MS Mincho" w:cs="Arial"/>
        </w:rPr>
        <w:t xml:space="preserve">In a study in </w:t>
      </w:r>
      <w:r w:rsidR="00207E1A" w:rsidRPr="00B64CA9">
        <w:rPr>
          <w:rFonts w:eastAsia="MS Mincho" w:cs="Arial"/>
        </w:rPr>
        <w:t xml:space="preserve">adult </w:t>
      </w:r>
      <w:r w:rsidRPr="00B64CA9">
        <w:rPr>
          <w:rFonts w:eastAsia="MS Mincho" w:cs="Arial"/>
        </w:rPr>
        <w:t xml:space="preserve">subjects with plaque psoriasis, no </w:t>
      </w:r>
      <w:r w:rsidR="00724AC7" w:rsidRPr="00B64CA9">
        <w:rPr>
          <w:rFonts w:eastAsia="MS Mincho" w:cs="Arial"/>
        </w:rPr>
        <w:t xml:space="preserve">clinically relevant </w:t>
      </w:r>
      <w:r w:rsidRPr="00B64CA9">
        <w:rPr>
          <w:rFonts w:eastAsia="MS Mincho" w:cs="Arial"/>
        </w:rPr>
        <w:t xml:space="preserve">pharmacokinetic interaction was observed between </w:t>
      </w:r>
      <w:proofErr w:type="spellStart"/>
      <w:r w:rsidRPr="00B64CA9">
        <w:rPr>
          <w:rFonts w:eastAsia="MS Mincho" w:cs="Arial"/>
        </w:rPr>
        <w:t>secukinumab</w:t>
      </w:r>
      <w:proofErr w:type="spellEnd"/>
      <w:r w:rsidRPr="00B64CA9">
        <w:rPr>
          <w:rFonts w:eastAsia="MS Mincho" w:cs="Arial"/>
        </w:rPr>
        <w:t xml:space="preserve"> and midazolam (CYP 3A4 substrate)</w:t>
      </w:r>
      <w:r w:rsidR="00724AC7" w:rsidRPr="00B64CA9">
        <w:rPr>
          <w:rFonts w:eastAsia="MS Mincho" w:cs="Arial"/>
        </w:rPr>
        <w:t>.</w:t>
      </w:r>
      <w:r w:rsidRPr="00B64CA9">
        <w:rPr>
          <w:rFonts w:eastAsia="MS Mincho" w:cs="Arial"/>
        </w:rPr>
        <w:t xml:space="preserve"> Following initiation</w:t>
      </w:r>
      <w:r w:rsidR="00724AC7" w:rsidRPr="00B64CA9">
        <w:rPr>
          <w:rFonts w:eastAsia="MS Mincho" w:cs="Arial"/>
        </w:rPr>
        <w:t xml:space="preserve"> or discontinuation</w:t>
      </w:r>
      <w:r w:rsidR="0044524F" w:rsidRPr="00B64CA9">
        <w:rPr>
          <w:rFonts w:eastAsia="MS Mincho" w:cs="Arial"/>
        </w:rPr>
        <w:t xml:space="preserve"> and during ongoing use</w:t>
      </w:r>
      <w:r w:rsidRPr="00B64CA9">
        <w:rPr>
          <w:rFonts w:eastAsia="MS Mincho" w:cs="Arial"/>
        </w:rPr>
        <w:t xml:space="preserve"> of </w:t>
      </w:r>
      <w:proofErr w:type="spellStart"/>
      <w:r w:rsidRPr="00B64CA9">
        <w:rPr>
          <w:rFonts w:eastAsia="MS Mincho" w:cs="Arial"/>
        </w:rPr>
        <w:t>secukinumab</w:t>
      </w:r>
      <w:proofErr w:type="spellEnd"/>
      <w:r w:rsidRPr="00B64CA9">
        <w:rPr>
          <w:rFonts w:eastAsia="MS Mincho" w:cs="Arial"/>
        </w:rPr>
        <w:t xml:space="preserve"> in patients being treated with </w:t>
      </w:r>
      <w:r w:rsidR="00724AC7" w:rsidRPr="00B64CA9">
        <w:rPr>
          <w:rFonts w:eastAsia="MS Mincho" w:cs="Arial"/>
        </w:rPr>
        <w:t>CYP450 substrates</w:t>
      </w:r>
      <w:r w:rsidR="0044524F" w:rsidRPr="00B64CA9">
        <w:rPr>
          <w:rFonts w:eastAsia="MS Mincho" w:cs="Arial"/>
        </w:rPr>
        <w:t>,</w:t>
      </w:r>
      <w:r w:rsidR="00724AC7" w:rsidRPr="00B64CA9">
        <w:rPr>
          <w:rFonts w:eastAsia="MS Mincho" w:cs="Arial"/>
        </w:rPr>
        <w:t xml:space="preserve"> particularly those with a narrow therapeutic index,</w:t>
      </w:r>
      <w:r w:rsidRPr="00B64CA9">
        <w:rPr>
          <w:rFonts w:eastAsia="MS Mincho" w:cs="Arial"/>
        </w:rPr>
        <w:t xml:space="preserve"> consider</w:t>
      </w:r>
      <w:r w:rsidR="00724AC7" w:rsidRPr="00B64CA9">
        <w:rPr>
          <w:rFonts w:eastAsia="MS Mincho" w:cs="Arial"/>
        </w:rPr>
        <w:t xml:space="preserve"> monitoring for therapeutic effect or drug concentration and consider dosage adjustment as needed</w:t>
      </w:r>
      <w:r w:rsidRPr="00B64CA9">
        <w:rPr>
          <w:rFonts w:eastAsia="MS Mincho" w:cs="Arial"/>
        </w:rPr>
        <w:t xml:space="preserve">. </w:t>
      </w:r>
    </w:p>
    <w:p w14:paraId="0BD201A0" w14:textId="77777777" w:rsidR="008A42F5" w:rsidRPr="00B64CA9" w:rsidRDefault="008A42F5" w:rsidP="00EB2484">
      <w:pPr>
        <w:jc w:val="both"/>
        <w:rPr>
          <w:rFonts w:eastAsia="MS Mincho" w:cs="Arial"/>
        </w:rPr>
      </w:pPr>
      <w:r w:rsidRPr="00B64CA9">
        <w:rPr>
          <w:rFonts w:eastAsia="MS Mincho" w:cs="Arial"/>
        </w:rPr>
        <w:t>No interaction was seen when COSENTYX was administered concomitantly with methotrexate (MTX) and/or corticosteroids in arthritis studies (including in patients with psoriatic arthritis and</w:t>
      </w:r>
      <w:r w:rsidR="00DD49CA" w:rsidRPr="00B64CA9">
        <w:rPr>
          <w:rFonts w:eastAsia="MS Mincho" w:cs="Arial"/>
        </w:rPr>
        <w:t xml:space="preserve"> </w:t>
      </w:r>
      <w:r w:rsidR="009E1CC2" w:rsidRPr="00B64CA9">
        <w:rPr>
          <w:rFonts w:eastAsia="MS Mincho" w:cs="Arial"/>
        </w:rPr>
        <w:t xml:space="preserve">axial </w:t>
      </w:r>
      <w:proofErr w:type="spellStart"/>
      <w:r w:rsidR="009E1CC2" w:rsidRPr="00B64CA9">
        <w:rPr>
          <w:rFonts w:eastAsia="MS Mincho" w:cs="Arial"/>
        </w:rPr>
        <w:t>spondyloarthritis</w:t>
      </w:r>
      <w:proofErr w:type="spellEnd"/>
      <w:r w:rsidRPr="00B64CA9">
        <w:rPr>
          <w:rFonts w:eastAsia="MS Mincho" w:cs="Arial"/>
        </w:rPr>
        <w:t>).</w:t>
      </w:r>
    </w:p>
    <w:p w14:paraId="12951A57"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Fertility, pregnancy and lactation </w:t>
      </w:r>
    </w:p>
    <w:p w14:paraId="7D202C75" w14:textId="77777777" w:rsidR="001A3992" w:rsidRPr="00B64CA9" w:rsidRDefault="001A3992" w:rsidP="0022141A">
      <w:pPr>
        <w:pStyle w:val="Heading3"/>
        <w:spacing w:before="0" w:after="120"/>
        <w:ind w:left="0"/>
        <w:jc w:val="both"/>
        <w:rPr>
          <w:rFonts w:cstheme="minorHAnsi"/>
        </w:rPr>
      </w:pPr>
      <w:r w:rsidRPr="00B64CA9">
        <w:rPr>
          <w:rFonts w:cstheme="minorHAnsi"/>
        </w:rPr>
        <w:t>Effects on fertility</w:t>
      </w:r>
    </w:p>
    <w:p w14:paraId="56566ED3" w14:textId="77777777" w:rsidR="008A42F5" w:rsidRPr="00B64CA9" w:rsidRDefault="008A42F5" w:rsidP="0022141A">
      <w:pPr>
        <w:jc w:val="both"/>
        <w:rPr>
          <w:rFonts w:eastAsia="MS Mincho" w:cs="Arial"/>
        </w:rPr>
      </w:pPr>
      <w:r w:rsidRPr="00B64CA9">
        <w:rPr>
          <w:rFonts w:eastAsia="MS Mincho" w:cs="Arial"/>
        </w:rPr>
        <w:t>There are no special recommendations for females of reproductive potential.</w:t>
      </w:r>
    </w:p>
    <w:p w14:paraId="4CE68B43" w14:textId="77777777" w:rsidR="008A42F5" w:rsidRPr="00B64CA9" w:rsidRDefault="008A42F5" w:rsidP="0022141A">
      <w:pPr>
        <w:jc w:val="both"/>
        <w:rPr>
          <w:rFonts w:eastAsia="MS Mincho" w:cs="Arial"/>
        </w:rPr>
      </w:pPr>
      <w:r w:rsidRPr="00B64CA9">
        <w:rPr>
          <w:rFonts w:eastAsia="MS Mincho" w:cs="Arial"/>
        </w:rPr>
        <w:t>The effect of COSENTYX on human fertility has not been evaluated.</w:t>
      </w:r>
    </w:p>
    <w:p w14:paraId="437977C9" w14:textId="77777777" w:rsidR="008A42F5" w:rsidRPr="00B64CA9" w:rsidRDefault="008A42F5" w:rsidP="0022141A">
      <w:pPr>
        <w:jc w:val="both"/>
        <w:rPr>
          <w:rFonts w:eastAsia="MS Mincho" w:cs="Arial"/>
        </w:rPr>
      </w:pPr>
      <w:r w:rsidRPr="00B64CA9">
        <w:rPr>
          <w:rFonts w:eastAsia="MS Mincho" w:cs="Arial"/>
        </w:rPr>
        <w:t>Fertility was unaffected in mice treated with an anti-murine IL17-A antibody.</w:t>
      </w:r>
    </w:p>
    <w:p w14:paraId="25F529D2" w14:textId="77777777" w:rsidR="001A3992" w:rsidRPr="00B64CA9" w:rsidRDefault="001A3992" w:rsidP="0022141A">
      <w:pPr>
        <w:pStyle w:val="Heading3"/>
        <w:spacing w:before="0" w:after="120"/>
        <w:ind w:left="0"/>
        <w:jc w:val="both"/>
        <w:rPr>
          <w:rFonts w:cstheme="minorHAnsi"/>
        </w:rPr>
      </w:pPr>
      <w:r w:rsidRPr="00B64CA9">
        <w:rPr>
          <w:rFonts w:cstheme="minorHAnsi"/>
        </w:rPr>
        <w:t xml:space="preserve">Use in pregnancy </w:t>
      </w:r>
      <w:r w:rsidR="00497C85" w:rsidRPr="00B64CA9">
        <w:rPr>
          <w:rFonts w:cstheme="minorHAnsi"/>
        </w:rPr>
        <w:t>– Pregnancy Category C</w:t>
      </w:r>
    </w:p>
    <w:p w14:paraId="495221EC" w14:textId="77777777" w:rsidR="008A42F5" w:rsidRPr="00B64CA9" w:rsidRDefault="008A42F5" w:rsidP="0022141A">
      <w:pPr>
        <w:jc w:val="both"/>
        <w:rPr>
          <w:rFonts w:eastAsia="MS Mincho" w:cs="Arial"/>
        </w:rPr>
      </w:pPr>
      <w:r w:rsidRPr="00B64CA9">
        <w:rPr>
          <w:rFonts w:eastAsia="MS Mincho" w:cs="Arial"/>
        </w:rPr>
        <w:t xml:space="preserve">There are no adequate data from the use of COSENTYX in pregnant women. </w:t>
      </w:r>
      <w:proofErr w:type="spellStart"/>
      <w:r w:rsidRPr="00B64CA9">
        <w:rPr>
          <w:rFonts w:eastAsia="MS Mincho" w:cs="Arial"/>
        </w:rPr>
        <w:t>Secukinumab</w:t>
      </w:r>
      <w:proofErr w:type="spellEnd"/>
      <w:r w:rsidRPr="00B64CA9">
        <w:rPr>
          <w:rFonts w:eastAsia="MS Mincho" w:cs="Arial"/>
        </w:rPr>
        <w:t xml:space="preserve"> was shown to cross the placenta in monkeys. Use of </w:t>
      </w:r>
      <w:proofErr w:type="spellStart"/>
      <w:r w:rsidRPr="00B64CA9">
        <w:rPr>
          <w:rFonts w:eastAsia="MS Mincho" w:cs="Arial"/>
        </w:rPr>
        <w:t>secukinumab</w:t>
      </w:r>
      <w:proofErr w:type="spellEnd"/>
      <w:r w:rsidRPr="00B64CA9">
        <w:rPr>
          <w:rFonts w:eastAsia="MS Mincho" w:cs="Arial"/>
        </w:rPr>
        <w:t xml:space="preserve"> during pregnancy may compromise the immunity of the </w:t>
      </w:r>
      <w:proofErr w:type="spellStart"/>
      <w:r w:rsidRPr="00B64CA9">
        <w:rPr>
          <w:rFonts w:eastAsia="MS Mincho" w:cs="Arial"/>
        </w:rPr>
        <w:t>fetus</w:t>
      </w:r>
      <w:proofErr w:type="spellEnd"/>
      <w:r w:rsidRPr="00B64CA9">
        <w:rPr>
          <w:rFonts w:eastAsia="MS Mincho" w:cs="Arial"/>
        </w:rPr>
        <w:t xml:space="preserve"> and neonate.</w:t>
      </w:r>
    </w:p>
    <w:p w14:paraId="6EEC4342" w14:textId="77777777" w:rsidR="008A42F5" w:rsidRPr="00B64CA9" w:rsidRDefault="008A42F5" w:rsidP="0022141A">
      <w:pPr>
        <w:jc w:val="both"/>
        <w:rPr>
          <w:rFonts w:eastAsia="MS Mincho" w:cs="Arial"/>
        </w:rPr>
      </w:pPr>
      <w:r w:rsidRPr="00B64CA9">
        <w:rPr>
          <w:rFonts w:eastAsia="MS Mincho" w:cs="Arial"/>
        </w:rPr>
        <w:t xml:space="preserve">In an embryofetal development study in cynomolgus monkeys, </w:t>
      </w:r>
      <w:proofErr w:type="spellStart"/>
      <w:r w:rsidRPr="00B64CA9">
        <w:rPr>
          <w:rFonts w:eastAsia="MS Mincho" w:cs="Arial"/>
        </w:rPr>
        <w:t>secukinumab</w:t>
      </w:r>
      <w:proofErr w:type="spellEnd"/>
      <w:r w:rsidRPr="00B64CA9">
        <w:rPr>
          <w:rFonts w:eastAsia="MS Mincho" w:cs="Arial"/>
        </w:rPr>
        <w:t xml:space="preserve"> showed no maternal toxicity, embryofetal toxicity or teratogenicity when administered throughout organogenesis and late gestation at up to 150mg/kg/week.</w:t>
      </w:r>
    </w:p>
    <w:p w14:paraId="78DD23B9" w14:textId="77777777" w:rsidR="008A42F5" w:rsidRPr="00B64CA9" w:rsidRDefault="008A42F5" w:rsidP="0022141A">
      <w:pPr>
        <w:jc w:val="both"/>
        <w:rPr>
          <w:rFonts w:eastAsia="MS Mincho" w:cs="Arial"/>
        </w:rPr>
      </w:pPr>
      <w:r w:rsidRPr="00B64CA9">
        <w:rPr>
          <w:rFonts w:eastAsia="MS Mincho" w:cs="Arial"/>
        </w:rPr>
        <w:t>COSENTYX should be used in pregnancy only if the benefits clearly outweigh the potential risks.</w:t>
      </w:r>
    </w:p>
    <w:p w14:paraId="56B06E03" w14:textId="77777777" w:rsidR="008A42F5" w:rsidRPr="00B64CA9" w:rsidRDefault="008A42F5" w:rsidP="0022141A">
      <w:pPr>
        <w:jc w:val="both"/>
        <w:rPr>
          <w:rFonts w:eastAsia="MS Mincho" w:cs="Arial"/>
        </w:rPr>
      </w:pPr>
      <w:r w:rsidRPr="00B64CA9">
        <w:rPr>
          <w:rFonts w:eastAsia="MS Mincho" w:cs="Arial"/>
        </w:rPr>
        <w:t xml:space="preserve">If </w:t>
      </w:r>
      <w:proofErr w:type="spellStart"/>
      <w:r w:rsidRPr="00B64CA9">
        <w:rPr>
          <w:rFonts w:eastAsia="MS Mincho" w:cs="Arial"/>
        </w:rPr>
        <w:t>secukinumab</w:t>
      </w:r>
      <w:proofErr w:type="spellEnd"/>
      <w:r w:rsidRPr="00B64CA9">
        <w:rPr>
          <w:rFonts w:eastAsia="MS Mincho" w:cs="Arial"/>
        </w:rPr>
        <w:t xml:space="preserve"> has been used during pregnancy, administration of live vaccines to newborns/ infants for 16 weeks after the mother’s last dose of </w:t>
      </w:r>
      <w:proofErr w:type="spellStart"/>
      <w:r w:rsidRPr="00B64CA9">
        <w:rPr>
          <w:rFonts w:eastAsia="MS Mincho" w:cs="Arial"/>
        </w:rPr>
        <w:t>secukinumab</w:t>
      </w:r>
      <w:proofErr w:type="spellEnd"/>
      <w:r w:rsidRPr="00B64CA9">
        <w:rPr>
          <w:rFonts w:eastAsia="MS Mincho" w:cs="Arial"/>
        </w:rPr>
        <w:t xml:space="preserve"> is generally not recommended.</w:t>
      </w:r>
    </w:p>
    <w:p w14:paraId="49794208" w14:textId="77777777" w:rsidR="001A3992" w:rsidRPr="00B64CA9" w:rsidRDefault="00984CEE" w:rsidP="0022141A">
      <w:pPr>
        <w:pStyle w:val="Heading3"/>
        <w:spacing w:before="0" w:after="120"/>
        <w:ind w:left="0"/>
        <w:jc w:val="both"/>
        <w:rPr>
          <w:rFonts w:cstheme="minorHAnsi"/>
        </w:rPr>
      </w:pPr>
      <w:r w:rsidRPr="00B64CA9">
        <w:rPr>
          <w:rFonts w:cstheme="minorHAnsi"/>
        </w:rPr>
        <w:t>Use in lactation</w:t>
      </w:r>
    </w:p>
    <w:p w14:paraId="4BE6F7AF" w14:textId="77777777" w:rsidR="008A42F5" w:rsidRPr="00B64CA9" w:rsidRDefault="008A42F5" w:rsidP="0022141A">
      <w:pPr>
        <w:jc w:val="both"/>
        <w:rPr>
          <w:rFonts w:eastAsia="MS Mincho" w:cs="Arial"/>
        </w:rPr>
      </w:pPr>
      <w:r w:rsidRPr="00B64CA9">
        <w:rPr>
          <w:rFonts w:eastAsia="MS Mincho" w:cs="Arial"/>
        </w:rPr>
        <w:t xml:space="preserve">It is not known whether </w:t>
      </w:r>
      <w:proofErr w:type="spellStart"/>
      <w:r w:rsidRPr="00B64CA9">
        <w:rPr>
          <w:rFonts w:eastAsia="MS Mincho" w:cs="Arial"/>
        </w:rPr>
        <w:t>secukinumab</w:t>
      </w:r>
      <w:proofErr w:type="spellEnd"/>
      <w:r w:rsidRPr="00B64CA9">
        <w:rPr>
          <w:rFonts w:eastAsia="MS Mincho" w:cs="Arial"/>
        </w:rPr>
        <w:t xml:space="preserve"> is excreted in human milk. Because immunoglobulins are excreted in human milk, caution should be exercised when COSENTYX is administered to a woman who is breast-feeding and a decision on whether to discontinue breast-feeding during treatment should be made.</w:t>
      </w:r>
    </w:p>
    <w:p w14:paraId="76B8D90D"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lastRenderedPageBreak/>
        <w:t xml:space="preserve">Effects on ability to drive and use machines </w:t>
      </w:r>
    </w:p>
    <w:p w14:paraId="2C6BB7D1" w14:textId="77777777" w:rsidR="00497C85" w:rsidRPr="00B64CA9" w:rsidRDefault="008A42F5" w:rsidP="0081558E">
      <w:pPr>
        <w:jc w:val="both"/>
        <w:rPr>
          <w:rFonts w:eastAsia="MS Mincho" w:cs="Arial"/>
        </w:rPr>
      </w:pPr>
      <w:r w:rsidRPr="00B64CA9">
        <w:rPr>
          <w:rFonts w:eastAsia="MS Mincho" w:cs="Arial"/>
        </w:rPr>
        <w:t>No studies on the effects on the ability to drive and use of machines have been performed.</w:t>
      </w:r>
    </w:p>
    <w:p w14:paraId="3B779C93"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Adverse effects (Undesirable effects)</w:t>
      </w:r>
    </w:p>
    <w:p w14:paraId="76BE9076" w14:textId="77777777" w:rsidR="00E35C14" w:rsidRPr="00B64CA9" w:rsidRDefault="00E35C14" w:rsidP="00253D7C">
      <w:pPr>
        <w:pStyle w:val="Heading3"/>
        <w:spacing w:before="0" w:after="120"/>
        <w:ind w:left="0"/>
        <w:jc w:val="both"/>
        <w:rPr>
          <w:rFonts w:cstheme="minorHAnsi"/>
          <w:u w:val="single"/>
        </w:rPr>
      </w:pPr>
      <w:r w:rsidRPr="00B64CA9">
        <w:rPr>
          <w:rFonts w:cstheme="minorHAnsi"/>
          <w:u w:val="single"/>
        </w:rPr>
        <w:t>Reporting suspected adverse effects</w:t>
      </w:r>
    </w:p>
    <w:p w14:paraId="07B8EFA3" w14:textId="77777777" w:rsidR="00497C85" w:rsidRPr="00B64CA9" w:rsidRDefault="00497C85" w:rsidP="00EB2484">
      <w:pPr>
        <w:spacing w:line="240" w:lineRule="auto"/>
        <w:jc w:val="both"/>
        <w:rPr>
          <w:rFonts w:cstheme="minorHAnsi"/>
        </w:rPr>
      </w:pPr>
      <w:r w:rsidRPr="00B64CA9">
        <w:rPr>
          <w:rFonts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B64CA9">
          <w:rPr>
            <w:rStyle w:val="Hyperlink"/>
            <w:rFonts w:cstheme="minorHAnsi"/>
          </w:rPr>
          <w:t>www.tga.gov.au/reporting-problems</w:t>
        </w:r>
      </w:hyperlink>
      <w:r w:rsidRPr="00B64CA9">
        <w:rPr>
          <w:rFonts w:cstheme="minorHAnsi"/>
        </w:rPr>
        <w:t>.</w:t>
      </w:r>
    </w:p>
    <w:p w14:paraId="5CCE01ED" w14:textId="77777777" w:rsidR="00AF4E63" w:rsidRPr="00B64CA9" w:rsidRDefault="00AF4E63" w:rsidP="00EB2484">
      <w:pPr>
        <w:pStyle w:val="Heading3"/>
        <w:spacing w:before="0" w:after="120"/>
        <w:ind w:left="0"/>
        <w:jc w:val="both"/>
        <w:rPr>
          <w:rFonts w:cstheme="minorHAnsi"/>
          <w:u w:val="single"/>
        </w:rPr>
      </w:pPr>
      <w:r w:rsidRPr="00B64CA9">
        <w:rPr>
          <w:rFonts w:cstheme="minorHAnsi"/>
          <w:u w:val="single"/>
        </w:rPr>
        <w:t xml:space="preserve">Summary of the safety profile </w:t>
      </w:r>
    </w:p>
    <w:p w14:paraId="662CC666" w14:textId="77777777" w:rsidR="00AF4E63" w:rsidRPr="00B64CA9" w:rsidRDefault="00253D7C" w:rsidP="00EB2484">
      <w:pPr>
        <w:spacing w:line="240" w:lineRule="auto"/>
        <w:jc w:val="both"/>
        <w:rPr>
          <w:rFonts w:cstheme="minorHAnsi"/>
        </w:rPr>
      </w:pPr>
      <w:r w:rsidRPr="00B64CA9">
        <w:rPr>
          <w:rFonts w:cstheme="minorHAnsi"/>
        </w:rPr>
        <w:t xml:space="preserve">Over </w:t>
      </w:r>
      <w:r w:rsidR="00D926FD" w:rsidRPr="00B64CA9">
        <w:rPr>
          <w:rFonts w:cstheme="minorHAnsi"/>
        </w:rPr>
        <w:t>18,000</w:t>
      </w:r>
      <w:r w:rsidR="00AF4E63" w:rsidRPr="00B64CA9">
        <w:rPr>
          <w:rFonts w:cstheme="minorHAnsi"/>
        </w:rPr>
        <w:t xml:space="preserve"> patients have been treated with COSENTYX in blinded and open-label clinical studies in various indications (plaque psoriasis and other autoimmune conditions), representing </w:t>
      </w:r>
      <w:r w:rsidR="00D926FD" w:rsidRPr="00B64CA9">
        <w:rPr>
          <w:rFonts w:cstheme="minorHAnsi"/>
        </w:rPr>
        <w:t>30,565</w:t>
      </w:r>
      <w:r w:rsidR="00AF4E63" w:rsidRPr="00B64CA9">
        <w:rPr>
          <w:rFonts w:cstheme="minorHAnsi"/>
        </w:rPr>
        <w:t xml:space="preserve"> patient</w:t>
      </w:r>
      <w:r w:rsidR="00D125DE" w:rsidRPr="00B64CA9">
        <w:rPr>
          <w:rFonts w:cstheme="minorHAnsi"/>
        </w:rPr>
        <w:t xml:space="preserve"> </w:t>
      </w:r>
      <w:r w:rsidR="00AF4E63" w:rsidRPr="00B64CA9">
        <w:rPr>
          <w:rFonts w:cstheme="minorHAnsi"/>
        </w:rPr>
        <w:t xml:space="preserve">years of exposure. Of these, </w:t>
      </w:r>
      <w:r w:rsidRPr="00B64CA9">
        <w:rPr>
          <w:rFonts w:cstheme="minorHAnsi"/>
        </w:rPr>
        <w:t xml:space="preserve">over </w:t>
      </w:r>
      <w:r w:rsidR="001D703B" w:rsidRPr="00B64CA9">
        <w:rPr>
          <w:rFonts w:cstheme="minorHAnsi"/>
        </w:rPr>
        <w:t>12,046</w:t>
      </w:r>
      <w:r w:rsidR="00AF4E63" w:rsidRPr="00B64CA9">
        <w:rPr>
          <w:rFonts w:cstheme="minorHAnsi"/>
        </w:rPr>
        <w:t xml:space="preserve"> patients were exposed to COSENTYX for at least one year.</w:t>
      </w:r>
    </w:p>
    <w:p w14:paraId="5EC42712" w14:textId="77777777" w:rsidR="00AF4E63" w:rsidRPr="00B64CA9" w:rsidRDefault="00AF4E63" w:rsidP="00EB2484">
      <w:pPr>
        <w:pStyle w:val="Heading3"/>
        <w:spacing w:before="0" w:after="120"/>
        <w:ind w:left="0"/>
        <w:jc w:val="both"/>
        <w:rPr>
          <w:rFonts w:cstheme="minorHAnsi"/>
          <w:u w:val="single"/>
        </w:rPr>
      </w:pPr>
      <w:r w:rsidRPr="00B64CA9">
        <w:rPr>
          <w:rFonts w:cstheme="minorHAnsi"/>
          <w:u w:val="single"/>
        </w:rPr>
        <w:t>Adverse reactions in plaque psoriasis</w:t>
      </w:r>
    </w:p>
    <w:p w14:paraId="261BCC96" w14:textId="77777777" w:rsidR="00AF4E63" w:rsidRPr="00B64CA9" w:rsidRDefault="00AF4E63" w:rsidP="00D125DE">
      <w:pPr>
        <w:spacing w:line="240" w:lineRule="auto"/>
        <w:jc w:val="both"/>
        <w:rPr>
          <w:rFonts w:cstheme="minorHAnsi"/>
        </w:rPr>
      </w:pPr>
      <w:r w:rsidRPr="00B64CA9">
        <w:rPr>
          <w:rFonts w:cstheme="minorHAnsi"/>
        </w:rPr>
        <w:t>Four placebo-controlled phase III studies in plaque psoriasis were pooled to evaluate the safety of COSENTYX in comparison to placebo up to 12 weeks after treatment initiation. In total, 2,076 patients were evaluated (692 patients on 150 mg, 690 patients on 300 mg and 694 patients on placebo).</w:t>
      </w:r>
    </w:p>
    <w:p w14:paraId="13845150" w14:textId="77777777" w:rsidR="00AF4E63" w:rsidRPr="00B64CA9" w:rsidRDefault="00AF4E63" w:rsidP="00D125DE">
      <w:pPr>
        <w:spacing w:line="240" w:lineRule="auto"/>
        <w:jc w:val="both"/>
        <w:rPr>
          <w:rFonts w:cstheme="minorHAnsi"/>
        </w:rPr>
      </w:pPr>
      <w:r w:rsidRPr="00B64CA9" w:rsidDel="00E1109E">
        <w:rPr>
          <w:rFonts w:cstheme="minorHAnsi"/>
        </w:rPr>
        <w:t>The most frequently reported adverse drug reactions (ADRs) were upper respiratory tract infections (most frequently nasopharyngitis, rhinitis). Most of the events were mild or moderate in severity.</w:t>
      </w:r>
    </w:p>
    <w:p w14:paraId="56303417" w14:textId="77777777" w:rsidR="00AF4E63" w:rsidRPr="00B64CA9" w:rsidRDefault="00AF4E63" w:rsidP="00D125DE">
      <w:pPr>
        <w:spacing w:line="240" w:lineRule="auto"/>
        <w:jc w:val="both"/>
        <w:rPr>
          <w:rFonts w:cstheme="minorHAnsi"/>
        </w:rPr>
      </w:pPr>
      <w:r w:rsidRPr="00B64CA9" w:rsidDel="00E1109E">
        <w:rPr>
          <w:rFonts w:cstheme="minorHAnsi"/>
        </w:rPr>
        <w:t xml:space="preserve">In the placebo-controlled period of plaque psoriasis phase III studies the proportion of patients who discontinued treatment due to adverse events was approximately 1.2 % in the </w:t>
      </w:r>
      <w:r w:rsidRPr="00B64CA9">
        <w:rPr>
          <w:rFonts w:cstheme="minorHAnsi"/>
        </w:rPr>
        <w:t>COSENTYX</w:t>
      </w:r>
      <w:r w:rsidRPr="00B64CA9" w:rsidDel="00E1109E">
        <w:rPr>
          <w:rFonts w:cstheme="minorHAnsi"/>
        </w:rPr>
        <w:t xml:space="preserve"> arm and 1.2 % in the placebo arm.</w:t>
      </w:r>
      <w:r w:rsidR="00010B1A" w:rsidRPr="00B64CA9">
        <w:rPr>
          <w:rFonts w:cstheme="minorHAnsi"/>
        </w:rPr>
        <w:t xml:space="preserve"> </w:t>
      </w:r>
      <w:r w:rsidRPr="00B64CA9">
        <w:rPr>
          <w:rFonts w:cstheme="minorHAnsi"/>
        </w:rPr>
        <w:t xml:space="preserve">The adverse reactions from clinical studies (Table </w:t>
      </w:r>
      <w:r w:rsidR="00207E1A" w:rsidRPr="00B64CA9">
        <w:rPr>
          <w:rFonts w:cstheme="minorHAnsi"/>
        </w:rPr>
        <w:t>2</w:t>
      </w:r>
      <w:r w:rsidRPr="00B64CA9">
        <w:rPr>
          <w:rFonts w:cstheme="minorHAnsi"/>
        </w:rPr>
        <w:t xml:space="preserve"> and Table </w:t>
      </w:r>
      <w:r w:rsidR="00207E1A" w:rsidRPr="00B64CA9">
        <w:rPr>
          <w:rFonts w:cstheme="minorHAnsi"/>
        </w:rPr>
        <w:t>3</w:t>
      </w:r>
      <w:r w:rsidRPr="00B64CA9">
        <w:rPr>
          <w:rFonts w:cstheme="minorHAnsi"/>
        </w:rPr>
        <w:t>) are listed by MedDRA system organ class. Within each system organ class, the ADRs are ranked by frequency.  Within each frequency grouping, adverse drug reactions are presented in order of decreasing seriousness. In addition, the corresponding frequency category for each adverse drug reaction is based on the following convention: very common (</w:t>
      </w:r>
      <w:r w:rsidR="00671CE3" w:rsidRPr="00B64CA9">
        <w:rPr>
          <w:rFonts w:cstheme="minorHAnsi"/>
        </w:rPr>
        <w:t>≥</w:t>
      </w:r>
      <w:r w:rsidRPr="00B64CA9">
        <w:rPr>
          <w:rFonts w:cstheme="minorHAnsi"/>
        </w:rPr>
        <w:t xml:space="preserve"> 1/10); common (</w:t>
      </w:r>
      <w:r w:rsidR="00671CE3" w:rsidRPr="00B64CA9">
        <w:rPr>
          <w:rFonts w:cstheme="minorHAnsi"/>
        </w:rPr>
        <w:t>≥</w:t>
      </w:r>
      <w:r w:rsidRPr="00B64CA9">
        <w:rPr>
          <w:rFonts w:cstheme="minorHAnsi"/>
        </w:rPr>
        <w:t xml:space="preserve"> 1/100, </w:t>
      </w:r>
      <w:r w:rsidR="00671CE3" w:rsidRPr="00B64CA9">
        <w:rPr>
          <w:rFonts w:cstheme="minorHAnsi"/>
        </w:rPr>
        <w:sym w:font="Symbol" w:char="F03C"/>
      </w:r>
      <w:r w:rsidRPr="00B64CA9">
        <w:rPr>
          <w:rFonts w:cstheme="minorHAnsi"/>
        </w:rPr>
        <w:t xml:space="preserve"> 1/10); uncommon (</w:t>
      </w:r>
      <w:r w:rsidR="00671CE3" w:rsidRPr="00B64CA9">
        <w:rPr>
          <w:rFonts w:cstheme="minorHAnsi"/>
        </w:rPr>
        <w:t>≥</w:t>
      </w:r>
      <w:r w:rsidRPr="00B64CA9">
        <w:rPr>
          <w:rFonts w:cstheme="minorHAnsi"/>
        </w:rPr>
        <w:t xml:space="preserve"> 1/1,000, </w:t>
      </w:r>
      <w:r w:rsidR="007A75B6" w:rsidRPr="00B64CA9">
        <w:rPr>
          <w:rFonts w:cstheme="minorHAnsi"/>
        </w:rPr>
        <w:sym w:font="Symbol" w:char="F03C"/>
      </w:r>
      <w:r w:rsidRPr="00B64CA9">
        <w:rPr>
          <w:rFonts w:cstheme="minorHAnsi"/>
        </w:rPr>
        <w:t xml:space="preserve"> 1/100); rare (≥ 1/10,000, </w:t>
      </w:r>
      <w:r w:rsidR="007A75B6" w:rsidRPr="00B64CA9">
        <w:rPr>
          <w:rFonts w:cstheme="minorHAnsi"/>
        </w:rPr>
        <w:sym w:font="Symbol" w:char="F03C"/>
      </w:r>
      <w:r w:rsidRPr="00B64CA9">
        <w:rPr>
          <w:rFonts w:cstheme="minorHAnsi"/>
        </w:rPr>
        <w:t xml:space="preserve"> 1/1,000) very rare (&lt; 1/10,000).</w:t>
      </w:r>
    </w:p>
    <w:p w14:paraId="124B41E1" w14:textId="77777777" w:rsidR="00AF4E63" w:rsidRPr="00B64CA9" w:rsidRDefault="00AF4E63" w:rsidP="0081558E">
      <w:pPr>
        <w:spacing w:after="120"/>
        <w:ind w:left="1166" w:hanging="1166"/>
        <w:jc w:val="both"/>
        <w:rPr>
          <w:rFonts w:ascii="Arial" w:hAnsi="Arial" w:cs="Arial"/>
          <w:b/>
          <w:sz w:val="20"/>
        </w:rPr>
      </w:pPr>
      <w:r w:rsidRPr="00B64CA9">
        <w:rPr>
          <w:rFonts w:ascii="Arial" w:hAnsi="Arial" w:cs="Arial"/>
          <w:b/>
          <w:sz w:val="20"/>
        </w:rPr>
        <w:t xml:space="preserve">Table </w:t>
      </w:r>
      <w:proofErr w:type="gramStart"/>
      <w:r w:rsidR="00207E1A" w:rsidRPr="00B64CA9">
        <w:rPr>
          <w:rFonts w:ascii="Arial" w:hAnsi="Arial" w:cs="Arial"/>
          <w:b/>
          <w:sz w:val="20"/>
        </w:rPr>
        <w:t>2</w:t>
      </w:r>
      <w:r w:rsidRPr="00B64CA9">
        <w:rPr>
          <w:rFonts w:ascii="Arial" w:hAnsi="Arial" w:cs="Arial"/>
          <w:b/>
          <w:sz w:val="20"/>
        </w:rPr>
        <w:t xml:space="preserve">  </w:t>
      </w:r>
      <w:r w:rsidRPr="00B64CA9">
        <w:rPr>
          <w:rFonts w:ascii="Arial" w:hAnsi="Arial" w:cs="Arial"/>
          <w:b/>
          <w:sz w:val="20"/>
        </w:rPr>
        <w:tab/>
      </w:r>
      <w:proofErr w:type="gramEnd"/>
      <w:r w:rsidRPr="00B64CA9">
        <w:rPr>
          <w:rFonts w:ascii="Arial" w:hAnsi="Arial" w:cs="Arial"/>
          <w:b/>
          <w:sz w:val="20"/>
        </w:rPr>
        <w:t>Adverse Drug Reactions reported by ≥ 1 % of psoriasis patients through Week 12 in Phase III ERASURE, FIXTURE, FEATURE and JUNCTURE studies</w:t>
      </w:r>
    </w:p>
    <w:tbl>
      <w:tblPr>
        <w:tblStyle w:val="TableGrid"/>
        <w:tblW w:w="0" w:type="auto"/>
        <w:tblLook w:val="04A0" w:firstRow="1" w:lastRow="0" w:firstColumn="1" w:lastColumn="0" w:noHBand="0" w:noVBand="1"/>
      </w:tblPr>
      <w:tblGrid>
        <w:gridCol w:w="3681"/>
        <w:gridCol w:w="1559"/>
        <w:gridCol w:w="1418"/>
        <w:gridCol w:w="992"/>
        <w:gridCol w:w="1366"/>
      </w:tblGrid>
      <w:tr w:rsidR="00AF4E63" w:rsidRPr="00B64CA9" w14:paraId="620ED0BA" w14:textId="77777777" w:rsidTr="002D07A3">
        <w:tc>
          <w:tcPr>
            <w:tcW w:w="3681" w:type="dxa"/>
            <w:vMerge w:val="restart"/>
            <w:vAlign w:val="center"/>
          </w:tcPr>
          <w:p w14:paraId="6C2B2150" w14:textId="77777777" w:rsidR="00AF4E63" w:rsidRPr="00B64CA9" w:rsidRDefault="00AF4E63" w:rsidP="002D07A3">
            <w:pPr>
              <w:spacing w:before="20" w:after="20"/>
              <w:rPr>
                <w:rFonts w:ascii="Arial" w:hAnsi="Arial" w:cs="Arial"/>
                <w:b/>
                <w:sz w:val="18"/>
                <w:szCs w:val="18"/>
              </w:rPr>
            </w:pPr>
            <w:r w:rsidRPr="00B64CA9">
              <w:rPr>
                <w:rFonts w:ascii="Arial" w:hAnsi="Arial" w:cs="Arial"/>
                <w:b/>
                <w:sz w:val="18"/>
                <w:szCs w:val="18"/>
              </w:rPr>
              <w:t>Adverse Reactions</w:t>
            </w:r>
          </w:p>
        </w:tc>
        <w:tc>
          <w:tcPr>
            <w:tcW w:w="2977" w:type="dxa"/>
            <w:gridSpan w:val="2"/>
            <w:vAlign w:val="center"/>
          </w:tcPr>
          <w:p w14:paraId="4DA9EC54"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COSENTYX</w:t>
            </w:r>
          </w:p>
        </w:tc>
        <w:tc>
          <w:tcPr>
            <w:tcW w:w="992" w:type="dxa"/>
            <w:vMerge w:val="restart"/>
            <w:vAlign w:val="center"/>
          </w:tcPr>
          <w:p w14:paraId="0ADC2C82"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Placebo</w:t>
            </w:r>
          </w:p>
          <w:p w14:paraId="3BA43079" w14:textId="77777777" w:rsidR="0012484D"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(N=694)</w:t>
            </w:r>
          </w:p>
          <w:p w14:paraId="24E4631B"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n (%)</w:t>
            </w:r>
          </w:p>
        </w:tc>
        <w:tc>
          <w:tcPr>
            <w:tcW w:w="1366" w:type="dxa"/>
            <w:vMerge w:val="restart"/>
            <w:vAlign w:val="center"/>
          </w:tcPr>
          <w:p w14:paraId="68BAD1C8"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Frequency category</w:t>
            </w:r>
            <w:r w:rsidRPr="00B64CA9">
              <w:rPr>
                <w:rFonts w:ascii="Arial" w:hAnsi="Arial" w:cs="Arial"/>
                <w:b/>
                <w:sz w:val="18"/>
                <w:szCs w:val="18"/>
                <w:vertAlign w:val="superscript"/>
              </w:rPr>
              <w:t>1</w:t>
            </w:r>
          </w:p>
        </w:tc>
      </w:tr>
      <w:tr w:rsidR="00AF4E63" w:rsidRPr="00B64CA9" w14:paraId="2AE813B4" w14:textId="77777777" w:rsidTr="002D07A3">
        <w:tc>
          <w:tcPr>
            <w:tcW w:w="3681" w:type="dxa"/>
            <w:vMerge/>
            <w:tcBorders>
              <w:bottom w:val="single" w:sz="4" w:space="0" w:color="auto"/>
            </w:tcBorders>
            <w:vAlign w:val="center"/>
          </w:tcPr>
          <w:p w14:paraId="6D6A5F10" w14:textId="77777777" w:rsidR="00AF4E63" w:rsidRPr="00B64CA9" w:rsidRDefault="00AF4E63" w:rsidP="002D07A3">
            <w:pPr>
              <w:spacing w:before="20" w:after="20"/>
              <w:rPr>
                <w:rFonts w:ascii="Arial" w:hAnsi="Arial" w:cs="Arial"/>
                <w:sz w:val="18"/>
                <w:szCs w:val="18"/>
              </w:rPr>
            </w:pPr>
          </w:p>
        </w:tc>
        <w:tc>
          <w:tcPr>
            <w:tcW w:w="1559" w:type="dxa"/>
            <w:tcBorders>
              <w:bottom w:val="single" w:sz="4" w:space="0" w:color="auto"/>
            </w:tcBorders>
            <w:vAlign w:val="center"/>
          </w:tcPr>
          <w:p w14:paraId="24CDCD71"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300 mg</w:t>
            </w:r>
          </w:p>
          <w:p w14:paraId="064F3FCC"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(N=690) n (%)</w:t>
            </w:r>
          </w:p>
        </w:tc>
        <w:tc>
          <w:tcPr>
            <w:tcW w:w="1418" w:type="dxa"/>
            <w:tcBorders>
              <w:bottom w:val="single" w:sz="4" w:space="0" w:color="auto"/>
            </w:tcBorders>
            <w:vAlign w:val="center"/>
          </w:tcPr>
          <w:p w14:paraId="294F1D1F"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150 mg</w:t>
            </w:r>
          </w:p>
          <w:p w14:paraId="5B1D07F3" w14:textId="77777777" w:rsidR="00AF4E63" w:rsidRPr="00B64CA9" w:rsidRDefault="00AF4E63" w:rsidP="002D07A3">
            <w:pPr>
              <w:spacing w:before="20" w:after="20"/>
              <w:jc w:val="center"/>
              <w:rPr>
                <w:rFonts w:ascii="Arial" w:hAnsi="Arial" w:cs="Arial"/>
                <w:b/>
                <w:sz w:val="18"/>
                <w:szCs w:val="18"/>
              </w:rPr>
            </w:pPr>
            <w:r w:rsidRPr="00B64CA9">
              <w:rPr>
                <w:rFonts w:ascii="Arial" w:hAnsi="Arial" w:cs="Arial"/>
                <w:b/>
                <w:sz w:val="18"/>
                <w:szCs w:val="18"/>
              </w:rPr>
              <w:t>(N=692) n (%)</w:t>
            </w:r>
          </w:p>
        </w:tc>
        <w:tc>
          <w:tcPr>
            <w:tcW w:w="992" w:type="dxa"/>
            <w:vMerge/>
            <w:tcBorders>
              <w:bottom w:val="single" w:sz="4" w:space="0" w:color="auto"/>
            </w:tcBorders>
            <w:vAlign w:val="center"/>
          </w:tcPr>
          <w:p w14:paraId="03C6DF61" w14:textId="77777777" w:rsidR="00AF4E63" w:rsidRPr="00B64CA9" w:rsidRDefault="00AF4E63" w:rsidP="002D07A3">
            <w:pPr>
              <w:spacing w:before="20" w:after="20"/>
              <w:rPr>
                <w:rFonts w:ascii="Arial" w:hAnsi="Arial" w:cs="Arial"/>
                <w:b/>
                <w:sz w:val="18"/>
                <w:szCs w:val="18"/>
              </w:rPr>
            </w:pPr>
          </w:p>
        </w:tc>
        <w:tc>
          <w:tcPr>
            <w:tcW w:w="1366" w:type="dxa"/>
            <w:vMerge/>
            <w:tcBorders>
              <w:bottom w:val="single" w:sz="4" w:space="0" w:color="auto"/>
            </w:tcBorders>
            <w:vAlign w:val="center"/>
          </w:tcPr>
          <w:p w14:paraId="7F744781" w14:textId="77777777" w:rsidR="00AF4E63" w:rsidRPr="00B64CA9" w:rsidRDefault="00AF4E63" w:rsidP="002D07A3">
            <w:pPr>
              <w:spacing w:before="20" w:after="20"/>
              <w:rPr>
                <w:rFonts w:ascii="Arial" w:hAnsi="Arial" w:cs="Arial"/>
                <w:b/>
                <w:sz w:val="18"/>
                <w:szCs w:val="18"/>
              </w:rPr>
            </w:pPr>
          </w:p>
        </w:tc>
      </w:tr>
      <w:tr w:rsidR="00C73D6B" w:rsidRPr="00B64CA9" w14:paraId="67CDA64E" w14:textId="77777777" w:rsidTr="002D07A3">
        <w:tc>
          <w:tcPr>
            <w:tcW w:w="3681" w:type="dxa"/>
            <w:tcBorders>
              <w:bottom w:val="nil"/>
            </w:tcBorders>
            <w:vAlign w:val="center"/>
          </w:tcPr>
          <w:p w14:paraId="2448B357" w14:textId="77777777" w:rsidR="00C73D6B" w:rsidRPr="00B64CA9" w:rsidRDefault="00C73D6B" w:rsidP="0012484D">
            <w:pPr>
              <w:spacing w:before="20" w:after="20"/>
              <w:rPr>
                <w:rFonts w:ascii="Arial" w:hAnsi="Arial" w:cs="Arial"/>
                <w:b/>
                <w:sz w:val="18"/>
                <w:szCs w:val="18"/>
              </w:rPr>
            </w:pPr>
            <w:r w:rsidRPr="00B64CA9">
              <w:rPr>
                <w:rFonts w:ascii="Arial" w:hAnsi="Arial" w:cs="Arial"/>
                <w:b/>
                <w:sz w:val="18"/>
                <w:szCs w:val="18"/>
              </w:rPr>
              <w:t>Infections and infestations</w:t>
            </w:r>
          </w:p>
        </w:tc>
        <w:tc>
          <w:tcPr>
            <w:tcW w:w="1559" w:type="dxa"/>
            <w:tcBorders>
              <w:bottom w:val="nil"/>
            </w:tcBorders>
            <w:vAlign w:val="center"/>
          </w:tcPr>
          <w:p w14:paraId="1414C702" w14:textId="77777777" w:rsidR="00C73D6B" w:rsidRPr="00B64CA9" w:rsidRDefault="00C73D6B" w:rsidP="0012484D">
            <w:pPr>
              <w:spacing w:before="20" w:after="20"/>
              <w:rPr>
                <w:rFonts w:ascii="Arial" w:hAnsi="Arial" w:cs="Arial"/>
                <w:b/>
                <w:sz w:val="18"/>
                <w:szCs w:val="18"/>
              </w:rPr>
            </w:pPr>
          </w:p>
        </w:tc>
        <w:tc>
          <w:tcPr>
            <w:tcW w:w="1418" w:type="dxa"/>
            <w:tcBorders>
              <w:bottom w:val="nil"/>
            </w:tcBorders>
            <w:vAlign w:val="center"/>
          </w:tcPr>
          <w:p w14:paraId="7C234641" w14:textId="77777777" w:rsidR="00C73D6B" w:rsidRPr="00B64CA9" w:rsidRDefault="00C73D6B" w:rsidP="0012484D">
            <w:pPr>
              <w:spacing w:before="20" w:after="20"/>
              <w:rPr>
                <w:rFonts w:ascii="Arial" w:hAnsi="Arial" w:cs="Arial"/>
                <w:b/>
                <w:sz w:val="18"/>
                <w:szCs w:val="18"/>
              </w:rPr>
            </w:pPr>
          </w:p>
        </w:tc>
        <w:tc>
          <w:tcPr>
            <w:tcW w:w="992" w:type="dxa"/>
            <w:tcBorders>
              <w:bottom w:val="nil"/>
            </w:tcBorders>
            <w:vAlign w:val="center"/>
          </w:tcPr>
          <w:p w14:paraId="704B2418" w14:textId="77777777" w:rsidR="00C73D6B" w:rsidRPr="00B64CA9" w:rsidRDefault="00C73D6B" w:rsidP="0012484D">
            <w:pPr>
              <w:spacing w:before="20" w:after="20"/>
              <w:rPr>
                <w:rFonts w:ascii="Arial" w:hAnsi="Arial" w:cs="Arial"/>
                <w:b/>
                <w:sz w:val="18"/>
                <w:szCs w:val="18"/>
              </w:rPr>
            </w:pPr>
          </w:p>
        </w:tc>
        <w:tc>
          <w:tcPr>
            <w:tcW w:w="1366" w:type="dxa"/>
            <w:tcBorders>
              <w:bottom w:val="nil"/>
            </w:tcBorders>
            <w:vAlign w:val="center"/>
          </w:tcPr>
          <w:p w14:paraId="0DB4AFEC" w14:textId="77777777" w:rsidR="00C73D6B" w:rsidRPr="00B64CA9" w:rsidRDefault="00C73D6B" w:rsidP="002D07A3">
            <w:pPr>
              <w:spacing w:before="20" w:after="20"/>
              <w:rPr>
                <w:rFonts w:ascii="Arial" w:hAnsi="Arial" w:cs="Arial"/>
                <w:b/>
                <w:sz w:val="18"/>
                <w:szCs w:val="18"/>
              </w:rPr>
            </w:pPr>
          </w:p>
        </w:tc>
      </w:tr>
      <w:tr w:rsidR="00AF4E63" w:rsidRPr="00B64CA9" w14:paraId="32A6F5D8" w14:textId="77777777" w:rsidTr="002D07A3">
        <w:tc>
          <w:tcPr>
            <w:tcW w:w="3681" w:type="dxa"/>
            <w:tcBorders>
              <w:top w:val="nil"/>
              <w:bottom w:val="nil"/>
            </w:tcBorders>
            <w:vAlign w:val="center"/>
          </w:tcPr>
          <w:p w14:paraId="5771F9AB"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Nasopharyngitis</w:t>
            </w:r>
          </w:p>
        </w:tc>
        <w:tc>
          <w:tcPr>
            <w:tcW w:w="1559" w:type="dxa"/>
            <w:tcBorders>
              <w:top w:val="nil"/>
              <w:bottom w:val="nil"/>
            </w:tcBorders>
            <w:vAlign w:val="center"/>
          </w:tcPr>
          <w:p w14:paraId="4A83EE36"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79 (11.4)</w:t>
            </w:r>
          </w:p>
        </w:tc>
        <w:tc>
          <w:tcPr>
            <w:tcW w:w="1418" w:type="dxa"/>
            <w:tcBorders>
              <w:top w:val="nil"/>
              <w:bottom w:val="nil"/>
            </w:tcBorders>
            <w:vAlign w:val="center"/>
          </w:tcPr>
          <w:p w14:paraId="42566655"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85 (12.3)</w:t>
            </w:r>
          </w:p>
        </w:tc>
        <w:tc>
          <w:tcPr>
            <w:tcW w:w="992" w:type="dxa"/>
            <w:tcBorders>
              <w:top w:val="nil"/>
              <w:bottom w:val="nil"/>
            </w:tcBorders>
            <w:vAlign w:val="center"/>
          </w:tcPr>
          <w:p w14:paraId="07A0A71F"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60 (8.6)</w:t>
            </w:r>
          </w:p>
        </w:tc>
        <w:tc>
          <w:tcPr>
            <w:tcW w:w="1366" w:type="dxa"/>
            <w:tcBorders>
              <w:top w:val="nil"/>
              <w:bottom w:val="nil"/>
            </w:tcBorders>
            <w:vAlign w:val="center"/>
          </w:tcPr>
          <w:p w14:paraId="3937F461"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Very common</w:t>
            </w:r>
          </w:p>
        </w:tc>
      </w:tr>
      <w:tr w:rsidR="00AF4E63" w:rsidRPr="00B64CA9" w14:paraId="5CA255AC" w14:textId="77777777" w:rsidTr="002D07A3">
        <w:tc>
          <w:tcPr>
            <w:tcW w:w="3681" w:type="dxa"/>
            <w:tcBorders>
              <w:top w:val="nil"/>
              <w:bottom w:val="nil"/>
            </w:tcBorders>
            <w:vAlign w:val="center"/>
          </w:tcPr>
          <w:p w14:paraId="4A3239AF"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Upper respiratory tract infection</w:t>
            </w:r>
          </w:p>
        </w:tc>
        <w:tc>
          <w:tcPr>
            <w:tcW w:w="1559" w:type="dxa"/>
            <w:tcBorders>
              <w:top w:val="nil"/>
              <w:bottom w:val="nil"/>
            </w:tcBorders>
            <w:vAlign w:val="center"/>
          </w:tcPr>
          <w:p w14:paraId="03DBBCBA"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17 (2.5)</w:t>
            </w:r>
          </w:p>
        </w:tc>
        <w:tc>
          <w:tcPr>
            <w:tcW w:w="1418" w:type="dxa"/>
            <w:tcBorders>
              <w:top w:val="nil"/>
              <w:bottom w:val="nil"/>
            </w:tcBorders>
            <w:vAlign w:val="center"/>
          </w:tcPr>
          <w:p w14:paraId="1FE3F05B"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22 (3.2)</w:t>
            </w:r>
          </w:p>
        </w:tc>
        <w:tc>
          <w:tcPr>
            <w:tcW w:w="992" w:type="dxa"/>
            <w:tcBorders>
              <w:top w:val="nil"/>
              <w:bottom w:val="nil"/>
            </w:tcBorders>
            <w:vAlign w:val="center"/>
          </w:tcPr>
          <w:p w14:paraId="0688A329"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5 (0.7)</w:t>
            </w:r>
          </w:p>
        </w:tc>
        <w:tc>
          <w:tcPr>
            <w:tcW w:w="1366" w:type="dxa"/>
            <w:tcBorders>
              <w:top w:val="nil"/>
              <w:bottom w:val="nil"/>
            </w:tcBorders>
            <w:vAlign w:val="center"/>
          </w:tcPr>
          <w:p w14:paraId="42E8160A"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AF4E63" w:rsidRPr="00B64CA9" w14:paraId="72ADBF4C" w14:textId="77777777" w:rsidTr="002D07A3">
        <w:tc>
          <w:tcPr>
            <w:tcW w:w="3681" w:type="dxa"/>
            <w:tcBorders>
              <w:top w:val="nil"/>
              <w:bottom w:val="nil"/>
            </w:tcBorders>
            <w:vAlign w:val="center"/>
          </w:tcPr>
          <w:p w14:paraId="5ABD91BB"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Rhinitis</w:t>
            </w:r>
          </w:p>
        </w:tc>
        <w:tc>
          <w:tcPr>
            <w:tcW w:w="1559" w:type="dxa"/>
            <w:tcBorders>
              <w:top w:val="nil"/>
              <w:bottom w:val="nil"/>
            </w:tcBorders>
            <w:vAlign w:val="center"/>
          </w:tcPr>
          <w:p w14:paraId="358CA281"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10 (1.4)</w:t>
            </w:r>
          </w:p>
        </w:tc>
        <w:tc>
          <w:tcPr>
            <w:tcW w:w="1418" w:type="dxa"/>
            <w:tcBorders>
              <w:top w:val="nil"/>
              <w:bottom w:val="nil"/>
            </w:tcBorders>
            <w:vAlign w:val="center"/>
          </w:tcPr>
          <w:p w14:paraId="6F42F418"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10 (1.4)</w:t>
            </w:r>
          </w:p>
        </w:tc>
        <w:tc>
          <w:tcPr>
            <w:tcW w:w="992" w:type="dxa"/>
            <w:tcBorders>
              <w:top w:val="nil"/>
              <w:bottom w:val="nil"/>
            </w:tcBorders>
            <w:vAlign w:val="center"/>
          </w:tcPr>
          <w:p w14:paraId="769B36A0"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5 (0.7)</w:t>
            </w:r>
          </w:p>
        </w:tc>
        <w:tc>
          <w:tcPr>
            <w:tcW w:w="1366" w:type="dxa"/>
            <w:tcBorders>
              <w:top w:val="nil"/>
              <w:bottom w:val="nil"/>
            </w:tcBorders>
            <w:vAlign w:val="center"/>
          </w:tcPr>
          <w:p w14:paraId="3B8B8658"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AF4E63" w:rsidRPr="00B64CA9" w14:paraId="1809E9A6" w14:textId="77777777" w:rsidTr="002D07A3">
        <w:tc>
          <w:tcPr>
            <w:tcW w:w="3681" w:type="dxa"/>
            <w:tcBorders>
              <w:top w:val="nil"/>
              <w:bottom w:val="nil"/>
            </w:tcBorders>
            <w:vAlign w:val="center"/>
          </w:tcPr>
          <w:p w14:paraId="0E90C4F1"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 xml:space="preserve">Oral herpes  </w:t>
            </w:r>
          </w:p>
        </w:tc>
        <w:tc>
          <w:tcPr>
            <w:tcW w:w="1559" w:type="dxa"/>
            <w:tcBorders>
              <w:top w:val="nil"/>
              <w:bottom w:val="nil"/>
            </w:tcBorders>
            <w:vAlign w:val="center"/>
          </w:tcPr>
          <w:p w14:paraId="62E00E9E"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9 (1.3)</w:t>
            </w:r>
          </w:p>
        </w:tc>
        <w:tc>
          <w:tcPr>
            <w:tcW w:w="1418" w:type="dxa"/>
            <w:tcBorders>
              <w:top w:val="nil"/>
              <w:bottom w:val="nil"/>
            </w:tcBorders>
            <w:vAlign w:val="center"/>
          </w:tcPr>
          <w:p w14:paraId="489D9EA9"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 (0.1)</w:t>
            </w:r>
          </w:p>
        </w:tc>
        <w:tc>
          <w:tcPr>
            <w:tcW w:w="992" w:type="dxa"/>
            <w:tcBorders>
              <w:top w:val="nil"/>
              <w:bottom w:val="nil"/>
            </w:tcBorders>
            <w:vAlign w:val="center"/>
          </w:tcPr>
          <w:p w14:paraId="61DC9C60"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2 (0.3)</w:t>
            </w:r>
          </w:p>
        </w:tc>
        <w:tc>
          <w:tcPr>
            <w:tcW w:w="1366" w:type="dxa"/>
            <w:tcBorders>
              <w:top w:val="nil"/>
              <w:bottom w:val="nil"/>
            </w:tcBorders>
            <w:vAlign w:val="center"/>
          </w:tcPr>
          <w:p w14:paraId="6767E6B0"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AF4E63" w:rsidRPr="00B64CA9" w14:paraId="261F807F" w14:textId="77777777" w:rsidTr="002D07A3">
        <w:tc>
          <w:tcPr>
            <w:tcW w:w="3681" w:type="dxa"/>
            <w:tcBorders>
              <w:top w:val="nil"/>
              <w:bottom w:val="single" w:sz="4" w:space="0" w:color="auto"/>
            </w:tcBorders>
            <w:vAlign w:val="center"/>
          </w:tcPr>
          <w:p w14:paraId="4F553482"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Pharyngitis</w:t>
            </w:r>
          </w:p>
        </w:tc>
        <w:tc>
          <w:tcPr>
            <w:tcW w:w="1559" w:type="dxa"/>
            <w:tcBorders>
              <w:top w:val="nil"/>
              <w:bottom w:val="single" w:sz="4" w:space="0" w:color="auto"/>
            </w:tcBorders>
            <w:vAlign w:val="center"/>
          </w:tcPr>
          <w:p w14:paraId="12CC49B4"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8 (1.2)</w:t>
            </w:r>
          </w:p>
        </w:tc>
        <w:tc>
          <w:tcPr>
            <w:tcW w:w="1418" w:type="dxa"/>
            <w:tcBorders>
              <w:top w:val="nil"/>
              <w:bottom w:val="single" w:sz="4" w:space="0" w:color="auto"/>
            </w:tcBorders>
            <w:vAlign w:val="center"/>
          </w:tcPr>
          <w:p w14:paraId="42343623"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7 (1.0)</w:t>
            </w:r>
          </w:p>
        </w:tc>
        <w:tc>
          <w:tcPr>
            <w:tcW w:w="992" w:type="dxa"/>
            <w:tcBorders>
              <w:top w:val="nil"/>
              <w:bottom w:val="single" w:sz="4" w:space="0" w:color="auto"/>
            </w:tcBorders>
            <w:vAlign w:val="center"/>
          </w:tcPr>
          <w:p w14:paraId="680DBBF2"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0 (0)</w:t>
            </w:r>
          </w:p>
        </w:tc>
        <w:tc>
          <w:tcPr>
            <w:tcW w:w="1366" w:type="dxa"/>
            <w:tcBorders>
              <w:top w:val="nil"/>
              <w:bottom w:val="single" w:sz="4" w:space="0" w:color="auto"/>
            </w:tcBorders>
            <w:vAlign w:val="center"/>
          </w:tcPr>
          <w:p w14:paraId="71F02DF2"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C73D6B" w:rsidRPr="00B64CA9" w14:paraId="3C974814" w14:textId="77777777" w:rsidTr="002D07A3">
        <w:tc>
          <w:tcPr>
            <w:tcW w:w="3681" w:type="dxa"/>
            <w:tcBorders>
              <w:bottom w:val="nil"/>
            </w:tcBorders>
            <w:vAlign w:val="center"/>
          </w:tcPr>
          <w:p w14:paraId="21914B0D" w14:textId="77777777" w:rsidR="00C73D6B" w:rsidRPr="00B64CA9" w:rsidRDefault="00C73D6B" w:rsidP="0012484D">
            <w:pPr>
              <w:spacing w:before="20" w:after="20"/>
              <w:rPr>
                <w:rFonts w:ascii="Arial" w:hAnsi="Arial" w:cs="Arial"/>
                <w:b/>
                <w:sz w:val="18"/>
                <w:szCs w:val="18"/>
              </w:rPr>
            </w:pPr>
            <w:r w:rsidRPr="00B64CA9">
              <w:rPr>
                <w:rFonts w:ascii="Arial" w:hAnsi="Arial" w:cs="Arial"/>
                <w:b/>
                <w:sz w:val="18"/>
                <w:szCs w:val="18"/>
              </w:rPr>
              <w:t>Gastrointestinal disorders</w:t>
            </w:r>
          </w:p>
        </w:tc>
        <w:tc>
          <w:tcPr>
            <w:tcW w:w="1559" w:type="dxa"/>
            <w:tcBorders>
              <w:bottom w:val="nil"/>
            </w:tcBorders>
            <w:vAlign w:val="center"/>
          </w:tcPr>
          <w:p w14:paraId="5DF8ED10" w14:textId="77777777" w:rsidR="00C73D6B" w:rsidRPr="00B64CA9" w:rsidRDefault="00C73D6B" w:rsidP="002D07A3">
            <w:pPr>
              <w:spacing w:before="20" w:after="20"/>
              <w:jc w:val="center"/>
              <w:rPr>
                <w:rFonts w:ascii="Arial" w:hAnsi="Arial" w:cs="Arial"/>
                <w:b/>
                <w:sz w:val="18"/>
                <w:szCs w:val="18"/>
              </w:rPr>
            </w:pPr>
          </w:p>
        </w:tc>
        <w:tc>
          <w:tcPr>
            <w:tcW w:w="1418" w:type="dxa"/>
            <w:tcBorders>
              <w:bottom w:val="nil"/>
            </w:tcBorders>
            <w:vAlign w:val="center"/>
          </w:tcPr>
          <w:p w14:paraId="31AB799F" w14:textId="77777777" w:rsidR="00C73D6B" w:rsidRPr="00B64CA9" w:rsidRDefault="00C73D6B" w:rsidP="002D07A3">
            <w:pPr>
              <w:spacing w:before="20" w:after="20"/>
              <w:jc w:val="center"/>
              <w:rPr>
                <w:rFonts w:ascii="Arial" w:hAnsi="Arial" w:cs="Arial"/>
                <w:b/>
                <w:sz w:val="18"/>
                <w:szCs w:val="18"/>
              </w:rPr>
            </w:pPr>
          </w:p>
        </w:tc>
        <w:tc>
          <w:tcPr>
            <w:tcW w:w="992" w:type="dxa"/>
            <w:tcBorders>
              <w:bottom w:val="nil"/>
            </w:tcBorders>
            <w:vAlign w:val="center"/>
          </w:tcPr>
          <w:p w14:paraId="1A659770" w14:textId="77777777" w:rsidR="00C73D6B" w:rsidRPr="00B64CA9" w:rsidRDefault="00C73D6B" w:rsidP="002D07A3">
            <w:pPr>
              <w:spacing w:before="20" w:after="20"/>
              <w:jc w:val="center"/>
              <w:rPr>
                <w:rFonts w:ascii="Arial" w:hAnsi="Arial" w:cs="Arial"/>
                <w:b/>
                <w:sz w:val="18"/>
                <w:szCs w:val="18"/>
              </w:rPr>
            </w:pPr>
          </w:p>
        </w:tc>
        <w:tc>
          <w:tcPr>
            <w:tcW w:w="1366" w:type="dxa"/>
            <w:tcBorders>
              <w:bottom w:val="nil"/>
            </w:tcBorders>
            <w:vAlign w:val="center"/>
          </w:tcPr>
          <w:p w14:paraId="466F72E3" w14:textId="77777777" w:rsidR="00C73D6B" w:rsidRPr="00B64CA9" w:rsidRDefault="00C73D6B" w:rsidP="002D07A3">
            <w:pPr>
              <w:spacing w:before="20" w:after="20"/>
              <w:rPr>
                <w:rFonts w:ascii="Arial" w:hAnsi="Arial" w:cs="Arial"/>
                <w:b/>
                <w:sz w:val="18"/>
                <w:szCs w:val="18"/>
              </w:rPr>
            </w:pPr>
          </w:p>
        </w:tc>
      </w:tr>
      <w:tr w:rsidR="00AF4E63" w:rsidRPr="00B64CA9" w14:paraId="48A03766" w14:textId="77777777" w:rsidTr="002D07A3">
        <w:tc>
          <w:tcPr>
            <w:tcW w:w="3681" w:type="dxa"/>
            <w:tcBorders>
              <w:top w:val="nil"/>
              <w:bottom w:val="single" w:sz="4" w:space="0" w:color="auto"/>
            </w:tcBorders>
            <w:vAlign w:val="center"/>
          </w:tcPr>
          <w:p w14:paraId="12B50A66"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Diarrhoea</w:t>
            </w:r>
          </w:p>
        </w:tc>
        <w:tc>
          <w:tcPr>
            <w:tcW w:w="1559" w:type="dxa"/>
            <w:tcBorders>
              <w:top w:val="nil"/>
              <w:bottom w:val="single" w:sz="4" w:space="0" w:color="auto"/>
            </w:tcBorders>
            <w:vAlign w:val="center"/>
          </w:tcPr>
          <w:p w14:paraId="465CAA72"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28 (4.1)</w:t>
            </w:r>
          </w:p>
        </w:tc>
        <w:tc>
          <w:tcPr>
            <w:tcW w:w="1418" w:type="dxa"/>
            <w:tcBorders>
              <w:top w:val="nil"/>
              <w:bottom w:val="single" w:sz="4" w:space="0" w:color="auto"/>
            </w:tcBorders>
            <w:vAlign w:val="center"/>
          </w:tcPr>
          <w:p w14:paraId="6C03A483"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18 (2.6)</w:t>
            </w:r>
          </w:p>
        </w:tc>
        <w:tc>
          <w:tcPr>
            <w:tcW w:w="992" w:type="dxa"/>
            <w:tcBorders>
              <w:top w:val="nil"/>
              <w:bottom w:val="single" w:sz="4" w:space="0" w:color="auto"/>
            </w:tcBorders>
            <w:vAlign w:val="center"/>
          </w:tcPr>
          <w:p w14:paraId="62CB3245"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10 (1.4)</w:t>
            </w:r>
          </w:p>
        </w:tc>
        <w:tc>
          <w:tcPr>
            <w:tcW w:w="1366" w:type="dxa"/>
            <w:tcBorders>
              <w:top w:val="nil"/>
              <w:bottom w:val="single" w:sz="4" w:space="0" w:color="auto"/>
            </w:tcBorders>
            <w:vAlign w:val="center"/>
          </w:tcPr>
          <w:p w14:paraId="2854647F"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C73D6B" w:rsidRPr="00B64CA9" w14:paraId="43061A7C" w14:textId="77777777" w:rsidTr="002D07A3">
        <w:tc>
          <w:tcPr>
            <w:tcW w:w="3681" w:type="dxa"/>
            <w:tcBorders>
              <w:bottom w:val="nil"/>
            </w:tcBorders>
            <w:vAlign w:val="center"/>
          </w:tcPr>
          <w:p w14:paraId="457A2709" w14:textId="77777777" w:rsidR="00C73D6B" w:rsidRPr="00B64CA9" w:rsidRDefault="00C73D6B" w:rsidP="0012484D">
            <w:pPr>
              <w:spacing w:before="20" w:after="20"/>
              <w:rPr>
                <w:rFonts w:ascii="Arial" w:hAnsi="Arial" w:cs="Arial"/>
                <w:b/>
                <w:sz w:val="18"/>
                <w:szCs w:val="18"/>
              </w:rPr>
            </w:pPr>
            <w:r w:rsidRPr="00B64CA9">
              <w:rPr>
                <w:rFonts w:ascii="Arial" w:hAnsi="Arial" w:cs="Arial"/>
                <w:b/>
                <w:sz w:val="18"/>
                <w:szCs w:val="18"/>
              </w:rPr>
              <w:t>Skin and subcutaneous tissue disorders</w:t>
            </w:r>
          </w:p>
        </w:tc>
        <w:tc>
          <w:tcPr>
            <w:tcW w:w="1559" w:type="dxa"/>
            <w:tcBorders>
              <w:bottom w:val="nil"/>
            </w:tcBorders>
            <w:vAlign w:val="center"/>
          </w:tcPr>
          <w:p w14:paraId="7A385C15" w14:textId="77777777" w:rsidR="00C73D6B" w:rsidRPr="00B64CA9" w:rsidRDefault="00C73D6B" w:rsidP="002D07A3">
            <w:pPr>
              <w:spacing w:before="20" w:after="20"/>
              <w:jc w:val="center"/>
              <w:rPr>
                <w:rFonts w:ascii="Arial" w:hAnsi="Arial" w:cs="Arial"/>
                <w:b/>
                <w:sz w:val="18"/>
                <w:szCs w:val="18"/>
              </w:rPr>
            </w:pPr>
          </w:p>
        </w:tc>
        <w:tc>
          <w:tcPr>
            <w:tcW w:w="1418" w:type="dxa"/>
            <w:tcBorders>
              <w:bottom w:val="nil"/>
            </w:tcBorders>
            <w:vAlign w:val="center"/>
          </w:tcPr>
          <w:p w14:paraId="5F318D55" w14:textId="77777777" w:rsidR="00C73D6B" w:rsidRPr="00B64CA9" w:rsidRDefault="00C73D6B" w:rsidP="002D07A3">
            <w:pPr>
              <w:spacing w:before="20" w:after="20"/>
              <w:jc w:val="center"/>
              <w:rPr>
                <w:rFonts w:ascii="Arial" w:hAnsi="Arial" w:cs="Arial"/>
                <w:b/>
                <w:sz w:val="18"/>
                <w:szCs w:val="18"/>
              </w:rPr>
            </w:pPr>
          </w:p>
        </w:tc>
        <w:tc>
          <w:tcPr>
            <w:tcW w:w="992" w:type="dxa"/>
            <w:tcBorders>
              <w:bottom w:val="nil"/>
            </w:tcBorders>
            <w:vAlign w:val="center"/>
          </w:tcPr>
          <w:p w14:paraId="0B07F1E4" w14:textId="77777777" w:rsidR="00C73D6B" w:rsidRPr="00B64CA9" w:rsidRDefault="00C73D6B" w:rsidP="002D07A3">
            <w:pPr>
              <w:spacing w:before="20" w:after="20"/>
              <w:jc w:val="center"/>
              <w:rPr>
                <w:rFonts w:ascii="Arial" w:hAnsi="Arial" w:cs="Arial"/>
                <w:b/>
                <w:sz w:val="18"/>
                <w:szCs w:val="18"/>
              </w:rPr>
            </w:pPr>
          </w:p>
        </w:tc>
        <w:tc>
          <w:tcPr>
            <w:tcW w:w="1366" w:type="dxa"/>
            <w:tcBorders>
              <w:bottom w:val="nil"/>
            </w:tcBorders>
            <w:vAlign w:val="center"/>
          </w:tcPr>
          <w:p w14:paraId="4AD75C8B" w14:textId="77777777" w:rsidR="00C73D6B" w:rsidRPr="00B64CA9" w:rsidRDefault="00C73D6B" w:rsidP="002D07A3">
            <w:pPr>
              <w:spacing w:before="20" w:after="20"/>
              <w:rPr>
                <w:rFonts w:ascii="Arial" w:hAnsi="Arial" w:cs="Arial"/>
                <w:b/>
                <w:sz w:val="18"/>
                <w:szCs w:val="18"/>
              </w:rPr>
            </w:pPr>
          </w:p>
        </w:tc>
      </w:tr>
      <w:tr w:rsidR="00AF4E63" w:rsidRPr="00B64CA9" w14:paraId="59A8FAF4" w14:textId="77777777" w:rsidTr="002D07A3">
        <w:tc>
          <w:tcPr>
            <w:tcW w:w="3681" w:type="dxa"/>
            <w:tcBorders>
              <w:top w:val="nil"/>
              <w:bottom w:val="single" w:sz="4" w:space="0" w:color="auto"/>
            </w:tcBorders>
            <w:vAlign w:val="center"/>
          </w:tcPr>
          <w:p w14:paraId="5C32E6A7"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Urticaria</w:t>
            </w:r>
          </w:p>
        </w:tc>
        <w:tc>
          <w:tcPr>
            <w:tcW w:w="1559" w:type="dxa"/>
            <w:tcBorders>
              <w:top w:val="nil"/>
              <w:bottom w:val="single" w:sz="4" w:space="0" w:color="auto"/>
            </w:tcBorders>
            <w:vAlign w:val="center"/>
          </w:tcPr>
          <w:p w14:paraId="27C78C2E"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4 (0.6)</w:t>
            </w:r>
          </w:p>
        </w:tc>
        <w:tc>
          <w:tcPr>
            <w:tcW w:w="1418" w:type="dxa"/>
            <w:tcBorders>
              <w:top w:val="nil"/>
              <w:bottom w:val="single" w:sz="4" w:space="0" w:color="auto"/>
            </w:tcBorders>
            <w:vAlign w:val="center"/>
          </w:tcPr>
          <w:p w14:paraId="2D598FB0"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8 (1.2)</w:t>
            </w:r>
          </w:p>
        </w:tc>
        <w:tc>
          <w:tcPr>
            <w:tcW w:w="992" w:type="dxa"/>
            <w:tcBorders>
              <w:top w:val="nil"/>
              <w:bottom w:val="single" w:sz="4" w:space="0" w:color="auto"/>
            </w:tcBorders>
            <w:vAlign w:val="center"/>
          </w:tcPr>
          <w:p w14:paraId="5FEA17A5"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 (0.1)</w:t>
            </w:r>
          </w:p>
        </w:tc>
        <w:tc>
          <w:tcPr>
            <w:tcW w:w="1366" w:type="dxa"/>
            <w:tcBorders>
              <w:top w:val="nil"/>
              <w:bottom w:val="single" w:sz="4" w:space="0" w:color="auto"/>
            </w:tcBorders>
            <w:vAlign w:val="center"/>
          </w:tcPr>
          <w:p w14:paraId="329A0470"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C73D6B" w:rsidRPr="00B64CA9" w14:paraId="29F2B297" w14:textId="77777777" w:rsidTr="002D07A3">
        <w:tc>
          <w:tcPr>
            <w:tcW w:w="3681" w:type="dxa"/>
            <w:tcBorders>
              <w:bottom w:val="nil"/>
            </w:tcBorders>
            <w:vAlign w:val="center"/>
          </w:tcPr>
          <w:p w14:paraId="42B03A4F" w14:textId="77777777" w:rsidR="00C73D6B" w:rsidRPr="00B64CA9" w:rsidRDefault="00C73D6B" w:rsidP="0012484D">
            <w:pPr>
              <w:spacing w:before="20" w:after="20"/>
              <w:rPr>
                <w:rFonts w:ascii="Arial" w:hAnsi="Arial" w:cs="Arial"/>
                <w:b/>
                <w:sz w:val="18"/>
                <w:szCs w:val="18"/>
              </w:rPr>
            </w:pPr>
            <w:r w:rsidRPr="00B64CA9">
              <w:rPr>
                <w:rFonts w:ascii="Arial" w:hAnsi="Arial" w:cs="Arial"/>
                <w:b/>
                <w:sz w:val="18"/>
                <w:szCs w:val="18"/>
              </w:rPr>
              <w:lastRenderedPageBreak/>
              <w:t xml:space="preserve">Respiratory, </w:t>
            </w:r>
            <w:proofErr w:type="gramStart"/>
            <w:r w:rsidRPr="00B64CA9">
              <w:rPr>
                <w:rFonts w:ascii="Arial" w:hAnsi="Arial" w:cs="Arial"/>
                <w:b/>
                <w:sz w:val="18"/>
                <w:szCs w:val="18"/>
              </w:rPr>
              <w:t>thoracic</w:t>
            </w:r>
            <w:proofErr w:type="gramEnd"/>
            <w:r w:rsidRPr="00B64CA9">
              <w:rPr>
                <w:rFonts w:ascii="Arial" w:hAnsi="Arial" w:cs="Arial"/>
                <w:b/>
                <w:sz w:val="18"/>
                <w:szCs w:val="18"/>
              </w:rPr>
              <w:t xml:space="preserve"> and mediastinal disorders</w:t>
            </w:r>
          </w:p>
        </w:tc>
        <w:tc>
          <w:tcPr>
            <w:tcW w:w="1559" w:type="dxa"/>
            <w:tcBorders>
              <w:bottom w:val="nil"/>
            </w:tcBorders>
            <w:vAlign w:val="center"/>
          </w:tcPr>
          <w:p w14:paraId="7DB9B01A" w14:textId="77777777" w:rsidR="00C73D6B" w:rsidRPr="00B64CA9" w:rsidRDefault="00C73D6B" w:rsidP="002D07A3">
            <w:pPr>
              <w:spacing w:before="20" w:after="20"/>
              <w:jc w:val="center"/>
              <w:rPr>
                <w:rFonts w:ascii="Arial" w:hAnsi="Arial" w:cs="Arial"/>
                <w:b/>
                <w:sz w:val="18"/>
                <w:szCs w:val="18"/>
              </w:rPr>
            </w:pPr>
          </w:p>
        </w:tc>
        <w:tc>
          <w:tcPr>
            <w:tcW w:w="1418" w:type="dxa"/>
            <w:tcBorders>
              <w:bottom w:val="nil"/>
            </w:tcBorders>
            <w:vAlign w:val="center"/>
          </w:tcPr>
          <w:p w14:paraId="57A5D99E" w14:textId="77777777" w:rsidR="00C73D6B" w:rsidRPr="00B64CA9" w:rsidRDefault="00C73D6B" w:rsidP="002D07A3">
            <w:pPr>
              <w:spacing w:before="20" w:after="20"/>
              <w:jc w:val="center"/>
              <w:rPr>
                <w:rFonts w:ascii="Arial" w:hAnsi="Arial" w:cs="Arial"/>
                <w:b/>
                <w:sz w:val="18"/>
                <w:szCs w:val="18"/>
              </w:rPr>
            </w:pPr>
          </w:p>
        </w:tc>
        <w:tc>
          <w:tcPr>
            <w:tcW w:w="992" w:type="dxa"/>
            <w:tcBorders>
              <w:bottom w:val="nil"/>
            </w:tcBorders>
            <w:vAlign w:val="center"/>
          </w:tcPr>
          <w:p w14:paraId="109A6C20" w14:textId="77777777" w:rsidR="00C73D6B" w:rsidRPr="00B64CA9" w:rsidRDefault="00C73D6B" w:rsidP="002D07A3">
            <w:pPr>
              <w:spacing w:before="20" w:after="20"/>
              <w:jc w:val="center"/>
              <w:rPr>
                <w:rFonts w:ascii="Arial" w:hAnsi="Arial" w:cs="Arial"/>
                <w:b/>
                <w:sz w:val="18"/>
                <w:szCs w:val="18"/>
              </w:rPr>
            </w:pPr>
          </w:p>
        </w:tc>
        <w:tc>
          <w:tcPr>
            <w:tcW w:w="1366" w:type="dxa"/>
            <w:tcBorders>
              <w:bottom w:val="nil"/>
            </w:tcBorders>
            <w:vAlign w:val="center"/>
          </w:tcPr>
          <w:p w14:paraId="0F32C66B" w14:textId="77777777" w:rsidR="00C73D6B" w:rsidRPr="00B64CA9" w:rsidRDefault="00C73D6B" w:rsidP="002D07A3">
            <w:pPr>
              <w:spacing w:before="20" w:after="20"/>
              <w:rPr>
                <w:rFonts w:ascii="Arial" w:hAnsi="Arial" w:cs="Arial"/>
                <w:b/>
                <w:sz w:val="18"/>
                <w:szCs w:val="18"/>
              </w:rPr>
            </w:pPr>
          </w:p>
        </w:tc>
      </w:tr>
      <w:tr w:rsidR="0012484D" w:rsidRPr="00B64CA9" w14:paraId="3E158BED" w14:textId="77777777" w:rsidTr="002D07A3">
        <w:tc>
          <w:tcPr>
            <w:tcW w:w="3681" w:type="dxa"/>
            <w:tcBorders>
              <w:top w:val="nil"/>
              <w:bottom w:val="single" w:sz="4" w:space="0" w:color="auto"/>
            </w:tcBorders>
            <w:vAlign w:val="center"/>
          </w:tcPr>
          <w:p w14:paraId="5EBA1BC7"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Rhinorrhoea</w:t>
            </w:r>
          </w:p>
        </w:tc>
        <w:tc>
          <w:tcPr>
            <w:tcW w:w="1559" w:type="dxa"/>
            <w:tcBorders>
              <w:top w:val="nil"/>
              <w:bottom w:val="single" w:sz="4" w:space="0" w:color="auto"/>
            </w:tcBorders>
            <w:vAlign w:val="center"/>
          </w:tcPr>
          <w:p w14:paraId="24C881BA"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8 (1.2)</w:t>
            </w:r>
          </w:p>
        </w:tc>
        <w:tc>
          <w:tcPr>
            <w:tcW w:w="1418" w:type="dxa"/>
            <w:tcBorders>
              <w:top w:val="nil"/>
              <w:bottom w:val="single" w:sz="4" w:space="0" w:color="auto"/>
            </w:tcBorders>
            <w:vAlign w:val="center"/>
          </w:tcPr>
          <w:p w14:paraId="3B258DA5"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2 (0.3)</w:t>
            </w:r>
          </w:p>
        </w:tc>
        <w:tc>
          <w:tcPr>
            <w:tcW w:w="992" w:type="dxa"/>
            <w:tcBorders>
              <w:top w:val="nil"/>
              <w:bottom w:val="single" w:sz="4" w:space="0" w:color="auto"/>
            </w:tcBorders>
            <w:vAlign w:val="center"/>
          </w:tcPr>
          <w:p w14:paraId="2AB7BAF3" w14:textId="77777777" w:rsidR="00AF4E63" w:rsidRPr="00B64CA9" w:rsidRDefault="00AF4E63" w:rsidP="002D07A3">
            <w:pPr>
              <w:spacing w:before="20" w:after="20"/>
              <w:jc w:val="center"/>
              <w:rPr>
                <w:rFonts w:ascii="Arial" w:hAnsi="Arial" w:cs="Arial"/>
                <w:sz w:val="18"/>
                <w:szCs w:val="18"/>
              </w:rPr>
            </w:pPr>
            <w:r w:rsidRPr="00B64CA9">
              <w:rPr>
                <w:rFonts w:ascii="Arial" w:hAnsi="Arial" w:cs="Arial"/>
                <w:sz w:val="18"/>
                <w:szCs w:val="18"/>
              </w:rPr>
              <w:t>1 (0.1)</w:t>
            </w:r>
          </w:p>
        </w:tc>
        <w:tc>
          <w:tcPr>
            <w:tcW w:w="1366" w:type="dxa"/>
            <w:tcBorders>
              <w:top w:val="nil"/>
              <w:bottom w:val="single" w:sz="4" w:space="0" w:color="auto"/>
            </w:tcBorders>
            <w:vAlign w:val="center"/>
          </w:tcPr>
          <w:p w14:paraId="658BC51B" w14:textId="77777777" w:rsidR="00AF4E63" w:rsidRPr="00B64CA9" w:rsidRDefault="00AF4E63" w:rsidP="002D07A3">
            <w:pPr>
              <w:spacing w:before="20" w:after="20"/>
              <w:rPr>
                <w:rFonts w:ascii="Arial" w:hAnsi="Arial" w:cs="Arial"/>
                <w:sz w:val="18"/>
                <w:szCs w:val="18"/>
              </w:rPr>
            </w:pPr>
            <w:r w:rsidRPr="00B64CA9">
              <w:rPr>
                <w:rFonts w:ascii="Arial" w:hAnsi="Arial" w:cs="Arial"/>
                <w:sz w:val="18"/>
                <w:szCs w:val="18"/>
              </w:rPr>
              <w:t>Common</w:t>
            </w:r>
          </w:p>
        </w:tc>
      </w:tr>
      <w:tr w:rsidR="00AF4E63" w:rsidRPr="00B64CA9" w14:paraId="073EBC29" w14:textId="77777777" w:rsidTr="002D07A3">
        <w:tc>
          <w:tcPr>
            <w:tcW w:w="9016" w:type="dxa"/>
            <w:gridSpan w:val="5"/>
            <w:tcBorders>
              <w:top w:val="single" w:sz="4" w:space="0" w:color="auto"/>
              <w:left w:val="nil"/>
              <w:bottom w:val="nil"/>
              <w:right w:val="nil"/>
            </w:tcBorders>
            <w:vAlign w:val="center"/>
          </w:tcPr>
          <w:p w14:paraId="5BA5EB3F" w14:textId="77777777" w:rsidR="00AF4E63" w:rsidRPr="00B64CA9" w:rsidRDefault="00AF4E63" w:rsidP="002D07A3">
            <w:pPr>
              <w:spacing w:before="20" w:after="20"/>
              <w:rPr>
                <w:rFonts w:ascii="Arial" w:hAnsi="Arial" w:cs="Arial"/>
                <w:sz w:val="16"/>
                <w:szCs w:val="18"/>
              </w:rPr>
            </w:pPr>
            <w:r w:rsidRPr="00B64CA9">
              <w:rPr>
                <w:rFonts w:ascii="Arial" w:hAnsi="Arial" w:cs="Arial"/>
                <w:sz w:val="16"/>
                <w:szCs w:val="18"/>
                <w:vertAlign w:val="superscript"/>
              </w:rPr>
              <w:t>1</w:t>
            </w:r>
            <w:r w:rsidRPr="00B64CA9">
              <w:rPr>
                <w:rFonts w:ascii="Arial" w:hAnsi="Arial" w:cs="Arial"/>
                <w:sz w:val="16"/>
                <w:szCs w:val="18"/>
              </w:rPr>
              <w:t xml:space="preserve"> ADR frequencies are based upon the highest percentage rate seen in any of the </w:t>
            </w:r>
            <w:proofErr w:type="spellStart"/>
            <w:r w:rsidRPr="00B64CA9">
              <w:rPr>
                <w:rFonts w:ascii="Arial" w:hAnsi="Arial" w:cs="Arial"/>
                <w:sz w:val="16"/>
                <w:szCs w:val="18"/>
              </w:rPr>
              <w:t>secukinumab</w:t>
            </w:r>
            <w:proofErr w:type="spellEnd"/>
            <w:r w:rsidRPr="00B64CA9">
              <w:rPr>
                <w:rFonts w:ascii="Arial" w:hAnsi="Arial" w:cs="Arial"/>
                <w:sz w:val="16"/>
                <w:szCs w:val="18"/>
              </w:rPr>
              <w:t xml:space="preserve"> groups</w:t>
            </w:r>
          </w:p>
        </w:tc>
      </w:tr>
    </w:tbl>
    <w:p w14:paraId="0CC5366E" w14:textId="77777777" w:rsidR="0037208D" w:rsidRPr="00B64CA9" w:rsidRDefault="0037208D" w:rsidP="0081558E">
      <w:pPr>
        <w:spacing w:after="120"/>
        <w:ind w:left="1166" w:hanging="1166"/>
        <w:jc w:val="both"/>
        <w:rPr>
          <w:rFonts w:ascii="Arial" w:hAnsi="Arial" w:cs="Arial"/>
          <w:b/>
          <w:sz w:val="20"/>
        </w:rPr>
      </w:pPr>
    </w:p>
    <w:p w14:paraId="04C5E305" w14:textId="77777777" w:rsidR="00AF4E63" w:rsidRPr="00B64CA9" w:rsidRDefault="00AF4E63" w:rsidP="0081558E">
      <w:pPr>
        <w:spacing w:after="120"/>
        <w:ind w:left="1166" w:hanging="1166"/>
        <w:jc w:val="both"/>
        <w:rPr>
          <w:rFonts w:ascii="Arial" w:hAnsi="Arial" w:cs="Arial"/>
          <w:b/>
          <w:sz w:val="20"/>
        </w:rPr>
      </w:pPr>
      <w:r w:rsidRPr="00B64CA9">
        <w:rPr>
          <w:rFonts w:ascii="Arial" w:hAnsi="Arial" w:cs="Arial"/>
          <w:b/>
          <w:sz w:val="20"/>
        </w:rPr>
        <w:t>Table</w:t>
      </w:r>
      <w:r w:rsidR="00010B1A" w:rsidRPr="00B64CA9">
        <w:rPr>
          <w:rFonts w:ascii="Arial" w:hAnsi="Arial" w:cs="Arial"/>
          <w:b/>
          <w:sz w:val="20"/>
        </w:rPr>
        <w:t xml:space="preserve"> </w:t>
      </w:r>
      <w:r w:rsidR="00207E1A" w:rsidRPr="00B64CA9">
        <w:rPr>
          <w:rFonts w:ascii="Arial" w:hAnsi="Arial" w:cs="Arial"/>
          <w:b/>
          <w:sz w:val="20"/>
        </w:rPr>
        <w:t>3</w:t>
      </w:r>
      <w:r w:rsidRPr="00B64CA9">
        <w:rPr>
          <w:rFonts w:ascii="Arial" w:hAnsi="Arial" w:cs="Arial"/>
          <w:b/>
          <w:sz w:val="20"/>
        </w:rPr>
        <w:t xml:space="preserve"> </w:t>
      </w:r>
      <w:r w:rsidRPr="00B64CA9">
        <w:rPr>
          <w:rFonts w:ascii="Arial" w:hAnsi="Arial" w:cs="Arial"/>
          <w:b/>
          <w:sz w:val="20"/>
        </w:rPr>
        <w:tab/>
        <w:t>Adverse Drug Reactions reported by ≥ 1 % of psoriasis patients through Week 12 in Phase III FIXTURE Study (A2303)</w:t>
      </w:r>
    </w:p>
    <w:tbl>
      <w:tblPr>
        <w:tblStyle w:val="TableGrid"/>
        <w:tblW w:w="0" w:type="auto"/>
        <w:tblLook w:val="04A0" w:firstRow="1" w:lastRow="0" w:firstColumn="1" w:lastColumn="0" w:noHBand="0" w:noVBand="1"/>
      </w:tblPr>
      <w:tblGrid>
        <w:gridCol w:w="3539"/>
        <w:gridCol w:w="992"/>
        <w:gridCol w:w="993"/>
        <w:gridCol w:w="960"/>
        <w:gridCol w:w="1166"/>
        <w:gridCol w:w="1366"/>
      </w:tblGrid>
      <w:tr w:rsidR="00AF4E63" w:rsidRPr="00B64CA9" w14:paraId="454BAE48" w14:textId="77777777" w:rsidTr="002D07A3">
        <w:tc>
          <w:tcPr>
            <w:tcW w:w="3539" w:type="dxa"/>
            <w:vMerge w:val="restart"/>
            <w:vAlign w:val="center"/>
          </w:tcPr>
          <w:p w14:paraId="36A2EE1D" w14:textId="77777777" w:rsidR="00AF4E63" w:rsidRPr="00B64CA9" w:rsidRDefault="00AF4E63" w:rsidP="0081558E">
            <w:pPr>
              <w:jc w:val="both"/>
              <w:rPr>
                <w:rFonts w:ascii="Arial" w:hAnsi="Arial" w:cs="Arial"/>
                <w:b/>
                <w:sz w:val="18"/>
                <w:szCs w:val="18"/>
              </w:rPr>
            </w:pPr>
            <w:r w:rsidRPr="00B64CA9">
              <w:rPr>
                <w:rFonts w:ascii="Arial" w:hAnsi="Arial" w:cs="Arial"/>
                <w:b/>
                <w:sz w:val="18"/>
                <w:szCs w:val="18"/>
              </w:rPr>
              <w:t>Adverse Reactions</w:t>
            </w:r>
          </w:p>
        </w:tc>
        <w:tc>
          <w:tcPr>
            <w:tcW w:w="1985" w:type="dxa"/>
            <w:gridSpan w:val="2"/>
            <w:vAlign w:val="center"/>
          </w:tcPr>
          <w:p w14:paraId="2395AA53" w14:textId="77777777" w:rsidR="00AF4E63" w:rsidRPr="00B64CA9" w:rsidRDefault="00AF4E63" w:rsidP="00253D7C">
            <w:pPr>
              <w:jc w:val="center"/>
              <w:rPr>
                <w:rFonts w:ascii="Arial" w:hAnsi="Arial" w:cs="Arial"/>
                <w:b/>
                <w:sz w:val="18"/>
                <w:szCs w:val="18"/>
              </w:rPr>
            </w:pPr>
            <w:r w:rsidRPr="00B64CA9">
              <w:rPr>
                <w:rFonts w:ascii="Arial" w:hAnsi="Arial" w:cs="Arial"/>
                <w:b/>
                <w:sz w:val="18"/>
                <w:szCs w:val="18"/>
              </w:rPr>
              <w:t>COSENTYX</w:t>
            </w:r>
          </w:p>
        </w:tc>
        <w:tc>
          <w:tcPr>
            <w:tcW w:w="960" w:type="dxa"/>
            <w:vMerge w:val="restart"/>
            <w:vAlign w:val="center"/>
          </w:tcPr>
          <w:p w14:paraId="3FB3F92F" w14:textId="77777777" w:rsidR="00E84E6E" w:rsidRPr="00B64CA9" w:rsidRDefault="00AF4E63" w:rsidP="00253D7C">
            <w:pPr>
              <w:spacing w:after="0"/>
              <w:jc w:val="center"/>
              <w:rPr>
                <w:rFonts w:ascii="Arial" w:hAnsi="Arial" w:cs="Arial"/>
                <w:b/>
                <w:sz w:val="18"/>
                <w:szCs w:val="18"/>
              </w:rPr>
            </w:pPr>
            <w:r w:rsidRPr="00B64CA9">
              <w:rPr>
                <w:rFonts w:ascii="Arial" w:hAnsi="Arial" w:cs="Arial"/>
                <w:b/>
                <w:sz w:val="18"/>
                <w:szCs w:val="18"/>
              </w:rPr>
              <w:t>Placebo</w:t>
            </w:r>
          </w:p>
          <w:p w14:paraId="766B6167" w14:textId="77777777" w:rsidR="00E84E6E" w:rsidRPr="00B64CA9" w:rsidRDefault="00AF4E63" w:rsidP="00253D7C">
            <w:pPr>
              <w:spacing w:after="0"/>
              <w:jc w:val="center"/>
              <w:rPr>
                <w:rFonts w:ascii="Arial" w:hAnsi="Arial" w:cs="Arial"/>
                <w:b/>
                <w:sz w:val="18"/>
                <w:szCs w:val="18"/>
              </w:rPr>
            </w:pPr>
            <w:r w:rsidRPr="00B64CA9">
              <w:rPr>
                <w:rFonts w:ascii="Arial" w:hAnsi="Arial" w:cs="Arial"/>
                <w:b/>
                <w:sz w:val="18"/>
                <w:szCs w:val="18"/>
              </w:rPr>
              <w:t>N=327</w:t>
            </w:r>
          </w:p>
          <w:p w14:paraId="1084AAC0" w14:textId="77777777" w:rsidR="00AF4E63" w:rsidRPr="00B64CA9" w:rsidRDefault="00AF4E63" w:rsidP="00253D7C">
            <w:pPr>
              <w:spacing w:after="0"/>
              <w:jc w:val="center"/>
              <w:rPr>
                <w:rFonts w:ascii="Arial" w:hAnsi="Arial" w:cs="Arial"/>
                <w:b/>
                <w:sz w:val="18"/>
                <w:szCs w:val="18"/>
              </w:rPr>
            </w:pPr>
            <w:r w:rsidRPr="00B64CA9">
              <w:rPr>
                <w:rFonts w:ascii="Arial" w:hAnsi="Arial" w:cs="Arial"/>
                <w:b/>
                <w:sz w:val="18"/>
                <w:szCs w:val="18"/>
              </w:rPr>
              <w:t>n (%)</w:t>
            </w:r>
          </w:p>
        </w:tc>
        <w:tc>
          <w:tcPr>
            <w:tcW w:w="1166" w:type="dxa"/>
            <w:vMerge w:val="restart"/>
            <w:vAlign w:val="center"/>
          </w:tcPr>
          <w:p w14:paraId="4C9744D1" w14:textId="77777777" w:rsidR="00E84E6E" w:rsidRPr="00B64CA9" w:rsidRDefault="00AF4E63" w:rsidP="00E84E6E">
            <w:pPr>
              <w:spacing w:after="0"/>
              <w:jc w:val="center"/>
              <w:rPr>
                <w:rFonts w:ascii="Arial" w:hAnsi="Arial" w:cs="Arial"/>
                <w:b/>
                <w:sz w:val="18"/>
                <w:szCs w:val="18"/>
              </w:rPr>
            </w:pPr>
            <w:r w:rsidRPr="00B64CA9">
              <w:rPr>
                <w:rFonts w:ascii="Arial" w:hAnsi="Arial" w:cs="Arial"/>
                <w:b/>
                <w:sz w:val="18"/>
                <w:szCs w:val="18"/>
              </w:rPr>
              <w:t>Etanercept</w:t>
            </w:r>
          </w:p>
          <w:p w14:paraId="6237E130" w14:textId="77777777" w:rsidR="00E84E6E" w:rsidRPr="00B64CA9" w:rsidRDefault="00AF4E63" w:rsidP="00E84E6E">
            <w:pPr>
              <w:spacing w:after="0"/>
              <w:jc w:val="center"/>
              <w:rPr>
                <w:rFonts w:ascii="Arial" w:hAnsi="Arial" w:cs="Arial"/>
                <w:b/>
                <w:sz w:val="18"/>
                <w:szCs w:val="18"/>
              </w:rPr>
            </w:pPr>
            <w:r w:rsidRPr="00B64CA9">
              <w:rPr>
                <w:rFonts w:ascii="Arial" w:hAnsi="Arial" w:cs="Arial"/>
                <w:b/>
                <w:sz w:val="18"/>
                <w:szCs w:val="18"/>
              </w:rPr>
              <w:t>N=323</w:t>
            </w:r>
          </w:p>
          <w:p w14:paraId="14C6D16C" w14:textId="77777777" w:rsidR="00AF4E63" w:rsidRPr="00B64CA9" w:rsidRDefault="00AF4E63" w:rsidP="00253D7C">
            <w:pPr>
              <w:spacing w:after="0"/>
              <w:jc w:val="center"/>
              <w:rPr>
                <w:rFonts w:ascii="Arial" w:hAnsi="Arial" w:cs="Arial"/>
                <w:b/>
                <w:sz w:val="18"/>
                <w:szCs w:val="18"/>
              </w:rPr>
            </w:pPr>
            <w:r w:rsidRPr="00B64CA9">
              <w:rPr>
                <w:rFonts w:ascii="Arial" w:hAnsi="Arial" w:cs="Arial"/>
                <w:b/>
                <w:sz w:val="18"/>
                <w:szCs w:val="18"/>
              </w:rPr>
              <w:t>n (%)</w:t>
            </w:r>
          </w:p>
        </w:tc>
        <w:tc>
          <w:tcPr>
            <w:tcW w:w="1366" w:type="dxa"/>
            <w:vMerge w:val="restart"/>
            <w:vAlign w:val="center"/>
          </w:tcPr>
          <w:p w14:paraId="2A5CCDB0" w14:textId="77777777" w:rsidR="00AF4E63" w:rsidRPr="00B64CA9" w:rsidRDefault="00AF4E63" w:rsidP="00253D7C">
            <w:pPr>
              <w:jc w:val="center"/>
              <w:rPr>
                <w:rFonts w:ascii="Arial" w:hAnsi="Arial" w:cs="Arial"/>
                <w:b/>
                <w:sz w:val="18"/>
                <w:szCs w:val="18"/>
              </w:rPr>
            </w:pPr>
            <w:r w:rsidRPr="00B64CA9">
              <w:rPr>
                <w:rFonts w:ascii="Arial" w:hAnsi="Arial" w:cs="Arial"/>
                <w:b/>
                <w:sz w:val="18"/>
                <w:szCs w:val="18"/>
              </w:rPr>
              <w:t>Frequency category</w:t>
            </w:r>
            <w:r w:rsidRPr="00B64CA9">
              <w:rPr>
                <w:rFonts w:ascii="Arial" w:hAnsi="Arial" w:cs="Arial"/>
                <w:b/>
                <w:sz w:val="18"/>
                <w:szCs w:val="18"/>
                <w:vertAlign w:val="superscript"/>
              </w:rPr>
              <w:t>1</w:t>
            </w:r>
          </w:p>
        </w:tc>
      </w:tr>
      <w:tr w:rsidR="00AF4E63" w:rsidRPr="00B64CA9" w14:paraId="4BC075E4" w14:textId="77777777" w:rsidTr="002D07A3">
        <w:tc>
          <w:tcPr>
            <w:tcW w:w="3539" w:type="dxa"/>
            <w:vMerge/>
            <w:tcBorders>
              <w:bottom w:val="single" w:sz="4" w:space="0" w:color="auto"/>
            </w:tcBorders>
            <w:vAlign w:val="center"/>
          </w:tcPr>
          <w:p w14:paraId="0369D5BA" w14:textId="77777777" w:rsidR="00AF4E63" w:rsidRPr="00B64CA9" w:rsidRDefault="00AF4E63" w:rsidP="0081558E">
            <w:pPr>
              <w:jc w:val="both"/>
              <w:rPr>
                <w:rFonts w:ascii="Arial" w:hAnsi="Arial" w:cs="Arial"/>
                <w:sz w:val="18"/>
                <w:szCs w:val="18"/>
              </w:rPr>
            </w:pPr>
          </w:p>
        </w:tc>
        <w:tc>
          <w:tcPr>
            <w:tcW w:w="992" w:type="dxa"/>
            <w:tcBorders>
              <w:bottom w:val="single" w:sz="4" w:space="0" w:color="auto"/>
            </w:tcBorders>
            <w:vAlign w:val="center"/>
          </w:tcPr>
          <w:p w14:paraId="0E3904AF" w14:textId="77777777" w:rsidR="00E84E6E" w:rsidRPr="00B64CA9" w:rsidRDefault="00AF4E63" w:rsidP="00E84E6E">
            <w:pPr>
              <w:spacing w:after="0"/>
              <w:jc w:val="center"/>
              <w:rPr>
                <w:rFonts w:ascii="Arial" w:hAnsi="Arial" w:cs="Arial"/>
                <w:b/>
                <w:sz w:val="18"/>
                <w:szCs w:val="18"/>
              </w:rPr>
            </w:pPr>
            <w:r w:rsidRPr="00B64CA9">
              <w:rPr>
                <w:rFonts w:ascii="Arial" w:hAnsi="Arial" w:cs="Arial"/>
                <w:b/>
                <w:sz w:val="18"/>
                <w:szCs w:val="18"/>
              </w:rPr>
              <w:t>300 mg</w:t>
            </w:r>
            <w:r w:rsidR="00E84E6E" w:rsidRPr="00B64CA9">
              <w:rPr>
                <w:rFonts w:ascii="Arial" w:hAnsi="Arial" w:cs="Arial"/>
                <w:b/>
                <w:sz w:val="18"/>
                <w:szCs w:val="18"/>
              </w:rPr>
              <w:t xml:space="preserve"> </w:t>
            </w:r>
          </w:p>
          <w:p w14:paraId="3C756552" w14:textId="77777777" w:rsidR="00E84E6E" w:rsidRPr="00B64CA9" w:rsidRDefault="00AF4E63" w:rsidP="00E84E6E">
            <w:pPr>
              <w:spacing w:after="0"/>
              <w:jc w:val="center"/>
              <w:rPr>
                <w:rFonts w:ascii="Arial" w:hAnsi="Arial" w:cs="Arial"/>
                <w:b/>
                <w:sz w:val="18"/>
                <w:szCs w:val="18"/>
              </w:rPr>
            </w:pPr>
            <w:r w:rsidRPr="00B64CA9">
              <w:rPr>
                <w:rFonts w:ascii="Arial" w:hAnsi="Arial" w:cs="Arial"/>
                <w:b/>
                <w:sz w:val="18"/>
                <w:szCs w:val="18"/>
              </w:rPr>
              <w:t>N=326</w:t>
            </w:r>
          </w:p>
          <w:p w14:paraId="7EBCDA05" w14:textId="77777777" w:rsidR="00AF4E63" w:rsidRPr="00B64CA9" w:rsidRDefault="00AF4E63" w:rsidP="00E84E6E">
            <w:pPr>
              <w:spacing w:after="0"/>
              <w:jc w:val="center"/>
              <w:rPr>
                <w:rFonts w:ascii="Arial" w:hAnsi="Arial" w:cs="Arial"/>
                <w:b/>
                <w:sz w:val="18"/>
                <w:szCs w:val="18"/>
              </w:rPr>
            </w:pPr>
            <w:r w:rsidRPr="00B64CA9">
              <w:rPr>
                <w:rFonts w:ascii="Arial" w:hAnsi="Arial" w:cs="Arial"/>
                <w:b/>
                <w:sz w:val="18"/>
                <w:szCs w:val="18"/>
              </w:rPr>
              <w:t>n (%)</w:t>
            </w:r>
          </w:p>
        </w:tc>
        <w:tc>
          <w:tcPr>
            <w:tcW w:w="993" w:type="dxa"/>
            <w:tcBorders>
              <w:bottom w:val="single" w:sz="4" w:space="0" w:color="auto"/>
            </w:tcBorders>
            <w:vAlign w:val="center"/>
          </w:tcPr>
          <w:p w14:paraId="2E04ECDA" w14:textId="77777777" w:rsidR="00E84E6E" w:rsidRPr="00B64CA9" w:rsidRDefault="00AF4E63" w:rsidP="00253D7C">
            <w:pPr>
              <w:spacing w:after="0"/>
              <w:jc w:val="center"/>
              <w:rPr>
                <w:rFonts w:ascii="Arial" w:hAnsi="Arial" w:cs="Arial"/>
                <w:b/>
                <w:sz w:val="18"/>
                <w:szCs w:val="18"/>
              </w:rPr>
            </w:pPr>
            <w:r w:rsidRPr="00B64CA9">
              <w:rPr>
                <w:rFonts w:ascii="Arial" w:hAnsi="Arial" w:cs="Arial"/>
                <w:b/>
                <w:sz w:val="18"/>
                <w:szCs w:val="18"/>
              </w:rPr>
              <w:t>150 mg</w:t>
            </w:r>
          </w:p>
          <w:p w14:paraId="0DFF2491" w14:textId="77777777" w:rsidR="00E84E6E" w:rsidRPr="00B64CA9" w:rsidRDefault="00AF4E63" w:rsidP="00253D7C">
            <w:pPr>
              <w:spacing w:after="0"/>
              <w:jc w:val="center"/>
              <w:rPr>
                <w:rFonts w:ascii="Arial" w:hAnsi="Arial" w:cs="Arial"/>
                <w:b/>
                <w:sz w:val="18"/>
                <w:szCs w:val="18"/>
              </w:rPr>
            </w:pPr>
            <w:r w:rsidRPr="00B64CA9">
              <w:rPr>
                <w:rFonts w:ascii="Arial" w:hAnsi="Arial" w:cs="Arial"/>
                <w:b/>
                <w:sz w:val="18"/>
                <w:szCs w:val="18"/>
              </w:rPr>
              <w:t>N=327</w:t>
            </w:r>
          </w:p>
          <w:p w14:paraId="102A7917" w14:textId="77777777" w:rsidR="00AF4E63" w:rsidRPr="00B64CA9" w:rsidRDefault="00AF4E63" w:rsidP="00E84E6E">
            <w:pPr>
              <w:spacing w:after="0"/>
              <w:jc w:val="center"/>
              <w:rPr>
                <w:rFonts w:ascii="Arial" w:hAnsi="Arial" w:cs="Arial"/>
                <w:b/>
                <w:sz w:val="18"/>
                <w:szCs w:val="18"/>
              </w:rPr>
            </w:pPr>
            <w:r w:rsidRPr="00B64CA9">
              <w:rPr>
                <w:rFonts w:ascii="Arial" w:hAnsi="Arial" w:cs="Arial"/>
                <w:b/>
                <w:sz w:val="18"/>
                <w:szCs w:val="18"/>
              </w:rPr>
              <w:t>n (%)</w:t>
            </w:r>
          </w:p>
        </w:tc>
        <w:tc>
          <w:tcPr>
            <w:tcW w:w="960" w:type="dxa"/>
            <w:vMerge/>
            <w:tcBorders>
              <w:bottom w:val="single" w:sz="4" w:space="0" w:color="auto"/>
            </w:tcBorders>
            <w:vAlign w:val="center"/>
          </w:tcPr>
          <w:p w14:paraId="4874137D" w14:textId="77777777" w:rsidR="00AF4E63" w:rsidRPr="00B64CA9" w:rsidRDefault="00AF4E63" w:rsidP="0081558E">
            <w:pPr>
              <w:jc w:val="both"/>
              <w:rPr>
                <w:rFonts w:ascii="Arial" w:hAnsi="Arial" w:cs="Arial"/>
                <w:sz w:val="18"/>
                <w:szCs w:val="18"/>
              </w:rPr>
            </w:pPr>
          </w:p>
        </w:tc>
        <w:tc>
          <w:tcPr>
            <w:tcW w:w="1166" w:type="dxa"/>
            <w:vMerge/>
            <w:tcBorders>
              <w:bottom w:val="single" w:sz="4" w:space="0" w:color="auto"/>
            </w:tcBorders>
            <w:vAlign w:val="center"/>
          </w:tcPr>
          <w:p w14:paraId="281C7BBA" w14:textId="77777777" w:rsidR="00AF4E63" w:rsidRPr="00B64CA9" w:rsidRDefault="00AF4E63" w:rsidP="0081558E">
            <w:pPr>
              <w:jc w:val="both"/>
              <w:rPr>
                <w:rFonts w:ascii="Arial" w:hAnsi="Arial" w:cs="Arial"/>
                <w:sz w:val="18"/>
                <w:szCs w:val="18"/>
              </w:rPr>
            </w:pPr>
          </w:p>
        </w:tc>
        <w:tc>
          <w:tcPr>
            <w:tcW w:w="1366" w:type="dxa"/>
            <w:vMerge/>
            <w:tcBorders>
              <w:bottom w:val="single" w:sz="4" w:space="0" w:color="auto"/>
            </w:tcBorders>
            <w:vAlign w:val="center"/>
          </w:tcPr>
          <w:p w14:paraId="67C355D3" w14:textId="77777777" w:rsidR="00AF4E63" w:rsidRPr="00B64CA9" w:rsidRDefault="00AF4E63" w:rsidP="0081558E">
            <w:pPr>
              <w:jc w:val="both"/>
              <w:rPr>
                <w:rFonts w:ascii="Arial" w:hAnsi="Arial" w:cs="Arial"/>
                <w:sz w:val="18"/>
                <w:szCs w:val="18"/>
              </w:rPr>
            </w:pPr>
          </w:p>
        </w:tc>
      </w:tr>
      <w:tr w:rsidR="00AF4E63" w:rsidRPr="00B64CA9" w14:paraId="798D4877" w14:textId="77777777" w:rsidTr="002D07A3">
        <w:tc>
          <w:tcPr>
            <w:tcW w:w="3539" w:type="dxa"/>
            <w:tcBorders>
              <w:bottom w:val="nil"/>
            </w:tcBorders>
            <w:vAlign w:val="center"/>
          </w:tcPr>
          <w:p w14:paraId="3177776F" w14:textId="77777777" w:rsidR="00AF4E63" w:rsidRPr="00B64CA9" w:rsidRDefault="00AF4E63" w:rsidP="002D07A3">
            <w:pPr>
              <w:rPr>
                <w:rFonts w:ascii="Arial" w:hAnsi="Arial" w:cs="Arial"/>
                <w:b/>
                <w:sz w:val="18"/>
                <w:szCs w:val="18"/>
              </w:rPr>
            </w:pPr>
            <w:r w:rsidRPr="00B64CA9">
              <w:rPr>
                <w:rFonts w:ascii="Arial" w:hAnsi="Arial" w:cs="Arial"/>
                <w:b/>
                <w:sz w:val="18"/>
                <w:szCs w:val="18"/>
              </w:rPr>
              <w:t>Infections and infestations</w:t>
            </w:r>
          </w:p>
        </w:tc>
        <w:tc>
          <w:tcPr>
            <w:tcW w:w="992" w:type="dxa"/>
            <w:tcBorders>
              <w:bottom w:val="nil"/>
            </w:tcBorders>
            <w:vAlign w:val="center"/>
          </w:tcPr>
          <w:p w14:paraId="4F2D9B5D" w14:textId="77777777" w:rsidR="00AF4E63" w:rsidRPr="00B64CA9" w:rsidRDefault="00AF4E63" w:rsidP="0081558E">
            <w:pPr>
              <w:jc w:val="both"/>
              <w:rPr>
                <w:rFonts w:ascii="Arial" w:hAnsi="Arial" w:cs="Arial"/>
                <w:sz w:val="18"/>
                <w:szCs w:val="18"/>
              </w:rPr>
            </w:pPr>
          </w:p>
        </w:tc>
        <w:tc>
          <w:tcPr>
            <w:tcW w:w="993" w:type="dxa"/>
            <w:tcBorders>
              <w:bottom w:val="nil"/>
            </w:tcBorders>
            <w:vAlign w:val="center"/>
          </w:tcPr>
          <w:p w14:paraId="23AE27E9" w14:textId="77777777" w:rsidR="00AF4E63" w:rsidRPr="00B64CA9" w:rsidRDefault="00AF4E63" w:rsidP="0081558E">
            <w:pPr>
              <w:jc w:val="both"/>
              <w:rPr>
                <w:rFonts w:ascii="Arial" w:hAnsi="Arial" w:cs="Arial"/>
                <w:sz w:val="18"/>
                <w:szCs w:val="18"/>
              </w:rPr>
            </w:pPr>
          </w:p>
        </w:tc>
        <w:tc>
          <w:tcPr>
            <w:tcW w:w="960" w:type="dxa"/>
            <w:tcBorders>
              <w:bottom w:val="nil"/>
            </w:tcBorders>
            <w:vAlign w:val="center"/>
          </w:tcPr>
          <w:p w14:paraId="6B3DE969" w14:textId="77777777" w:rsidR="00AF4E63" w:rsidRPr="00B64CA9" w:rsidRDefault="00AF4E63" w:rsidP="0081558E">
            <w:pPr>
              <w:jc w:val="both"/>
              <w:rPr>
                <w:rFonts w:ascii="Arial" w:hAnsi="Arial" w:cs="Arial"/>
                <w:sz w:val="18"/>
                <w:szCs w:val="18"/>
              </w:rPr>
            </w:pPr>
          </w:p>
        </w:tc>
        <w:tc>
          <w:tcPr>
            <w:tcW w:w="1166" w:type="dxa"/>
            <w:tcBorders>
              <w:bottom w:val="nil"/>
            </w:tcBorders>
            <w:vAlign w:val="center"/>
          </w:tcPr>
          <w:p w14:paraId="41306432" w14:textId="77777777" w:rsidR="00AF4E63" w:rsidRPr="00B64CA9" w:rsidRDefault="00AF4E63" w:rsidP="0081558E">
            <w:pPr>
              <w:jc w:val="both"/>
              <w:rPr>
                <w:rFonts w:ascii="Arial" w:hAnsi="Arial" w:cs="Arial"/>
                <w:sz w:val="18"/>
                <w:szCs w:val="18"/>
              </w:rPr>
            </w:pPr>
          </w:p>
        </w:tc>
        <w:tc>
          <w:tcPr>
            <w:tcW w:w="1366" w:type="dxa"/>
            <w:tcBorders>
              <w:bottom w:val="nil"/>
            </w:tcBorders>
            <w:vAlign w:val="center"/>
          </w:tcPr>
          <w:p w14:paraId="7880A029" w14:textId="77777777" w:rsidR="00AF4E63" w:rsidRPr="00B64CA9" w:rsidRDefault="00AF4E63" w:rsidP="0081558E">
            <w:pPr>
              <w:jc w:val="both"/>
              <w:rPr>
                <w:rFonts w:ascii="Arial" w:hAnsi="Arial" w:cs="Arial"/>
                <w:sz w:val="18"/>
                <w:szCs w:val="18"/>
              </w:rPr>
            </w:pPr>
          </w:p>
        </w:tc>
      </w:tr>
      <w:tr w:rsidR="00AF4E63" w:rsidRPr="00B64CA9" w14:paraId="7919D84E" w14:textId="77777777" w:rsidTr="002D07A3">
        <w:tc>
          <w:tcPr>
            <w:tcW w:w="3539" w:type="dxa"/>
            <w:tcBorders>
              <w:top w:val="nil"/>
              <w:bottom w:val="nil"/>
            </w:tcBorders>
            <w:vAlign w:val="center"/>
          </w:tcPr>
          <w:p w14:paraId="3C21FBEF" w14:textId="77777777" w:rsidR="00AF4E63" w:rsidRPr="00B64CA9" w:rsidRDefault="00AF4E63" w:rsidP="002D07A3">
            <w:pPr>
              <w:rPr>
                <w:rFonts w:ascii="Arial" w:hAnsi="Arial" w:cs="Arial"/>
                <w:sz w:val="18"/>
                <w:szCs w:val="18"/>
              </w:rPr>
            </w:pPr>
            <w:r w:rsidRPr="00B64CA9">
              <w:rPr>
                <w:rFonts w:ascii="Arial" w:hAnsi="Arial" w:cs="Arial"/>
                <w:sz w:val="18"/>
                <w:szCs w:val="18"/>
              </w:rPr>
              <w:t>Nasopharyngitis</w:t>
            </w:r>
          </w:p>
        </w:tc>
        <w:tc>
          <w:tcPr>
            <w:tcW w:w="992" w:type="dxa"/>
            <w:tcBorders>
              <w:top w:val="nil"/>
              <w:bottom w:val="nil"/>
            </w:tcBorders>
            <w:vAlign w:val="center"/>
          </w:tcPr>
          <w:p w14:paraId="7ECADFA7"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35 (10.7)</w:t>
            </w:r>
          </w:p>
        </w:tc>
        <w:tc>
          <w:tcPr>
            <w:tcW w:w="993" w:type="dxa"/>
            <w:tcBorders>
              <w:top w:val="nil"/>
              <w:bottom w:val="nil"/>
            </w:tcBorders>
            <w:vAlign w:val="center"/>
          </w:tcPr>
          <w:p w14:paraId="47F31615"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45 (13.8)</w:t>
            </w:r>
          </w:p>
        </w:tc>
        <w:tc>
          <w:tcPr>
            <w:tcW w:w="960" w:type="dxa"/>
            <w:tcBorders>
              <w:top w:val="nil"/>
              <w:bottom w:val="nil"/>
            </w:tcBorders>
            <w:vAlign w:val="center"/>
          </w:tcPr>
          <w:p w14:paraId="53A30CC1"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26 (8.0)</w:t>
            </w:r>
          </w:p>
        </w:tc>
        <w:tc>
          <w:tcPr>
            <w:tcW w:w="1166" w:type="dxa"/>
            <w:tcBorders>
              <w:top w:val="nil"/>
              <w:bottom w:val="nil"/>
            </w:tcBorders>
            <w:vAlign w:val="center"/>
          </w:tcPr>
          <w:p w14:paraId="312D1BE2"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36 (11.1)</w:t>
            </w:r>
          </w:p>
        </w:tc>
        <w:tc>
          <w:tcPr>
            <w:tcW w:w="1366" w:type="dxa"/>
            <w:tcBorders>
              <w:top w:val="nil"/>
              <w:bottom w:val="nil"/>
            </w:tcBorders>
            <w:vAlign w:val="center"/>
          </w:tcPr>
          <w:p w14:paraId="2A9389CA"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Very common</w:t>
            </w:r>
          </w:p>
        </w:tc>
      </w:tr>
      <w:tr w:rsidR="00AF4E63" w:rsidRPr="00B64CA9" w14:paraId="379480CA" w14:textId="77777777" w:rsidTr="002D07A3">
        <w:tc>
          <w:tcPr>
            <w:tcW w:w="3539" w:type="dxa"/>
            <w:tcBorders>
              <w:top w:val="nil"/>
              <w:bottom w:val="nil"/>
            </w:tcBorders>
            <w:vAlign w:val="center"/>
          </w:tcPr>
          <w:p w14:paraId="6F8C24F0" w14:textId="77777777" w:rsidR="00AF4E63" w:rsidRPr="00B64CA9" w:rsidRDefault="00AF4E63" w:rsidP="002D07A3">
            <w:pPr>
              <w:rPr>
                <w:rFonts w:ascii="Arial" w:hAnsi="Arial" w:cs="Arial"/>
                <w:sz w:val="18"/>
                <w:szCs w:val="18"/>
              </w:rPr>
            </w:pPr>
            <w:r w:rsidRPr="00B64CA9">
              <w:rPr>
                <w:rFonts w:ascii="Arial" w:hAnsi="Arial" w:cs="Arial"/>
                <w:sz w:val="18"/>
                <w:szCs w:val="18"/>
              </w:rPr>
              <w:t>Upper Respiratory Tract Infection</w:t>
            </w:r>
          </w:p>
        </w:tc>
        <w:tc>
          <w:tcPr>
            <w:tcW w:w="992" w:type="dxa"/>
            <w:tcBorders>
              <w:top w:val="nil"/>
              <w:bottom w:val="nil"/>
            </w:tcBorders>
            <w:vAlign w:val="center"/>
          </w:tcPr>
          <w:p w14:paraId="6E720E16"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7 (2.1)</w:t>
            </w:r>
          </w:p>
        </w:tc>
        <w:tc>
          <w:tcPr>
            <w:tcW w:w="993" w:type="dxa"/>
            <w:tcBorders>
              <w:top w:val="nil"/>
              <w:bottom w:val="nil"/>
            </w:tcBorders>
            <w:vAlign w:val="center"/>
          </w:tcPr>
          <w:p w14:paraId="2893486C"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10 (3.1)</w:t>
            </w:r>
          </w:p>
        </w:tc>
        <w:tc>
          <w:tcPr>
            <w:tcW w:w="960" w:type="dxa"/>
            <w:tcBorders>
              <w:top w:val="nil"/>
              <w:bottom w:val="nil"/>
            </w:tcBorders>
            <w:vAlign w:val="center"/>
          </w:tcPr>
          <w:p w14:paraId="354E1666"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3 (0.9)</w:t>
            </w:r>
          </w:p>
        </w:tc>
        <w:tc>
          <w:tcPr>
            <w:tcW w:w="1166" w:type="dxa"/>
            <w:tcBorders>
              <w:top w:val="nil"/>
              <w:bottom w:val="nil"/>
            </w:tcBorders>
            <w:vAlign w:val="center"/>
          </w:tcPr>
          <w:p w14:paraId="0FBE259E"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7 (2.2)</w:t>
            </w:r>
          </w:p>
        </w:tc>
        <w:tc>
          <w:tcPr>
            <w:tcW w:w="1366" w:type="dxa"/>
            <w:tcBorders>
              <w:top w:val="nil"/>
              <w:bottom w:val="nil"/>
            </w:tcBorders>
            <w:vAlign w:val="center"/>
          </w:tcPr>
          <w:p w14:paraId="0CB5DAB8"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272AAE72" w14:textId="77777777" w:rsidTr="002D07A3">
        <w:tc>
          <w:tcPr>
            <w:tcW w:w="3539" w:type="dxa"/>
            <w:tcBorders>
              <w:top w:val="nil"/>
              <w:bottom w:val="nil"/>
            </w:tcBorders>
            <w:vAlign w:val="center"/>
          </w:tcPr>
          <w:p w14:paraId="571D84D9" w14:textId="77777777" w:rsidR="00AF4E63" w:rsidRPr="00B64CA9" w:rsidRDefault="00AF4E63" w:rsidP="002D07A3">
            <w:pPr>
              <w:rPr>
                <w:rFonts w:ascii="Arial" w:hAnsi="Arial" w:cs="Arial"/>
                <w:sz w:val="18"/>
                <w:szCs w:val="18"/>
              </w:rPr>
            </w:pPr>
            <w:r w:rsidRPr="00B64CA9">
              <w:rPr>
                <w:rFonts w:ascii="Arial" w:hAnsi="Arial" w:cs="Arial"/>
                <w:sz w:val="18"/>
                <w:szCs w:val="18"/>
              </w:rPr>
              <w:t>Rhinitis</w:t>
            </w:r>
          </w:p>
        </w:tc>
        <w:tc>
          <w:tcPr>
            <w:tcW w:w="992" w:type="dxa"/>
            <w:tcBorders>
              <w:top w:val="nil"/>
              <w:bottom w:val="nil"/>
            </w:tcBorders>
            <w:vAlign w:val="center"/>
          </w:tcPr>
          <w:p w14:paraId="227E4CE7"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7 (2.1)</w:t>
            </w:r>
          </w:p>
        </w:tc>
        <w:tc>
          <w:tcPr>
            <w:tcW w:w="993" w:type="dxa"/>
            <w:tcBorders>
              <w:top w:val="nil"/>
              <w:bottom w:val="nil"/>
            </w:tcBorders>
            <w:vAlign w:val="center"/>
          </w:tcPr>
          <w:p w14:paraId="62590C1D"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4 (1.2)</w:t>
            </w:r>
          </w:p>
        </w:tc>
        <w:tc>
          <w:tcPr>
            <w:tcW w:w="960" w:type="dxa"/>
            <w:tcBorders>
              <w:top w:val="nil"/>
              <w:bottom w:val="nil"/>
            </w:tcBorders>
            <w:vAlign w:val="center"/>
          </w:tcPr>
          <w:p w14:paraId="0D329858"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4 (1.2)</w:t>
            </w:r>
          </w:p>
        </w:tc>
        <w:tc>
          <w:tcPr>
            <w:tcW w:w="1166" w:type="dxa"/>
            <w:tcBorders>
              <w:top w:val="nil"/>
              <w:bottom w:val="nil"/>
            </w:tcBorders>
            <w:vAlign w:val="center"/>
          </w:tcPr>
          <w:p w14:paraId="690B1958"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3 (0.9)</w:t>
            </w:r>
          </w:p>
        </w:tc>
        <w:tc>
          <w:tcPr>
            <w:tcW w:w="1366" w:type="dxa"/>
            <w:tcBorders>
              <w:top w:val="nil"/>
              <w:bottom w:val="nil"/>
            </w:tcBorders>
            <w:vAlign w:val="center"/>
          </w:tcPr>
          <w:p w14:paraId="69D839B4"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3F111853" w14:textId="77777777" w:rsidTr="002D07A3">
        <w:tc>
          <w:tcPr>
            <w:tcW w:w="3539" w:type="dxa"/>
            <w:tcBorders>
              <w:top w:val="nil"/>
              <w:bottom w:val="nil"/>
            </w:tcBorders>
            <w:vAlign w:val="center"/>
          </w:tcPr>
          <w:p w14:paraId="2B730F27" w14:textId="77777777" w:rsidR="00AF4E63" w:rsidRPr="00B64CA9" w:rsidRDefault="00AF4E63" w:rsidP="002D07A3">
            <w:pPr>
              <w:rPr>
                <w:rFonts w:ascii="Arial" w:hAnsi="Arial" w:cs="Arial"/>
                <w:sz w:val="18"/>
                <w:szCs w:val="18"/>
              </w:rPr>
            </w:pPr>
            <w:r w:rsidRPr="00B64CA9">
              <w:rPr>
                <w:rFonts w:ascii="Arial" w:hAnsi="Arial" w:cs="Arial"/>
                <w:sz w:val="18"/>
                <w:szCs w:val="18"/>
              </w:rPr>
              <w:t>Oral Herpes</w:t>
            </w:r>
          </w:p>
        </w:tc>
        <w:tc>
          <w:tcPr>
            <w:tcW w:w="992" w:type="dxa"/>
            <w:tcBorders>
              <w:top w:val="nil"/>
              <w:bottom w:val="nil"/>
            </w:tcBorders>
            <w:vAlign w:val="center"/>
          </w:tcPr>
          <w:p w14:paraId="7819066F"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5 </w:t>
            </w:r>
            <w:proofErr w:type="gramStart"/>
            <w:r w:rsidRPr="00B64CA9">
              <w:rPr>
                <w:rFonts w:ascii="Arial" w:hAnsi="Arial" w:cs="Arial"/>
                <w:sz w:val="18"/>
                <w:szCs w:val="18"/>
              </w:rPr>
              <w:t>( 1.5</w:t>
            </w:r>
            <w:proofErr w:type="gramEnd"/>
            <w:r w:rsidRPr="00B64CA9">
              <w:rPr>
                <w:rFonts w:ascii="Arial" w:hAnsi="Arial" w:cs="Arial"/>
                <w:sz w:val="18"/>
                <w:szCs w:val="18"/>
              </w:rPr>
              <w:t>)</w:t>
            </w:r>
          </w:p>
        </w:tc>
        <w:tc>
          <w:tcPr>
            <w:tcW w:w="993" w:type="dxa"/>
            <w:tcBorders>
              <w:top w:val="nil"/>
              <w:bottom w:val="nil"/>
            </w:tcBorders>
            <w:vAlign w:val="center"/>
          </w:tcPr>
          <w:p w14:paraId="7318C429"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1 </w:t>
            </w:r>
            <w:proofErr w:type="gramStart"/>
            <w:r w:rsidRPr="00B64CA9">
              <w:rPr>
                <w:rFonts w:ascii="Arial" w:hAnsi="Arial" w:cs="Arial"/>
                <w:sz w:val="18"/>
                <w:szCs w:val="18"/>
              </w:rPr>
              <w:t>( 0.3</w:t>
            </w:r>
            <w:proofErr w:type="gramEnd"/>
            <w:r w:rsidRPr="00B64CA9">
              <w:rPr>
                <w:rFonts w:ascii="Arial" w:hAnsi="Arial" w:cs="Arial"/>
                <w:sz w:val="18"/>
                <w:szCs w:val="18"/>
              </w:rPr>
              <w:t>)</w:t>
            </w:r>
          </w:p>
        </w:tc>
        <w:tc>
          <w:tcPr>
            <w:tcW w:w="960" w:type="dxa"/>
            <w:tcBorders>
              <w:top w:val="nil"/>
              <w:bottom w:val="nil"/>
            </w:tcBorders>
            <w:vAlign w:val="center"/>
          </w:tcPr>
          <w:p w14:paraId="182A5235"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0 </w:t>
            </w:r>
            <w:proofErr w:type="gramStart"/>
            <w:r w:rsidRPr="00B64CA9">
              <w:rPr>
                <w:rFonts w:ascii="Arial" w:hAnsi="Arial" w:cs="Arial"/>
                <w:sz w:val="18"/>
                <w:szCs w:val="18"/>
              </w:rPr>
              <w:t>( 0.0</w:t>
            </w:r>
            <w:proofErr w:type="gramEnd"/>
            <w:r w:rsidRPr="00B64CA9">
              <w:rPr>
                <w:rFonts w:ascii="Arial" w:hAnsi="Arial" w:cs="Arial"/>
                <w:sz w:val="18"/>
                <w:szCs w:val="18"/>
              </w:rPr>
              <w:t>)</w:t>
            </w:r>
          </w:p>
        </w:tc>
        <w:tc>
          <w:tcPr>
            <w:tcW w:w="1166" w:type="dxa"/>
            <w:tcBorders>
              <w:top w:val="nil"/>
              <w:bottom w:val="nil"/>
            </w:tcBorders>
            <w:vAlign w:val="center"/>
          </w:tcPr>
          <w:p w14:paraId="2AA071BA"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0 </w:t>
            </w:r>
            <w:proofErr w:type="gramStart"/>
            <w:r w:rsidRPr="00B64CA9">
              <w:rPr>
                <w:rFonts w:ascii="Arial" w:hAnsi="Arial" w:cs="Arial"/>
                <w:sz w:val="18"/>
                <w:szCs w:val="18"/>
              </w:rPr>
              <w:t>( 0.0</w:t>
            </w:r>
            <w:proofErr w:type="gramEnd"/>
            <w:r w:rsidRPr="00B64CA9">
              <w:rPr>
                <w:rFonts w:ascii="Arial" w:hAnsi="Arial" w:cs="Arial"/>
                <w:sz w:val="18"/>
                <w:szCs w:val="18"/>
              </w:rPr>
              <w:t>)</w:t>
            </w:r>
          </w:p>
        </w:tc>
        <w:tc>
          <w:tcPr>
            <w:tcW w:w="1366" w:type="dxa"/>
            <w:tcBorders>
              <w:top w:val="nil"/>
              <w:bottom w:val="nil"/>
            </w:tcBorders>
            <w:vAlign w:val="center"/>
          </w:tcPr>
          <w:p w14:paraId="6837C86E"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4BD46100" w14:textId="77777777" w:rsidTr="002D07A3">
        <w:tc>
          <w:tcPr>
            <w:tcW w:w="3539" w:type="dxa"/>
            <w:tcBorders>
              <w:top w:val="nil"/>
              <w:bottom w:val="single" w:sz="4" w:space="0" w:color="auto"/>
            </w:tcBorders>
            <w:vAlign w:val="center"/>
          </w:tcPr>
          <w:p w14:paraId="0DDF055E" w14:textId="77777777" w:rsidR="00AF4E63" w:rsidRPr="00B64CA9" w:rsidRDefault="00AF4E63" w:rsidP="002D07A3">
            <w:pPr>
              <w:rPr>
                <w:rFonts w:ascii="Arial" w:hAnsi="Arial" w:cs="Arial"/>
                <w:sz w:val="18"/>
                <w:szCs w:val="18"/>
              </w:rPr>
            </w:pPr>
            <w:r w:rsidRPr="00B64CA9">
              <w:rPr>
                <w:rFonts w:ascii="Arial" w:hAnsi="Arial" w:cs="Arial"/>
                <w:sz w:val="18"/>
                <w:szCs w:val="18"/>
              </w:rPr>
              <w:t>Pharyngitis</w:t>
            </w:r>
          </w:p>
        </w:tc>
        <w:tc>
          <w:tcPr>
            <w:tcW w:w="992" w:type="dxa"/>
            <w:tcBorders>
              <w:top w:val="nil"/>
              <w:bottom w:val="single" w:sz="4" w:space="0" w:color="auto"/>
            </w:tcBorders>
            <w:vAlign w:val="center"/>
          </w:tcPr>
          <w:p w14:paraId="3FDD9920"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4 </w:t>
            </w:r>
            <w:proofErr w:type="gramStart"/>
            <w:r w:rsidRPr="00B64CA9">
              <w:rPr>
                <w:rFonts w:ascii="Arial" w:hAnsi="Arial" w:cs="Arial"/>
                <w:sz w:val="18"/>
                <w:szCs w:val="18"/>
              </w:rPr>
              <w:t>( 1.2</w:t>
            </w:r>
            <w:proofErr w:type="gramEnd"/>
            <w:r w:rsidRPr="00B64CA9">
              <w:rPr>
                <w:rFonts w:ascii="Arial" w:hAnsi="Arial" w:cs="Arial"/>
                <w:sz w:val="18"/>
                <w:szCs w:val="18"/>
              </w:rPr>
              <w:t>)</w:t>
            </w:r>
          </w:p>
        </w:tc>
        <w:tc>
          <w:tcPr>
            <w:tcW w:w="993" w:type="dxa"/>
            <w:tcBorders>
              <w:top w:val="nil"/>
              <w:bottom w:val="single" w:sz="4" w:space="0" w:color="auto"/>
            </w:tcBorders>
            <w:vAlign w:val="center"/>
          </w:tcPr>
          <w:p w14:paraId="33484062"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5 </w:t>
            </w:r>
            <w:proofErr w:type="gramStart"/>
            <w:r w:rsidRPr="00B64CA9">
              <w:rPr>
                <w:rFonts w:ascii="Arial" w:hAnsi="Arial" w:cs="Arial"/>
                <w:sz w:val="18"/>
                <w:szCs w:val="18"/>
              </w:rPr>
              <w:t>( 1.5</w:t>
            </w:r>
            <w:proofErr w:type="gramEnd"/>
            <w:r w:rsidRPr="00B64CA9">
              <w:rPr>
                <w:rFonts w:ascii="Arial" w:hAnsi="Arial" w:cs="Arial"/>
                <w:sz w:val="18"/>
                <w:szCs w:val="18"/>
              </w:rPr>
              <w:t>)</w:t>
            </w:r>
          </w:p>
        </w:tc>
        <w:tc>
          <w:tcPr>
            <w:tcW w:w="960" w:type="dxa"/>
            <w:tcBorders>
              <w:top w:val="nil"/>
              <w:bottom w:val="single" w:sz="4" w:space="0" w:color="auto"/>
            </w:tcBorders>
            <w:vAlign w:val="center"/>
          </w:tcPr>
          <w:p w14:paraId="75DACEAF"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0 </w:t>
            </w:r>
            <w:proofErr w:type="gramStart"/>
            <w:r w:rsidRPr="00B64CA9">
              <w:rPr>
                <w:rFonts w:ascii="Arial" w:hAnsi="Arial" w:cs="Arial"/>
                <w:sz w:val="18"/>
                <w:szCs w:val="18"/>
              </w:rPr>
              <w:t>( 0.0</w:t>
            </w:r>
            <w:proofErr w:type="gramEnd"/>
            <w:r w:rsidRPr="00B64CA9">
              <w:rPr>
                <w:rFonts w:ascii="Arial" w:hAnsi="Arial" w:cs="Arial"/>
                <w:sz w:val="18"/>
                <w:szCs w:val="18"/>
              </w:rPr>
              <w:t>)</w:t>
            </w:r>
          </w:p>
        </w:tc>
        <w:tc>
          <w:tcPr>
            <w:tcW w:w="1166" w:type="dxa"/>
            <w:tcBorders>
              <w:top w:val="nil"/>
              <w:bottom w:val="single" w:sz="4" w:space="0" w:color="auto"/>
            </w:tcBorders>
            <w:vAlign w:val="center"/>
          </w:tcPr>
          <w:p w14:paraId="6637FCAB"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0 </w:t>
            </w:r>
            <w:proofErr w:type="gramStart"/>
            <w:r w:rsidRPr="00B64CA9">
              <w:rPr>
                <w:rFonts w:ascii="Arial" w:hAnsi="Arial" w:cs="Arial"/>
                <w:sz w:val="18"/>
                <w:szCs w:val="18"/>
              </w:rPr>
              <w:t>( 0.0</w:t>
            </w:r>
            <w:proofErr w:type="gramEnd"/>
            <w:r w:rsidRPr="00B64CA9">
              <w:rPr>
                <w:rFonts w:ascii="Arial" w:hAnsi="Arial" w:cs="Arial"/>
                <w:sz w:val="18"/>
                <w:szCs w:val="18"/>
              </w:rPr>
              <w:t>)</w:t>
            </w:r>
          </w:p>
        </w:tc>
        <w:tc>
          <w:tcPr>
            <w:tcW w:w="1366" w:type="dxa"/>
            <w:tcBorders>
              <w:top w:val="nil"/>
              <w:bottom w:val="single" w:sz="4" w:space="0" w:color="auto"/>
            </w:tcBorders>
            <w:vAlign w:val="center"/>
          </w:tcPr>
          <w:p w14:paraId="0CE517F2"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7AB8839C" w14:textId="77777777" w:rsidTr="002D07A3">
        <w:tc>
          <w:tcPr>
            <w:tcW w:w="3539" w:type="dxa"/>
            <w:tcBorders>
              <w:bottom w:val="nil"/>
            </w:tcBorders>
            <w:vAlign w:val="center"/>
          </w:tcPr>
          <w:p w14:paraId="2D9A1EC8" w14:textId="77777777" w:rsidR="00AF4E63" w:rsidRPr="00B64CA9" w:rsidRDefault="00AF4E63" w:rsidP="002D07A3">
            <w:pPr>
              <w:rPr>
                <w:rFonts w:ascii="Arial" w:hAnsi="Arial" w:cs="Arial"/>
                <w:b/>
                <w:sz w:val="18"/>
                <w:szCs w:val="18"/>
              </w:rPr>
            </w:pPr>
            <w:r w:rsidRPr="00B64CA9">
              <w:rPr>
                <w:rFonts w:ascii="Arial" w:hAnsi="Arial" w:cs="Arial"/>
                <w:b/>
                <w:sz w:val="18"/>
                <w:szCs w:val="18"/>
              </w:rPr>
              <w:t>Gastrointestinal disorders</w:t>
            </w:r>
          </w:p>
        </w:tc>
        <w:tc>
          <w:tcPr>
            <w:tcW w:w="992" w:type="dxa"/>
            <w:tcBorders>
              <w:bottom w:val="nil"/>
            </w:tcBorders>
            <w:vAlign w:val="center"/>
          </w:tcPr>
          <w:p w14:paraId="0C9BBA12" w14:textId="77777777" w:rsidR="00AF4E63" w:rsidRPr="00B64CA9" w:rsidRDefault="00AF4E63" w:rsidP="0081558E">
            <w:pPr>
              <w:jc w:val="both"/>
              <w:rPr>
                <w:rFonts w:ascii="Arial" w:hAnsi="Arial" w:cs="Arial"/>
                <w:sz w:val="18"/>
                <w:szCs w:val="18"/>
              </w:rPr>
            </w:pPr>
          </w:p>
        </w:tc>
        <w:tc>
          <w:tcPr>
            <w:tcW w:w="993" w:type="dxa"/>
            <w:tcBorders>
              <w:bottom w:val="nil"/>
            </w:tcBorders>
            <w:vAlign w:val="center"/>
          </w:tcPr>
          <w:p w14:paraId="4D3E0F18" w14:textId="77777777" w:rsidR="00AF4E63" w:rsidRPr="00B64CA9" w:rsidRDefault="00AF4E63" w:rsidP="0081558E">
            <w:pPr>
              <w:jc w:val="both"/>
              <w:rPr>
                <w:rFonts w:ascii="Arial" w:hAnsi="Arial" w:cs="Arial"/>
                <w:sz w:val="18"/>
                <w:szCs w:val="18"/>
              </w:rPr>
            </w:pPr>
          </w:p>
        </w:tc>
        <w:tc>
          <w:tcPr>
            <w:tcW w:w="960" w:type="dxa"/>
            <w:tcBorders>
              <w:bottom w:val="nil"/>
            </w:tcBorders>
            <w:vAlign w:val="center"/>
          </w:tcPr>
          <w:p w14:paraId="60D5DB4A" w14:textId="77777777" w:rsidR="00AF4E63" w:rsidRPr="00B64CA9" w:rsidRDefault="00AF4E63" w:rsidP="0081558E">
            <w:pPr>
              <w:jc w:val="both"/>
              <w:rPr>
                <w:rFonts w:ascii="Arial" w:hAnsi="Arial" w:cs="Arial"/>
                <w:sz w:val="18"/>
                <w:szCs w:val="18"/>
              </w:rPr>
            </w:pPr>
          </w:p>
        </w:tc>
        <w:tc>
          <w:tcPr>
            <w:tcW w:w="1166" w:type="dxa"/>
            <w:tcBorders>
              <w:bottom w:val="nil"/>
            </w:tcBorders>
            <w:vAlign w:val="center"/>
          </w:tcPr>
          <w:p w14:paraId="074AA258" w14:textId="77777777" w:rsidR="00AF4E63" w:rsidRPr="00B64CA9" w:rsidRDefault="00AF4E63" w:rsidP="0081558E">
            <w:pPr>
              <w:jc w:val="both"/>
              <w:rPr>
                <w:rFonts w:ascii="Arial" w:hAnsi="Arial" w:cs="Arial"/>
                <w:sz w:val="18"/>
                <w:szCs w:val="18"/>
              </w:rPr>
            </w:pPr>
          </w:p>
        </w:tc>
        <w:tc>
          <w:tcPr>
            <w:tcW w:w="1366" w:type="dxa"/>
            <w:tcBorders>
              <w:bottom w:val="nil"/>
            </w:tcBorders>
            <w:vAlign w:val="center"/>
          </w:tcPr>
          <w:p w14:paraId="5542B221" w14:textId="77777777" w:rsidR="00AF4E63" w:rsidRPr="00B64CA9" w:rsidRDefault="00AF4E63" w:rsidP="0081558E">
            <w:pPr>
              <w:jc w:val="both"/>
              <w:rPr>
                <w:rFonts w:ascii="Arial" w:hAnsi="Arial" w:cs="Arial"/>
                <w:sz w:val="18"/>
                <w:szCs w:val="18"/>
              </w:rPr>
            </w:pPr>
          </w:p>
        </w:tc>
      </w:tr>
      <w:tr w:rsidR="00AF4E63" w:rsidRPr="00B64CA9" w14:paraId="397F1389" w14:textId="77777777" w:rsidTr="002D07A3">
        <w:tc>
          <w:tcPr>
            <w:tcW w:w="3539" w:type="dxa"/>
            <w:tcBorders>
              <w:top w:val="nil"/>
              <w:bottom w:val="single" w:sz="4" w:space="0" w:color="auto"/>
            </w:tcBorders>
            <w:vAlign w:val="center"/>
          </w:tcPr>
          <w:p w14:paraId="139DFFE5" w14:textId="77777777" w:rsidR="00AF4E63" w:rsidRPr="00B64CA9" w:rsidRDefault="00AF4E63" w:rsidP="002D07A3">
            <w:pPr>
              <w:rPr>
                <w:rFonts w:ascii="Arial" w:hAnsi="Arial" w:cs="Arial"/>
                <w:sz w:val="18"/>
                <w:szCs w:val="18"/>
              </w:rPr>
            </w:pPr>
            <w:r w:rsidRPr="00B64CA9">
              <w:rPr>
                <w:rFonts w:ascii="Arial" w:hAnsi="Arial" w:cs="Arial"/>
                <w:sz w:val="18"/>
                <w:szCs w:val="18"/>
              </w:rPr>
              <w:t>Diarrhoea</w:t>
            </w:r>
          </w:p>
        </w:tc>
        <w:tc>
          <w:tcPr>
            <w:tcW w:w="992" w:type="dxa"/>
            <w:tcBorders>
              <w:top w:val="nil"/>
              <w:bottom w:val="single" w:sz="4" w:space="0" w:color="auto"/>
            </w:tcBorders>
            <w:vAlign w:val="center"/>
          </w:tcPr>
          <w:p w14:paraId="2F6EB05C"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17 (5.2)</w:t>
            </w:r>
          </w:p>
        </w:tc>
        <w:tc>
          <w:tcPr>
            <w:tcW w:w="993" w:type="dxa"/>
            <w:tcBorders>
              <w:top w:val="nil"/>
              <w:bottom w:val="single" w:sz="4" w:space="0" w:color="auto"/>
            </w:tcBorders>
            <w:vAlign w:val="center"/>
          </w:tcPr>
          <w:p w14:paraId="44708DCB"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12 (3.7)</w:t>
            </w:r>
          </w:p>
        </w:tc>
        <w:tc>
          <w:tcPr>
            <w:tcW w:w="960" w:type="dxa"/>
            <w:tcBorders>
              <w:top w:val="nil"/>
              <w:bottom w:val="single" w:sz="4" w:space="0" w:color="auto"/>
            </w:tcBorders>
            <w:vAlign w:val="center"/>
          </w:tcPr>
          <w:p w14:paraId="2CFC6C74"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6 (1.8)</w:t>
            </w:r>
          </w:p>
        </w:tc>
        <w:tc>
          <w:tcPr>
            <w:tcW w:w="1166" w:type="dxa"/>
            <w:tcBorders>
              <w:top w:val="nil"/>
              <w:bottom w:val="single" w:sz="4" w:space="0" w:color="auto"/>
            </w:tcBorders>
            <w:vAlign w:val="center"/>
          </w:tcPr>
          <w:p w14:paraId="6AD97175"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11 (3.4)</w:t>
            </w:r>
          </w:p>
        </w:tc>
        <w:tc>
          <w:tcPr>
            <w:tcW w:w="1366" w:type="dxa"/>
            <w:tcBorders>
              <w:top w:val="nil"/>
              <w:bottom w:val="single" w:sz="4" w:space="0" w:color="auto"/>
            </w:tcBorders>
            <w:vAlign w:val="center"/>
          </w:tcPr>
          <w:p w14:paraId="32E2951C"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1BF121CD" w14:textId="77777777" w:rsidTr="002D07A3">
        <w:tc>
          <w:tcPr>
            <w:tcW w:w="3539" w:type="dxa"/>
            <w:tcBorders>
              <w:bottom w:val="nil"/>
            </w:tcBorders>
            <w:vAlign w:val="center"/>
          </w:tcPr>
          <w:p w14:paraId="5B1D49BB" w14:textId="77777777" w:rsidR="00AF4E63" w:rsidRPr="00B64CA9" w:rsidRDefault="00AF4E63" w:rsidP="002D07A3">
            <w:pPr>
              <w:rPr>
                <w:rFonts w:ascii="Arial" w:hAnsi="Arial" w:cs="Arial"/>
                <w:b/>
                <w:sz w:val="18"/>
                <w:szCs w:val="18"/>
              </w:rPr>
            </w:pPr>
            <w:r w:rsidRPr="00B64CA9">
              <w:rPr>
                <w:rFonts w:ascii="Arial" w:hAnsi="Arial" w:cs="Arial"/>
                <w:b/>
                <w:sz w:val="18"/>
                <w:szCs w:val="18"/>
              </w:rPr>
              <w:t>Skin and subcutaneous tissue disorders</w:t>
            </w:r>
          </w:p>
        </w:tc>
        <w:tc>
          <w:tcPr>
            <w:tcW w:w="992" w:type="dxa"/>
            <w:tcBorders>
              <w:bottom w:val="nil"/>
            </w:tcBorders>
            <w:vAlign w:val="center"/>
          </w:tcPr>
          <w:p w14:paraId="0DA27868" w14:textId="77777777" w:rsidR="00AF4E63" w:rsidRPr="00B64CA9" w:rsidRDefault="00AF4E63" w:rsidP="0081558E">
            <w:pPr>
              <w:jc w:val="both"/>
              <w:rPr>
                <w:rFonts w:ascii="Arial" w:hAnsi="Arial" w:cs="Arial"/>
                <w:sz w:val="18"/>
                <w:szCs w:val="18"/>
              </w:rPr>
            </w:pPr>
          </w:p>
        </w:tc>
        <w:tc>
          <w:tcPr>
            <w:tcW w:w="993" w:type="dxa"/>
            <w:tcBorders>
              <w:bottom w:val="nil"/>
            </w:tcBorders>
            <w:vAlign w:val="center"/>
          </w:tcPr>
          <w:p w14:paraId="2CF1EFB8" w14:textId="77777777" w:rsidR="00AF4E63" w:rsidRPr="00B64CA9" w:rsidRDefault="00AF4E63" w:rsidP="0081558E">
            <w:pPr>
              <w:jc w:val="both"/>
              <w:rPr>
                <w:rFonts w:ascii="Arial" w:hAnsi="Arial" w:cs="Arial"/>
                <w:sz w:val="18"/>
                <w:szCs w:val="18"/>
              </w:rPr>
            </w:pPr>
          </w:p>
        </w:tc>
        <w:tc>
          <w:tcPr>
            <w:tcW w:w="960" w:type="dxa"/>
            <w:tcBorders>
              <w:bottom w:val="nil"/>
            </w:tcBorders>
            <w:vAlign w:val="center"/>
          </w:tcPr>
          <w:p w14:paraId="588639B0" w14:textId="77777777" w:rsidR="00AF4E63" w:rsidRPr="00B64CA9" w:rsidRDefault="00AF4E63" w:rsidP="0081558E">
            <w:pPr>
              <w:jc w:val="both"/>
              <w:rPr>
                <w:rFonts w:ascii="Arial" w:hAnsi="Arial" w:cs="Arial"/>
                <w:sz w:val="18"/>
                <w:szCs w:val="18"/>
              </w:rPr>
            </w:pPr>
          </w:p>
        </w:tc>
        <w:tc>
          <w:tcPr>
            <w:tcW w:w="1166" w:type="dxa"/>
            <w:tcBorders>
              <w:bottom w:val="nil"/>
            </w:tcBorders>
            <w:vAlign w:val="center"/>
          </w:tcPr>
          <w:p w14:paraId="305FF898" w14:textId="77777777" w:rsidR="00AF4E63" w:rsidRPr="00B64CA9" w:rsidRDefault="00AF4E63" w:rsidP="0081558E">
            <w:pPr>
              <w:jc w:val="both"/>
              <w:rPr>
                <w:rFonts w:ascii="Arial" w:hAnsi="Arial" w:cs="Arial"/>
                <w:sz w:val="18"/>
                <w:szCs w:val="18"/>
              </w:rPr>
            </w:pPr>
          </w:p>
        </w:tc>
        <w:tc>
          <w:tcPr>
            <w:tcW w:w="1366" w:type="dxa"/>
            <w:tcBorders>
              <w:bottom w:val="nil"/>
            </w:tcBorders>
            <w:vAlign w:val="center"/>
          </w:tcPr>
          <w:p w14:paraId="6CD0A905" w14:textId="77777777" w:rsidR="00AF4E63" w:rsidRPr="00B64CA9" w:rsidRDefault="00AF4E63" w:rsidP="0081558E">
            <w:pPr>
              <w:jc w:val="both"/>
              <w:rPr>
                <w:rFonts w:ascii="Arial" w:hAnsi="Arial" w:cs="Arial"/>
                <w:sz w:val="18"/>
                <w:szCs w:val="18"/>
              </w:rPr>
            </w:pPr>
          </w:p>
        </w:tc>
      </w:tr>
      <w:tr w:rsidR="00AF4E63" w:rsidRPr="00B64CA9" w14:paraId="77D500FF" w14:textId="77777777" w:rsidTr="002D07A3">
        <w:tc>
          <w:tcPr>
            <w:tcW w:w="3539" w:type="dxa"/>
            <w:tcBorders>
              <w:top w:val="nil"/>
              <w:bottom w:val="single" w:sz="4" w:space="0" w:color="auto"/>
            </w:tcBorders>
            <w:vAlign w:val="center"/>
          </w:tcPr>
          <w:p w14:paraId="0CAA680D" w14:textId="77777777" w:rsidR="00AF4E63" w:rsidRPr="00B64CA9" w:rsidRDefault="00AF4E63" w:rsidP="002D07A3">
            <w:pPr>
              <w:rPr>
                <w:rFonts w:ascii="Arial" w:hAnsi="Arial" w:cs="Arial"/>
                <w:sz w:val="18"/>
                <w:szCs w:val="18"/>
              </w:rPr>
            </w:pPr>
            <w:r w:rsidRPr="00B64CA9">
              <w:rPr>
                <w:rFonts w:ascii="Arial" w:hAnsi="Arial" w:cs="Arial"/>
                <w:sz w:val="18"/>
                <w:szCs w:val="18"/>
              </w:rPr>
              <w:t>Urticaria</w:t>
            </w:r>
          </w:p>
        </w:tc>
        <w:tc>
          <w:tcPr>
            <w:tcW w:w="992" w:type="dxa"/>
            <w:tcBorders>
              <w:top w:val="nil"/>
              <w:bottom w:val="single" w:sz="4" w:space="0" w:color="auto"/>
            </w:tcBorders>
            <w:vAlign w:val="center"/>
          </w:tcPr>
          <w:p w14:paraId="00668581"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1 </w:t>
            </w:r>
            <w:proofErr w:type="gramStart"/>
            <w:r w:rsidRPr="00B64CA9">
              <w:rPr>
                <w:rFonts w:ascii="Arial" w:hAnsi="Arial" w:cs="Arial"/>
                <w:sz w:val="18"/>
                <w:szCs w:val="18"/>
              </w:rPr>
              <w:t>( 0.3</w:t>
            </w:r>
            <w:proofErr w:type="gramEnd"/>
            <w:r w:rsidRPr="00B64CA9">
              <w:rPr>
                <w:rFonts w:ascii="Arial" w:hAnsi="Arial" w:cs="Arial"/>
                <w:sz w:val="18"/>
                <w:szCs w:val="18"/>
              </w:rPr>
              <w:t>)</w:t>
            </w:r>
          </w:p>
        </w:tc>
        <w:tc>
          <w:tcPr>
            <w:tcW w:w="993" w:type="dxa"/>
            <w:tcBorders>
              <w:top w:val="nil"/>
              <w:bottom w:val="single" w:sz="4" w:space="0" w:color="auto"/>
            </w:tcBorders>
            <w:vAlign w:val="center"/>
          </w:tcPr>
          <w:p w14:paraId="781C63FA"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5 </w:t>
            </w:r>
            <w:proofErr w:type="gramStart"/>
            <w:r w:rsidRPr="00B64CA9">
              <w:rPr>
                <w:rFonts w:ascii="Arial" w:hAnsi="Arial" w:cs="Arial"/>
                <w:sz w:val="18"/>
                <w:szCs w:val="18"/>
              </w:rPr>
              <w:t>( 1.5</w:t>
            </w:r>
            <w:proofErr w:type="gramEnd"/>
            <w:r w:rsidRPr="00B64CA9">
              <w:rPr>
                <w:rFonts w:ascii="Arial" w:hAnsi="Arial" w:cs="Arial"/>
                <w:sz w:val="18"/>
                <w:szCs w:val="18"/>
              </w:rPr>
              <w:t>)</w:t>
            </w:r>
          </w:p>
        </w:tc>
        <w:tc>
          <w:tcPr>
            <w:tcW w:w="960" w:type="dxa"/>
            <w:tcBorders>
              <w:top w:val="nil"/>
              <w:bottom w:val="single" w:sz="4" w:space="0" w:color="auto"/>
            </w:tcBorders>
            <w:vAlign w:val="center"/>
          </w:tcPr>
          <w:p w14:paraId="74345DE9"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0 </w:t>
            </w:r>
            <w:proofErr w:type="gramStart"/>
            <w:r w:rsidRPr="00B64CA9">
              <w:rPr>
                <w:rFonts w:ascii="Arial" w:hAnsi="Arial" w:cs="Arial"/>
                <w:sz w:val="18"/>
                <w:szCs w:val="18"/>
              </w:rPr>
              <w:t>( 0.0</w:t>
            </w:r>
            <w:proofErr w:type="gramEnd"/>
            <w:r w:rsidRPr="00B64CA9">
              <w:rPr>
                <w:rFonts w:ascii="Arial" w:hAnsi="Arial" w:cs="Arial"/>
                <w:sz w:val="18"/>
                <w:szCs w:val="18"/>
              </w:rPr>
              <w:t>)</w:t>
            </w:r>
          </w:p>
        </w:tc>
        <w:tc>
          <w:tcPr>
            <w:tcW w:w="1166" w:type="dxa"/>
            <w:tcBorders>
              <w:top w:val="nil"/>
              <w:bottom w:val="single" w:sz="4" w:space="0" w:color="auto"/>
            </w:tcBorders>
            <w:vAlign w:val="center"/>
          </w:tcPr>
          <w:p w14:paraId="1803B80C"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 xml:space="preserve">2 </w:t>
            </w:r>
            <w:proofErr w:type="gramStart"/>
            <w:r w:rsidRPr="00B64CA9">
              <w:rPr>
                <w:rFonts w:ascii="Arial" w:hAnsi="Arial" w:cs="Arial"/>
                <w:sz w:val="18"/>
                <w:szCs w:val="18"/>
              </w:rPr>
              <w:t>( 0.6</w:t>
            </w:r>
            <w:proofErr w:type="gramEnd"/>
            <w:r w:rsidRPr="00B64CA9">
              <w:rPr>
                <w:rFonts w:ascii="Arial" w:hAnsi="Arial" w:cs="Arial"/>
                <w:sz w:val="18"/>
                <w:szCs w:val="18"/>
              </w:rPr>
              <w:t>)</w:t>
            </w:r>
          </w:p>
        </w:tc>
        <w:tc>
          <w:tcPr>
            <w:tcW w:w="1366" w:type="dxa"/>
            <w:tcBorders>
              <w:top w:val="nil"/>
              <w:bottom w:val="single" w:sz="4" w:space="0" w:color="auto"/>
            </w:tcBorders>
            <w:vAlign w:val="center"/>
          </w:tcPr>
          <w:p w14:paraId="61B85656"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41A0E0F6" w14:textId="77777777" w:rsidTr="002D07A3">
        <w:tc>
          <w:tcPr>
            <w:tcW w:w="3539" w:type="dxa"/>
            <w:tcBorders>
              <w:bottom w:val="nil"/>
            </w:tcBorders>
            <w:vAlign w:val="center"/>
          </w:tcPr>
          <w:p w14:paraId="41943C16" w14:textId="77777777" w:rsidR="00AF4E63" w:rsidRPr="00B64CA9" w:rsidRDefault="00AF4E63" w:rsidP="002D07A3">
            <w:pPr>
              <w:rPr>
                <w:rFonts w:ascii="Arial" w:hAnsi="Arial" w:cs="Arial"/>
                <w:b/>
                <w:sz w:val="18"/>
                <w:szCs w:val="18"/>
              </w:rPr>
            </w:pPr>
            <w:r w:rsidRPr="00B64CA9">
              <w:rPr>
                <w:rFonts w:ascii="Arial" w:hAnsi="Arial" w:cs="Arial"/>
                <w:b/>
                <w:sz w:val="18"/>
                <w:szCs w:val="18"/>
              </w:rPr>
              <w:t xml:space="preserve">Respiratory, </w:t>
            </w:r>
            <w:proofErr w:type="gramStart"/>
            <w:r w:rsidRPr="00B64CA9">
              <w:rPr>
                <w:rFonts w:ascii="Arial" w:hAnsi="Arial" w:cs="Arial"/>
                <w:b/>
                <w:sz w:val="18"/>
                <w:szCs w:val="18"/>
              </w:rPr>
              <w:t>thoracic</w:t>
            </w:r>
            <w:proofErr w:type="gramEnd"/>
            <w:r w:rsidRPr="00B64CA9">
              <w:rPr>
                <w:rFonts w:ascii="Arial" w:hAnsi="Arial" w:cs="Arial"/>
                <w:b/>
                <w:sz w:val="18"/>
                <w:szCs w:val="18"/>
              </w:rPr>
              <w:t xml:space="preserve"> and mediastinal disorders</w:t>
            </w:r>
          </w:p>
        </w:tc>
        <w:tc>
          <w:tcPr>
            <w:tcW w:w="992" w:type="dxa"/>
            <w:tcBorders>
              <w:bottom w:val="nil"/>
            </w:tcBorders>
            <w:vAlign w:val="center"/>
          </w:tcPr>
          <w:p w14:paraId="6ED1DECC" w14:textId="77777777" w:rsidR="00AF4E63" w:rsidRPr="00B64CA9" w:rsidRDefault="00AF4E63" w:rsidP="0081558E">
            <w:pPr>
              <w:jc w:val="both"/>
              <w:rPr>
                <w:rFonts w:ascii="Arial" w:hAnsi="Arial" w:cs="Arial"/>
                <w:sz w:val="18"/>
                <w:szCs w:val="18"/>
              </w:rPr>
            </w:pPr>
          </w:p>
        </w:tc>
        <w:tc>
          <w:tcPr>
            <w:tcW w:w="993" w:type="dxa"/>
            <w:tcBorders>
              <w:bottom w:val="nil"/>
            </w:tcBorders>
            <w:vAlign w:val="center"/>
          </w:tcPr>
          <w:p w14:paraId="045D2AE7" w14:textId="77777777" w:rsidR="00AF4E63" w:rsidRPr="00B64CA9" w:rsidRDefault="00AF4E63" w:rsidP="0081558E">
            <w:pPr>
              <w:jc w:val="both"/>
              <w:rPr>
                <w:rFonts w:ascii="Arial" w:hAnsi="Arial" w:cs="Arial"/>
                <w:sz w:val="18"/>
                <w:szCs w:val="18"/>
              </w:rPr>
            </w:pPr>
          </w:p>
        </w:tc>
        <w:tc>
          <w:tcPr>
            <w:tcW w:w="960" w:type="dxa"/>
            <w:tcBorders>
              <w:bottom w:val="nil"/>
            </w:tcBorders>
            <w:vAlign w:val="center"/>
          </w:tcPr>
          <w:p w14:paraId="05439DE3" w14:textId="77777777" w:rsidR="00AF4E63" w:rsidRPr="00B64CA9" w:rsidRDefault="00AF4E63" w:rsidP="0081558E">
            <w:pPr>
              <w:jc w:val="both"/>
              <w:rPr>
                <w:rFonts w:ascii="Arial" w:hAnsi="Arial" w:cs="Arial"/>
                <w:sz w:val="18"/>
                <w:szCs w:val="18"/>
              </w:rPr>
            </w:pPr>
          </w:p>
        </w:tc>
        <w:tc>
          <w:tcPr>
            <w:tcW w:w="1166" w:type="dxa"/>
            <w:tcBorders>
              <w:bottom w:val="nil"/>
            </w:tcBorders>
            <w:vAlign w:val="center"/>
          </w:tcPr>
          <w:p w14:paraId="0E0CC943" w14:textId="77777777" w:rsidR="00AF4E63" w:rsidRPr="00B64CA9" w:rsidRDefault="00AF4E63" w:rsidP="0081558E">
            <w:pPr>
              <w:jc w:val="both"/>
              <w:rPr>
                <w:rFonts w:ascii="Arial" w:hAnsi="Arial" w:cs="Arial"/>
                <w:sz w:val="18"/>
                <w:szCs w:val="18"/>
              </w:rPr>
            </w:pPr>
          </w:p>
        </w:tc>
        <w:tc>
          <w:tcPr>
            <w:tcW w:w="1366" w:type="dxa"/>
            <w:tcBorders>
              <w:bottom w:val="nil"/>
            </w:tcBorders>
            <w:vAlign w:val="center"/>
          </w:tcPr>
          <w:p w14:paraId="1B91C0DF" w14:textId="77777777" w:rsidR="00AF4E63" w:rsidRPr="00B64CA9" w:rsidRDefault="00AF4E63" w:rsidP="0081558E">
            <w:pPr>
              <w:jc w:val="both"/>
              <w:rPr>
                <w:rFonts w:ascii="Arial" w:hAnsi="Arial" w:cs="Arial"/>
                <w:sz w:val="18"/>
                <w:szCs w:val="18"/>
              </w:rPr>
            </w:pPr>
          </w:p>
        </w:tc>
      </w:tr>
      <w:tr w:rsidR="00AF4E63" w:rsidRPr="00B64CA9" w14:paraId="51504B1F" w14:textId="77777777" w:rsidTr="002D07A3">
        <w:tc>
          <w:tcPr>
            <w:tcW w:w="3539" w:type="dxa"/>
            <w:tcBorders>
              <w:top w:val="nil"/>
              <w:bottom w:val="single" w:sz="4" w:space="0" w:color="auto"/>
            </w:tcBorders>
            <w:vAlign w:val="center"/>
          </w:tcPr>
          <w:p w14:paraId="53E30ED0" w14:textId="77777777" w:rsidR="00AF4E63" w:rsidRPr="00B64CA9" w:rsidRDefault="00AF4E63" w:rsidP="002D07A3">
            <w:pPr>
              <w:rPr>
                <w:rFonts w:ascii="Arial" w:hAnsi="Arial" w:cs="Arial"/>
                <w:sz w:val="18"/>
                <w:szCs w:val="18"/>
              </w:rPr>
            </w:pPr>
            <w:r w:rsidRPr="00B64CA9">
              <w:rPr>
                <w:rFonts w:ascii="Arial" w:hAnsi="Arial" w:cs="Arial"/>
                <w:sz w:val="18"/>
                <w:szCs w:val="18"/>
              </w:rPr>
              <w:t>Rhinorrhoea</w:t>
            </w:r>
          </w:p>
        </w:tc>
        <w:tc>
          <w:tcPr>
            <w:tcW w:w="992" w:type="dxa"/>
            <w:tcBorders>
              <w:top w:val="nil"/>
              <w:bottom w:val="single" w:sz="4" w:space="0" w:color="auto"/>
            </w:tcBorders>
            <w:vAlign w:val="center"/>
          </w:tcPr>
          <w:p w14:paraId="48BC2C69"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7 (2.1)</w:t>
            </w:r>
          </w:p>
        </w:tc>
        <w:tc>
          <w:tcPr>
            <w:tcW w:w="993" w:type="dxa"/>
            <w:tcBorders>
              <w:top w:val="nil"/>
              <w:bottom w:val="single" w:sz="4" w:space="0" w:color="auto"/>
            </w:tcBorders>
            <w:vAlign w:val="center"/>
          </w:tcPr>
          <w:p w14:paraId="760092BB"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 (0.3)</w:t>
            </w:r>
          </w:p>
        </w:tc>
        <w:tc>
          <w:tcPr>
            <w:tcW w:w="960" w:type="dxa"/>
            <w:tcBorders>
              <w:top w:val="nil"/>
              <w:bottom w:val="single" w:sz="4" w:space="0" w:color="auto"/>
            </w:tcBorders>
            <w:vAlign w:val="center"/>
          </w:tcPr>
          <w:p w14:paraId="0F0A00EE"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1 (0.3)</w:t>
            </w:r>
          </w:p>
        </w:tc>
        <w:tc>
          <w:tcPr>
            <w:tcW w:w="1166" w:type="dxa"/>
            <w:tcBorders>
              <w:top w:val="nil"/>
              <w:bottom w:val="single" w:sz="4" w:space="0" w:color="auto"/>
            </w:tcBorders>
            <w:vAlign w:val="center"/>
          </w:tcPr>
          <w:p w14:paraId="0DD25AA5"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2 (0.6)</w:t>
            </w:r>
          </w:p>
        </w:tc>
        <w:tc>
          <w:tcPr>
            <w:tcW w:w="1366" w:type="dxa"/>
            <w:tcBorders>
              <w:top w:val="nil"/>
              <w:bottom w:val="single" w:sz="4" w:space="0" w:color="auto"/>
            </w:tcBorders>
            <w:vAlign w:val="center"/>
          </w:tcPr>
          <w:p w14:paraId="59EC178C" w14:textId="77777777" w:rsidR="00AF4E63" w:rsidRPr="00B64CA9" w:rsidRDefault="00AF4E63" w:rsidP="0081558E">
            <w:pPr>
              <w:jc w:val="both"/>
              <w:rPr>
                <w:rFonts w:ascii="Arial" w:hAnsi="Arial" w:cs="Arial"/>
                <w:sz w:val="18"/>
                <w:szCs w:val="18"/>
              </w:rPr>
            </w:pPr>
            <w:r w:rsidRPr="00B64CA9">
              <w:rPr>
                <w:rFonts w:ascii="Arial" w:hAnsi="Arial" w:cs="Arial"/>
                <w:sz w:val="18"/>
                <w:szCs w:val="18"/>
              </w:rPr>
              <w:t>Common</w:t>
            </w:r>
          </w:p>
        </w:tc>
      </w:tr>
      <w:tr w:rsidR="00AF4E63" w:rsidRPr="00B64CA9" w14:paraId="1F398B67" w14:textId="77777777" w:rsidTr="002D07A3">
        <w:tc>
          <w:tcPr>
            <w:tcW w:w="9016" w:type="dxa"/>
            <w:gridSpan w:val="6"/>
            <w:tcBorders>
              <w:left w:val="nil"/>
              <w:bottom w:val="nil"/>
              <w:right w:val="nil"/>
            </w:tcBorders>
            <w:vAlign w:val="center"/>
          </w:tcPr>
          <w:p w14:paraId="105EC85F" w14:textId="77777777" w:rsidR="00AF4E63" w:rsidRPr="00B64CA9" w:rsidRDefault="00AF4E63" w:rsidP="0081558E">
            <w:pPr>
              <w:jc w:val="both"/>
              <w:rPr>
                <w:rFonts w:ascii="Arial" w:hAnsi="Arial" w:cs="Arial"/>
                <w:sz w:val="16"/>
                <w:szCs w:val="18"/>
              </w:rPr>
            </w:pPr>
            <w:r w:rsidRPr="00B64CA9">
              <w:rPr>
                <w:rFonts w:ascii="Arial" w:hAnsi="Arial" w:cs="Arial"/>
                <w:sz w:val="16"/>
                <w:szCs w:val="18"/>
                <w:vertAlign w:val="superscript"/>
              </w:rPr>
              <w:t>1</w:t>
            </w:r>
            <w:r w:rsidRPr="00B64CA9">
              <w:rPr>
                <w:rFonts w:ascii="Arial" w:hAnsi="Arial" w:cs="Arial"/>
                <w:sz w:val="16"/>
                <w:szCs w:val="18"/>
              </w:rPr>
              <w:t xml:space="preserve"> ADR frequencies are based upon the highest percentage rate seen in any of the </w:t>
            </w:r>
            <w:proofErr w:type="spellStart"/>
            <w:r w:rsidRPr="00B64CA9">
              <w:rPr>
                <w:rFonts w:ascii="Arial" w:hAnsi="Arial" w:cs="Arial"/>
                <w:sz w:val="16"/>
                <w:szCs w:val="18"/>
              </w:rPr>
              <w:t>secukinumab</w:t>
            </w:r>
            <w:proofErr w:type="spellEnd"/>
            <w:r w:rsidRPr="00B64CA9">
              <w:rPr>
                <w:rFonts w:ascii="Arial" w:hAnsi="Arial" w:cs="Arial"/>
                <w:sz w:val="16"/>
                <w:szCs w:val="18"/>
              </w:rPr>
              <w:t xml:space="preserve"> groups</w:t>
            </w:r>
          </w:p>
        </w:tc>
      </w:tr>
    </w:tbl>
    <w:p w14:paraId="7DA5AC4E" w14:textId="77777777" w:rsidR="00010B1A" w:rsidRPr="00B64CA9" w:rsidRDefault="00010B1A" w:rsidP="0081558E">
      <w:pPr>
        <w:jc w:val="both"/>
        <w:rPr>
          <w:rFonts w:ascii="Arial" w:hAnsi="Arial" w:cs="Arial"/>
          <w:sz w:val="20"/>
        </w:rPr>
      </w:pPr>
    </w:p>
    <w:p w14:paraId="57D02DE3" w14:textId="77777777" w:rsidR="00AF4E63" w:rsidRPr="00B64CA9" w:rsidRDefault="00AF4E63" w:rsidP="0081558E">
      <w:pPr>
        <w:jc w:val="both"/>
        <w:rPr>
          <w:rFonts w:cstheme="minorHAnsi"/>
        </w:rPr>
      </w:pPr>
      <w:r w:rsidRPr="00B64CA9">
        <w:rPr>
          <w:rFonts w:cstheme="minorHAnsi"/>
        </w:rPr>
        <w:t xml:space="preserve">Adverse reactions that occurred at less than 1 % frequency in the placebo-controlled period of the ERASURE, FIXTURE, FEATURE and JUNCTURE studies through week 12 are given in Table </w:t>
      </w:r>
      <w:r w:rsidR="00207E1A" w:rsidRPr="00B64CA9">
        <w:rPr>
          <w:rFonts w:cstheme="minorHAnsi"/>
        </w:rPr>
        <w:t>4</w:t>
      </w:r>
      <w:r w:rsidRPr="00B64CA9">
        <w:rPr>
          <w:rFonts w:cstheme="minorHAnsi"/>
        </w:rPr>
        <w:t>.</w:t>
      </w:r>
    </w:p>
    <w:p w14:paraId="687D398D" w14:textId="77777777" w:rsidR="00AF4E63" w:rsidRPr="00B64CA9" w:rsidRDefault="00AF4E63" w:rsidP="0081558E">
      <w:pPr>
        <w:spacing w:after="120"/>
        <w:ind w:left="1166" w:hanging="1166"/>
        <w:jc w:val="both"/>
        <w:rPr>
          <w:rFonts w:ascii="Arial" w:hAnsi="Arial" w:cs="Arial"/>
          <w:b/>
          <w:sz w:val="20"/>
        </w:rPr>
      </w:pPr>
      <w:r w:rsidRPr="00B64CA9">
        <w:rPr>
          <w:rFonts w:ascii="Arial" w:hAnsi="Arial" w:cs="Arial"/>
          <w:b/>
          <w:sz w:val="20"/>
        </w:rPr>
        <w:t xml:space="preserve">Table </w:t>
      </w:r>
      <w:r w:rsidR="00207E1A" w:rsidRPr="00B64CA9">
        <w:rPr>
          <w:rFonts w:ascii="Arial" w:hAnsi="Arial" w:cs="Arial"/>
          <w:b/>
          <w:sz w:val="20"/>
        </w:rPr>
        <w:t>4</w:t>
      </w:r>
      <w:r w:rsidRPr="00B64CA9">
        <w:rPr>
          <w:rFonts w:ascii="Arial" w:hAnsi="Arial" w:cs="Arial"/>
          <w:b/>
          <w:sz w:val="20"/>
        </w:rPr>
        <w:tab/>
        <w:t>Adverse effects reported at &lt; 1 % frequency through Week 12 in psoriasis clinical trial patients</w:t>
      </w:r>
    </w:p>
    <w:tbl>
      <w:tblPr>
        <w:tblStyle w:val="TableGrid"/>
        <w:tblW w:w="0" w:type="auto"/>
        <w:tblLook w:val="04A0" w:firstRow="1" w:lastRow="0" w:firstColumn="1" w:lastColumn="0" w:noHBand="0" w:noVBand="1"/>
      </w:tblPr>
      <w:tblGrid>
        <w:gridCol w:w="1555"/>
        <w:gridCol w:w="7461"/>
      </w:tblGrid>
      <w:tr w:rsidR="00AF4E63" w:rsidRPr="00B64CA9" w14:paraId="076BF7D7" w14:textId="77777777" w:rsidTr="002D07A3">
        <w:tc>
          <w:tcPr>
            <w:tcW w:w="9016" w:type="dxa"/>
            <w:gridSpan w:val="2"/>
            <w:tcBorders>
              <w:bottom w:val="nil"/>
            </w:tcBorders>
          </w:tcPr>
          <w:p w14:paraId="2715B921" w14:textId="77777777" w:rsidR="00AF4E63" w:rsidRPr="00B64CA9" w:rsidRDefault="00AF4E63" w:rsidP="0081558E">
            <w:pPr>
              <w:jc w:val="both"/>
              <w:rPr>
                <w:rFonts w:ascii="Arial" w:hAnsi="Arial" w:cs="Arial"/>
                <w:sz w:val="18"/>
              </w:rPr>
            </w:pPr>
            <w:r w:rsidRPr="00B64CA9">
              <w:rPr>
                <w:rFonts w:ascii="Arial" w:hAnsi="Arial" w:cs="Arial"/>
                <w:sz w:val="18"/>
              </w:rPr>
              <w:t>Infections and infestations</w:t>
            </w:r>
          </w:p>
        </w:tc>
      </w:tr>
      <w:tr w:rsidR="00AF4E63" w:rsidRPr="00B64CA9" w14:paraId="6EE54768" w14:textId="77777777" w:rsidTr="002D07A3">
        <w:tc>
          <w:tcPr>
            <w:tcW w:w="1555" w:type="dxa"/>
            <w:tcBorders>
              <w:top w:val="nil"/>
              <w:bottom w:val="single" w:sz="4" w:space="0" w:color="auto"/>
              <w:right w:val="nil"/>
            </w:tcBorders>
          </w:tcPr>
          <w:p w14:paraId="540FA635" w14:textId="77777777" w:rsidR="00AF4E63" w:rsidRPr="00B64CA9" w:rsidRDefault="00AF4E63" w:rsidP="0081558E">
            <w:pPr>
              <w:jc w:val="both"/>
              <w:rPr>
                <w:rFonts w:ascii="Arial" w:hAnsi="Arial" w:cs="Arial"/>
                <w:sz w:val="18"/>
              </w:rPr>
            </w:pPr>
            <w:r w:rsidRPr="00B64CA9">
              <w:rPr>
                <w:rFonts w:ascii="Arial" w:hAnsi="Arial" w:cs="Arial"/>
                <w:sz w:val="18"/>
              </w:rPr>
              <w:t>Uncommon:</w:t>
            </w:r>
          </w:p>
        </w:tc>
        <w:tc>
          <w:tcPr>
            <w:tcW w:w="7461" w:type="dxa"/>
            <w:tcBorders>
              <w:top w:val="nil"/>
              <w:left w:val="nil"/>
              <w:bottom w:val="single" w:sz="4" w:space="0" w:color="auto"/>
            </w:tcBorders>
          </w:tcPr>
          <w:p w14:paraId="77681472" w14:textId="77777777" w:rsidR="00AF4E63" w:rsidRPr="00B64CA9" w:rsidRDefault="00AF4E63" w:rsidP="0081558E">
            <w:pPr>
              <w:jc w:val="both"/>
              <w:rPr>
                <w:rFonts w:ascii="Arial" w:hAnsi="Arial" w:cs="Arial"/>
                <w:sz w:val="18"/>
              </w:rPr>
            </w:pPr>
            <w:r w:rsidRPr="00B64CA9">
              <w:rPr>
                <w:rFonts w:ascii="Arial" w:hAnsi="Arial" w:cs="Arial"/>
                <w:sz w:val="18"/>
              </w:rPr>
              <w:t>Sinusitis, tinea pedis, tonsillitis, oral candidiasis, otitis externa</w:t>
            </w:r>
          </w:p>
        </w:tc>
      </w:tr>
      <w:tr w:rsidR="00AF4E63" w:rsidRPr="00B64CA9" w14:paraId="011D0C94" w14:textId="77777777" w:rsidTr="002D07A3">
        <w:tc>
          <w:tcPr>
            <w:tcW w:w="9016" w:type="dxa"/>
            <w:gridSpan w:val="2"/>
            <w:tcBorders>
              <w:bottom w:val="nil"/>
            </w:tcBorders>
          </w:tcPr>
          <w:p w14:paraId="6CF1537E" w14:textId="77777777" w:rsidR="00AF4E63" w:rsidRPr="00B64CA9" w:rsidRDefault="00AF4E63" w:rsidP="0081558E">
            <w:pPr>
              <w:jc w:val="both"/>
              <w:rPr>
                <w:rFonts w:ascii="Arial" w:hAnsi="Arial" w:cs="Arial"/>
                <w:sz w:val="18"/>
              </w:rPr>
            </w:pPr>
            <w:r w:rsidRPr="00B64CA9">
              <w:rPr>
                <w:rFonts w:ascii="Arial" w:hAnsi="Arial" w:cs="Arial"/>
                <w:sz w:val="18"/>
              </w:rPr>
              <w:t>Eye disorders</w:t>
            </w:r>
          </w:p>
        </w:tc>
      </w:tr>
      <w:tr w:rsidR="00AF4E63" w:rsidRPr="00B64CA9" w14:paraId="35653792" w14:textId="77777777" w:rsidTr="002D07A3">
        <w:tc>
          <w:tcPr>
            <w:tcW w:w="1555" w:type="dxa"/>
            <w:tcBorders>
              <w:top w:val="nil"/>
              <w:bottom w:val="single" w:sz="4" w:space="0" w:color="auto"/>
              <w:right w:val="nil"/>
            </w:tcBorders>
            <w:vAlign w:val="center"/>
          </w:tcPr>
          <w:p w14:paraId="52782A5C" w14:textId="77777777" w:rsidR="00AF4E63" w:rsidRPr="00B64CA9" w:rsidRDefault="00AF4E63" w:rsidP="0081558E">
            <w:pPr>
              <w:jc w:val="both"/>
              <w:rPr>
                <w:rFonts w:ascii="Arial" w:hAnsi="Arial" w:cs="Arial"/>
                <w:sz w:val="18"/>
              </w:rPr>
            </w:pPr>
            <w:r w:rsidRPr="00B64CA9">
              <w:rPr>
                <w:rFonts w:ascii="Arial" w:hAnsi="Arial" w:cs="Arial"/>
                <w:sz w:val="18"/>
              </w:rPr>
              <w:t>Uncommon:</w:t>
            </w:r>
          </w:p>
        </w:tc>
        <w:tc>
          <w:tcPr>
            <w:tcW w:w="7461" w:type="dxa"/>
            <w:tcBorders>
              <w:top w:val="nil"/>
              <w:left w:val="nil"/>
              <w:bottom w:val="single" w:sz="4" w:space="0" w:color="auto"/>
            </w:tcBorders>
          </w:tcPr>
          <w:p w14:paraId="66FDE5C9" w14:textId="77777777" w:rsidR="00AF4E63" w:rsidRPr="00B64CA9" w:rsidRDefault="00AF4E63" w:rsidP="0081558E">
            <w:pPr>
              <w:jc w:val="both"/>
              <w:rPr>
                <w:rFonts w:ascii="Arial" w:hAnsi="Arial" w:cs="Arial"/>
                <w:sz w:val="18"/>
              </w:rPr>
            </w:pPr>
            <w:r w:rsidRPr="00B64CA9">
              <w:rPr>
                <w:rFonts w:ascii="Arial" w:hAnsi="Arial" w:cs="Arial"/>
                <w:sz w:val="18"/>
              </w:rPr>
              <w:t>Conjunctivitis</w:t>
            </w:r>
          </w:p>
        </w:tc>
      </w:tr>
      <w:tr w:rsidR="00AF4E63" w:rsidRPr="00B64CA9" w14:paraId="4DA38899" w14:textId="77777777" w:rsidTr="002D07A3">
        <w:tc>
          <w:tcPr>
            <w:tcW w:w="9016" w:type="dxa"/>
            <w:gridSpan w:val="2"/>
            <w:tcBorders>
              <w:bottom w:val="nil"/>
            </w:tcBorders>
          </w:tcPr>
          <w:p w14:paraId="0711B6EE" w14:textId="77777777" w:rsidR="00AF4E63" w:rsidRPr="00B64CA9" w:rsidRDefault="00AF4E63" w:rsidP="0081558E">
            <w:pPr>
              <w:jc w:val="both"/>
              <w:rPr>
                <w:rFonts w:ascii="Arial" w:hAnsi="Arial" w:cs="Arial"/>
                <w:sz w:val="18"/>
              </w:rPr>
            </w:pPr>
            <w:r w:rsidRPr="00B64CA9">
              <w:rPr>
                <w:rFonts w:ascii="Arial" w:hAnsi="Arial" w:cs="Arial"/>
                <w:sz w:val="18"/>
              </w:rPr>
              <w:t>Blood and lymphatic system disorders</w:t>
            </w:r>
          </w:p>
        </w:tc>
      </w:tr>
      <w:tr w:rsidR="00AF4E63" w:rsidRPr="00B64CA9" w14:paraId="2763198F" w14:textId="77777777" w:rsidTr="00FB21A6">
        <w:tc>
          <w:tcPr>
            <w:tcW w:w="1555" w:type="dxa"/>
            <w:tcBorders>
              <w:top w:val="nil"/>
              <w:bottom w:val="single" w:sz="4" w:space="0" w:color="auto"/>
              <w:right w:val="nil"/>
            </w:tcBorders>
          </w:tcPr>
          <w:p w14:paraId="15BC4202" w14:textId="77777777" w:rsidR="00AF4E63" w:rsidRPr="00B64CA9" w:rsidRDefault="00AF4E63" w:rsidP="0081558E">
            <w:pPr>
              <w:jc w:val="both"/>
              <w:rPr>
                <w:rFonts w:ascii="Arial" w:hAnsi="Arial" w:cs="Arial"/>
                <w:sz w:val="18"/>
              </w:rPr>
            </w:pPr>
            <w:r w:rsidRPr="00B64CA9">
              <w:rPr>
                <w:rFonts w:ascii="Arial" w:hAnsi="Arial" w:cs="Arial"/>
                <w:sz w:val="18"/>
              </w:rPr>
              <w:t>Uncommon:</w:t>
            </w:r>
          </w:p>
        </w:tc>
        <w:tc>
          <w:tcPr>
            <w:tcW w:w="7461" w:type="dxa"/>
            <w:tcBorders>
              <w:top w:val="nil"/>
              <w:left w:val="nil"/>
              <w:bottom w:val="single" w:sz="4" w:space="0" w:color="auto"/>
            </w:tcBorders>
          </w:tcPr>
          <w:p w14:paraId="723CF3D5" w14:textId="77777777" w:rsidR="00AF4E63" w:rsidRPr="00B64CA9" w:rsidRDefault="00AF4E63" w:rsidP="0081558E">
            <w:pPr>
              <w:jc w:val="both"/>
              <w:rPr>
                <w:rFonts w:ascii="Arial" w:hAnsi="Arial" w:cs="Arial"/>
                <w:sz w:val="18"/>
              </w:rPr>
            </w:pPr>
            <w:r w:rsidRPr="00B64CA9">
              <w:rPr>
                <w:rFonts w:ascii="Arial" w:hAnsi="Arial" w:cs="Arial"/>
                <w:sz w:val="18"/>
              </w:rPr>
              <w:t>Neutropenia</w:t>
            </w:r>
          </w:p>
        </w:tc>
      </w:tr>
      <w:tr w:rsidR="00FB21A6" w:rsidRPr="00B661A5" w14:paraId="455EFD40" w14:textId="77777777" w:rsidTr="00FB21A6">
        <w:tc>
          <w:tcPr>
            <w:tcW w:w="9016" w:type="dxa"/>
            <w:gridSpan w:val="2"/>
            <w:tcBorders>
              <w:top w:val="single" w:sz="4" w:space="0" w:color="auto"/>
              <w:bottom w:val="nil"/>
            </w:tcBorders>
          </w:tcPr>
          <w:p w14:paraId="1FD83B13" w14:textId="77777777" w:rsidR="00FB21A6" w:rsidRPr="00B661A5" w:rsidRDefault="00FB21A6" w:rsidP="0081558E">
            <w:pPr>
              <w:jc w:val="both"/>
              <w:rPr>
                <w:rFonts w:ascii="Arial" w:hAnsi="Arial" w:cs="Arial"/>
                <w:sz w:val="18"/>
              </w:rPr>
            </w:pPr>
            <w:r w:rsidRPr="00B661A5">
              <w:rPr>
                <w:rFonts w:ascii="Arial" w:hAnsi="Arial" w:cs="Arial"/>
                <w:sz w:val="18"/>
              </w:rPr>
              <w:t>Skin and subcutaneous tissue disorders</w:t>
            </w:r>
          </w:p>
        </w:tc>
      </w:tr>
      <w:tr w:rsidR="00FB21A6" w:rsidRPr="00B64CA9" w14:paraId="74D2C190" w14:textId="77777777" w:rsidTr="00B64CA9">
        <w:tc>
          <w:tcPr>
            <w:tcW w:w="1555" w:type="dxa"/>
            <w:tcBorders>
              <w:top w:val="nil"/>
              <w:bottom w:val="nil"/>
              <w:right w:val="nil"/>
            </w:tcBorders>
          </w:tcPr>
          <w:p w14:paraId="682666AD" w14:textId="77777777" w:rsidR="00FB21A6" w:rsidRPr="00B661A5" w:rsidRDefault="00FB21A6" w:rsidP="0081558E">
            <w:pPr>
              <w:jc w:val="both"/>
              <w:rPr>
                <w:rFonts w:ascii="Arial" w:hAnsi="Arial" w:cs="Arial"/>
                <w:sz w:val="18"/>
              </w:rPr>
            </w:pPr>
            <w:r w:rsidRPr="00B661A5">
              <w:rPr>
                <w:rFonts w:ascii="Arial" w:hAnsi="Arial" w:cs="Arial"/>
                <w:sz w:val="18"/>
              </w:rPr>
              <w:t>Uncommon:</w:t>
            </w:r>
          </w:p>
        </w:tc>
        <w:tc>
          <w:tcPr>
            <w:tcW w:w="7461" w:type="dxa"/>
            <w:tcBorders>
              <w:top w:val="nil"/>
              <w:left w:val="nil"/>
              <w:bottom w:val="nil"/>
            </w:tcBorders>
          </w:tcPr>
          <w:p w14:paraId="243DE04D" w14:textId="77777777" w:rsidR="00FB21A6" w:rsidRPr="00B64CA9" w:rsidRDefault="00FB21A6" w:rsidP="0081558E">
            <w:pPr>
              <w:jc w:val="both"/>
              <w:rPr>
                <w:rFonts w:ascii="Arial" w:hAnsi="Arial" w:cs="Arial"/>
                <w:sz w:val="18"/>
              </w:rPr>
            </w:pPr>
            <w:r w:rsidRPr="00B661A5">
              <w:rPr>
                <w:rFonts w:ascii="Arial" w:hAnsi="Arial" w:cs="Arial"/>
                <w:sz w:val="18"/>
              </w:rPr>
              <w:t>Dyshidrotic eczema</w:t>
            </w:r>
          </w:p>
        </w:tc>
      </w:tr>
      <w:tr w:rsidR="007A75B6" w:rsidRPr="00B64CA9" w14:paraId="65D07277" w14:textId="77777777" w:rsidTr="00631553">
        <w:tc>
          <w:tcPr>
            <w:tcW w:w="9016" w:type="dxa"/>
            <w:gridSpan w:val="2"/>
            <w:tcBorders>
              <w:bottom w:val="nil"/>
            </w:tcBorders>
          </w:tcPr>
          <w:p w14:paraId="5458981D" w14:textId="77777777" w:rsidR="007A75B6" w:rsidRPr="00B64CA9" w:rsidRDefault="007A75B6" w:rsidP="00631553">
            <w:pPr>
              <w:jc w:val="both"/>
              <w:rPr>
                <w:rFonts w:ascii="Arial" w:hAnsi="Arial" w:cs="Arial"/>
                <w:sz w:val="18"/>
              </w:rPr>
            </w:pPr>
            <w:r w:rsidRPr="00B64CA9">
              <w:rPr>
                <w:rFonts w:ascii="Arial" w:hAnsi="Arial" w:cs="Arial"/>
                <w:sz w:val="18"/>
              </w:rPr>
              <w:t>Gastrointestinal disorders</w:t>
            </w:r>
          </w:p>
        </w:tc>
      </w:tr>
      <w:tr w:rsidR="007A75B6" w:rsidRPr="00B64CA9" w14:paraId="37AC2560" w14:textId="77777777" w:rsidTr="00B64CA9">
        <w:tc>
          <w:tcPr>
            <w:tcW w:w="1555" w:type="dxa"/>
            <w:tcBorders>
              <w:top w:val="nil"/>
              <w:bottom w:val="single" w:sz="4" w:space="0" w:color="auto"/>
              <w:right w:val="nil"/>
            </w:tcBorders>
            <w:vAlign w:val="center"/>
          </w:tcPr>
          <w:p w14:paraId="08C42895" w14:textId="77777777" w:rsidR="007A75B6" w:rsidRPr="00B64CA9" w:rsidRDefault="007A75B6" w:rsidP="00631553">
            <w:pPr>
              <w:jc w:val="both"/>
              <w:rPr>
                <w:rFonts w:ascii="Arial" w:hAnsi="Arial" w:cs="Arial"/>
                <w:sz w:val="18"/>
              </w:rPr>
            </w:pPr>
            <w:r w:rsidRPr="00B64CA9">
              <w:rPr>
                <w:rFonts w:ascii="Arial" w:hAnsi="Arial" w:cs="Arial"/>
                <w:sz w:val="18"/>
              </w:rPr>
              <w:t>Uncommon:</w:t>
            </w:r>
          </w:p>
        </w:tc>
        <w:tc>
          <w:tcPr>
            <w:tcW w:w="7461" w:type="dxa"/>
            <w:tcBorders>
              <w:top w:val="nil"/>
              <w:left w:val="nil"/>
              <w:bottom w:val="single" w:sz="4" w:space="0" w:color="auto"/>
            </w:tcBorders>
          </w:tcPr>
          <w:p w14:paraId="68559E70" w14:textId="77777777" w:rsidR="007A75B6" w:rsidRPr="00B64CA9" w:rsidRDefault="007A75B6" w:rsidP="00631553">
            <w:pPr>
              <w:jc w:val="both"/>
              <w:rPr>
                <w:rFonts w:ascii="Arial" w:hAnsi="Arial" w:cs="Arial"/>
                <w:sz w:val="18"/>
              </w:rPr>
            </w:pPr>
            <w:r w:rsidRPr="00B64CA9">
              <w:rPr>
                <w:rFonts w:ascii="Arial" w:hAnsi="Arial" w:cs="Arial"/>
                <w:sz w:val="18"/>
              </w:rPr>
              <w:t>Inflammatory bowel disease (including Crohn’s disease and ulcerative colitis)</w:t>
            </w:r>
            <w:r w:rsidRPr="00B64CA9">
              <w:rPr>
                <w:rFonts w:ascii="Arial" w:hAnsi="Arial" w:cs="Arial"/>
                <w:sz w:val="18"/>
                <w:vertAlign w:val="superscript"/>
              </w:rPr>
              <w:t>1</w:t>
            </w:r>
          </w:p>
        </w:tc>
      </w:tr>
      <w:tr w:rsidR="007A75B6" w:rsidRPr="00B64CA9" w14:paraId="65D129C6" w14:textId="77777777" w:rsidTr="00631553">
        <w:tc>
          <w:tcPr>
            <w:tcW w:w="9016" w:type="dxa"/>
            <w:gridSpan w:val="2"/>
            <w:tcBorders>
              <w:top w:val="single" w:sz="4" w:space="0" w:color="auto"/>
              <w:left w:val="nil"/>
              <w:bottom w:val="nil"/>
              <w:right w:val="nil"/>
            </w:tcBorders>
            <w:vAlign w:val="center"/>
          </w:tcPr>
          <w:p w14:paraId="6222A2EC" w14:textId="77777777" w:rsidR="007A75B6" w:rsidRPr="00B64CA9" w:rsidRDefault="007A75B6">
            <w:pPr>
              <w:jc w:val="both"/>
              <w:rPr>
                <w:rFonts w:ascii="Arial" w:hAnsi="Arial" w:cs="Arial"/>
                <w:sz w:val="16"/>
                <w:szCs w:val="16"/>
              </w:rPr>
            </w:pPr>
            <w:r w:rsidRPr="00B64CA9">
              <w:rPr>
                <w:rFonts w:ascii="Arial" w:hAnsi="Arial" w:cs="Arial"/>
                <w:i/>
                <w:sz w:val="16"/>
                <w:szCs w:val="16"/>
              </w:rPr>
              <w:t xml:space="preserve">1    ADR added </w:t>
            </w:r>
            <w:r w:rsidRPr="00B64CA9">
              <w:rPr>
                <w:rFonts w:ascii="Arial" w:hAnsi="Arial" w:cs="Arial"/>
                <w:i/>
                <w:iCs/>
                <w:sz w:val="16"/>
                <w:szCs w:val="16"/>
              </w:rPr>
              <w:t xml:space="preserve">based on </w:t>
            </w:r>
            <w:proofErr w:type="spellStart"/>
            <w:r w:rsidRPr="00B64CA9">
              <w:rPr>
                <w:rFonts w:ascii="Arial" w:hAnsi="Arial" w:cs="Arial"/>
                <w:i/>
                <w:iCs/>
                <w:sz w:val="16"/>
                <w:szCs w:val="16"/>
              </w:rPr>
              <w:t>postmarketing</w:t>
            </w:r>
            <w:proofErr w:type="spellEnd"/>
            <w:r w:rsidRPr="00B64CA9">
              <w:rPr>
                <w:rFonts w:ascii="Arial" w:hAnsi="Arial" w:cs="Arial"/>
                <w:i/>
                <w:iCs/>
                <w:sz w:val="16"/>
                <w:szCs w:val="16"/>
              </w:rPr>
              <w:t xml:space="preserve"> reports. Frequency determined based on placebo-controlled clinical studies (phase III) in plaque psoriasis patients </w:t>
            </w:r>
          </w:p>
        </w:tc>
      </w:tr>
    </w:tbl>
    <w:p w14:paraId="243C7C4E" w14:textId="77777777" w:rsidR="00AF4E63" w:rsidRPr="00B64CA9" w:rsidRDefault="00AF4E63" w:rsidP="0081558E">
      <w:pPr>
        <w:jc w:val="both"/>
        <w:rPr>
          <w:rFonts w:ascii="Arial" w:hAnsi="Arial" w:cs="Arial"/>
          <w:b/>
        </w:rPr>
      </w:pPr>
    </w:p>
    <w:p w14:paraId="3F797AFA" w14:textId="77777777" w:rsidR="00207E1A" w:rsidRPr="00B64CA9" w:rsidRDefault="00207E1A" w:rsidP="00290F28">
      <w:pPr>
        <w:pageBreakBefore/>
        <w:jc w:val="both"/>
        <w:rPr>
          <w:rFonts w:asciiTheme="majorHAnsi" w:eastAsiaTheme="majorEastAsia" w:hAnsiTheme="majorHAnsi" w:cstheme="minorHAnsi"/>
          <w:b/>
          <w:bCs/>
          <w:i/>
        </w:rPr>
      </w:pPr>
      <w:r w:rsidRPr="00B64CA9">
        <w:rPr>
          <w:rFonts w:asciiTheme="majorHAnsi" w:eastAsiaTheme="majorEastAsia" w:hAnsiTheme="majorHAnsi" w:cstheme="minorHAnsi"/>
          <w:b/>
          <w:bCs/>
          <w:i/>
        </w:rPr>
        <w:lastRenderedPageBreak/>
        <w:t>Paediatric patients</w:t>
      </w:r>
    </w:p>
    <w:p w14:paraId="326F9CF7" w14:textId="77777777" w:rsidR="00207E1A" w:rsidRPr="00B64CA9" w:rsidRDefault="00207E1A" w:rsidP="00207E1A">
      <w:r w:rsidRPr="00B64CA9">
        <w:t xml:space="preserve">The safety of Cosentyx was assessed in two </w:t>
      </w:r>
      <w:proofErr w:type="gramStart"/>
      <w:r w:rsidRPr="00B64CA9">
        <w:t>52 week</w:t>
      </w:r>
      <w:proofErr w:type="gramEnd"/>
      <w:r w:rsidRPr="00B64CA9">
        <w:t xml:space="preserve"> phase III studies in paediatric patients from 6 to less than 18 years of age: 162 patients with severe plaque psoriasis. 84 patients with moderate to severe plaque psoriasis. The distribution of patients across age and weight is presented in Table 11 in section 5.1.  The safety profile reported in these studies was consistent with the safety profile reported in adult plaque psoriasis patients. Neutrophil counts are generally lower in children and adolescents than in adults with or without treatment. The variations seen in the paediatric clinical trials with Cosentyx were not clinically significant.</w:t>
      </w:r>
    </w:p>
    <w:p w14:paraId="7EE588E4" w14:textId="77777777" w:rsidR="00207E1A" w:rsidRPr="00B64CA9" w:rsidRDefault="00207E1A" w:rsidP="00207E1A">
      <w:pPr>
        <w:spacing w:after="120"/>
        <w:ind w:left="1166" w:hanging="1166"/>
        <w:jc w:val="both"/>
        <w:rPr>
          <w:rFonts w:ascii="Arial" w:hAnsi="Arial" w:cs="Arial"/>
          <w:b/>
          <w:sz w:val="20"/>
        </w:rPr>
      </w:pPr>
      <w:r w:rsidRPr="00B64CA9">
        <w:rPr>
          <w:rFonts w:ascii="Arial" w:hAnsi="Arial" w:cs="Arial"/>
          <w:b/>
          <w:sz w:val="20"/>
        </w:rPr>
        <w:t>Table 5</w:t>
      </w:r>
      <w:r w:rsidRPr="00B64CA9">
        <w:rPr>
          <w:rFonts w:ascii="Arial" w:hAnsi="Arial" w:cs="Arial"/>
          <w:b/>
          <w:sz w:val="20"/>
        </w:rPr>
        <w:tab/>
        <w:t>Most frequent (≥ 4% in any treatment group) treatment emergent adverse events, by preferred term up to Week 12</w:t>
      </w:r>
    </w:p>
    <w:tbl>
      <w:tblPr>
        <w:tblW w:w="5000" w:type="pct"/>
        <w:tblCellMar>
          <w:left w:w="0" w:type="dxa"/>
          <w:right w:w="0" w:type="dxa"/>
        </w:tblCellMar>
        <w:tblLook w:val="0000" w:firstRow="0" w:lastRow="0" w:firstColumn="0" w:lastColumn="0" w:noHBand="0" w:noVBand="0"/>
      </w:tblPr>
      <w:tblGrid>
        <w:gridCol w:w="2350"/>
        <w:gridCol w:w="1430"/>
        <w:gridCol w:w="1430"/>
        <w:gridCol w:w="1430"/>
        <w:gridCol w:w="1195"/>
        <w:gridCol w:w="1191"/>
      </w:tblGrid>
      <w:tr w:rsidR="00207E1A" w:rsidRPr="00B64CA9" w14:paraId="681772CC" w14:textId="77777777" w:rsidTr="005A26F4">
        <w:trPr>
          <w:cantSplit/>
          <w:tblHeader/>
        </w:trPr>
        <w:tc>
          <w:tcPr>
            <w:tcW w:w="1302" w:type="pct"/>
            <w:vMerge w:val="restart"/>
            <w:tcBorders>
              <w:top w:val="single" w:sz="4" w:space="0" w:color="auto"/>
              <w:left w:val="nil"/>
              <w:right w:val="nil"/>
            </w:tcBorders>
            <w:shd w:val="clear" w:color="auto" w:fill="FFFFFF"/>
            <w:tcMar>
              <w:left w:w="40" w:type="dxa"/>
              <w:right w:w="40" w:type="dxa"/>
            </w:tcMar>
          </w:tcPr>
          <w:p w14:paraId="46C198E0" w14:textId="77777777" w:rsidR="00207E1A" w:rsidRPr="00B64CA9" w:rsidRDefault="00207E1A" w:rsidP="005A26F4">
            <w:pPr>
              <w:tabs>
                <w:tab w:val="left" w:pos="284"/>
              </w:tabs>
              <w:spacing w:after="20"/>
              <w:rPr>
                <w:rFonts w:ascii="Arial" w:hAnsi="Arial" w:cs="Arial"/>
                <w:b/>
                <w:bCs/>
                <w:sz w:val="18"/>
                <w:szCs w:val="18"/>
              </w:rPr>
            </w:pPr>
            <w:r w:rsidRPr="00B64CA9">
              <w:rPr>
                <w:rFonts w:ascii="Arial" w:hAnsi="Arial" w:cs="Arial"/>
                <w:b/>
                <w:bCs/>
                <w:sz w:val="18"/>
                <w:szCs w:val="18"/>
              </w:rPr>
              <w:t xml:space="preserve">Preferred term </w:t>
            </w:r>
          </w:p>
        </w:tc>
        <w:tc>
          <w:tcPr>
            <w:tcW w:w="792" w:type="pct"/>
            <w:tcBorders>
              <w:top w:val="single" w:sz="4" w:space="0" w:color="auto"/>
              <w:left w:val="nil"/>
              <w:bottom w:val="nil"/>
              <w:right w:val="nil"/>
            </w:tcBorders>
            <w:shd w:val="clear" w:color="auto" w:fill="FFFFFF"/>
            <w:tcMar>
              <w:left w:w="40" w:type="dxa"/>
              <w:right w:w="40" w:type="dxa"/>
            </w:tcMar>
            <w:vAlign w:val="bottom"/>
          </w:tcPr>
          <w:p w14:paraId="0C12A192"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AIN457</w:t>
            </w:r>
            <w:r w:rsidRPr="00B64CA9">
              <w:rPr>
                <w:rFonts w:ascii="Arial" w:hAnsi="Arial" w:cs="Arial"/>
                <w:b/>
                <w:bCs/>
                <w:sz w:val="18"/>
                <w:szCs w:val="18"/>
              </w:rPr>
              <w:br/>
              <w:t>Low dose</w:t>
            </w:r>
            <w:r w:rsidRPr="00B64CA9">
              <w:rPr>
                <w:rFonts w:ascii="Arial" w:hAnsi="Arial" w:cs="Arial"/>
                <w:b/>
                <w:bCs/>
                <w:sz w:val="18"/>
                <w:szCs w:val="18"/>
              </w:rPr>
              <w:br/>
              <w:t>N=40</w:t>
            </w:r>
          </w:p>
        </w:tc>
        <w:tc>
          <w:tcPr>
            <w:tcW w:w="792" w:type="pct"/>
            <w:tcBorders>
              <w:top w:val="single" w:sz="4" w:space="0" w:color="auto"/>
              <w:left w:val="nil"/>
              <w:bottom w:val="nil"/>
              <w:right w:val="nil"/>
            </w:tcBorders>
            <w:shd w:val="clear" w:color="auto" w:fill="FFFFFF"/>
            <w:tcMar>
              <w:left w:w="40" w:type="dxa"/>
              <w:right w:w="40" w:type="dxa"/>
            </w:tcMar>
            <w:vAlign w:val="bottom"/>
          </w:tcPr>
          <w:p w14:paraId="41CD097F"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AIN457</w:t>
            </w:r>
            <w:r w:rsidRPr="00B64CA9">
              <w:rPr>
                <w:rFonts w:ascii="Arial" w:hAnsi="Arial" w:cs="Arial"/>
                <w:b/>
                <w:bCs/>
                <w:sz w:val="18"/>
                <w:szCs w:val="18"/>
              </w:rPr>
              <w:br/>
              <w:t>High dose</w:t>
            </w:r>
            <w:r w:rsidRPr="00B64CA9">
              <w:rPr>
                <w:rFonts w:ascii="Arial" w:hAnsi="Arial" w:cs="Arial"/>
                <w:b/>
                <w:bCs/>
                <w:sz w:val="18"/>
                <w:szCs w:val="18"/>
              </w:rPr>
              <w:br/>
              <w:t>N=40</w:t>
            </w:r>
          </w:p>
        </w:tc>
        <w:tc>
          <w:tcPr>
            <w:tcW w:w="792" w:type="pct"/>
            <w:tcBorders>
              <w:top w:val="single" w:sz="4" w:space="0" w:color="auto"/>
              <w:left w:val="nil"/>
              <w:bottom w:val="nil"/>
              <w:right w:val="nil"/>
            </w:tcBorders>
            <w:shd w:val="clear" w:color="auto" w:fill="FFFFFF"/>
            <w:tcMar>
              <w:left w:w="40" w:type="dxa"/>
              <w:right w:w="40" w:type="dxa"/>
            </w:tcMar>
            <w:vAlign w:val="bottom"/>
          </w:tcPr>
          <w:p w14:paraId="71F23476"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Any AIN457 dose</w:t>
            </w:r>
            <w:r w:rsidRPr="00B64CA9">
              <w:rPr>
                <w:rFonts w:ascii="Arial" w:hAnsi="Arial" w:cs="Arial"/>
                <w:b/>
                <w:bCs/>
                <w:sz w:val="18"/>
                <w:szCs w:val="18"/>
              </w:rPr>
              <w:br/>
              <w:t>N=80</w:t>
            </w:r>
          </w:p>
        </w:tc>
        <w:tc>
          <w:tcPr>
            <w:tcW w:w="662" w:type="pct"/>
            <w:tcBorders>
              <w:top w:val="single" w:sz="4" w:space="0" w:color="auto"/>
              <w:left w:val="nil"/>
              <w:bottom w:val="nil"/>
              <w:right w:val="nil"/>
            </w:tcBorders>
            <w:shd w:val="clear" w:color="auto" w:fill="FFFFFF"/>
            <w:tcMar>
              <w:left w:w="40" w:type="dxa"/>
              <w:right w:w="40" w:type="dxa"/>
            </w:tcMar>
            <w:vAlign w:val="bottom"/>
          </w:tcPr>
          <w:p w14:paraId="73D37F36"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Placebo</w:t>
            </w:r>
            <w:r w:rsidRPr="00B64CA9">
              <w:rPr>
                <w:rFonts w:ascii="Arial" w:hAnsi="Arial" w:cs="Arial"/>
                <w:b/>
                <w:bCs/>
                <w:sz w:val="18"/>
                <w:szCs w:val="18"/>
              </w:rPr>
              <w:br/>
              <w:t>N=41</w:t>
            </w:r>
          </w:p>
        </w:tc>
        <w:tc>
          <w:tcPr>
            <w:tcW w:w="660" w:type="pct"/>
            <w:tcBorders>
              <w:top w:val="single" w:sz="4" w:space="0" w:color="auto"/>
              <w:left w:val="nil"/>
              <w:bottom w:val="nil"/>
              <w:right w:val="nil"/>
            </w:tcBorders>
            <w:shd w:val="clear" w:color="auto" w:fill="FFFFFF"/>
            <w:tcMar>
              <w:left w:w="40" w:type="dxa"/>
              <w:right w:w="40" w:type="dxa"/>
            </w:tcMar>
            <w:vAlign w:val="bottom"/>
          </w:tcPr>
          <w:p w14:paraId="13C42DA3"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Etanercept</w:t>
            </w:r>
            <w:r w:rsidRPr="00B64CA9">
              <w:rPr>
                <w:rFonts w:ascii="Arial" w:hAnsi="Arial" w:cs="Arial"/>
                <w:b/>
                <w:bCs/>
                <w:sz w:val="18"/>
                <w:szCs w:val="18"/>
              </w:rPr>
              <w:br/>
              <w:t>N=41</w:t>
            </w:r>
          </w:p>
        </w:tc>
      </w:tr>
      <w:tr w:rsidR="00207E1A" w:rsidRPr="00B64CA9" w14:paraId="5A48A300" w14:textId="77777777" w:rsidTr="005A26F4">
        <w:trPr>
          <w:cantSplit/>
          <w:tblHeader/>
        </w:trPr>
        <w:tc>
          <w:tcPr>
            <w:tcW w:w="1302" w:type="pct"/>
            <w:vMerge/>
            <w:tcBorders>
              <w:left w:val="nil"/>
              <w:bottom w:val="single" w:sz="8" w:space="0" w:color="000000"/>
              <w:right w:val="nil"/>
            </w:tcBorders>
            <w:shd w:val="clear" w:color="auto" w:fill="FFFFFF"/>
            <w:tcMar>
              <w:left w:w="40" w:type="dxa"/>
              <w:right w:w="40" w:type="dxa"/>
            </w:tcMar>
          </w:tcPr>
          <w:p w14:paraId="669BD8DE" w14:textId="77777777" w:rsidR="00207E1A" w:rsidRPr="00B64CA9" w:rsidRDefault="00207E1A" w:rsidP="005A26F4">
            <w:pPr>
              <w:tabs>
                <w:tab w:val="left" w:pos="284"/>
              </w:tabs>
              <w:spacing w:after="20"/>
              <w:rPr>
                <w:rFonts w:ascii="Arial" w:hAnsi="Arial" w:cs="Arial"/>
                <w:b/>
                <w:bCs/>
                <w:sz w:val="18"/>
                <w:szCs w:val="18"/>
              </w:rPr>
            </w:pPr>
          </w:p>
        </w:tc>
        <w:tc>
          <w:tcPr>
            <w:tcW w:w="792" w:type="pct"/>
            <w:tcBorders>
              <w:top w:val="nil"/>
              <w:left w:val="nil"/>
              <w:bottom w:val="single" w:sz="8" w:space="0" w:color="000000"/>
              <w:right w:val="nil"/>
            </w:tcBorders>
            <w:shd w:val="clear" w:color="auto" w:fill="FFFFFF"/>
            <w:tcMar>
              <w:left w:w="40" w:type="dxa"/>
              <w:right w:w="40" w:type="dxa"/>
            </w:tcMar>
            <w:vAlign w:val="bottom"/>
          </w:tcPr>
          <w:p w14:paraId="03DBB7E9"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n (%)</w:t>
            </w:r>
          </w:p>
        </w:tc>
        <w:tc>
          <w:tcPr>
            <w:tcW w:w="792" w:type="pct"/>
            <w:tcBorders>
              <w:top w:val="nil"/>
              <w:left w:val="nil"/>
              <w:bottom w:val="single" w:sz="8" w:space="0" w:color="000000"/>
              <w:right w:val="nil"/>
            </w:tcBorders>
            <w:shd w:val="clear" w:color="auto" w:fill="FFFFFF"/>
            <w:tcMar>
              <w:left w:w="40" w:type="dxa"/>
              <w:right w:w="40" w:type="dxa"/>
            </w:tcMar>
            <w:vAlign w:val="bottom"/>
          </w:tcPr>
          <w:p w14:paraId="1F2B1168"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n (%)</w:t>
            </w:r>
          </w:p>
        </w:tc>
        <w:tc>
          <w:tcPr>
            <w:tcW w:w="792" w:type="pct"/>
            <w:tcBorders>
              <w:top w:val="nil"/>
              <w:left w:val="nil"/>
              <w:bottom w:val="single" w:sz="8" w:space="0" w:color="000000"/>
              <w:right w:val="nil"/>
            </w:tcBorders>
            <w:shd w:val="clear" w:color="auto" w:fill="FFFFFF"/>
            <w:tcMar>
              <w:left w:w="40" w:type="dxa"/>
              <w:right w:w="40" w:type="dxa"/>
            </w:tcMar>
            <w:vAlign w:val="bottom"/>
          </w:tcPr>
          <w:p w14:paraId="52477941"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n (%)</w:t>
            </w:r>
          </w:p>
        </w:tc>
        <w:tc>
          <w:tcPr>
            <w:tcW w:w="662" w:type="pct"/>
            <w:tcBorders>
              <w:top w:val="nil"/>
              <w:left w:val="nil"/>
              <w:bottom w:val="single" w:sz="8" w:space="0" w:color="000000"/>
              <w:right w:val="nil"/>
            </w:tcBorders>
            <w:shd w:val="clear" w:color="auto" w:fill="FFFFFF"/>
            <w:tcMar>
              <w:left w:w="40" w:type="dxa"/>
              <w:right w:w="40" w:type="dxa"/>
            </w:tcMar>
            <w:vAlign w:val="bottom"/>
          </w:tcPr>
          <w:p w14:paraId="1B038E7A"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n (%)</w:t>
            </w:r>
          </w:p>
        </w:tc>
        <w:tc>
          <w:tcPr>
            <w:tcW w:w="660" w:type="pct"/>
            <w:tcBorders>
              <w:top w:val="nil"/>
              <w:left w:val="nil"/>
              <w:bottom w:val="single" w:sz="8" w:space="0" w:color="000000"/>
              <w:right w:val="nil"/>
            </w:tcBorders>
            <w:shd w:val="clear" w:color="auto" w:fill="FFFFFF"/>
            <w:tcMar>
              <w:left w:w="40" w:type="dxa"/>
              <w:right w:w="40" w:type="dxa"/>
            </w:tcMar>
            <w:vAlign w:val="bottom"/>
          </w:tcPr>
          <w:p w14:paraId="727DAC51" w14:textId="77777777" w:rsidR="00207E1A" w:rsidRPr="00B64CA9" w:rsidRDefault="00207E1A" w:rsidP="005A26F4">
            <w:pPr>
              <w:tabs>
                <w:tab w:val="left" w:pos="284"/>
              </w:tabs>
              <w:spacing w:after="20"/>
              <w:jc w:val="center"/>
              <w:rPr>
                <w:rFonts w:ascii="Arial" w:hAnsi="Arial" w:cs="Arial"/>
                <w:b/>
                <w:bCs/>
                <w:sz w:val="18"/>
                <w:szCs w:val="18"/>
              </w:rPr>
            </w:pPr>
            <w:r w:rsidRPr="00B64CA9">
              <w:rPr>
                <w:rFonts w:ascii="Arial" w:hAnsi="Arial" w:cs="Arial"/>
                <w:b/>
                <w:bCs/>
                <w:sz w:val="18"/>
                <w:szCs w:val="18"/>
              </w:rPr>
              <w:t>n (%)</w:t>
            </w:r>
          </w:p>
        </w:tc>
      </w:tr>
      <w:tr w:rsidR="00207E1A" w:rsidRPr="00B64CA9" w14:paraId="79B5AA5A"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2FA20F57" w14:textId="77777777" w:rsidR="00207E1A" w:rsidRPr="00B64CA9" w:rsidRDefault="00207E1A" w:rsidP="005A26F4">
            <w:pPr>
              <w:tabs>
                <w:tab w:val="left" w:pos="284"/>
              </w:tabs>
              <w:spacing w:after="20"/>
              <w:rPr>
                <w:rFonts w:ascii="Arial" w:hAnsi="Arial" w:cs="Arial"/>
                <w:b/>
                <w:sz w:val="18"/>
                <w:szCs w:val="18"/>
              </w:rPr>
            </w:pPr>
            <w:r w:rsidRPr="00B64CA9">
              <w:rPr>
                <w:rFonts w:ascii="Arial" w:hAnsi="Arial" w:cs="Arial"/>
                <w:b/>
                <w:sz w:val="18"/>
                <w:szCs w:val="18"/>
              </w:rPr>
              <w:t>Any preferred term</w:t>
            </w:r>
          </w:p>
        </w:tc>
        <w:tc>
          <w:tcPr>
            <w:tcW w:w="792" w:type="pct"/>
            <w:tcBorders>
              <w:top w:val="nil"/>
              <w:left w:val="nil"/>
              <w:bottom w:val="nil"/>
              <w:right w:val="nil"/>
            </w:tcBorders>
            <w:shd w:val="clear" w:color="auto" w:fill="FFFFFF"/>
            <w:tcMar>
              <w:left w:w="40" w:type="dxa"/>
              <w:right w:w="40" w:type="dxa"/>
            </w:tcMar>
          </w:tcPr>
          <w:p w14:paraId="77335C5C" w14:textId="77777777" w:rsidR="00207E1A" w:rsidRPr="00B64CA9" w:rsidRDefault="00207E1A" w:rsidP="005A26F4">
            <w:pPr>
              <w:tabs>
                <w:tab w:val="left" w:pos="284"/>
              </w:tabs>
              <w:spacing w:after="20"/>
              <w:jc w:val="center"/>
              <w:rPr>
                <w:rFonts w:ascii="Arial" w:hAnsi="Arial" w:cs="Arial"/>
                <w:b/>
                <w:sz w:val="18"/>
                <w:szCs w:val="18"/>
              </w:rPr>
            </w:pPr>
            <w:r w:rsidRPr="00B64CA9">
              <w:rPr>
                <w:rFonts w:ascii="Arial" w:hAnsi="Arial" w:cs="Arial"/>
                <w:b/>
                <w:sz w:val="18"/>
                <w:szCs w:val="18"/>
              </w:rPr>
              <w:t>23 (57.5)</w:t>
            </w:r>
          </w:p>
        </w:tc>
        <w:tc>
          <w:tcPr>
            <w:tcW w:w="792" w:type="pct"/>
            <w:tcBorders>
              <w:top w:val="nil"/>
              <w:left w:val="nil"/>
              <w:bottom w:val="nil"/>
              <w:right w:val="nil"/>
            </w:tcBorders>
            <w:shd w:val="clear" w:color="auto" w:fill="FFFFFF"/>
            <w:tcMar>
              <w:left w:w="40" w:type="dxa"/>
              <w:right w:w="40" w:type="dxa"/>
            </w:tcMar>
          </w:tcPr>
          <w:p w14:paraId="086B3ADF" w14:textId="77777777" w:rsidR="00207E1A" w:rsidRPr="00B64CA9" w:rsidRDefault="00207E1A" w:rsidP="005A26F4">
            <w:pPr>
              <w:tabs>
                <w:tab w:val="left" w:pos="284"/>
              </w:tabs>
              <w:spacing w:after="20"/>
              <w:jc w:val="center"/>
              <w:rPr>
                <w:rFonts w:ascii="Arial" w:hAnsi="Arial" w:cs="Arial"/>
                <w:b/>
                <w:sz w:val="18"/>
                <w:szCs w:val="18"/>
              </w:rPr>
            </w:pPr>
            <w:r w:rsidRPr="00B64CA9">
              <w:rPr>
                <w:rFonts w:ascii="Arial" w:hAnsi="Arial" w:cs="Arial"/>
                <w:b/>
                <w:sz w:val="18"/>
                <w:szCs w:val="18"/>
              </w:rPr>
              <w:t>25 (62.5)</w:t>
            </w:r>
          </w:p>
        </w:tc>
        <w:tc>
          <w:tcPr>
            <w:tcW w:w="792" w:type="pct"/>
            <w:tcBorders>
              <w:top w:val="nil"/>
              <w:left w:val="nil"/>
              <w:bottom w:val="nil"/>
              <w:right w:val="nil"/>
            </w:tcBorders>
            <w:shd w:val="clear" w:color="auto" w:fill="FFFFFF"/>
            <w:tcMar>
              <w:left w:w="40" w:type="dxa"/>
              <w:right w:w="40" w:type="dxa"/>
            </w:tcMar>
          </w:tcPr>
          <w:p w14:paraId="14BE43D2" w14:textId="77777777" w:rsidR="00207E1A" w:rsidRPr="00B64CA9" w:rsidRDefault="00207E1A" w:rsidP="005A26F4">
            <w:pPr>
              <w:tabs>
                <w:tab w:val="left" w:pos="284"/>
              </w:tabs>
              <w:spacing w:after="20"/>
              <w:jc w:val="center"/>
              <w:rPr>
                <w:rFonts w:ascii="Arial" w:hAnsi="Arial" w:cs="Arial"/>
                <w:b/>
                <w:sz w:val="18"/>
                <w:szCs w:val="18"/>
              </w:rPr>
            </w:pPr>
            <w:r w:rsidRPr="00B64CA9">
              <w:rPr>
                <w:rFonts w:ascii="Arial" w:hAnsi="Arial" w:cs="Arial"/>
                <w:b/>
                <w:sz w:val="18"/>
                <w:szCs w:val="18"/>
              </w:rPr>
              <w:t>48 (60.0)</w:t>
            </w:r>
          </w:p>
        </w:tc>
        <w:tc>
          <w:tcPr>
            <w:tcW w:w="662" w:type="pct"/>
            <w:tcBorders>
              <w:top w:val="nil"/>
              <w:left w:val="nil"/>
              <w:bottom w:val="nil"/>
              <w:right w:val="nil"/>
            </w:tcBorders>
            <w:shd w:val="clear" w:color="auto" w:fill="FFFFFF"/>
            <w:tcMar>
              <w:left w:w="40" w:type="dxa"/>
              <w:right w:w="40" w:type="dxa"/>
            </w:tcMar>
          </w:tcPr>
          <w:p w14:paraId="623C9BB7" w14:textId="77777777" w:rsidR="00207E1A" w:rsidRPr="00B64CA9" w:rsidRDefault="00207E1A" w:rsidP="005A26F4">
            <w:pPr>
              <w:tabs>
                <w:tab w:val="left" w:pos="284"/>
              </w:tabs>
              <w:spacing w:after="20"/>
              <w:jc w:val="center"/>
              <w:rPr>
                <w:rFonts w:ascii="Arial" w:hAnsi="Arial" w:cs="Arial"/>
                <w:b/>
                <w:sz w:val="18"/>
                <w:szCs w:val="18"/>
              </w:rPr>
            </w:pPr>
            <w:r w:rsidRPr="00B64CA9">
              <w:rPr>
                <w:rFonts w:ascii="Arial" w:hAnsi="Arial" w:cs="Arial"/>
                <w:b/>
                <w:sz w:val="18"/>
                <w:szCs w:val="18"/>
              </w:rPr>
              <w:t>22 (53.7)</w:t>
            </w:r>
          </w:p>
        </w:tc>
        <w:tc>
          <w:tcPr>
            <w:tcW w:w="660" w:type="pct"/>
            <w:tcBorders>
              <w:top w:val="nil"/>
              <w:left w:val="nil"/>
              <w:bottom w:val="nil"/>
              <w:right w:val="nil"/>
            </w:tcBorders>
            <w:shd w:val="clear" w:color="auto" w:fill="FFFFFF"/>
            <w:tcMar>
              <w:left w:w="40" w:type="dxa"/>
              <w:right w:w="40" w:type="dxa"/>
            </w:tcMar>
          </w:tcPr>
          <w:p w14:paraId="4A2E9FCF" w14:textId="77777777" w:rsidR="00207E1A" w:rsidRPr="00B64CA9" w:rsidRDefault="00207E1A" w:rsidP="005A26F4">
            <w:pPr>
              <w:tabs>
                <w:tab w:val="left" w:pos="284"/>
              </w:tabs>
              <w:spacing w:after="20"/>
              <w:jc w:val="center"/>
              <w:rPr>
                <w:rFonts w:ascii="Arial" w:hAnsi="Arial" w:cs="Arial"/>
                <w:b/>
                <w:sz w:val="18"/>
                <w:szCs w:val="18"/>
              </w:rPr>
            </w:pPr>
            <w:r w:rsidRPr="00B64CA9">
              <w:rPr>
                <w:rFonts w:ascii="Arial" w:hAnsi="Arial" w:cs="Arial"/>
                <w:b/>
                <w:sz w:val="18"/>
                <w:szCs w:val="18"/>
              </w:rPr>
              <w:t>25 (61.0)</w:t>
            </w:r>
          </w:p>
        </w:tc>
      </w:tr>
      <w:tr w:rsidR="00207E1A" w:rsidRPr="00B64CA9" w14:paraId="5609CB99"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49553CF3"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Nasopharyngitis</w:t>
            </w:r>
          </w:p>
        </w:tc>
        <w:tc>
          <w:tcPr>
            <w:tcW w:w="792" w:type="pct"/>
            <w:tcBorders>
              <w:top w:val="nil"/>
              <w:left w:val="nil"/>
              <w:bottom w:val="nil"/>
              <w:right w:val="nil"/>
            </w:tcBorders>
            <w:shd w:val="clear" w:color="auto" w:fill="FFFFFF"/>
            <w:tcMar>
              <w:left w:w="40" w:type="dxa"/>
              <w:right w:w="40" w:type="dxa"/>
            </w:tcMar>
          </w:tcPr>
          <w:p w14:paraId="661012A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7 (17.5)</w:t>
            </w:r>
          </w:p>
        </w:tc>
        <w:tc>
          <w:tcPr>
            <w:tcW w:w="792" w:type="pct"/>
            <w:tcBorders>
              <w:top w:val="nil"/>
              <w:left w:val="nil"/>
              <w:bottom w:val="nil"/>
              <w:right w:val="nil"/>
            </w:tcBorders>
            <w:shd w:val="clear" w:color="auto" w:fill="FFFFFF"/>
            <w:tcMar>
              <w:left w:w="40" w:type="dxa"/>
              <w:right w:w="40" w:type="dxa"/>
            </w:tcMar>
          </w:tcPr>
          <w:p w14:paraId="11A8DC2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6 (15.0)</w:t>
            </w:r>
          </w:p>
        </w:tc>
        <w:tc>
          <w:tcPr>
            <w:tcW w:w="792" w:type="pct"/>
            <w:tcBorders>
              <w:top w:val="nil"/>
              <w:left w:val="nil"/>
              <w:bottom w:val="nil"/>
              <w:right w:val="nil"/>
            </w:tcBorders>
            <w:shd w:val="clear" w:color="auto" w:fill="FFFFFF"/>
            <w:tcMar>
              <w:left w:w="40" w:type="dxa"/>
              <w:right w:w="40" w:type="dxa"/>
            </w:tcMar>
          </w:tcPr>
          <w:p w14:paraId="16136AB7"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13 (16.3)</w:t>
            </w:r>
          </w:p>
        </w:tc>
        <w:tc>
          <w:tcPr>
            <w:tcW w:w="662" w:type="pct"/>
            <w:tcBorders>
              <w:top w:val="nil"/>
              <w:left w:val="nil"/>
              <w:bottom w:val="nil"/>
              <w:right w:val="nil"/>
            </w:tcBorders>
            <w:shd w:val="clear" w:color="auto" w:fill="FFFFFF"/>
            <w:tcMar>
              <w:left w:w="40" w:type="dxa"/>
              <w:right w:w="40" w:type="dxa"/>
            </w:tcMar>
          </w:tcPr>
          <w:p w14:paraId="01F1A31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c>
          <w:tcPr>
            <w:tcW w:w="660" w:type="pct"/>
            <w:tcBorders>
              <w:top w:val="nil"/>
              <w:left w:val="nil"/>
              <w:bottom w:val="nil"/>
              <w:right w:val="nil"/>
            </w:tcBorders>
            <w:shd w:val="clear" w:color="auto" w:fill="FFFFFF"/>
            <w:tcMar>
              <w:left w:w="40" w:type="dxa"/>
              <w:right w:w="40" w:type="dxa"/>
            </w:tcMar>
          </w:tcPr>
          <w:p w14:paraId="2E0A23B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(9.8)</w:t>
            </w:r>
          </w:p>
        </w:tc>
      </w:tr>
      <w:tr w:rsidR="00207E1A" w:rsidRPr="00B64CA9" w14:paraId="474E4BDB"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50D4976E"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Headache</w:t>
            </w:r>
          </w:p>
        </w:tc>
        <w:tc>
          <w:tcPr>
            <w:tcW w:w="792" w:type="pct"/>
            <w:tcBorders>
              <w:top w:val="nil"/>
              <w:left w:val="nil"/>
              <w:bottom w:val="nil"/>
              <w:right w:val="nil"/>
            </w:tcBorders>
            <w:shd w:val="clear" w:color="auto" w:fill="FFFFFF"/>
            <w:tcMar>
              <w:left w:w="40" w:type="dxa"/>
              <w:right w:w="40" w:type="dxa"/>
            </w:tcMar>
          </w:tcPr>
          <w:p w14:paraId="06C2318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62F3B8D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(7.5)</w:t>
            </w:r>
          </w:p>
        </w:tc>
        <w:tc>
          <w:tcPr>
            <w:tcW w:w="792" w:type="pct"/>
            <w:tcBorders>
              <w:top w:val="nil"/>
              <w:left w:val="nil"/>
              <w:bottom w:val="nil"/>
              <w:right w:val="nil"/>
            </w:tcBorders>
            <w:shd w:val="clear" w:color="auto" w:fill="FFFFFF"/>
            <w:tcMar>
              <w:left w:w="40" w:type="dxa"/>
              <w:right w:w="40" w:type="dxa"/>
            </w:tcMar>
          </w:tcPr>
          <w:p w14:paraId="3B0759B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5 (6.3)</w:t>
            </w:r>
          </w:p>
        </w:tc>
        <w:tc>
          <w:tcPr>
            <w:tcW w:w="662" w:type="pct"/>
            <w:tcBorders>
              <w:top w:val="nil"/>
              <w:left w:val="nil"/>
              <w:bottom w:val="nil"/>
              <w:right w:val="nil"/>
            </w:tcBorders>
            <w:shd w:val="clear" w:color="auto" w:fill="FFFFFF"/>
            <w:tcMar>
              <w:left w:w="40" w:type="dxa"/>
              <w:right w:w="40" w:type="dxa"/>
            </w:tcMar>
          </w:tcPr>
          <w:p w14:paraId="240A79A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(9.8)</w:t>
            </w:r>
          </w:p>
        </w:tc>
        <w:tc>
          <w:tcPr>
            <w:tcW w:w="660" w:type="pct"/>
            <w:tcBorders>
              <w:top w:val="nil"/>
              <w:left w:val="nil"/>
              <w:bottom w:val="nil"/>
              <w:right w:val="nil"/>
            </w:tcBorders>
            <w:shd w:val="clear" w:color="auto" w:fill="FFFFFF"/>
            <w:tcMar>
              <w:left w:w="40" w:type="dxa"/>
              <w:right w:w="40" w:type="dxa"/>
            </w:tcMar>
          </w:tcPr>
          <w:p w14:paraId="40E90AC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r>
      <w:tr w:rsidR="00207E1A" w:rsidRPr="00B64CA9" w14:paraId="02C90277"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21C0DDD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Abdominal pain</w:t>
            </w:r>
          </w:p>
        </w:tc>
        <w:tc>
          <w:tcPr>
            <w:tcW w:w="792" w:type="pct"/>
            <w:tcBorders>
              <w:top w:val="nil"/>
              <w:left w:val="nil"/>
              <w:bottom w:val="nil"/>
              <w:right w:val="nil"/>
            </w:tcBorders>
            <w:shd w:val="clear" w:color="auto" w:fill="FFFFFF"/>
            <w:tcMar>
              <w:left w:w="40" w:type="dxa"/>
              <w:right w:w="40" w:type="dxa"/>
            </w:tcMar>
          </w:tcPr>
          <w:p w14:paraId="7F0A3273"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453E675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060EDD9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(5.0)</w:t>
            </w:r>
          </w:p>
        </w:tc>
        <w:tc>
          <w:tcPr>
            <w:tcW w:w="662" w:type="pct"/>
            <w:tcBorders>
              <w:top w:val="nil"/>
              <w:left w:val="nil"/>
              <w:bottom w:val="nil"/>
              <w:right w:val="nil"/>
            </w:tcBorders>
            <w:shd w:val="clear" w:color="auto" w:fill="FFFFFF"/>
            <w:tcMar>
              <w:left w:w="40" w:type="dxa"/>
              <w:right w:w="40" w:type="dxa"/>
            </w:tcMar>
          </w:tcPr>
          <w:p w14:paraId="03583FD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6B965F0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(7.3)</w:t>
            </w:r>
          </w:p>
        </w:tc>
      </w:tr>
      <w:tr w:rsidR="00207E1A" w:rsidRPr="00B64CA9" w14:paraId="45ABB04E"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74703E35"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Pharyngitis</w:t>
            </w:r>
          </w:p>
        </w:tc>
        <w:tc>
          <w:tcPr>
            <w:tcW w:w="792" w:type="pct"/>
            <w:tcBorders>
              <w:top w:val="nil"/>
              <w:left w:val="nil"/>
              <w:bottom w:val="nil"/>
              <w:right w:val="nil"/>
            </w:tcBorders>
            <w:shd w:val="clear" w:color="auto" w:fill="FFFFFF"/>
            <w:tcMar>
              <w:left w:w="40" w:type="dxa"/>
              <w:right w:w="40" w:type="dxa"/>
            </w:tcMar>
          </w:tcPr>
          <w:p w14:paraId="110F7331"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18C2D3A1"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053D7D2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(5.0)</w:t>
            </w:r>
          </w:p>
        </w:tc>
        <w:tc>
          <w:tcPr>
            <w:tcW w:w="662" w:type="pct"/>
            <w:tcBorders>
              <w:top w:val="nil"/>
              <w:left w:val="nil"/>
              <w:bottom w:val="nil"/>
              <w:right w:val="nil"/>
            </w:tcBorders>
            <w:shd w:val="clear" w:color="auto" w:fill="FFFFFF"/>
            <w:tcMar>
              <w:left w:w="40" w:type="dxa"/>
              <w:right w:w="40" w:type="dxa"/>
            </w:tcMar>
          </w:tcPr>
          <w:p w14:paraId="22F683A7"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(9.8)</w:t>
            </w:r>
          </w:p>
        </w:tc>
        <w:tc>
          <w:tcPr>
            <w:tcW w:w="660" w:type="pct"/>
            <w:tcBorders>
              <w:top w:val="nil"/>
              <w:left w:val="nil"/>
              <w:bottom w:val="nil"/>
              <w:right w:val="nil"/>
            </w:tcBorders>
            <w:shd w:val="clear" w:color="auto" w:fill="FFFFFF"/>
            <w:tcMar>
              <w:left w:w="40" w:type="dxa"/>
              <w:right w:w="40" w:type="dxa"/>
            </w:tcMar>
          </w:tcPr>
          <w:p w14:paraId="662572A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630C4452"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6697790D"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Asthenia</w:t>
            </w:r>
          </w:p>
        </w:tc>
        <w:tc>
          <w:tcPr>
            <w:tcW w:w="792" w:type="pct"/>
            <w:tcBorders>
              <w:top w:val="nil"/>
              <w:left w:val="nil"/>
              <w:bottom w:val="nil"/>
              <w:right w:val="nil"/>
            </w:tcBorders>
            <w:shd w:val="clear" w:color="auto" w:fill="FFFFFF"/>
            <w:tcMar>
              <w:left w:w="40" w:type="dxa"/>
              <w:right w:w="40" w:type="dxa"/>
            </w:tcMar>
          </w:tcPr>
          <w:p w14:paraId="5C0BC3F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4A697ED8"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4C34137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(3.8)</w:t>
            </w:r>
          </w:p>
        </w:tc>
        <w:tc>
          <w:tcPr>
            <w:tcW w:w="662" w:type="pct"/>
            <w:tcBorders>
              <w:top w:val="nil"/>
              <w:left w:val="nil"/>
              <w:bottom w:val="nil"/>
              <w:right w:val="nil"/>
            </w:tcBorders>
            <w:shd w:val="clear" w:color="auto" w:fill="FFFFFF"/>
            <w:tcMar>
              <w:left w:w="40" w:type="dxa"/>
              <w:right w:w="40" w:type="dxa"/>
            </w:tcMar>
          </w:tcPr>
          <w:p w14:paraId="04DA89E8"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c>
          <w:tcPr>
            <w:tcW w:w="660" w:type="pct"/>
            <w:tcBorders>
              <w:top w:val="nil"/>
              <w:left w:val="nil"/>
              <w:bottom w:val="nil"/>
              <w:right w:val="nil"/>
            </w:tcBorders>
            <w:shd w:val="clear" w:color="auto" w:fill="FFFFFF"/>
            <w:tcMar>
              <w:left w:w="40" w:type="dxa"/>
              <w:right w:w="40" w:type="dxa"/>
            </w:tcMar>
          </w:tcPr>
          <w:p w14:paraId="4EE93111"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1ED3A1F9"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68A5F44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Conjunctivitis</w:t>
            </w:r>
          </w:p>
        </w:tc>
        <w:tc>
          <w:tcPr>
            <w:tcW w:w="792" w:type="pct"/>
            <w:tcBorders>
              <w:top w:val="nil"/>
              <w:left w:val="nil"/>
              <w:bottom w:val="nil"/>
              <w:right w:val="nil"/>
            </w:tcBorders>
            <w:shd w:val="clear" w:color="auto" w:fill="FFFFFF"/>
            <w:tcMar>
              <w:left w:w="40" w:type="dxa"/>
              <w:right w:w="40" w:type="dxa"/>
            </w:tcMar>
          </w:tcPr>
          <w:p w14:paraId="41981BC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036DB98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2372E73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(3.8)</w:t>
            </w:r>
          </w:p>
        </w:tc>
        <w:tc>
          <w:tcPr>
            <w:tcW w:w="662" w:type="pct"/>
            <w:tcBorders>
              <w:top w:val="nil"/>
              <w:left w:val="nil"/>
              <w:bottom w:val="nil"/>
              <w:right w:val="nil"/>
            </w:tcBorders>
            <w:shd w:val="clear" w:color="auto" w:fill="FFFFFF"/>
            <w:tcMar>
              <w:left w:w="40" w:type="dxa"/>
              <w:right w:w="40" w:type="dxa"/>
            </w:tcMar>
          </w:tcPr>
          <w:p w14:paraId="0A1C7F1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0244A75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6D03C5EC"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37F9953E"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Cough</w:t>
            </w:r>
          </w:p>
        </w:tc>
        <w:tc>
          <w:tcPr>
            <w:tcW w:w="792" w:type="pct"/>
            <w:tcBorders>
              <w:top w:val="nil"/>
              <w:left w:val="nil"/>
              <w:bottom w:val="nil"/>
              <w:right w:val="nil"/>
            </w:tcBorders>
            <w:shd w:val="clear" w:color="auto" w:fill="FFFFFF"/>
            <w:tcMar>
              <w:left w:w="40" w:type="dxa"/>
              <w:right w:w="40" w:type="dxa"/>
            </w:tcMar>
          </w:tcPr>
          <w:p w14:paraId="7CDF3673"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1A38CC3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0FFE5BB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(3.8)</w:t>
            </w:r>
          </w:p>
        </w:tc>
        <w:tc>
          <w:tcPr>
            <w:tcW w:w="662" w:type="pct"/>
            <w:tcBorders>
              <w:top w:val="nil"/>
              <w:left w:val="nil"/>
              <w:bottom w:val="nil"/>
              <w:right w:val="nil"/>
            </w:tcBorders>
            <w:shd w:val="clear" w:color="auto" w:fill="FFFFFF"/>
            <w:tcMar>
              <w:left w:w="40" w:type="dxa"/>
              <w:right w:w="40" w:type="dxa"/>
            </w:tcMar>
          </w:tcPr>
          <w:p w14:paraId="2C11C5F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40E35A1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1F34B870"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44CCD6F6"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Diarrhoea</w:t>
            </w:r>
          </w:p>
        </w:tc>
        <w:tc>
          <w:tcPr>
            <w:tcW w:w="792" w:type="pct"/>
            <w:tcBorders>
              <w:top w:val="nil"/>
              <w:left w:val="nil"/>
              <w:bottom w:val="nil"/>
              <w:right w:val="nil"/>
            </w:tcBorders>
            <w:shd w:val="clear" w:color="auto" w:fill="FFFFFF"/>
            <w:tcMar>
              <w:left w:w="40" w:type="dxa"/>
              <w:right w:w="40" w:type="dxa"/>
            </w:tcMar>
          </w:tcPr>
          <w:p w14:paraId="015F6853"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4431DA2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478B8F4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(3.8)</w:t>
            </w:r>
          </w:p>
        </w:tc>
        <w:tc>
          <w:tcPr>
            <w:tcW w:w="662" w:type="pct"/>
            <w:tcBorders>
              <w:top w:val="nil"/>
              <w:left w:val="nil"/>
              <w:bottom w:val="nil"/>
              <w:right w:val="nil"/>
            </w:tcBorders>
            <w:shd w:val="clear" w:color="auto" w:fill="FFFFFF"/>
            <w:tcMar>
              <w:left w:w="40" w:type="dxa"/>
              <w:right w:w="40" w:type="dxa"/>
            </w:tcMar>
          </w:tcPr>
          <w:p w14:paraId="5005163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6E326AB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r>
      <w:tr w:rsidR="00207E1A" w:rsidRPr="00B64CA9" w14:paraId="502F7697"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44945EF4"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Abdominal pain upper</w:t>
            </w:r>
          </w:p>
        </w:tc>
        <w:tc>
          <w:tcPr>
            <w:tcW w:w="792" w:type="pct"/>
            <w:tcBorders>
              <w:top w:val="nil"/>
              <w:left w:val="nil"/>
              <w:bottom w:val="nil"/>
              <w:right w:val="nil"/>
            </w:tcBorders>
            <w:shd w:val="clear" w:color="auto" w:fill="FFFFFF"/>
            <w:tcMar>
              <w:left w:w="40" w:type="dxa"/>
              <w:right w:w="40" w:type="dxa"/>
            </w:tcMar>
          </w:tcPr>
          <w:p w14:paraId="0B0B8E4F"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555F341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405ECD9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(2.5)</w:t>
            </w:r>
          </w:p>
        </w:tc>
        <w:tc>
          <w:tcPr>
            <w:tcW w:w="662" w:type="pct"/>
            <w:tcBorders>
              <w:top w:val="nil"/>
              <w:left w:val="nil"/>
              <w:bottom w:val="nil"/>
              <w:right w:val="nil"/>
            </w:tcBorders>
            <w:shd w:val="clear" w:color="auto" w:fill="FFFFFF"/>
            <w:tcMar>
              <w:left w:w="40" w:type="dxa"/>
              <w:right w:w="40" w:type="dxa"/>
            </w:tcMar>
          </w:tcPr>
          <w:p w14:paraId="1003102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c>
          <w:tcPr>
            <w:tcW w:w="660" w:type="pct"/>
            <w:tcBorders>
              <w:top w:val="nil"/>
              <w:left w:val="nil"/>
              <w:bottom w:val="nil"/>
              <w:right w:val="nil"/>
            </w:tcBorders>
            <w:shd w:val="clear" w:color="auto" w:fill="FFFFFF"/>
            <w:tcMar>
              <w:left w:w="40" w:type="dxa"/>
              <w:right w:w="40" w:type="dxa"/>
            </w:tcMar>
          </w:tcPr>
          <w:p w14:paraId="608E5A6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r>
      <w:tr w:rsidR="00207E1A" w:rsidRPr="00B64CA9" w14:paraId="2D646924"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47E54FC7"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Aspartate aminotransferase increased</w:t>
            </w:r>
          </w:p>
        </w:tc>
        <w:tc>
          <w:tcPr>
            <w:tcW w:w="792" w:type="pct"/>
            <w:tcBorders>
              <w:top w:val="nil"/>
              <w:left w:val="nil"/>
              <w:bottom w:val="nil"/>
              <w:right w:val="nil"/>
            </w:tcBorders>
            <w:shd w:val="clear" w:color="auto" w:fill="FFFFFF"/>
            <w:tcMar>
              <w:left w:w="40" w:type="dxa"/>
              <w:right w:w="40" w:type="dxa"/>
            </w:tcMar>
          </w:tcPr>
          <w:p w14:paraId="433265B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7F7561A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552FBEF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(2.5)</w:t>
            </w:r>
          </w:p>
        </w:tc>
        <w:tc>
          <w:tcPr>
            <w:tcW w:w="662" w:type="pct"/>
            <w:tcBorders>
              <w:top w:val="nil"/>
              <w:left w:val="nil"/>
              <w:bottom w:val="nil"/>
              <w:right w:val="nil"/>
            </w:tcBorders>
            <w:shd w:val="clear" w:color="auto" w:fill="FFFFFF"/>
            <w:tcMar>
              <w:left w:w="40" w:type="dxa"/>
              <w:right w:w="40" w:type="dxa"/>
            </w:tcMar>
          </w:tcPr>
          <w:p w14:paraId="23BD392F"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2D478FC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r>
      <w:tr w:rsidR="00207E1A" w:rsidRPr="00B64CA9" w14:paraId="4A88F8D0"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0022505D"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Dry skin</w:t>
            </w:r>
          </w:p>
        </w:tc>
        <w:tc>
          <w:tcPr>
            <w:tcW w:w="792" w:type="pct"/>
            <w:tcBorders>
              <w:top w:val="nil"/>
              <w:left w:val="nil"/>
              <w:bottom w:val="nil"/>
              <w:right w:val="nil"/>
            </w:tcBorders>
            <w:shd w:val="clear" w:color="auto" w:fill="FFFFFF"/>
            <w:tcMar>
              <w:left w:w="40" w:type="dxa"/>
              <w:right w:w="40" w:type="dxa"/>
            </w:tcMar>
          </w:tcPr>
          <w:p w14:paraId="3F71C1CC"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0A2489E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36CC10A8"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(2.5)</w:t>
            </w:r>
          </w:p>
        </w:tc>
        <w:tc>
          <w:tcPr>
            <w:tcW w:w="662" w:type="pct"/>
            <w:tcBorders>
              <w:top w:val="nil"/>
              <w:left w:val="nil"/>
              <w:bottom w:val="nil"/>
              <w:right w:val="nil"/>
            </w:tcBorders>
            <w:shd w:val="clear" w:color="auto" w:fill="FFFFFF"/>
            <w:tcMar>
              <w:left w:w="40" w:type="dxa"/>
              <w:right w:w="40" w:type="dxa"/>
            </w:tcMar>
          </w:tcPr>
          <w:p w14:paraId="4DA7C26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37DA3DF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0D1699C7"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03BE1E9B"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Nausea</w:t>
            </w:r>
          </w:p>
        </w:tc>
        <w:tc>
          <w:tcPr>
            <w:tcW w:w="792" w:type="pct"/>
            <w:tcBorders>
              <w:top w:val="nil"/>
              <w:left w:val="nil"/>
              <w:bottom w:val="nil"/>
              <w:right w:val="nil"/>
            </w:tcBorders>
            <w:shd w:val="clear" w:color="auto" w:fill="FFFFFF"/>
            <w:tcMar>
              <w:left w:w="40" w:type="dxa"/>
              <w:right w:w="40" w:type="dxa"/>
            </w:tcMar>
          </w:tcPr>
          <w:p w14:paraId="2FA8C80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790E4BF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348649DB" w14:textId="77777777" w:rsidR="00207E1A" w:rsidRPr="00B64CA9" w:rsidRDefault="00207E1A" w:rsidP="005A26F4">
            <w:pPr>
              <w:tabs>
                <w:tab w:val="left" w:pos="284"/>
                <w:tab w:val="left" w:pos="907"/>
              </w:tabs>
              <w:spacing w:after="20"/>
              <w:jc w:val="center"/>
              <w:rPr>
                <w:rFonts w:ascii="Arial" w:hAnsi="Arial" w:cs="Arial"/>
                <w:sz w:val="18"/>
                <w:szCs w:val="18"/>
              </w:rPr>
            </w:pPr>
            <w:r w:rsidRPr="00B64CA9">
              <w:rPr>
                <w:rFonts w:ascii="Arial" w:hAnsi="Arial" w:cs="Arial"/>
                <w:sz w:val="18"/>
                <w:szCs w:val="18"/>
              </w:rPr>
              <w:t>2 (2.5)</w:t>
            </w:r>
          </w:p>
        </w:tc>
        <w:tc>
          <w:tcPr>
            <w:tcW w:w="662" w:type="pct"/>
            <w:tcBorders>
              <w:top w:val="nil"/>
              <w:left w:val="nil"/>
              <w:bottom w:val="nil"/>
              <w:right w:val="nil"/>
            </w:tcBorders>
            <w:shd w:val="clear" w:color="auto" w:fill="FFFFFF"/>
            <w:tcMar>
              <w:left w:w="40" w:type="dxa"/>
              <w:right w:w="40" w:type="dxa"/>
            </w:tcMar>
          </w:tcPr>
          <w:p w14:paraId="1ECC36B2"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c>
          <w:tcPr>
            <w:tcW w:w="660" w:type="pct"/>
            <w:tcBorders>
              <w:top w:val="nil"/>
              <w:left w:val="nil"/>
              <w:bottom w:val="nil"/>
              <w:right w:val="nil"/>
            </w:tcBorders>
            <w:shd w:val="clear" w:color="auto" w:fill="FFFFFF"/>
            <w:tcMar>
              <w:left w:w="40" w:type="dxa"/>
              <w:right w:w="40" w:type="dxa"/>
            </w:tcMar>
          </w:tcPr>
          <w:p w14:paraId="1B5AFFD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(7.3)</w:t>
            </w:r>
          </w:p>
        </w:tc>
      </w:tr>
      <w:tr w:rsidR="00207E1A" w:rsidRPr="00B64CA9" w14:paraId="4F8F9E6A"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37162EA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Upper respiratory tract infection</w:t>
            </w:r>
          </w:p>
        </w:tc>
        <w:tc>
          <w:tcPr>
            <w:tcW w:w="792" w:type="pct"/>
            <w:tcBorders>
              <w:top w:val="nil"/>
              <w:left w:val="nil"/>
              <w:bottom w:val="nil"/>
              <w:right w:val="nil"/>
            </w:tcBorders>
            <w:shd w:val="clear" w:color="auto" w:fill="FFFFFF"/>
            <w:tcMar>
              <w:left w:w="40" w:type="dxa"/>
              <w:right w:w="40" w:type="dxa"/>
            </w:tcMar>
          </w:tcPr>
          <w:p w14:paraId="690786F7"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(5.0)</w:t>
            </w:r>
          </w:p>
        </w:tc>
        <w:tc>
          <w:tcPr>
            <w:tcW w:w="792" w:type="pct"/>
            <w:tcBorders>
              <w:top w:val="nil"/>
              <w:left w:val="nil"/>
              <w:bottom w:val="nil"/>
              <w:right w:val="nil"/>
            </w:tcBorders>
            <w:shd w:val="clear" w:color="auto" w:fill="FFFFFF"/>
            <w:tcMar>
              <w:left w:w="40" w:type="dxa"/>
              <w:right w:w="40" w:type="dxa"/>
            </w:tcMar>
          </w:tcPr>
          <w:p w14:paraId="60D19F93"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64E3AF2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(2.5)</w:t>
            </w:r>
          </w:p>
        </w:tc>
        <w:tc>
          <w:tcPr>
            <w:tcW w:w="662" w:type="pct"/>
            <w:tcBorders>
              <w:top w:val="nil"/>
              <w:left w:val="nil"/>
              <w:bottom w:val="nil"/>
              <w:right w:val="nil"/>
            </w:tcBorders>
            <w:shd w:val="clear" w:color="auto" w:fill="FFFFFF"/>
            <w:tcMar>
              <w:left w:w="40" w:type="dxa"/>
              <w:right w:w="40" w:type="dxa"/>
            </w:tcMar>
          </w:tcPr>
          <w:p w14:paraId="0DC45D51"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(7.3)</w:t>
            </w:r>
          </w:p>
        </w:tc>
        <w:tc>
          <w:tcPr>
            <w:tcW w:w="660" w:type="pct"/>
            <w:tcBorders>
              <w:top w:val="nil"/>
              <w:left w:val="nil"/>
              <w:bottom w:val="nil"/>
              <w:right w:val="nil"/>
            </w:tcBorders>
            <w:shd w:val="clear" w:color="auto" w:fill="FFFFFF"/>
            <w:tcMar>
              <w:left w:w="40" w:type="dxa"/>
              <w:right w:w="40" w:type="dxa"/>
            </w:tcMar>
          </w:tcPr>
          <w:p w14:paraId="413CAB97"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r>
      <w:tr w:rsidR="00207E1A" w:rsidRPr="00B64CA9" w14:paraId="0501452B"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53BD2B3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Oral herpes</w:t>
            </w:r>
          </w:p>
        </w:tc>
        <w:tc>
          <w:tcPr>
            <w:tcW w:w="792" w:type="pct"/>
            <w:tcBorders>
              <w:top w:val="nil"/>
              <w:left w:val="nil"/>
              <w:bottom w:val="nil"/>
              <w:right w:val="nil"/>
            </w:tcBorders>
            <w:shd w:val="clear" w:color="auto" w:fill="FFFFFF"/>
            <w:tcMar>
              <w:left w:w="40" w:type="dxa"/>
              <w:right w:w="40" w:type="dxa"/>
            </w:tcMar>
          </w:tcPr>
          <w:p w14:paraId="1B2EB2BF"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698C08D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3C3C674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(1.3)</w:t>
            </w:r>
          </w:p>
        </w:tc>
        <w:tc>
          <w:tcPr>
            <w:tcW w:w="662" w:type="pct"/>
            <w:tcBorders>
              <w:top w:val="nil"/>
              <w:left w:val="nil"/>
              <w:bottom w:val="nil"/>
              <w:right w:val="nil"/>
            </w:tcBorders>
            <w:shd w:val="clear" w:color="auto" w:fill="FFFFFF"/>
            <w:tcMar>
              <w:left w:w="40" w:type="dxa"/>
              <w:right w:w="40" w:type="dxa"/>
            </w:tcMar>
          </w:tcPr>
          <w:p w14:paraId="74526DE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c>
          <w:tcPr>
            <w:tcW w:w="660" w:type="pct"/>
            <w:tcBorders>
              <w:top w:val="nil"/>
              <w:left w:val="nil"/>
              <w:bottom w:val="nil"/>
              <w:right w:val="nil"/>
            </w:tcBorders>
            <w:shd w:val="clear" w:color="auto" w:fill="FFFFFF"/>
            <w:tcMar>
              <w:left w:w="40" w:type="dxa"/>
              <w:right w:w="40" w:type="dxa"/>
            </w:tcMar>
          </w:tcPr>
          <w:p w14:paraId="194EF45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r>
      <w:tr w:rsidR="00207E1A" w:rsidRPr="00B64CA9" w14:paraId="3D183319"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1CC72AA3"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Rhinitis</w:t>
            </w:r>
          </w:p>
        </w:tc>
        <w:tc>
          <w:tcPr>
            <w:tcW w:w="792" w:type="pct"/>
            <w:tcBorders>
              <w:top w:val="nil"/>
              <w:left w:val="nil"/>
              <w:bottom w:val="nil"/>
              <w:right w:val="nil"/>
            </w:tcBorders>
            <w:shd w:val="clear" w:color="auto" w:fill="FFFFFF"/>
            <w:tcMar>
              <w:left w:w="40" w:type="dxa"/>
              <w:right w:w="40" w:type="dxa"/>
            </w:tcMar>
          </w:tcPr>
          <w:p w14:paraId="1FBB628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72C0323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(2.5)</w:t>
            </w:r>
          </w:p>
        </w:tc>
        <w:tc>
          <w:tcPr>
            <w:tcW w:w="792" w:type="pct"/>
            <w:tcBorders>
              <w:top w:val="nil"/>
              <w:left w:val="nil"/>
              <w:bottom w:val="nil"/>
              <w:right w:val="nil"/>
            </w:tcBorders>
            <w:shd w:val="clear" w:color="auto" w:fill="FFFFFF"/>
            <w:tcMar>
              <w:left w:w="40" w:type="dxa"/>
              <w:right w:w="40" w:type="dxa"/>
            </w:tcMar>
          </w:tcPr>
          <w:p w14:paraId="5253E31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(1.3)</w:t>
            </w:r>
          </w:p>
        </w:tc>
        <w:tc>
          <w:tcPr>
            <w:tcW w:w="662" w:type="pct"/>
            <w:tcBorders>
              <w:top w:val="nil"/>
              <w:left w:val="nil"/>
              <w:bottom w:val="nil"/>
              <w:right w:val="nil"/>
            </w:tcBorders>
            <w:shd w:val="clear" w:color="auto" w:fill="FFFFFF"/>
            <w:tcMar>
              <w:left w:w="40" w:type="dxa"/>
              <w:right w:w="40" w:type="dxa"/>
            </w:tcMar>
          </w:tcPr>
          <w:p w14:paraId="773AD0B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4 (9.8)</w:t>
            </w:r>
          </w:p>
        </w:tc>
        <w:tc>
          <w:tcPr>
            <w:tcW w:w="660" w:type="pct"/>
            <w:tcBorders>
              <w:top w:val="nil"/>
              <w:left w:val="nil"/>
              <w:bottom w:val="nil"/>
              <w:right w:val="nil"/>
            </w:tcBorders>
            <w:shd w:val="clear" w:color="auto" w:fill="FFFFFF"/>
            <w:tcMar>
              <w:left w:w="40" w:type="dxa"/>
              <w:right w:w="40" w:type="dxa"/>
            </w:tcMar>
          </w:tcPr>
          <w:p w14:paraId="26664956"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r>
      <w:tr w:rsidR="00207E1A" w:rsidRPr="00B64CA9" w14:paraId="1C92FB96"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646D0B2A"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Arthralgia</w:t>
            </w:r>
          </w:p>
        </w:tc>
        <w:tc>
          <w:tcPr>
            <w:tcW w:w="792" w:type="pct"/>
            <w:tcBorders>
              <w:top w:val="nil"/>
              <w:left w:val="nil"/>
              <w:bottom w:val="nil"/>
              <w:right w:val="nil"/>
            </w:tcBorders>
            <w:shd w:val="clear" w:color="auto" w:fill="FFFFFF"/>
            <w:tcMar>
              <w:left w:w="40" w:type="dxa"/>
              <w:right w:w="40" w:type="dxa"/>
            </w:tcMar>
          </w:tcPr>
          <w:p w14:paraId="4652363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5AF7457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5B30730B"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2" w:type="pct"/>
            <w:tcBorders>
              <w:top w:val="nil"/>
              <w:left w:val="nil"/>
              <w:bottom w:val="nil"/>
              <w:right w:val="nil"/>
            </w:tcBorders>
            <w:shd w:val="clear" w:color="auto" w:fill="FFFFFF"/>
            <w:tcMar>
              <w:left w:w="40" w:type="dxa"/>
              <w:right w:w="40" w:type="dxa"/>
            </w:tcMar>
          </w:tcPr>
          <w:p w14:paraId="6CBA4928"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c>
          <w:tcPr>
            <w:tcW w:w="660" w:type="pct"/>
            <w:tcBorders>
              <w:top w:val="nil"/>
              <w:left w:val="nil"/>
              <w:bottom w:val="nil"/>
              <w:right w:val="nil"/>
            </w:tcBorders>
            <w:shd w:val="clear" w:color="auto" w:fill="FFFFFF"/>
            <w:tcMar>
              <w:left w:w="40" w:type="dxa"/>
              <w:right w:w="40" w:type="dxa"/>
            </w:tcMar>
          </w:tcPr>
          <w:p w14:paraId="41956D68"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r>
      <w:tr w:rsidR="00207E1A" w:rsidRPr="00B64CA9" w14:paraId="53816AD4"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4DCA63F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Bronchitis</w:t>
            </w:r>
          </w:p>
        </w:tc>
        <w:tc>
          <w:tcPr>
            <w:tcW w:w="792" w:type="pct"/>
            <w:tcBorders>
              <w:top w:val="nil"/>
              <w:left w:val="nil"/>
              <w:bottom w:val="nil"/>
              <w:right w:val="nil"/>
            </w:tcBorders>
            <w:shd w:val="clear" w:color="auto" w:fill="FFFFFF"/>
            <w:tcMar>
              <w:left w:w="40" w:type="dxa"/>
              <w:right w:w="40" w:type="dxa"/>
            </w:tcMar>
          </w:tcPr>
          <w:p w14:paraId="6868BBBC"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14F71B6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66E3EF4D"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2" w:type="pct"/>
            <w:tcBorders>
              <w:top w:val="nil"/>
              <w:left w:val="nil"/>
              <w:bottom w:val="nil"/>
              <w:right w:val="nil"/>
            </w:tcBorders>
            <w:shd w:val="clear" w:color="auto" w:fill="FFFFFF"/>
            <w:tcMar>
              <w:left w:w="40" w:type="dxa"/>
              <w:right w:w="40" w:type="dxa"/>
            </w:tcMar>
          </w:tcPr>
          <w:p w14:paraId="51603A7C"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c>
          <w:tcPr>
            <w:tcW w:w="660" w:type="pct"/>
            <w:tcBorders>
              <w:top w:val="nil"/>
              <w:left w:val="nil"/>
              <w:bottom w:val="nil"/>
              <w:right w:val="nil"/>
            </w:tcBorders>
            <w:shd w:val="clear" w:color="auto" w:fill="FFFFFF"/>
            <w:tcMar>
              <w:left w:w="40" w:type="dxa"/>
              <w:right w:w="40" w:type="dxa"/>
            </w:tcMar>
          </w:tcPr>
          <w:p w14:paraId="73B074E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r>
      <w:tr w:rsidR="00207E1A" w:rsidRPr="00B64CA9" w14:paraId="24D03BD8"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26EC27C0"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Conjunctivitis allergic</w:t>
            </w:r>
          </w:p>
        </w:tc>
        <w:tc>
          <w:tcPr>
            <w:tcW w:w="792" w:type="pct"/>
            <w:tcBorders>
              <w:top w:val="nil"/>
              <w:left w:val="nil"/>
              <w:bottom w:val="nil"/>
              <w:right w:val="nil"/>
            </w:tcBorders>
            <w:shd w:val="clear" w:color="auto" w:fill="FFFFFF"/>
            <w:tcMar>
              <w:left w:w="40" w:type="dxa"/>
              <w:right w:w="40" w:type="dxa"/>
            </w:tcMar>
          </w:tcPr>
          <w:p w14:paraId="4CBDB75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252F15C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1A62CA89"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2" w:type="pct"/>
            <w:tcBorders>
              <w:top w:val="nil"/>
              <w:left w:val="nil"/>
              <w:bottom w:val="nil"/>
              <w:right w:val="nil"/>
            </w:tcBorders>
            <w:shd w:val="clear" w:color="auto" w:fill="FFFFFF"/>
            <w:tcMar>
              <w:left w:w="40" w:type="dxa"/>
              <w:right w:w="40" w:type="dxa"/>
            </w:tcMar>
          </w:tcPr>
          <w:p w14:paraId="5B00A470"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0" w:type="pct"/>
            <w:tcBorders>
              <w:top w:val="nil"/>
              <w:left w:val="nil"/>
              <w:bottom w:val="nil"/>
              <w:right w:val="nil"/>
            </w:tcBorders>
            <w:shd w:val="clear" w:color="auto" w:fill="FFFFFF"/>
            <w:tcMar>
              <w:left w:w="40" w:type="dxa"/>
              <w:right w:w="40" w:type="dxa"/>
            </w:tcMar>
          </w:tcPr>
          <w:p w14:paraId="42B13F25"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2 (4.9)</w:t>
            </w:r>
          </w:p>
        </w:tc>
      </w:tr>
      <w:tr w:rsidR="00207E1A" w:rsidRPr="00B64CA9" w14:paraId="252A3214" w14:textId="77777777" w:rsidTr="005A26F4">
        <w:trPr>
          <w:cantSplit/>
        </w:trPr>
        <w:tc>
          <w:tcPr>
            <w:tcW w:w="1302" w:type="pct"/>
            <w:tcBorders>
              <w:top w:val="nil"/>
              <w:left w:val="nil"/>
              <w:bottom w:val="nil"/>
              <w:right w:val="nil"/>
            </w:tcBorders>
            <w:shd w:val="clear" w:color="auto" w:fill="FFFFFF"/>
            <w:tcMar>
              <w:left w:w="40" w:type="dxa"/>
              <w:right w:w="40" w:type="dxa"/>
            </w:tcMar>
          </w:tcPr>
          <w:p w14:paraId="6394994B" w14:textId="77777777" w:rsidR="00207E1A" w:rsidRPr="00B64CA9" w:rsidRDefault="00207E1A" w:rsidP="005A26F4">
            <w:pPr>
              <w:tabs>
                <w:tab w:val="left" w:pos="284"/>
              </w:tabs>
              <w:spacing w:after="20"/>
              <w:rPr>
                <w:rFonts w:ascii="Arial" w:hAnsi="Arial" w:cs="Arial"/>
                <w:sz w:val="18"/>
                <w:szCs w:val="18"/>
              </w:rPr>
            </w:pPr>
            <w:r w:rsidRPr="00B64CA9">
              <w:rPr>
                <w:rFonts w:ascii="Arial" w:hAnsi="Arial" w:cs="Arial"/>
                <w:sz w:val="18"/>
                <w:szCs w:val="18"/>
              </w:rPr>
              <w:t>Influenza</w:t>
            </w:r>
          </w:p>
        </w:tc>
        <w:tc>
          <w:tcPr>
            <w:tcW w:w="792" w:type="pct"/>
            <w:tcBorders>
              <w:top w:val="nil"/>
              <w:left w:val="nil"/>
              <w:bottom w:val="nil"/>
              <w:right w:val="nil"/>
            </w:tcBorders>
            <w:shd w:val="clear" w:color="auto" w:fill="FFFFFF"/>
            <w:tcMar>
              <w:left w:w="40" w:type="dxa"/>
              <w:right w:w="40" w:type="dxa"/>
            </w:tcMar>
          </w:tcPr>
          <w:p w14:paraId="56C9CB8E"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1692E35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792" w:type="pct"/>
            <w:tcBorders>
              <w:top w:val="nil"/>
              <w:left w:val="nil"/>
              <w:bottom w:val="nil"/>
              <w:right w:val="nil"/>
            </w:tcBorders>
            <w:shd w:val="clear" w:color="auto" w:fill="FFFFFF"/>
            <w:tcMar>
              <w:left w:w="40" w:type="dxa"/>
              <w:right w:w="40" w:type="dxa"/>
            </w:tcMar>
          </w:tcPr>
          <w:p w14:paraId="1C28A23A"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0 (0.0)</w:t>
            </w:r>
          </w:p>
        </w:tc>
        <w:tc>
          <w:tcPr>
            <w:tcW w:w="662" w:type="pct"/>
            <w:tcBorders>
              <w:top w:val="nil"/>
              <w:left w:val="nil"/>
              <w:bottom w:val="nil"/>
              <w:right w:val="nil"/>
            </w:tcBorders>
            <w:shd w:val="clear" w:color="auto" w:fill="FFFFFF"/>
            <w:tcMar>
              <w:left w:w="40" w:type="dxa"/>
              <w:right w:w="40" w:type="dxa"/>
            </w:tcMar>
          </w:tcPr>
          <w:p w14:paraId="5DE45D31"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3 (7.3)</w:t>
            </w:r>
          </w:p>
        </w:tc>
        <w:tc>
          <w:tcPr>
            <w:tcW w:w="660" w:type="pct"/>
            <w:tcBorders>
              <w:top w:val="nil"/>
              <w:left w:val="nil"/>
              <w:bottom w:val="nil"/>
              <w:right w:val="nil"/>
            </w:tcBorders>
            <w:shd w:val="clear" w:color="auto" w:fill="FFFFFF"/>
            <w:tcMar>
              <w:left w:w="40" w:type="dxa"/>
              <w:right w:w="40" w:type="dxa"/>
            </w:tcMar>
          </w:tcPr>
          <w:p w14:paraId="1CD7FDA4" w14:textId="77777777" w:rsidR="00207E1A" w:rsidRPr="00B64CA9" w:rsidRDefault="00207E1A" w:rsidP="005A26F4">
            <w:pPr>
              <w:tabs>
                <w:tab w:val="left" w:pos="284"/>
              </w:tabs>
              <w:spacing w:after="20"/>
              <w:jc w:val="center"/>
              <w:rPr>
                <w:rFonts w:ascii="Arial" w:hAnsi="Arial" w:cs="Arial"/>
                <w:sz w:val="18"/>
                <w:szCs w:val="18"/>
              </w:rPr>
            </w:pPr>
            <w:r w:rsidRPr="00B64CA9">
              <w:rPr>
                <w:rFonts w:ascii="Arial" w:hAnsi="Arial" w:cs="Arial"/>
                <w:sz w:val="18"/>
                <w:szCs w:val="18"/>
              </w:rPr>
              <w:t>1 (2.4)</w:t>
            </w:r>
          </w:p>
        </w:tc>
      </w:tr>
      <w:tr w:rsidR="00207E1A" w:rsidRPr="00B64CA9" w14:paraId="6B4DC8E9" w14:textId="77777777" w:rsidTr="005A26F4">
        <w:trPr>
          <w:cantSplit/>
        </w:trPr>
        <w:tc>
          <w:tcPr>
            <w:tcW w:w="5000" w:type="pct"/>
            <w:gridSpan w:val="6"/>
            <w:tcBorders>
              <w:top w:val="single" w:sz="7" w:space="0" w:color="000000"/>
              <w:left w:val="nil"/>
              <w:bottom w:val="nil"/>
              <w:right w:val="nil"/>
            </w:tcBorders>
            <w:shd w:val="clear" w:color="auto" w:fill="FFFFFF"/>
            <w:tcMar>
              <w:left w:w="40" w:type="dxa"/>
              <w:right w:w="40" w:type="dxa"/>
            </w:tcMar>
          </w:tcPr>
          <w:p w14:paraId="5ECFF744" w14:textId="77777777" w:rsidR="00207E1A" w:rsidRPr="00B64CA9" w:rsidRDefault="00207E1A" w:rsidP="005A26F4">
            <w:pPr>
              <w:tabs>
                <w:tab w:val="left" w:pos="284"/>
              </w:tabs>
              <w:spacing w:after="20"/>
              <w:rPr>
                <w:rFonts w:ascii="Arial" w:hAnsi="Arial" w:cs="Arial"/>
                <w:sz w:val="14"/>
                <w:szCs w:val="18"/>
              </w:rPr>
            </w:pPr>
            <w:r w:rsidRPr="00B64CA9">
              <w:rPr>
                <w:rFonts w:ascii="Arial" w:hAnsi="Arial" w:cs="Arial"/>
                <w:sz w:val="14"/>
                <w:szCs w:val="18"/>
              </w:rPr>
              <w:t>Preferred terms are sorted in descending order of frequency in the any AIN457 column.</w:t>
            </w:r>
            <w:r w:rsidRPr="00B64CA9">
              <w:rPr>
                <w:rFonts w:ascii="Arial" w:hAnsi="Arial" w:cs="Arial"/>
                <w:sz w:val="14"/>
                <w:szCs w:val="18"/>
              </w:rPr>
              <w:br/>
              <w:t>A subject with multiple occurrences of an AE under one treatment is counted only once in the AE category for that treatment.</w:t>
            </w:r>
            <w:r w:rsidRPr="00B64CA9">
              <w:rPr>
                <w:rFonts w:ascii="Arial" w:hAnsi="Arial" w:cs="Arial"/>
                <w:sz w:val="14"/>
                <w:szCs w:val="18"/>
              </w:rPr>
              <w:br/>
            </w:r>
          </w:p>
        </w:tc>
      </w:tr>
    </w:tbl>
    <w:p w14:paraId="2221915A" w14:textId="77777777" w:rsidR="00207E1A" w:rsidRPr="00B64CA9" w:rsidRDefault="00207E1A" w:rsidP="00207E1A">
      <w:pPr>
        <w:spacing w:after="120"/>
        <w:ind w:left="42"/>
        <w:jc w:val="both"/>
        <w:rPr>
          <w:rFonts w:ascii="Arial" w:hAnsi="Arial" w:cs="Arial"/>
          <w:b/>
          <w:sz w:val="20"/>
        </w:rPr>
      </w:pPr>
      <w:bookmarkStart w:id="3" w:name="_Toc43886211"/>
    </w:p>
    <w:p w14:paraId="7CD1E329" w14:textId="77777777" w:rsidR="00207E1A" w:rsidRPr="00B64CA9" w:rsidRDefault="00207E1A" w:rsidP="00290F28">
      <w:pPr>
        <w:pageBreakBefore/>
        <w:spacing w:after="120"/>
        <w:ind w:left="40"/>
        <w:jc w:val="both"/>
        <w:rPr>
          <w:rFonts w:ascii="Arial" w:hAnsi="Arial" w:cs="Arial"/>
          <w:b/>
          <w:sz w:val="20"/>
        </w:rPr>
      </w:pPr>
      <w:r w:rsidRPr="00B64CA9">
        <w:rPr>
          <w:rFonts w:ascii="Arial" w:hAnsi="Arial" w:cs="Arial"/>
          <w:b/>
          <w:sz w:val="20"/>
        </w:rPr>
        <w:lastRenderedPageBreak/>
        <w:t>Table 6</w:t>
      </w:r>
      <w:r w:rsidRPr="00B64CA9">
        <w:rPr>
          <w:rFonts w:ascii="Arial" w:hAnsi="Arial" w:cs="Arial"/>
          <w:b/>
          <w:sz w:val="20"/>
        </w:rPr>
        <w:tab/>
        <w:t>Most frequent (≥4% in any treatment group) treatment emergent AEs (PTs) by population (paediatric and adult) and baseline disease severity – Up to Week 24 (Safety set)</w:t>
      </w:r>
      <w:bookmarkStart w:id="4" w:name="_hd6_Table_2_6_Most_frequen108833"/>
      <w:bookmarkEnd w:id="3"/>
      <w:bookmarkEnd w:id="4"/>
    </w:p>
    <w:tbl>
      <w:tblPr>
        <w:tblW w:w="5000" w:type="pct"/>
        <w:jc w:val="center"/>
        <w:tblCellMar>
          <w:left w:w="0" w:type="dxa"/>
          <w:right w:w="0" w:type="dxa"/>
        </w:tblCellMar>
        <w:tblLook w:val="04A0" w:firstRow="1" w:lastRow="0" w:firstColumn="1" w:lastColumn="0" w:noHBand="0" w:noVBand="1"/>
      </w:tblPr>
      <w:tblGrid>
        <w:gridCol w:w="2998"/>
        <w:gridCol w:w="1729"/>
        <w:gridCol w:w="1507"/>
        <w:gridCol w:w="1507"/>
        <w:gridCol w:w="1285"/>
      </w:tblGrid>
      <w:tr w:rsidR="00207E1A" w:rsidRPr="00B64CA9" w14:paraId="1E33BD6D" w14:textId="77777777" w:rsidTr="005A26F4">
        <w:trPr>
          <w:cantSplit/>
          <w:tblHeader/>
          <w:jc w:val="center"/>
        </w:trPr>
        <w:tc>
          <w:tcPr>
            <w:tcW w:w="1660" w:type="pct"/>
            <w:tcBorders>
              <w:top w:val="single" w:sz="6" w:space="0" w:color="000000"/>
              <w:left w:val="nil"/>
              <w:right w:val="nil"/>
            </w:tcBorders>
            <w:shd w:val="clear" w:color="auto" w:fill="FFFFFF"/>
            <w:tcMar>
              <w:top w:w="0" w:type="dxa"/>
              <w:left w:w="60" w:type="dxa"/>
              <w:bottom w:w="0" w:type="dxa"/>
              <w:right w:w="60" w:type="dxa"/>
            </w:tcMar>
            <w:vAlign w:val="bottom"/>
          </w:tcPr>
          <w:p w14:paraId="1B04A850" w14:textId="77777777" w:rsidR="00207E1A" w:rsidRPr="00B64CA9" w:rsidRDefault="00207E1A" w:rsidP="005A26F4">
            <w:pPr>
              <w:pStyle w:val="Table"/>
            </w:pPr>
          </w:p>
        </w:tc>
        <w:tc>
          <w:tcPr>
            <w:tcW w:w="3340" w:type="pct"/>
            <w:gridSpan w:val="4"/>
            <w:tcBorders>
              <w:top w:val="single" w:sz="6" w:space="0" w:color="000000"/>
              <w:left w:val="nil"/>
              <w:bottom w:val="nil"/>
              <w:right w:val="nil"/>
            </w:tcBorders>
            <w:shd w:val="clear" w:color="auto" w:fill="FFFFFF"/>
            <w:tcMar>
              <w:top w:w="0" w:type="dxa"/>
              <w:left w:w="60" w:type="dxa"/>
              <w:bottom w:w="0" w:type="dxa"/>
              <w:right w:w="60" w:type="dxa"/>
            </w:tcMar>
            <w:vAlign w:val="bottom"/>
          </w:tcPr>
          <w:p w14:paraId="1CB9C7D3" w14:textId="77777777" w:rsidR="00207E1A" w:rsidRPr="00B64CA9" w:rsidRDefault="00207E1A" w:rsidP="005A26F4">
            <w:pPr>
              <w:pStyle w:val="Table"/>
              <w:rPr>
                <w:b w:val="0"/>
                <w:color w:val="000000"/>
              </w:rPr>
            </w:pPr>
            <w:r w:rsidRPr="00B64CA9">
              <w:t>Any AIN457 dose</w:t>
            </w:r>
          </w:p>
        </w:tc>
      </w:tr>
      <w:tr w:rsidR="00207E1A" w:rsidRPr="00B64CA9" w14:paraId="349CB30B" w14:textId="77777777" w:rsidTr="005A26F4">
        <w:trPr>
          <w:cantSplit/>
          <w:tblHeader/>
          <w:jc w:val="center"/>
        </w:trPr>
        <w:tc>
          <w:tcPr>
            <w:tcW w:w="1660" w:type="pct"/>
            <w:vMerge w:val="restart"/>
            <w:tcBorders>
              <w:left w:val="nil"/>
              <w:right w:val="nil"/>
            </w:tcBorders>
            <w:shd w:val="clear" w:color="auto" w:fill="FFFFFF"/>
            <w:tcMar>
              <w:top w:w="0" w:type="dxa"/>
              <w:left w:w="60" w:type="dxa"/>
              <w:bottom w:w="0" w:type="dxa"/>
              <w:right w:w="60" w:type="dxa"/>
            </w:tcMar>
            <w:vAlign w:val="bottom"/>
          </w:tcPr>
          <w:p w14:paraId="41F6B4EC" w14:textId="77777777" w:rsidR="00207E1A" w:rsidRPr="00B64CA9" w:rsidRDefault="00207E1A" w:rsidP="005A26F4">
            <w:pPr>
              <w:pStyle w:val="Table"/>
              <w:rPr>
                <w:b w:val="0"/>
              </w:rPr>
            </w:pPr>
            <w:r w:rsidRPr="00B64CA9">
              <w:t>Preferred term</w:t>
            </w:r>
          </w:p>
        </w:tc>
        <w:tc>
          <w:tcPr>
            <w:tcW w:w="958" w:type="pct"/>
            <w:tcBorders>
              <w:top w:val="single" w:sz="6" w:space="0" w:color="000000"/>
              <w:left w:val="nil"/>
              <w:bottom w:val="nil"/>
              <w:right w:val="nil"/>
            </w:tcBorders>
            <w:shd w:val="clear" w:color="auto" w:fill="FFFFFF"/>
            <w:tcMar>
              <w:top w:w="0" w:type="dxa"/>
              <w:left w:w="60" w:type="dxa"/>
              <w:bottom w:w="0" w:type="dxa"/>
              <w:right w:w="60" w:type="dxa"/>
            </w:tcMar>
            <w:vAlign w:val="bottom"/>
            <w:hideMark/>
          </w:tcPr>
          <w:p w14:paraId="30878FA9" w14:textId="77777777" w:rsidR="00207E1A" w:rsidRPr="00B64CA9" w:rsidRDefault="00207E1A" w:rsidP="005A26F4">
            <w:pPr>
              <w:pStyle w:val="Table"/>
              <w:rPr>
                <w:b w:val="0"/>
              </w:rPr>
            </w:pPr>
            <w:r w:rsidRPr="00B64CA9">
              <w:t>Paediatric</w:t>
            </w:r>
            <w:r w:rsidRPr="00B64CA9">
              <w:br/>
              <w:t>(Moderate psoriasis)</w:t>
            </w:r>
          </w:p>
        </w:tc>
        <w:tc>
          <w:tcPr>
            <w:tcW w:w="835" w:type="pct"/>
            <w:tcBorders>
              <w:top w:val="single" w:sz="6" w:space="0" w:color="000000"/>
              <w:left w:val="nil"/>
              <w:bottom w:val="nil"/>
              <w:right w:val="nil"/>
            </w:tcBorders>
            <w:shd w:val="clear" w:color="auto" w:fill="FFFFFF"/>
            <w:tcMar>
              <w:top w:w="0" w:type="dxa"/>
              <w:left w:w="60" w:type="dxa"/>
              <w:bottom w:w="0" w:type="dxa"/>
              <w:right w:w="60" w:type="dxa"/>
            </w:tcMar>
            <w:vAlign w:val="bottom"/>
            <w:hideMark/>
          </w:tcPr>
          <w:p w14:paraId="5B9F1CA3" w14:textId="77777777" w:rsidR="00207E1A" w:rsidRPr="00B64CA9" w:rsidRDefault="00207E1A" w:rsidP="005A26F4">
            <w:pPr>
              <w:pStyle w:val="Table"/>
              <w:rPr>
                <w:b w:val="0"/>
              </w:rPr>
            </w:pPr>
            <w:r w:rsidRPr="00B64CA9">
              <w:t>Adult</w:t>
            </w:r>
            <w:r w:rsidRPr="00B64CA9">
              <w:br/>
              <w:t>(Moderate psoriasis)</w:t>
            </w:r>
          </w:p>
        </w:tc>
        <w:tc>
          <w:tcPr>
            <w:tcW w:w="835" w:type="pct"/>
            <w:tcBorders>
              <w:top w:val="single" w:sz="6" w:space="0" w:color="000000"/>
              <w:left w:val="nil"/>
              <w:bottom w:val="nil"/>
              <w:right w:val="nil"/>
            </w:tcBorders>
            <w:shd w:val="clear" w:color="auto" w:fill="FFFFFF"/>
            <w:vAlign w:val="bottom"/>
          </w:tcPr>
          <w:p w14:paraId="021A75AE" w14:textId="77777777" w:rsidR="00207E1A" w:rsidRPr="00B64CA9" w:rsidRDefault="00207E1A" w:rsidP="005A26F4">
            <w:pPr>
              <w:pStyle w:val="Table"/>
              <w:rPr>
                <w:b w:val="0"/>
              </w:rPr>
            </w:pPr>
            <w:r w:rsidRPr="00B64CA9">
              <w:t>Paediatric</w:t>
            </w:r>
            <w:r w:rsidRPr="00B64CA9">
              <w:br/>
              <w:t>(Severe psoriasis)</w:t>
            </w:r>
          </w:p>
        </w:tc>
        <w:tc>
          <w:tcPr>
            <w:tcW w:w="712" w:type="pct"/>
            <w:tcBorders>
              <w:top w:val="single" w:sz="6" w:space="0" w:color="000000"/>
              <w:left w:val="nil"/>
              <w:bottom w:val="nil"/>
              <w:right w:val="nil"/>
            </w:tcBorders>
            <w:shd w:val="clear" w:color="auto" w:fill="FFFFFF"/>
            <w:vAlign w:val="bottom"/>
          </w:tcPr>
          <w:p w14:paraId="4C214D3B" w14:textId="77777777" w:rsidR="00207E1A" w:rsidRPr="00B64CA9" w:rsidRDefault="00207E1A" w:rsidP="005A26F4">
            <w:pPr>
              <w:pStyle w:val="Table"/>
              <w:rPr>
                <w:b w:val="0"/>
              </w:rPr>
            </w:pPr>
            <w:r w:rsidRPr="00B64CA9">
              <w:t>Adult</w:t>
            </w:r>
            <w:r w:rsidRPr="00B64CA9">
              <w:br/>
              <w:t>(Severe psoriasis)</w:t>
            </w:r>
          </w:p>
        </w:tc>
      </w:tr>
      <w:tr w:rsidR="00207E1A" w:rsidRPr="00B64CA9" w14:paraId="6E40E7A1" w14:textId="77777777" w:rsidTr="005A26F4">
        <w:trPr>
          <w:cantSplit/>
          <w:tblHeader/>
          <w:jc w:val="center"/>
        </w:trPr>
        <w:tc>
          <w:tcPr>
            <w:tcW w:w="1660" w:type="pct"/>
            <w:vMerge/>
            <w:tcBorders>
              <w:left w:val="nil"/>
              <w:bottom w:val="single" w:sz="6" w:space="0" w:color="000000"/>
              <w:right w:val="nil"/>
            </w:tcBorders>
            <w:shd w:val="clear" w:color="auto" w:fill="FFFFFF"/>
            <w:tcMar>
              <w:top w:w="0" w:type="dxa"/>
              <w:left w:w="60" w:type="dxa"/>
              <w:bottom w:w="0" w:type="dxa"/>
              <w:right w:w="60" w:type="dxa"/>
            </w:tcMar>
            <w:vAlign w:val="bottom"/>
            <w:hideMark/>
          </w:tcPr>
          <w:p w14:paraId="7A8D78F8" w14:textId="77777777" w:rsidR="00207E1A" w:rsidRPr="00B64CA9" w:rsidRDefault="00207E1A" w:rsidP="005A26F4">
            <w:pPr>
              <w:pStyle w:val="Table"/>
            </w:pPr>
          </w:p>
        </w:tc>
        <w:tc>
          <w:tcPr>
            <w:tcW w:w="958" w:type="pct"/>
            <w:tcBorders>
              <w:top w:val="nil"/>
              <w:left w:val="nil"/>
              <w:bottom w:val="single" w:sz="6" w:space="0" w:color="000000"/>
              <w:right w:val="nil"/>
            </w:tcBorders>
            <w:shd w:val="clear" w:color="auto" w:fill="FFFFFF"/>
            <w:tcMar>
              <w:top w:w="0" w:type="dxa"/>
              <w:left w:w="60" w:type="dxa"/>
              <w:bottom w:w="0" w:type="dxa"/>
              <w:right w:w="60" w:type="dxa"/>
            </w:tcMar>
            <w:vAlign w:val="bottom"/>
            <w:hideMark/>
          </w:tcPr>
          <w:p w14:paraId="2066C957" w14:textId="77777777" w:rsidR="00207E1A" w:rsidRPr="00B64CA9" w:rsidRDefault="00207E1A" w:rsidP="005A26F4">
            <w:pPr>
              <w:pStyle w:val="Table"/>
              <w:rPr>
                <w:b w:val="0"/>
              </w:rPr>
            </w:pPr>
            <w:r w:rsidRPr="00B64CA9">
              <w:t>N=64</w:t>
            </w:r>
            <w:r w:rsidRPr="00B64CA9">
              <w:br/>
              <w:t>n (%)</w:t>
            </w:r>
          </w:p>
        </w:tc>
        <w:tc>
          <w:tcPr>
            <w:tcW w:w="835" w:type="pct"/>
            <w:tcBorders>
              <w:top w:val="nil"/>
              <w:left w:val="nil"/>
              <w:bottom w:val="single" w:sz="6" w:space="0" w:color="000000"/>
              <w:right w:val="nil"/>
            </w:tcBorders>
            <w:shd w:val="clear" w:color="auto" w:fill="FFFFFF"/>
            <w:tcMar>
              <w:top w:w="0" w:type="dxa"/>
              <w:left w:w="60" w:type="dxa"/>
              <w:bottom w:w="0" w:type="dxa"/>
              <w:right w:w="60" w:type="dxa"/>
            </w:tcMar>
            <w:vAlign w:val="bottom"/>
            <w:hideMark/>
          </w:tcPr>
          <w:p w14:paraId="2246E334" w14:textId="77777777" w:rsidR="00207E1A" w:rsidRPr="00B64CA9" w:rsidRDefault="00207E1A" w:rsidP="005A26F4">
            <w:pPr>
              <w:pStyle w:val="Table"/>
              <w:rPr>
                <w:b w:val="0"/>
              </w:rPr>
            </w:pPr>
            <w:r w:rsidRPr="00B64CA9">
              <w:t>N=1429</w:t>
            </w:r>
            <w:r w:rsidRPr="00B64CA9">
              <w:br/>
              <w:t>n (%)</w:t>
            </w:r>
          </w:p>
        </w:tc>
        <w:tc>
          <w:tcPr>
            <w:tcW w:w="835" w:type="pct"/>
            <w:tcBorders>
              <w:top w:val="nil"/>
              <w:left w:val="nil"/>
              <w:bottom w:val="single" w:sz="6" w:space="0" w:color="000000"/>
              <w:right w:val="nil"/>
            </w:tcBorders>
            <w:shd w:val="clear" w:color="auto" w:fill="FFFFFF"/>
            <w:vAlign w:val="bottom"/>
          </w:tcPr>
          <w:p w14:paraId="1486F824" w14:textId="77777777" w:rsidR="00207E1A" w:rsidRPr="00B64CA9" w:rsidRDefault="00207E1A" w:rsidP="005A26F4">
            <w:pPr>
              <w:pStyle w:val="Table"/>
              <w:rPr>
                <w:b w:val="0"/>
              </w:rPr>
            </w:pPr>
            <w:r w:rsidRPr="00B64CA9">
              <w:t>N=134</w:t>
            </w:r>
            <w:r w:rsidRPr="00B64CA9">
              <w:br/>
              <w:t>n (%)</w:t>
            </w:r>
          </w:p>
        </w:tc>
        <w:tc>
          <w:tcPr>
            <w:tcW w:w="712" w:type="pct"/>
            <w:tcBorders>
              <w:top w:val="nil"/>
              <w:left w:val="nil"/>
              <w:bottom w:val="single" w:sz="6" w:space="0" w:color="000000"/>
              <w:right w:val="nil"/>
            </w:tcBorders>
            <w:shd w:val="clear" w:color="auto" w:fill="FFFFFF"/>
            <w:vAlign w:val="bottom"/>
          </w:tcPr>
          <w:p w14:paraId="18EA440A" w14:textId="77777777" w:rsidR="00207E1A" w:rsidRPr="00B64CA9" w:rsidRDefault="00207E1A" w:rsidP="005A26F4">
            <w:pPr>
              <w:pStyle w:val="Table"/>
              <w:rPr>
                <w:b w:val="0"/>
              </w:rPr>
            </w:pPr>
            <w:r w:rsidRPr="00B64CA9">
              <w:t>N=558</w:t>
            </w:r>
            <w:r w:rsidRPr="00B64CA9">
              <w:br/>
              <w:t>n (%)</w:t>
            </w:r>
          </w:p>
        </w:tc>
      </w:tr>
      <w:tr w:rsidR="00207E1A" w:rsidRPr="00B64CA9" w14:paraId="71AE7294" w14:textId="77777777" w:rsidTr="005A26F4">
        <w:trPr>
          <w:cantSplit/>
          <w:jc w:val="center"/>
        </w:trPr>
        <w:tc>
          <w:tcPr>
            <w:tcW w:w="1660" w:type="pct"/>
            <w:shd w:val="clear" w:color="auto" w:fill="FFFFFF"/>
            <w:tcMar>
              <w:top w:w="0" w:type="dxa"/>
              <w:left w:w="60" w:type="dxa"/>
              <w:bottom w:w="0" w:type="dxa"/>
              <w:right w:w="60" w:type="dxa"/>
            </w:tcMar>
            <w:hideMark/>
          </w:tcPr>
          <w:p w14:paraId="4B030DF0" w14:textId="77777777" w:rsidR="00207E1A" w:rsidRPr="00B64CA9" w:rsidRDefault="00207E1A" w:rsidP="005A26F4">
            <w:pPr>
              <w:pStyle w:val="Table"/>
              <w:rPr>
                <w:b w:val="0"/>
              </w:rPr>
            </w:pPr>
            <w:r w:rsidRPr="00B64CA9">
              <w:rPr>
                <w:b w:val="0"/>
              </w:rPr>
              <w:t>Any preferred term</w:t>
            </w:r>
          </w:p>
        </w:tc>
        <w:tc>
          <w:tcPr>
            <w:tcW w:w="958" w:type="pct"/>
            <w:shd w:val="clear" w:color="auto" w:fill="FFFFFF"/>
            <w:tcMar>
              <w:top w:w="0" w:type="dxa"/>
              <w:left w:w="60" w:type="dxa"/>
              <w:bottom w:w="0" w:type="dxa"/>
              <w:right w:w="60" w:type="dxa"/>
            </w:tcMar>
            <w:hideMark/>
          </w:tcPr>
          <w:p w14:paraId="4F3A932B" w14:textId="77777777" w:rsidR="00207E1A" w:rsidRPr="00B64CA9" w:rsidRDefault="00207E1A" w:rsidP="005A26F4">
            <w:pPr>
              <w:pStyle w:val="Table"/>
              <w:rPr>
                <w:b w:val="0"/>
              </w:rPr>
            </w:pPr>
            <w:r w:rsidRPr="00B64CA9">
              <w:rPr>
                <w:b w:val="0"/>
              </w:rPr>
              <w:t>37 (57.8)</w:t>
            </w:r>
          </w:p>
        </w:tc>
        <w:tc>
          <w:tcPr>
            <w:tcW w:w="835" w:type="pct"/>
            <w:shd w:val="clear" w:color="auto" w:fill="FFFFFF"/>
            <w:tcMar>
              <w:top w:w="0" w:type="dxa"/>
              <w:left w:w="60" w:type="dxa"/>
              <w:bottom w:w="0" w:type="dxa"/>
              <w:right w:w="60" w:type="dxa"/>
            </w:tcMar>
            <w:hideMark/>
          </w:tcPr>
          <w:p w14:paraId="152CB071" w14:textId="77777777" w:rsidR="00207E1A" w:rsidRPr="00B64CA9" w:rsidRDefault="00207E1A" w:rsidP="005A26F4">
            <w:pPr>
              <w:pStyle w:val="Table"/>
              <w:rPr>
                <w:b w:val="0"/>
              </w:rPr>
            </w:pPr>
            <w:r w:rsidRPr="00B64CA9">
              <w:rPr>
                <w:b w:val="0"/>
              </w:rPr>
              <w:t>978 (68.4)</w:t>
            </w:r>
          </w:p>
        </w:tc>
        <w:tc>
          <w:tcPr>
            <w:tcW w:w="835" w:type="pct"/>
            <w:shd w:val="clear" w:color="auto" w:fill="FFFFFF"/>
          </w:tcPr>
          <w:p w14:paraId="6E798E07" w14:textId="77777777" w:rsidR="00207E1A" w:rsidRPr="00B64CA9" w:rsidRDefault="00207E1A" w:rsidP="005A26F4">
            <w:pPr>
              <w:pStyle w:val="Table"/>
              <w:rPr>
                <w:b w:val="0"/>
              </w:rPr>
            </w:pPr>
            <w:r w:rsidRPr="00B64CA9">
              <w:rPr>
                <w:b w:val="0"/>
              </w:rPr>
              <w:t>89 (66.4)</w:t>
            </w:r>
          </w:p>
        </w:tc>
        <w:tc>
          <w:tcPr>
            <w:tcW w:w="712" w:type="pct"/>
            <w:shd w:val="clear" w:color="auto" w:fill="FFFFFF"/>
          </w:tcPr>
          <w:p w14:paraId="484A9E79" w14:textId="77777777" w:rsidR="00207E1A" w:rsidRPr="00B64CA9" w:rsidRDefault="00207E1A" w:rsidP="005A26F4">
            <w:pPr>
              <w:pStyle w:val="Table"/>
              <w:rPr>
                <w:b w:val="0"/>
              </w:rPr>
            </w:pPr>
            <w:r w:rsidRPr="00B64CA9">
              <w:rPr>
                <w:b w:val="0"/>
              </w:rPr>
              <w:t>346 (62.0)</w:t>
            </w:r>
          </w:p>
        </w:tc>
      </w:tr>
      <w:tr w:rsidR="00207E1A" w:rsidRPr="00B64CA9" w14:paraId="13B62682" w14:textId="77777777" w:rsidTr="005A26F4">
        <w:trPr>
          <w:cantSplit/>
          <w:jc w:val="center"/>
        </w:trPr>
        <w:tc>
          <w:tcPr>
            <w:tcW w:w="1660" w:type="pct"/>
            <w:shd w:val="clear" w:color="auto" w:fill="FFFFFF"/>
            <w:tcMar>
              <w:top w:w="0" w:type="dxa"/>
              <w:left w:w="60" w:type="dxa"/>
              <w:bottom w:w="0" w:type="dxa"/>
              <w:right w:w="60" w:type="dxa"/>
            </w:tcMar>
            <w:hideMark/>
          </w:tcPr>
          <w:p w14:paraId="4C6E83D0" w14:textId="77777777" w:rsidR="00207E1A" w:rsidRPr="00B64CA9" w:rsidRDefault="00207E1A" w:rsidP="005A26F4">
            <w:pPr>
              <w:pStyle w:val="Table"/>
              <w:rPr>
                <w:b w:val="0"/>
              </w:rPr>
            </w:pPr>
            <w:r w:rsidRPr="00B64CA9">
              <w:rPr>
                <w:b w:val="0"/>
              </w:rPr>
              <w:t>Nasopharyngitis</w:t>
            </w:r>
          </w:p>
        </w:tc>
        <w:tc>
          <w:tcPr>
            <w:tcW w:w="958" w:type="pct"/>
            <w:shd w:val="clear" w:color="auto" w:fill="FFFFFF"/>
            <w:tcMar>
              <w:top w:w="0" w:type="dxa"/>
              <w:left w:w="60" w:type="dxa"/>
              <w:bottom w:w="0" w:type="dxa"/>
              <w:right w:w="60" w:type="dxa"/>
            </w:tcMar>
            <w:hideMark/>
          </w:tcPr>
          <w:p w14:paraId="46C399B4" w14:textId="77777777" w:rsidR="00207E1A" w:rsidRPr="00B64CA9" w:rsidRDefault="00207E1A" w:rsidP="005A26F4">
            <w:pPr>
              <w:pStyle w:val="Table"/>
              <w:rPr>
                <w:b w:val="0"/>
              </w:rPr>
            </w:pPr>
            <w:r w:rsidRPr="00B64CA9">
              <w:rPr>
                <w:b w:val="0"/>
              </w:rPr>
              <w:t>9 (14.1)</w:t>
            </w:r>
          </w:p>
        </w:tc>
        <w:tc>
          <w:tcPr>
            <w:tcW w:w="835" w:type="pct"/>
            <w:shd w:val="clear" w:color="auto" w:fill="FFFFFF"/>
            <w:tcMar>
              <w:top w:w="0" w:type="dxa"/>
              <w:left w:w="60" w:type="dxa"/>
              <w:bottom w:w="0" w:type="dxa"/>
              <w:right w:w="60" w:type="dxa"/>
            </w:tcMar>
            <w:hideMark/>
          </w:tcPr>
          <w:p w14:paraId="58EC71BF" w14:textId="77777777" w:rsidR="00207E1A" w:rsidRPr="00B64CA9" w:rsidRDefault="00207E1A" w:rsidP="005A26F4">
            <w:pPr>
              <w:pStyle w:val="Table"/>
              <w:rPr>
                <w:b w:val="0"/>
              </w:rPr>
            </w:pPr>
            <w:r w:rsidRPr="00B64CA9">
              <w:rPr>
                <w:b w:val="0"/>
              </w:rPr>
              <w:t>213 (14.9)</w:t>
            </w:r>
          </w:p>
        </w:tc>
        <w:tc>
          <w:tcPr>
            <w:tcW w:w="835" w:type="pct"/>
            <w:shd w:val="clear" w:color="auto" w:fill="FFFFFF"/>
          </w:tcPr>
          <w:p w14:paraId="01D480AF" w14:textId="77777777" w:rsidR="00207E1A" w:rsidRPr="00B64CA9" w:rsidRDefault="00207E1A" w:rsidP="005A26F4">
            <w:pPr>
              <w:pStyle w:val="Table"/>
              <w:rPr>
                <w:b w:val="0"/>
              </w:rPr>
            </w:pPr>
            <w:r w:rsidRPr="00B64CA9">
              <w:rPr>
                <w:b w:val="0"/>
              </w:rPr>
              <w:t>24 (17.9)</w:t>
            </w:r>
          </w:p>
        </w:tc>
        <w:tc>
          <w:tcPr>
            <w:tcW w:w="712" w:type="pct"/>
            <w:shd w:val="clear" w:color="auto" w:fill="FFFFFF"/>
          </w:tcPr>
          <w:p w14:paraId="50597A50" w14:textId="77777777" w:rsidR="00207E1A" w:rsidRPr="00B64CA9" w:rsidRDefault="00207E1A" w:rsidP="005A26F4">
            <w:pPr>
              <w:pStyle w:val="Table"/>
              <w:rPr>
                <w:b w:val="0"/>
              </w:rPr>
            </w:pPr>
            <w:r w:rsidRPr="00B64CA9">
              <w:rPr>
                <w:b w:val="0"/>
              </w:rPr>
              <w:t>73 (13.1)</w:t>
            </w:r>
          </w:p>
        </w:tc>
      </w:tr>
      <w:tr w:rsidR="00207E1A" w:rsidRPr="00B64CA9" w14:paraId="5DE5EE23" w14:textId="77777777" w:rsidTr="005A26F4">
        <w:trPr>
          <w:cantSplit/>
          <w:jc w:val="center"/>
        </w:trPr>
        <w:tc>
          <w:tcPr>
            <w:tcW w:w="1660" w:type="pct"/>
            <w:shd w:val="clear" w:color="auto" w:fill="FFFFFF"/>
            <w:tcMar>
              <w:top w:w="0" w:type="dxa"/>
              <w:left w:w="60" w:type="dxa"/>
              <w:bottom w:w="0" w:type="dxa"/>
              <w:right w:w="60" w:type="dxa"/>
            </w:tcMar>
            <w:hideMark/>
          </w:tcPr>
          <w:p w14:paraId="4DF012BB" w14:textId="77777777" w:rsidR="00207E1A" w:rsidRPr="00B64CA9" w:rsidRDefault="00207E1A" w:rsidP="005A26F4">
            <w:pPr>
              <w:pStyle w:val="Table"/>
              <w:rPr>
                <w:b w:val="0"/>
              </w:rPr>
            </w:pPr>
            <w:r w:rsidRPr="00B64CA9">
              <w:rPr>
                <w:b w:val="0"/>
              </w:rPr>
              <w:t>Headache</w:t>
            </w:r>
          </w:p>
        </w:tc>
        <w:tc>
          <w:tcPr>
            <w:tcW w:w="958" w:type="pct"/>
            <w:shd w:val="clear" w:color="auto" w:fill="FFFFFF"/>
            <w:tcMar>
              <w:top w:w="0" w:type="dxa"/>
              <w:left w:w="60" w:type="dxa"/>
              <w:bottom w:w="0" w:type="dxa"/>
              <w:right w:w="60" w:type="dxa"/>
            </w:tcMar>
            <w:hideMark/>
          </w:tcPr>
          <w:p w14:paraId="0E0B710B" w14:textId="77777777" w:rsidR="00207E1A" w:rsidRPr="00B64CA9" w:rsidRDefault="00207E1A" w:rsidP="005A26F4">
            <w:pPr>
              <w:pStyle w:val="Table"/>
              <w:rPr>
                <w:b w:val="0"/>
              </w:rPr>
            </w:pPr>
            <w:r w:rsidRPr="00B64CA9">
              <w:rPr>
                <w:b w:val="0"/>
              </w:rPr>
              <w:t>1 (1.6)</w:t>
            </w:r>
          </w:p>
        </w:tc>
        <w:tc>
          <w:tcPr>
            <w:tcW w:w="835" w:type="pct"/>
            <w:shd w:val="clear" w:color="auto" w:fill="FFFFFF"/>
            <w:tcMar>
              <w:top w:w="0" w:type="dxa"/>
              <w:left w:w="60" w:type="dxa"/>
              <w:bottom w:w="0" w:type="dxa"/>
              <w:right w:w="60" w:type="dxa"/>
            </w:tcMar>
            <w:hideMark/>
          </w:tcPr>
          <w:p w14:paraId="67FC760E" w14:textId="77777777" w:rsidR="00207E1A" w:rsidRPr="00B64CA9" w:rsidRDefault="00207E1A" w:rsidP="005A26F4">
            <w:pPr>
              <w:pStyle w:val="Table"/>
              <w:rPr>
                <w:b w:val="0"/>
              </w:rPr>
            </w:pPr>
            <w:r w:rsidRPr="00B64CA9">
              <w:rPr>
                <w:b w:val="0"/>
              </w:rPr>
              <w:t>113 (7.9)</w:t>
            </w:r>
          </w:p>
        </w:tc>
        <w:tc>
          <w:tcPr>
            <w:tcW w:w="835" w:type="pct"/>
            <w:shd w:val="clear" w:color="auto" w:fill="FFFFFF"/>
          </w:tcPr>
          <w:p w14:paraId="5B49E6BA" w14:textId="77777777" w:rsidR="00207E1A" w:rsidRPr="00B64CA9" w:rsidRDefault="00207E1A" w:rsidP="005A26F4">
            <w:pPr>
              <w:pStyle w:val="Table"/>
              <w:rPr>
                <w:b w:val="0"/>
              </w:rPr>
            </w:pPr>
            <w:r w:rsidRPr="00B64CA9">
              <w:rPr>
                <w:b w:val="0"/>
              </w:rPr>
              <w:t>12 (9.0)</w:t>
            </w:r>
          </w:p>
        </w:tc>
        <w:tc>
          <w:tcPr>
            <w:tcW w:w="712" w:type="pct"/>
            <w:shd w:val="clear" w:color="auto" w:fill="FFFFFF"/>
          </w:tcPr>
          <w:p w14:paraId="3D256023" w14:textId="77777777" w:rsidR="00207E1A" w:rsidRPr="00B64CA9" w:rsidRDefault="00207E1A" w:rsidP="005A26F4">
            <w:pPr>
              <w:pStyle w:val="Table"/>
              <w:rPr>
                <w:b w:val="0"/>
              </w:rPr>
            </w:pPr>
            <w:r w:rsidRPr="00B64CA9">
              <w:rPr>
                <w:b w:val="0"/>
              </w:rPr>
              <w:t>33 (5.9)</w:t>
            </w:r>
          </w:p>
        </w:tc>
      </w:tr>
      <w:tr w:rsidR="00207E1A" w:rsidRPr="00B64CA9" w14:paraId="26BD58A5" w14:textId="77777777" w:rsidTr="005A26F4">
        <w:trPr>
          <w:cantSplit/>
          <w:jc w:val="center"/>
        </w:trPr>
        <w:tc>
          <w:tcPr>
            <w:tcW w:w="1660" w:type="pct"/>
            <w:shd w:val="clear" w:color="auto" w:fill="FFFFFF"/>
            <w:tcMar>
              <w:top w:w="0" w:type="dxa"/>
              <w:left w:w="60" w:type="dxa"/>
              <w:bottom w:w="0" w:type="dxa"/>
              <w:right w:w="60" w:type="dxa"/>
            </w:tcMar>
            <w:hideMark/>
          </w:tcPr>
          <w:p w14:paraId="58EDA33C" w14:textId="77777777" w:rsidR="00207E1A" w:rsidRPr="00B64CA9" w:rsidRDefault="00207E1A" w:rsidP="005A26F4">
            <w:pPr>
              <w:pStyle w:val="Table"/>
              <w:rPr>
                <w:b w:val="0"/>
              </w:rPr>
            </w:pPr>
            <w:r w:rsidRPr="00B64CA9">
              <w:rPr>
                <w:b w:val="0"/>
              </w:rPr>
              <w:t>Diarrhoea</w:t>
            </w:r>
          </w:p>
        </w:tc>
        <w:tc>
          <w:tcPr>
            <w:tcW w:w="958" w:type="pct"/>
            <w:shd w:val="clear" w:color="auto" w:fill="FFFFFF"/>
            <w:tcMar>
              <w:top w:w="0" w:type="dxa"/>
              <w:left w:w="60" w:type="dxa"/>
              <w:bottom w:w="0" w:type="dxa"/>
              <w:right w:w="60" w:type="dxa"/>
            </w:tcMar>
            <w:hideMark/>
          </w:tcPr>
          <w:p w14:paraId="2F9C0B91" w14:textId="77777777" w:rsidR="00207E1A" w:rsidRPr="00B64CA9" w:rsidRDefault="00207E1A" w:rsidP="005A26F4">
            <w:pPr>
              <w:pStyle w:val="Table"/>
              <w:rPr>
                <w:b w:val="0"/>
              </w:rPr>
            </w:pPr>
            <w:r w:rsidRPr="00B64CA9">
              <w:rPr>
                <w:b w:val="0"/>
              </w:rPr>
              <w:t>3 (4.7)</w:t>
            </w:r>
          </w:p>
        </w:tc>
        <w:tc>
          <w:tcPr>
            <w:tcW w:w="835" w:type="pct"/>
            <w:shd w:val="clear" w:color="auto" w:fill="FFFFFF"/>
            <w:tcMar>
              <w:top w:w="0" w:type="dxa"/>
              <w:left w:w="60" w:type="dxa"/>
              <w:bottom w:w="0" w:type="dxa"/>
              <w:right w:w="60" w:type="dxa"/>
            </w:tcMar>
            <w:hideMark/>
          </w:tcPr>
          <w:p w14:paraId="10747A31" w14:textId="77777777" w:rsidR="00207E1A" w:rsidRPr="00B64CA9" w:rsidRDefault="00207E1A" w:rsidP="005A26F4">
            <w:pPr>
              <w:pStyle w:val="Table"/>
              <w:rPr>
                <w:b w:val="0"/>
              </w:rPr>
            </w:pPr>
            <w:r w:rsidRPr="00B64CA9">
              <w:rPr>
                <w:b w:val="0"/>
              </w:rPr>
              <w:t>57 (4.0)</w:t>
            </w:r>
          </w:p>
        </w:tc>
        <w:tc>
          <w:tcPr>
            <w:tcW w:w="835" w:type="pct"/>
            <w:shd w:val="clear" w:color="auto" w:fill="FFFFFF"/>
          </w:tcPr>
          <w:p w14:paraId="5F806C56" w14:textId="77777777" w:rsidR="00207E1A" w:rsidRPr="00B64CA9" w:rsidRDefault="00207E1A" w:rsidP="005A26F4">
            <w:pPr>
              <w:pStyle w:val="Table"/>
              <w:rPr>
                <w:b w:val="0"/>
              </w:rPr>
            </w:pPr>
            <w:r w:rsidRPr="00B64CA9">
              <w:rPr>
                <w:b w:val="0"/>
              </w:rPr>
              <w:t>6 (4.5)</w:t>
            </w:r>
          </w:p>
        </w:tc>
        <w:tc>
          <w:tcPr>
            <w:tcW w:w="712" w:type="pct"/>
            <w:shd w:val="clear" w:color="auto" w:fill="FFFFFF"/>
          </w:tcPr>
          <w:p w14:paraId="5CC90478" w14:textId="77777777" w:rsidR="00207E1A" w:rsidRPr="00B64CA9" w:rsidRDefault="00207E1A" w:rsidP="005A26F4">
            <w:pPr>
              <w:pStyle w:val="Table"/>
              <w:rPr>
                <w:b w:val="0"/>
              </w:rPr>
            </w:pPr>
            <w:r w:rsidRPr="00B64CA9">
              <w:rPr>
                <w:b w:val="0"/>
              </w:rPr>
              <w:t>28 (5.0)</w:t>
            </w:r>
          </w:p>
        </w:tc>
      </w:tr>
      <w:tr w:rsidR="00207E1A" w:rsidRPr="00B64CA9" w14:paraId="7418C383" w14:textId="77777777" w:rsidTr="005A26F4">
        <w:trPr>
          <w:cantSplit/>
          <w:jc w:val="center"/>
        </w:trPr>
        <w:tc>
          <w:tcPr>
            <w:tcW w:w="1660" w:type="pct"/>
            <w:shd w:val="clear" w:color="auto" w:fill="FFFFFF"/>
            <w:tcMar>
              <w:top w:w="0" w:type="dxa"/>
              <w:left w:w="60" w:type="dxa"/>
              <w:bottom w:w="0" w:type="dxa"/>
              <w:right w:w="60" w:type="dxa"/>
            </w:tcMar>
            <w:hideMark/>
          </w:tcPr>
          <w:p w14:paraId="48FE7EBE" w14:textId="77777777" w:rsidR="00207E1A" w:rsidRPr="00B64CA9" w:rsidRDefault="00207E1A" w:rsidP="005A26F4">
            <w:pPr>
              <w:pStyle w:val="Table"/>
              <w:rPr>
                <w:b w:val="0"/>
              </w:rPr>
            </w:pPr>
            <w:r w:rsidRPr="00B64CA9">
              <w:rPr>
                <w:b w:val="0"/>
              </w:rPr>
              <w:t>Upper respiratory tract infection</w:t>
            </w:r>
          </w:p>
        </w:tc>
        <w:tc>
          <w:tcPr>
            <w:tcW w:w="958" w:type="pct"/>
            <w:shd w:val="clear" w:color="auto" w:fill="FFFFFF"/>
            <w:tcMar>
              <w:top w:w="0" w:type="dxa"/>
              <w:left w:w="60" w:type="dxa"/>
              <w:bottom w:w="0" w:type="dxa"/>
              <w:right w:w="60" w:type="dxa"/>
            </w:tcMar>
            <w:hideMark/>
          </w:tcPr>
          <w:p w14:paraId="66511FD4" w14:textId="77777777" w:rsidR="00207E1A" w:rsidRPr="00B64CA9" w:rsidRDefault="00207E1A" w:rsidP="005A26F4">
            <w:pPr>
              <w:pStyle w:val="Table"/>
              <w:rPr>
                <w:b w:val="0"/>
              </w:rPr>
            </w:pPr>
            <w:r w:rsidRPr="00B64CA9">
              <w:rPr>
                <w:b w:val="0"/>
              </w:rPr>
              <w:t>2 (3.1)</w:t>
            </w:r>
          </w:p>
        </w:tc>
        <w:tc>
          <w:tcPr>
            <w:tcW w:w="835" w:type="pct"/>
            <w:shd w:val="clear" w:color="auto" w:fill="FFFFFF"/>
            <w:tcMar>
              <w:top w:w="0" w:type="dxa"/>
              <w:left w:w="60" w:type="dxa"/>
              <w:bottom w:w="0" w:type="dxa"/>
              <w:right w:w="60" w:type="dxa"/>
            </w:tcMar>
            <w:hideMark/>
          </w:tcPr>
          <w:p w14:paraId="513EFBEE" w14:textId="77777777" w:rsidR="00207E1A" w:rsidRPr="00B64CA9" w:rsidRDefault="00207E1A" w:rsidP="005A26F4">
            <w:pPr>
              <w:pStyle w:val="Table"/>
              <w:rPr>
                <w:b w:val="0"/>
              </w:rPr>
            </w:pPr>
            <w:r w:rsidRPr="00B64CA9">
              <w:rPr>
                <w:b w:val="0"/>
              </w:rPr>
              <w:t>69 (4.8)</w:t>
            </w:r>
          </w:p>
        </w:tc>
        <w:tc>
          <w:tcPr>
            <w:tcW w:w="835" w:type="pct"/>
            <w:shd w:val="clear" w:color="auto" w:fill="FFFFFF"/>
          </w:tcPr>
          <w:p w14:paraId="7853B339" w14:textId="77777777" w:rsidR="00207E1A" w:rsidRPr="00B64CA9" w:rsidRDefault="00207E1A" w:rsidP="005A26F4">
            <w:pPr>
              <w:pStyle w:val="Table"/>
              <w:rPr>
                <w:b w:val="0"/>
              </w:rPr>
            </w:pPr>
            <w:r w:rsidRPr="00B64CA9">
              <w:rPr>
                <w:b w:val="0"/>
              </w:rPr>
              <w:t>5 (3.7)</w:t>
            </w:r>
          </w:p>
        </w:tc>
        <w:tc>
          <w:tcPr>
            <w:tcW w:w="712" w:type="pct"/>
            <w:shd w:val="clear" w:color="auto" w:fill="FFFFFF"/>
          </w:tcPr>
          <w:p w14:paraId="3E0F82C6" w14:textId="77777777" w:rsidR="00207E1A" w:rsidRPr="00B64CA9" w:rsidRDefault="00207E1A" w:rsidP="005A26F4">
            <w:pPr>
              <w:pStyle w:val="Table"/>
              <w:rPr>
                <w:b w:val="0"/>
              </w:rPr>
            </w:pPr>
            <w:r w:rsidRPr="00B64CA9">
              <w:rPr>
                <w:b w:val="0"/>
              </w:rPr>
              <w:t>21 (3.8)</w:t>
            </w:r>
          </w:p>
        </w:tc>
      </w:tr>
      <w:tr w:rsidR="00207E1A" w:rsidRPr="00B64CA9" w14:paraId="48C0AA7C" w14:textId="77777777" w:rsidTr="005A26F4">
        <w:trPr>
          <w:cantSplit/>
          <w:jc w:val="center"/>
        </w:trPr>
        <w:tc>
          <w:tcPr>
            <w:tcW w:w="1660" w:type="pct"/>
            <w:shd w:val="clear" w:color="auto" w:fill="FFFFFF"/>
            <w:tcMar>
              <w:top w:w="0" w:type="dxa"/>
              <w:left w:w="60" w:type="dxa"/>
              <w:bottom w:w="0" w:type="dxa"/>
              <w:right w:w="60" w:type="dxa"/>
            </w:tcMar>
            <w:hideMark/>
          </w:tcPr>
          <w:p w14:paraId="751173C5" w14:textId="77777777" w:rsidR="00207E1A" w:rsidRPr="00B64CA9" w:rsidRDefault="00207E1A" w:rsidP="005A26F4">
            <w:pPr>
              <w:pStyle w:val="Table"/>
              <w:rPr>
                <w:b w:val="0"/>
              </w:rPr>
            </w:pPr>
            <w:r w:rsidRPr="00B64CA9">
              <w:rPr>
                <w:b w:val="0"/>
              </w:rPr>
              <w:t>Cough</w:t>
            </w:r>
          </w:p>
        </w:tc>
        <w:tc>
          <w:tcPr>
            <w:tcW w:w="958" w:type="pct"/>
            <w:shd w:val="clear" w:color="auto" w:fill="FFFFFF"/>
            <w:tcMar>
              <w:top w:w="0" w:type="dxa"/>
              <w:left w:w="60" w:type="dxa"/>
              <w:bottom w:w="0" w:type="dxa"/>
              <w:right w:w="60" w:type="dxa"/>
            </w:tcMar>
            <w:hideMark/>
          </w:tcPr>
          <w:p w14:paraId="39933E15" w14:textId="77777777" w:rsidR="00207E1A" w:rsidRPr="00B64CA9" w:rsidRDefault="00207E1A" w:rsidP="005A26F4">
            <w:pPr>
              <w:pStyle w:val="Table"/>
              <w:rPr>
                <w:b w:val="0"/>
              </w:rPr>
            </w:pPr>
            <w:r w:rsidRPr="00B64CA9">
              <w:rPr>
                <w:b w:val="0"/>
              </w:rPr>
              <w:t>1 (1.6)</w:t>
            </w:r>
          </w:p>
        </w:tc>
        <w:tc>
          <w:tcPr>
            <w:tcW w:w="835" w:type="pct"/>
            <w:shd w:val="clear" w:color="auto" w:fill="FFFFFF"/>
            <w:tcMar>
              <w:top w:w="0" w:type="dxa"/>
              <w:left w:w="60" w:type="dxa"/>
              <w:bottom w:w="0" w:type="dxa"/>
              <w:right w:w="60" w:type="dxa"/>
            </w:tcMar>
            <w:hideMark/>
          </w:tcPr>
          <w:p w14:paraId="60C18CA9" w14:textId="77777777" w:rsidR="00207E1A" w:rsidRPr="00B64CA9" w:rsidRDefault="00207E1A" w:rsidP="005A26F4">
            <w:pPr>
              <w:pStyle w:val="Table"/>
              <w:rPr>
                <w:b w:val="0"/>
              </w:rPr>
            </w:pPr>
            <w:r w:rsidRPr="00B64CA9">
              <w:rPr>
                <w:b w:val="0"/>
              </w:rPr>
              <w:t>35 (2.4)</w:t>
            </w:r>
          </w:p>
        </w:tc>
        <w:tc>
          <w:tcPr>
            <w:tcW w:w="835" w:type="pct"/>
            <w:shd w:val="clear" w:color="auto" w:fill="FFFFFF"/>
          </w:tcPr>
          <w:p w14:paraId="7C3E11D9" w14:textId="77777777" w:rsidR="00207E1A" w:rsidRPr="00B64CA9" w:rsidRDefault="00207E1A" w:rsidP="005A26F4">
            <w:pPr>
              <w:pStyle w:val="Table"/>
              <w:rPr>
                <w:b w:val="0"/>
              </w:rPr>
            </w:pPr>
            <w:r w:rsidRPr="00B64CA9">
              <w:rPr>
                <w:b w:val="0"/>
              </w:rPr>
              <w:t>7 (5.2)</w:t>
            </w:r>
          </w:p>
        </w:tc>
        <w:tc>
          <w:tcPr>
            <w:tcW w:w="712" w:type="pct"/>
            <w:shd w:val="clear" w:color="auto" w:fill="FFFFFF"/>
          </w:tcPr>
          <w:p w14:paraId="743FA598" w14:textId="77777777" w:rsidR="00207E1A" w:rsidRPr="00B64CA9" w:rsidRDefault="00207E1A" w:rsidP="005A26F4">
            <w:pPr>
              <w:pStyle w:val="Table"/>
              <w:rPr>
                <w:b w:val="0"/>
              </w:rPr>
            </w:pPr>
            <w:r w:rsidRPr="00B64CA9">
              <w:rPr>
                <w:b w:val="0"/>
              </w:rPr>
              <w:t>20 (3.6)</w:t>
            </w:r>
          </w:p>
        </w:tc>
      </w:tr>
      <w:tr w:rsidR="00207E1A" w:rsidRPr="00B64CA9" w14:paraId="17F130B7" w14:textId="77777777" w:rsidTr="005A26F4">
        <w:trPr>
          <w:cantSplit/>
          <w:jc w:val="center"/>
        </w:trPr>
        <w:tc>
          <w:tcPr>
            <w:tcW w:w="1660" w:type="pct"/>
            <w:shd w:val="clear" w:color="auto" w:fill="FFFFFF"/>
            <w:tcMar>
              <w:top w:w="0" w:type="dxa"/>
              <w:left w:w="60" w:type="dxa"/>
              <w:bottom w:w="0" w:type="dxa"/>
              <w:right w:w="60" w:type="dxa"/>
            </w:tcMar>
            <w:hideMark/>
          </w:tcPr>
          <w:p w14:paraId="2259310A" w14:textId="77777777" w:rsidR="00207E1A" w:rsidRPr="00B64CA9" w:rsidRDefault="00207E1A" w:rsidP="005A26F4">
            <w:pPr>
              <w:pStyle w:val="Table"/>
              <w:rPr>
                <w:b w:val="0"/>
              </w:rPr>
            </w:pPr>
            <w:r w:rsidRPr="00B64CA9">
              <w:rPr>
                <w:b w:val="0"/>
              </w:rPr>
              <w:t>Pharyngitis</w:t>
            </w:r>
          </w:p>
        </w:tc>
        <w:tc>
          <w:tcPr>
            <w:tcW w:w="958" w:type="pct"/>
            <w:shd w:val="clear" w:color="auto" w:fill="FFFFFF"/>
            <w:tcMar>
              <w:top w:w="0" w:type="dxa"/>
              <w:left w:w="60" w:type="dxa"/>
              <w:bottom w:w="0" w:type="dxa"/>
              <w:right w:w="60" w:type="dxa"/>
            </w:tcMar>
            <w:hideMark/>
          </w:tcPr>
          <w:p w14:paraId="52BB05E1" w14:textId="77777777" w:rsidR="00207E1A" w:rsidRPr="00B64CA9" w:rsidRDefault="00207E1A" w:rsidP="005A26F4">
            <w:pPr>
              <w:pStyle w:val="Table"/>
              <w:rPr>
                <w:b w:val="0"/>
              </w:rPr>
            </w:pPr>
            <w:r w:rsidRPr="00B64CA9">
              <w:rPr>
                <w:b w:val="0"/>
              </w:rPr>
              <w:t>1 (1.6)</w:t>
            </w:r>
          </w:p>
        </w:tc>
        <w:tc>
          <w:tcPr>
            <w:tcW w:w="835" w:type="pct"/>
            <w:shd w:val="clear" w:color="auto" w:fill="FFFFFF"/>
            <w:tcMar>
              <w:top w:w="0" w:type="dxa"/>
              <w:left w:w="60" w:type="dxa"/>
              <w:bottom w:w="0" w:type="dxa"/>
              <w:right w:w="60" w:type="dxa"/>
            </w:tcMar>
            <w:hideMark/>
          </w:tcPr>
          <w:p w14:paraId="6BDD59E2" w14:textId="77777777" w:rsidR="00207E1A" w:rsidRPr="00B64CA9" w:rsidRDefault="00207E1A" w:rsidP="005A26F4">
            <w:pPr>
              <w:pStyle w:val="Table"/>
              <w:rPr>
                <w:b w:val="0"/>
              </w:rPr>
            </w:pPr>
            <w:r w:rsidRPr="00B64CA9">
              <w:rPr>
                <w:b w:val="0"/>
              </w:rPr>
              <w:t>17 (1.2)</w:t>
            </w:r>
          </w:p>
        </w:tc>
        <w:tc>
          <w:tcPr>
            <w:tcW w:w="835" w:type="pct"/>
            <w:shd w:val="clear" w:color="auto" w:fill="FFFFFF"/>
          </w:tcPr>
          <w:p w14:paraId="25CE2871" w14:textId="77777777" w:rsidR="00207E1A" w:rsidRPr="00B64CA9" w:rsidRDefault="00207E1A" w:rsidP="005A26F4">
            <w:pPr>
              <w:pStyle w:val="Table"/>
              <w:rPr>
                <w:b w:val="0"/>
              </w:rPr>
            </w:pPr>
            <w:r w:rsidRPr="00B64CA9">
              <w:rPr>
                <w:b w:val="0"/>
              </w:rPr>
              <w:t>9 (6.7)</w:t>
            </w:r>
          </w:p>
        </w:tc>
        <w:tc>
          <w:tcPr>
            <w:tcW w:w="712" w:type="pct"/>
            <w:shd w:val="clear" w:color="auto" w:fill="FFFFFF"/>
          </w:tcPr>
          <w:p w14:paraId="70F23BE8" w14:textId="77777777" w:rsidR="00207E1A" w:rsidRPr="00B64CA9" w:rsidRDefault="00207E1A" w:rsidP="005A26F4">
            <w:pPr>
              <w:pStyle w:val="Table"/>
              <w:rPr>
                <w:b w:val="0"/>
              </w:rPr>
            </w:pPr>
            <w:r w:rsidRPr="00B64CA9">
              <w:rPr>
                <w:b w:val="0"/>
              </w:rPr>
              <w:t>14 (2.5)</w:t>
            </w:r>
          </w:p>
        </w:tc>
      </w:tr>
      <w:tr w:rsidR="00207E1A" w:rsidRPr="00B64CA9" w14:paraId="526E8F74" w14:textId="77777777" w:rsidTr="005A26F4">
        <w:trPr>
          <w:cantSplit/>
          <w:jc w:val="center"/>
        </w:trPr>
        <w:tc>
          <w:tcPr>
            <w:tcW w:w="1660" w:type="pct"/>
            <w:shd w:val="clear" w:color="auto" w:fill="FFFFFF"/>
            <w:tcMar>
              <w:top w:w="0" w:type="dxa"/>
              <w:left w:w="60" w:type="dxa"/>
              <w:bottom w:w="0" w:type="dxa"/>
              <w:right w:w="60" w:type="dxa"/>
            </w:tcMar>
            <w:hideMark/>
          </w:tcPr>
          <w:p w14:paraId="1AE692A8" w14:textId="77777777" w:rsidR="00207E1A" w:rsidRPr="00B64CA9" w:rsidRDefault="00207E1A" w:rsidP="005A26F4">
            <w:pPr>
              <w:pStyle w:val="Table"/>
              <w:rPr>
                <w:b w:val="0"/>
              </w:rPr>
            </w:pPr>
            <w:r w:rsidRPr="00B64CA9">
              <w:rPr>
                <w:b w:val="0"/>
              </w:rPr>
              <w:t>Pyrexia</w:t>
            </w:r>
          </w:p>
        </w:tc>
        <w:tc>
          <w:tcPr>
            <w:tcW w:w="958" w:type="pct"/>
            <w:shd w:val="clear" w:color="auto" w:fill="FFFFFF"/>
            <w:tcMar>
              <w:top w:w="0" w:type="dxa"/>
              <w:left w:w="60" w:type="dxa"/>
              <w:bottom w:w="0" w:type="dxa"/>
              <w:right w:w="60" w:type="dxa"/>
            </w:tcMar>
            <w:hideMark/>
          </w:tcPr>
          <w:p w14:paraId="1A94F706" w14:textId="77777777" w:rsidR="00207E1A" w:rsidRPr="00B64CA9" w:rsidRDefault="00207E1A" w:rsidP="005A26F4">
            <w:pPr>
              <w:pStyle w:val="Table"/>
              <w:rPr>
                <w:b w:val="0"/>
              </w:rPr>
            </w:pPr>
            <w:r w:rsidRPr="00B64CA9">
              <w:rPr>
                <w:b w:val="0"/>
              </w:rPr>
              <w:t>3 (4.7)</w:t>
            </w:r>
          </w:p>
        </w:tc>
        <w:tc>
          <w:tcPr>
            <w:tcW w:w="835" w:type="pct"/>
            <w:shd w:val="clear" w:color="auto" w:fill="FFFFFF"/>
            <w:tcMar>
              <w:top w:w="0" w:type="dxa"/>
              <w:left w:w="60" w:type="dxa"/>
              <w:bottom w:w="0" w:type="dxa"/>
              <w:right w:w="60" w:type="dxa"/>
            </w:tcMar>
            <w:hideMark/>
          </w:tcPr>
          <w:p w14:paraId="5FD5594D" w14:textId="77777777" w:rsidR="00207E1A" w:rsidRPr="00B64CA9" w:rsidRDefault="00207E1A" w:rsidP="005A26F4">
            <w:pPr>
              <w:pStyle w:val="Table"/>
              <w:rPr>
                <w:b w:val="0"/>
              </w:rPr>
            </w:pPr>
            <w:r w:rsidRPr="00B64CA9">
              <w:rPr>
                <w:b w:val="0"/>
              </w:rPr>
              <w:t>19 (1.3)</w:t>
            </w:r>
          </w:p>
        </w:tc>
        <w:tc>
          <w:tcPr>
            <w:tcW w:w="835" w:type="pct"/>
            <w:shd w:val="clear" w:color="auto" w:fill="FFFFFF"/>
          </w:tcPr>
          <w:p w14:paraId="16CFBAB0" w14:textId="77777777" w:rsidR="00207E1A" w:rsidRPr="00B64CA9" w:rsidRDefault="00207E1A" w:rsidP="005A26F4">
            <w:pPr>
              <w:pStyle w:val="Table"/>
              <w:rPr>
                <w:b w:val="0"/>
              </w:rPr>
            </w:pPr>
            <w:r w:rsidRPr="00B64CA9">
              <w:rPr>
                <w:b w:val="0"/>
              </w:rPr>
              <w:t>4 (3.0)</w:t>
            </w:r>
          </w:p>
        </w:tc>
        <w:tc>
          <w:tcPr>
            <w:tcW w:w="712" w:type="pct"/>
            <w:shd w:val="clear" w:color="auto" w:fill="FFFFFF"/>
          </w:tcPr>
          <w:p w14:paraId="3A39B200" w14:textId="77777777" w:rsidR="00207E1A" w:rsidRPr="00B64CA9" w:rsidRDefault="00207E1A" w:rsidP="005A26F4">
            <w:pPr>
              <w:pStyle w:val="Table"/>
              <w:rPr>
                <w:b w:val="0"/>
              </w:rPr>
            </w:pPr>
            <w:r w:rsidRPr="00B64CA9">
              <w:rPr>
                <w:b w:val="0"/>
              </w:rPr>
              <w:t>9 (1.6)</w:t>
            </w:r>
          </w:p>
        </w:tc>
      </w:tr>
      <w:tr w:rsidR="00207E1A" w:rsidRPr="00B64CA9" w14:paraId="4A465A39" w14:textId="77777777" w:rsidTr="005A26F4">
        <w:trPr>
          <w:cantSplit/>
          <w:jc w:val="center"/>
        </w:trPr>
        <w:tc>
          <w:tcPr>
            <w:tcW w:w="1660" w:type="pct"/>
            <w:shd w:val="clear" w:color="auto" w:fill="FFFFFF"/>
            <w:tcMar>
              <w:top w:w="0" w:type="dxa"/>
              <w:left w:w="60" w:type="dxa"/>
              <w:bottom w:w="0" w:type="dxa"/>
              <w:right w:w="60" w:type="dxa"/>
            </w:tcMar>
            <w:hideMark/>
          </w:tcPr>
          <w:p w14:paraId="76822CBB" w14:textId="77777777" w:rsidR="00207E1A" w:rsidRPr="00B64CA9" w:rsidRDefault="00207E1A" w:rsidP="005A26F4">
            <w:pPr>
              <w:pStyle w:val="Table"/>
              <w:rPr>
                <w:b w:val="0"/>
              </w:rPr>
            </w:pPr>
            <w:r w:rsidRPr="00B64CA9">
              <w:rPr>
                <w:b w:val="0"/>
              </w:rPr>
              <w:t>Acne</w:t>
            </w:r>
          </w:p>
        </w:tc>
        <w:tc>
          <w:tcPr>
            <w:tcW w:w="958" w:type="pct"/>
            <w:shd w:val="clear" w:color="auto" w:fill="FFFFFF"/>
            <w:tcMar>
              <w:top w:w="0" w:type="dxa"/>
              <w:left w:w="60" w:type="dxa"/>
              <w:bottom w:w="0" w:type="dxa"/>
              <w:right w:w="60" w:type="dxa"/>
            </w:tcMar>
            <w:hideMark/>
          </w:tcPr>
          <w:p w14:paraId="7AFAE8BB" w14:textId="77777777" w:rsidR="00207E1A" w:rsidRPr="00B64CA9" w:rsidRDefault="00207E1A" w:rsidP="005A26F4">
            <w:pPr>
              <w:pStyle w:val="Table"/>
              <w:rPr>
                <w:b w:val="0"/>
              </w:rPr>
            </w:pPr>
            <w:r w:rsidRPr="00B64CA9">
              <w:rPr>
                <w:b w:val="0"/>
              </w:rPr>
              <w:t>4 (6.3)</w:t>
            </w:r>
          </w:p>
        </w:tc>
        <w:tc>
          <w:tcPr>
            <w:tcW w:w="835" w:type="pct"/>
            <w:shd w:val="clear" w:color="auto" w:fill="FFFFFF"/>
            <w:tcMar>
              <w:top w:w="0" w:type="dxa"/>
              <w:left w:w="60" w:type="dxa"/>
              <w:bottom w:w="0" w:type="dxa"/>
              <w:right w:w="60" w:type="dxa"/>
            </w:tcMar>
            <w:hideMark/>
          </w:tcPr>
          <w:p w14:paraId="06BF563B" w14:textId="77777777" w:rsidR="00207E1A" w:rsidRPr="00B64CA9" w:rsidRDefault="00207E1A" w:rsidP="005A26F4">
            <w:pPr>
              <w:pStyle w:val="Table"/>
              <w:rPr>
                <w:b w:val="0"/>
              </w:rPr>
            </w:pPr>
            <w:r w:rsidRPr="00B64CA9">
              <w:rPr>
                <w:b w:val="0"/>
              </w:rPr>
              <w:t>3 (0.2)</w:t>
            </w:r>
          </w:p>
        </w:tc>
        <w:tc>
          <w:tcPr>
            <w:tcW w:w="835" w:type="pct"/>
            <w:shd w:val="clear" w:color="auto" w:fill="FFFFFF"/>
          </w:tcPr>
          <w:p w14:paraId="755BD87E" w14:textId="77777777" w:rsidR="00207E1A" w:rsidRPr="00B64CA9" w:rsidRDefault="00207E1A" w:rsidP="005A26F4">
            <w:pPr>
              <w:pStyle w:val="Table"/>
              <w:rPr>
                <w:b w:val="0"/>
              </w:rPr>
            </w:pPr>
            <w:r w:rsidRPr="00B64CA9">
              <w:rPr>
                <w:b w:val="0"/>
              </w:rPr>
              <w:t>2 (1.5)</w:t>
            </w:r>
          </w:p>
        </w:tc>
        <w:tc>
          <w:tcPr>
            <w:tcW w:w="712" w:type="pct"/>
            <w:shd w:val="clear" w:color="auto" w:fill="FFFFFF"/>
          </w:tcPr>
          <w:p w14:paraId="5F8D496A" w14:textId="77777777" w:rsidR="00207E1A" w:rsidRPr="00B64CA9" w:rsidRDefault="00207E1A" w:rsidP="005A26F4">
            <w:pPr>
              <w:pStyle w:val="Table"/>
              <w:rPr>
                <w:b w:val="0"/>
              </w:rPr>
            </w:pPr>
            <w:r w:rsidRPr="00B64CA9">
              <w:rPr>
                <w:b w:val="0"/>
              </w:rPr>
              <w:t>7 (1.3)</w:t>
            </w:r>
          </w:p>
        </w:tc>
      </w:tr>
      <w:tr w:rsidR="00207E1A" w:rsidRPr="00B64CA9" w14:paraId="7FF0CD15" w14:textId="77777777" w:rsidTr="005A26F4">
        <w:trPr>
          <w:cantSplit/>
          <w:jc w:val="center"/>
        </w:trPr>
        <w:tc>
          <w:tcPr>
            <w:tcW w:w="1660" w:type="pct"/>
            <w:shd w:val="clear" w:color="auto" w:fill="FFFFFF"/>
            <w:tcMar>
              <w:top w:w="0" w:type="dxa"/>
              <w:left w:w="60" w:type="dxa"/>
              <w:bottom w:w="0" w:type="dxa"/>
              <w:right w:w="60" w:type="dxa"/>
            </w:tcMar>
            <w:hideMark/>
          </w:tcPr>
          <w:p w14:paraId="08001A12" w14:textId="77777777" w:rsidR="00207E1A" w:rsidRPr="00B64CA9" w:rsidRDefault="00207E1A" w:rsidP="005A26F4">
            <w:pPr>
              <w:pStyle w:val="Table"/>
              <w:rPr>
                <w:b w:val="0"/>
              </w:rPr>
            </w:pPr>
            <w:r w:rsidRPr="00B64CA9">
              <w:rPr>
                <w:b w:val="0"/>
              </w:rPr>
              <w:t>Abdominal pain upper</w:t>
            </w:r>
          </w:p>
        </w:tc>
        <w:tc>
          <w:tcPr>
            <w:tcW w:w="958" w:type="pct"/>
            <w:shd w:val="clear" w:color="auto" w:fill="FFFFFF"/>
            <w:tcMar>
              <w:top w:w="0" w:type="dxa"/>
              <w:left w:w="60" w:type="dxa"/>
              <w:bottom w:w="0" w:type="dxa"/>
              <w:right w:w="60" w:type="dxa"/>
            </w:tcMar>
            <w:hideMark/>
          </w:tcPr>
          <w:p w14:paraId="06F4E475" w14:textId="77777777" w:rsidR="00207E1A" w:rsidRPr="00B64CA9" w:rsidRDefault="00207E1A" w:rsidP="005A26F4">
            <w:pPr>
              <w:pStyle w:val="Table"/>
              <w:rPr>
                <w:b w:val="0"/>
              </w:rPr>
            </w:pPr>
            <w:r w:rsidRPr="00B64CA9">
              <w:rPr>
                <w:b w:val="0"/>
              </w:rPr>
              <w:t>1 (1.6)</w:t>
            </w:r>
          </w:p>
        </w:tc>
        <w:tc>
          <w:tcPr>
            <w:tcW w:w="835" w:type="pct"/>
            <w:shd w:val="clear" w:color="auto" w:fill="FFFFFF"/>
            <w:tcMar>
              <w:top w:w="0" w:type="dxa"/>
              <w:left w:w="60" w:type="dxa"/>
              <w:bottom w:w="0" w:type="dxa"/>
              <w:right w:w="60" w:type="dxa"/>
            </w:tcMar>
            <w:hideMark/>
          </w:tcPr>
          <w:p w14:paraId="7BED0DA7" w14:textId="77777777" w:rsidR="00207E1A" w:rsidRPr="00B64CA9" w:rsidRDefault="00207E1A" w:rsidP="005A26F4">
            <w:pPr>
              <w:pStyle w:val="Table"/>
              <w:rPr>
                <w:b w:val="0"/>
              </w:rPr>
            </w:pPr>
            <w:r w:rsidRPr="00B64CA9">
              <w:rPr>
                <w:b w:val="0"/>
              </w:rPr>
              <w:t>18 (1.3)</w:t>
            </w:r>
          </w:p>
        </w:tc>
        <w:tc>
          <w:tcPr>
            <w:tcW w:w="835" w:type="pct"/>
            <w:shd w:val="clear" w:color="auto" w:fill="FFFFFF"/>
          </w:tcPr>
          <w:p w14:paraId="5031C5DD" w14:textId="77777777" w:rsidR="00207E1A" w:rsidRPr="00B64CA9" w:rsidRDefault="00207E1A" w:rsidP="005A26F4">
            <w:pPr>
              <w:pStyle w:val="Table"/>
              <w:rPr>
                <w:b w:val="0"/>
              </w:rPr>
            </w:pPr>
            <w:r w:rsidRPr="00B64CA9">
              <w:rPr>
                <w:b w:val="0"/>
              </w:rPr>
              <w:t>7 (5.2)</w:t>
            </w:r>
          </w:p>
        </w:tc>
        <w:tc>
          <w:tcPr>
            <w:tcW w:w="712" w:type="pct"/>
            <w:shd w:val="clear" w:color="auto" w:fill="FFFFFF"/>
          </w:tcPr>
          <w:p w14:paraId="2080956A" w14:textId="77777777" w:rsidR="00207E1A" w:rsidRPr="00B64CA9" w:rsidRDefault="00207E1A" w:rsidP="005A26F4">
            <w:pPr>
              <w:pStyle w:val="Table"/>
              <w:rPr>
                <w:b w:val="0"/>
              </w:rPr>
            </w:pPr>
            <w:r w:rsidRPr="00B64CA9">
              <w:rPr>
                <w:b w:val="0"/>
              </w:rPr>
              <w:t>6 (1.1)</w:t>
            </w:r>
          </w:p>
        </w:tc>
      </w:tr>
      <w:tr w:rsidR="00207E1A" w:rsidRPr="00B64CA9" w14:paraId="7B77EBEF" w14:textId="77777777" w:rsidTr="005A26F4">
        <w:trPr>
          <w:cantSplit/>
          <w:jc w:val="center"/>
        </w:trPr>
        <w:tc>
          <w:tcPr>
            <w:tcW w:w="1660" w:type="pct"/>
            <w:shd w:val="clear" w:color="auto" w:fill="FFFFFF"/>
            <w:tcMar>
              <w:top w:w="0" w:type="dxa"/>
              <w:left w:w="60" w:type="dxa"/>
              <w:bottom w:w="0" w:type="dxa"/>
              <w:right w:w="60" w:type="dxa"/>
            </w:tcMar>
            <w:hideMark/>
          </w:tcPr>
          <w:p w14:paraId="53F8AD11" w14:textId="77777777" w:rsidR="00207E1A" w:rsidRPr="00B64CA9" w:rsidRDefault="00207E1A" w:rsidP="005A26F4">
            <w:pPr>
              <w:pStyle w:val="Table"/>
              <w:rPr>
                <w:b w:val="0"/>
              </w:rPr>
            </w:pPr>
            <w:r w:rsidRPr="00B64CA9">
              <w:rPr>
                <w:b w:val="0"/>
              </w:rPr>
              <w:t>Eczema</w:t>
            </w:r>
          </w:p>
        </w:tc>
        <w:tc>
          <w:tcPr>
            <w:tcW w:w="958" w:type="pct"/>
            <w:shd w:val="clear" w:color="auto" w:fill="FFFFFF"/>
            <w:tcMar>
              <w:top w:w="0" w:type="dxa"/>
              <w:left w:w="60" w:type="dxa"/>
              <w:bottom w:w="0" w:type="dxa"/>
              <w:right w:w="60" w:type="dxa"/>
            </w:tcMar>
            <w:hideMark/>
          </w:tcPr>
          <w:p w14:paraId="06144A8F" w14:textId="77777777" w:rsidR="00207E1A" w:rsidRPr="00B64CA9" w:rsidRDefault="00207E1A" w:rsidP="005A26F4">
            <w:pPr>
              <w:pStyle w:val="Table"/>
              <w:rPr>
                <w:b w:val="0"/>
              </w:rPr>
            </w:pPr>
            <w:r w:rsidRPr="00B64CA9">
              <w:rPr>
                <w:b w:val="0"/>
              </w:rPr>
              <w:t>0 (0.0)</w:t>
            </w:r>
          </w:p>
        </w:tc>
        <w:tc>
          <w:tcPr>
            <w:tcW w:w="835" w:type="pct"/>
            <w:shd w:val="clear" w:color="auto" w:fill="FFFFFF"/>
            <w:tcMar>
              <w:top w:w="0" w:type="dxa"/>
              <w:left w:w="60" w:type="dxa"/>
              <w:bottom w:w="0" w:type="dxa"/>
              <w:right w:w="60" w:type="dxa"/>
            </w:tcMar>
            <w:hideMark/>
          </w:tcPr>
          <w:p w14:paraId="537CFA35" w14:textId="77777777" w:rsidR="00207E1A" w:rsidRPr="00B64CA9" w:rsidRDefault="00207E1A" w:rsidP="005A26F4">
            <w:pPr>
              <w:pStyle w:val="Table"/>
              <w:rPr>
                <w:b w:val="0"/>
              </w:rPr>
            </w:pPr>
            <w:r w:rsidRPr="00B64CA9">
              <w:rPr>
                <w:b w:val="0"/>
              </w:rPr>
              <w:t>23 (1.6)</w:t>
            </w:r>
          </w:p>
        </w:tc>
        <w:tc>
          <w:tcPr>
            <w:tcW w:w="835" w:type="pct"/>
            <w:shd w:val="clear" w:color="auto" w:fill="FFFFFF"/>
          </w:tcPr>
          <w:p w14:paraId="7C97AE2C" w14:textId="77777777" w:rsidR="00207E1A" w:rsidRPr="00B64CA9" w:rsidRDefault="00207E1A" w:rsidP="005A26F4">
            <w:pPr>
              <w:pStyle w:val="Table"/>
              <w:rPr>
                <w:b w:val="0"/>
              </w:rPr>
            </w:pPr>
            <w:r w:rsidRPr="00B64CA9">
              <w:rPr>
                <w:b w:val="0"/>
              </w:rPr>
              <w:t>6 (4.5)</w:t>
            </w:r>
          </w:p>
        </w:tc>
        <w:tc>
          <w:tcPr>
            <w:tcW w:w="712" w:type="pct"/>
            <w:shd w:val="clear" w:color="auto" w:fill="FFFFFF"/>
          </w:tcPr>
          <w:p w14:paraId="6201D5E7" w14:textId="77777777" w:rsidR="00207E1A" w:rsidRPr="00B64CA9" w:rsidRDefault="00207E1A" w:rsidP="005A26F4">
            <w:pPr>
              <w:pStyle w:val="Table"/>
              <w:rPr>
                <w:b w:val="0"/>
              </w:rPr>
            </w:pPr>
            <w:r w:rsidRPr="00B64CA9">
              <w:rPr>
                <w:b w:val="0"/>
              </w:rPr>
              <w:t>6 (1.1)</w:t>
            </w:r>
          </w:p>
        </w:tc>
      </w:tr>
      <w:tr w:rsidR="00207E1A" w:rsidRPr="00B64CA9" w14:paraId="71738956" w14:textId="77777777" w:rsidTr="00B64CA9">
        <w:trPr>
          <w:cantSplit/>
          <w:jc w:val="center"/>
        </w:trPr>
        <w:tc>
          <w:tcPr>
            <w:tcW w:w="1660" w:type="pct"/>
            <w:tcBorders>
              <w:top w:val="nil"/>
              <w:left w:val="nil"/>
              <w:bottom w:val="single" w:sz="4" w:space="0" w:color="auto"/>
              <w:right w:val="nil"/>
            </w:tcBorders>
            <w:shd w:val="clear" w:color="auto" w:fill="FFFFFF"/>
            <w:tcMar>
              <w:top w:w="0" w:type="dxa"/>
              <w:left w:w="60" w:type="dxa"/>
              <w:bottom w:w="0" w:type="dxa"/>
              <w:right w:w="60" w:type="dxa"/>
            </w:tcMar>
            <w:hideMark/>
          </w:tcPr>
          <w:p w14:paraId="42A33B0B" w14:textId="77777777" w:rsidR="00207E1A" w:rsidRPr="00B64CA9" w:rsidRDefault="00207E1A" w:rsidP="005A26F4">
            <w:pPr>
              <w:pStyle w:val="Table"/>
              <w:rPr>
                <w:b w:val="0"/>
              </w:rPr>
            </w:pPr>
            <w:r w:rsidRPr="00B64CA9">
              <w:rPr>
                <w:b w:val="0"/>
              </w:rPr>
              <w:t>Dysmenorrhea</w:t>
            </w:r>
          </w:p>
        </w:tc>
        <w:tc>
          <w:tcPr>
            <w:tcW w:w="958" w:type="pct"/>
            <w:tcBorders>
              <w:top w:val="nil"/>
              <w:left w:val="nil"/>
              <w:bottom w:val="single" w:sz="4" w:space="0" w:color="auto"/>
              <w:right w:val="nil"/>
            </w:tcBorders>
            <w:shd w:val="clear" w:color="auto" w:fill="FFFFFF"/>
            <w:tcMar>
              <w:top w:w="0" w:type="dxa"/>
              <w:left w:w="60" w:type="dxa"/>
              <w:bottom w:w="0" w:type="dxa"/>
              <w:right w:w="60" w:type="dxa"/>
            </w:tcMar>
            <w:hideMark/>
          </w:tcPr>
          <w:p w14:paraId="0B1CDB5B" w14:textId="77777777" w:rsidR="00207E1A" w:rsidRPr="00B64CA9" w:rsidRDefault="00207E1A" w:rsidP="005A26F4">
            <w:pPr>
              <w:pStyle w:val="Table"/>
              <w:rPr>
                <w:b w:val="0"/>
              </w:rPr>
            </w:pPr>
            <w:r w:rsidRPr="00B64CA9">
              <w:rPr>
                <w:b w:val="0"/>
              </w:rPr>
              <w:t>3 (4.7)</w:t>
            </w:r>
          </w:p>
        </w:tc>
        <w:tc>
          <w:tcPr>
            <w:tcW w:w="835" w:type="pct"/>
            <w:tcBorders>
              <w:top w:val="nil"/>
              <w:left w:val="nil"/>
              <w:bottom w:val="single" w:sz="4" w:space="0" w:color="auto"/>
              <w:right w:val="nil"/>
            </w:tcBorders>
            <w:shd w:val="clear" w:color="auto" w:fill="FFFFFF"/>
            <w:tcMar>
              <w:top w:w="0" w:type="dxa"/>
              <w:left w:w="60" w:type="dxa"/>
              <w:bottom w:w="0" w:type="dxa"/>
              <w:right w:w="60" w:type="dxa"/>
            </w:tcMar>
            <w:hideMark/>
          </w:tcPr>
          <w:p w14:paraId="6D17FB09" w14:textId="77777777" w:rsidR="00207E1A" w:rsidRPr="00B64CA9" w:rsidRDefault="00207E1A" w:rsidP="005A26F4">
            <w:pPr>
              <w:pStyle w:val="Table"/>
              <w:rPr>
                <w:b w:val="0"/>
              </w:rPr>
            </w:pPr>
            <w:r w:rsidRPr="00B64CA9">
              <w:rPr>
                <w:b w:val="0"/>
              </w:rPr>
              <w:t>6 (0.4)</w:t>
            </w:r>
          </w:p>
        </w:tc>
        <w:tc>
          <w:tcPr>
            <w:tcW w:w="835" w:type="pct"/>
            <w:tcBorders>
              <w:top w:val="nil"/>
              <w:left w:val="nil"/>
              <w:bottom w:val="single" w:sz="4" w:space="0" w:color="auto"/>
              <w:right w:val="nil"/>
            </w:tcBorders>
            <w:shd w:val="clear" w:color="auto" w:fill="FFFFFF"/>
          </w:tcPr>
          <w:p w14:paraId="4C068553" w14:textId="77777777" w:rsidR="00207E1A" w:rsidRPr="00B64CA9" w:rsidRDefault="00207E1A" w:rsidP="005A26F4">
            <w:pPr>
              <w:pStyle w:val="Table"/>
              <w:rPr>
                <w:b w:val="0"/>
              </w:rPr>
            </w:pPr>
            <w:r w:rsidRPr="00B64CA9">
              <w:rPr>
                <w:b w:val="0"/>
              </w:rPr>
              <w:t>3 (2.2)</w:t>
            </w:r>
          </w:p>
        </w:tc>
        <w:tc>
          <w:tcPr>
            <w:tcW w:w="712" w:type="pct"/>
            <w:tcBorders>
              <w:top w:val="nil"/>
              <w:left w:val="nil"/>
              <w:bottom w:val="single" w:sz="4" w:space="0" w:color="auto"/>
              <w:right w:val="nil"/>
            </w:tcBorders>
            <w:shd w:val="clear" w:color="auto" w:fill="FFFFFF"/>
          </w:tcPr>
          <w:p w14:paraId="3135A123" w14:textId="77777777" w:rsidR="00207E1A" w:rsidRPr="00B64CA9" w:rsidRDefault="00207E1A" w:rsidP="005A26F4">
            <w:pPr>
              <w:pStyle w:val="Table"/>
              <w:rPr>
                <w:b w:val="0"/>
              </w:rPr>
            </w:pPr>
            <w:r w:rsidRPr="00B64CA9">
              <w:rPr>
                <w:b w:val="0"/>
              </w:rPr>
              <w:t>3 (0.5)</w:t>
            </w:r>
          </w:p>
        </w:tc>
      </w:tr>
      <w:tr w:rsidR="00207E1A" w:rsidRPr="00B64CA9" w14:paraId="2CBBE645" w14:textId="77777777" w:rsidTr="00B64CA9">
        <w:trPr>
          <w:cantSplit/>
          <w:jc w:val="center"/>
        </w:trPr>
        <w:tc>
          <w:tcPr>
            <w:tcW w:w="5000" w:type="pct"/>
            <w:gridSpan w:val="5"/>
            <w:tcBorders>
              <w:top w:val="single" w:sz="4" w:space="0" w:color="auto"/>
              <w:left w:val="nil"/>
              <w:right w:val="nil"/>
            </w:tcBorders>
            <w:shd w:val="clear" w:color="auto" w:fill="FFFFFF"/>
            <w:tcMar>
              <w:top w:w="0" w:type="dxa"/>
              <w:left w:w="60" w:type="dxa"/>
              <w:bottom w:w="0" w:type="dxa"/>
              <w:right w:w="60" w:type="dxa"/>
            </w:tcMar>
          </w:tcPr>
          <w:p w14:paraId="7868AF56" w14:textId="77777777" w:rsidR="00207E1A" w:rsidRPr="00B64CA9" w:rsidRDefault="00207E1A" w:rsidP="005A26F4">
            <w:pPr>
              <w:pStyle w:val="Table"/>
              <w:ind w:left="0" w:firstLine="0"/>
              <w:rPr>
                <w:b w:val="0"/>
                <w:sz w:val="14"/>
              </w:rPr>
            </w:pPr>
            <w:r w:rsidRPr="00B64CA9">
              <w:rPr>
                <w:b w:val="0"/>
                <w:sz w:val="14"/>
              </w:rPr>
              <w:t>Preferred terms are sorted in descending order of frequency in adult (Severe psoriasis) any AIN457 column.</w:t>
            </w:r>
          </w:p>
          <w:p w14:paraId="631B6343" w14:textId="77777777" w:rsidR="00207E1A" w:rsidRPr="00B64CA9" w:rsidRDefault="00207E1A" w:rsidP="005A26F4">
            <w:pPr>
              <w:pStyle w:val="Table"/>
              <w:ind w:left="0" w:firstLine="0"/>
              <w:rPr>
                <w:b w:val="0"/>
                <w:sz w:val="14"/>
              </w:rPr>
            </w:pPr>
            <w:r w:rsidRPr="00B64CA9">
              <w:rPr>
                <w:b w:val="0"/>
                <w:sz w:val="14"/>
              </w:rPr>
              <w:t>A subject with multiple adverse events within a primary Preferred term is counted only once in the Preferred term.</w:t>
            </w:r>
          </w:p>
        </w:tc>
      </w:tr>
    </w:tbl>
    <w:p w14:paraId="3F7DB23E" w14:textId="77777777" w:rsidR="00207E1A" w:rsidRPr="00B64CA9" w:rsidRDefault="00207E1A" w:rsidP="0081558E">
      <w:pPr>
        <w:jc w:val="both"/>
        <w:rPr>
          <w:rFonts w:asciiTheme="majorHAnsi" w:eastAsiaTheme="majorEastAsia" w:hAnsiTheme="majorHAnsi" w:cstheme="minorHAnsi"/>
          <w:b/>
          <w:bCs/>
        </w:rPr>
      </w:pPr>
    </w:p>
    <w:p w14:paraId="542BD1CF"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Adverse drug reactions from spontaneous reports and literature cases (frequency not known)</w:t>
      </w:r>
    </w:p>
    <w:p w14:paraId="301CD182" w14:textId="77777777" w:rsidR="00353978" w:rsidRPr="00B64CA9" w:rsidRDefault="00AF4E63" w:rsidP="002D07A3">
      <w:pPr>
        <w:spacing w:line="240" w:lineRule="auto"/>
        <w:jc w:val="both"/>
        <w:rPr>
          <w:rFonts w:cstheme="minorHAnsi"/>
        </w:rPr>
      </w:pPr>
      <w:r w:rsidRPr="00B64CA9">
        <w:rPr>
          <w:rFonts w:cstheme="minorHAnsi"/>
        </w:rPr>
        <w:t>The following adverse drug reactions have been derived from post-marketing experience with Cosentyx via spontaneous case reports and literature cases. Because these reactions are reported voluntarily from a population of uncertain size, it is not possible to reliably estimate their frequency which is therefore categorised as not known. Adverse drug reactions are listed according to system organ classes in MedDRA. Within each system organ class, ADRs are presented in order of decreasing seriousness.</w:t>
      </w:r>
      <w:bookmarkStart w:id="5" w:name="_Toc476323338"/>
    </w:p>
    <w:p w14:paraId="5C9E43DD" w14:textId="77777777" w:rsidR="00AF4E63" w:rsidRPr="00B64CA9" w:rsidRDefault="00AF4E63" w:rsidP="002D07A3">
      <w:pPr>
        <w:spacing w:after="120"/>
        <w:ind w:left="1166" w:hanging="1166"/>
        <w:jc w:val="both"/>
        <w:rPr>
          <w:rFonts w:ascii="Arial" w:hAnsi="Arial" w:cs="Arial"/>
          <w:b/>
          <w:sz w:val="20"/>
        </w:rPr>
      </w:pPr>
      <w:r w:rsidRPr="00B64CA9">
        <w:rPr>
          <w:rFonts w:ascii="Arial" w:hAnsi="Arial" w:cs="Arial"/>
          <w:b/>
          <w:sz w:val="20"/>
        </w:rPr>
        <w:t xml:space="preserve">Table </w:t>
      </w:r>
      <w:r w:rsidR="00207E1A" w:rsidRPr="00B64CA9">
        <w:rPr>
          <w:rFonts w:ascii="Arial" w:hAnsi="Arial" w:cs="Arial"/>
          <w:b/>
          <w:sz w:val="20"/>
        </w:rPr>
        <w:t>7</w:t>
      </w:r>
      <w:r w:rsidRPr="00B64CA9">
        <w:rPr>
          <w:rFonts w:ascii="Arial" w:hAnsi="Arial" w:cs="Arial"/>
          <w:b/>
          <w:sz w:val="20"/>
        </w:rPr>
        <w:tab/>
        <w:t>Adverse drug reactions from spontaneous reports and literature (frequency not known)</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F4E63" w:rsidRPr="00B64CA9" w14:paraId="580C52CC" w14:textId="77777777" w:rsidTr="002D07A3">
        <w:trPr>
          <w:trHeight w:val="567"/>
        </w:trPr>
        <w:tc>
          <w:tcPr>
            <w:tcW w:w="9039" w:type="dxa"/>
            <w:vAlign w:val="center"/>
            <w:hideMark/>
          </w:tcPr>
          <w:p w14:paraId="3E9E54BF" w14:textId="77777777" w:rsidR="00AF4E63" w:rsidRPr="00B64CA9" w:rsidRDefault="00AF4E63" w:rsidP="002D07A3">
            <w:pPr>
              <w:spacing w:after="60" w:line="240" w:lineRule="auto"/>
            </w:pPr>
            <w:r w:rsidRPr="00B64CA9">
              <w:rPr>
                <w:rFonts w:ascii="Arial" w:hAnsi="Arial" w:cs="Arial"/>
                <w:b/>
                <w:sz w:val="18"/>
              </w:rPr>
              <w:t>Infections and infestations</w:t>
            </w:r>
          </w:p>
          <w:p w14:paraId="5B25E699" w14:textId="77777777" w:rsidR="00AF4E63" w:rsidRPr="00B64CA9" w:rsidRDefault="00AF4E63" w:rsidP="002D07A3">
            <w:pPr>
              <w:spacing w:after="60" w:line="240" w:lineRule="auto"/>
            </w:pPr>
            <w:r w:rsidRPr="00B64CA9">
              <w:rPr>
                <w:rFonts w:ascii="Arial" w:hAnsi="Arial" w:cs="Arial"/>
                <w:sz w:val="18"/>
              </w:rPr>
              <w:t xml:space="preserve">Mucosal and cutaneous candidiasis </w:t>
            </w:r>
          </w:p>
        </w:tc>
      </w:tr>
    </w:tbl>
    <w:p w14:paraId="6BD1466E" w14:textId="77777777" w:rsidR="00AF4E63" w:rsidRPr="00B64CA9" w:rsidRDefault="00AF4E63" w:rsidP="0081558E">
      <w:pPr>
        <w:spacing w:after="80"/>
        <w:jc w:val="both"/>
        <w:rPr>
          <w:rFonts w:ascii="Arial" w:hAnsi="Arial" w:cs="Arial"/>
          <w:b/>
        </w:rPr>
      </w:pPr>
    </w:p>
    <w:p w14:paraId="5687E07F" w14:textId="77777777" w:rsidR="00B83E25" w:rsidRPr="00B64CA9" w:rsidRDefault="00B83E25">
      <w:pPr>
        <w:rPr>
          <w:rFonts w:asciiTheme="majorHAnsi" w:eastAsiaTheme="majorEastAsia" w:hAnsiTheme="majorHAnsi" w:cstheme="minorHAnsi"/>
          <w:b/>
          <w:bCs/>
        </w:rPr>
      </w:pPr>
      <w:r w:rsidRPr="00B64CA9">
        <w:rPr>
          <w:rFonts w:asciiTheme="majorHAnsi" w:eastAsiaTheme="majorEastAsia" w:hAnsiTheme="majorHAnsi" w:cstheme="minorHAnsi"/>
          <w:b/>
          <w:bCs/>
        </w:rPr>
        <w:br w:type="page"/>
      </w:r>
    </w:p>
    <w:p w14:paraId="35BC4FC3" w14:textId="77777777" w:rsidR="00207E1A" w:rsidRPr="00B64CA9" w:rsidRDefault="00207E1A" w:rsidP="00207E1A">
      <w:pPr>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Description of selected adverse drug reactions</w:t>
      </w:r>
    </w:p>
    <w:p w14:paraId="144CCDB3" w14:textId="77777777" w:rsidR="00207E1A" w:rsidRPr="00B64CA9" w:rsidRDefault="00207E1A" w:rsidP="00207E1A">
      <w:pPr>
        <w:jc w:val="both"/>
        <w:rPr>
          <w:rFonts w:asciiTheme="majorHAnsi" w:eastAsiaTheme="majorEastAsia" w:hAnsiTheme="majorHAnsi" w:cstheme="minorHAnsi"/>
          <w:b/>
          <w:bCs/>
          <w:i/>
        </w:rPr>
      </w:pPr>
      <w:r w:rsidRPr="00B64CA9">
        <w:rPr>
          <w:rFonts w:asciiTheme="majorHAnsi" w:eastAsiaTheme="majorEastAsia" w:hAnsiTheme="majorHAnsi" w:cstheme="minorHAnsi"/>
          <w:b/>
          <w:bCs/>
          <w:i/>
        </w:rPr>
        <w:t>Adult patients</w:t>
      </w:r>
    </w:p>
    <w:p w14:paraId="617C080B" w14:textId="77777777" w:rsidR="00AF4E63" w:rsidRPr="00B64CA9" w:rsidRDefault="00AF4E63" w:rsidP="00984CE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Infections</w:t>
      </w:r>
    </w:p>
    <w:p w14:paraId="6E4D7ACA" w14:textId="77777777" w:rsidR="00AF4E63" w:rsidRPr="00B64CA9" w:rsidRDefault="00AF4E63" w:rsidP="00D125DE">
      <w:pPr>
        <w:spacing w:line="240" w:lineRule="auto"/>
        <w:jc w:val="both"/>
        <w:rPr>
          <w:rFonts w:cstheme="minorHAnsi"/>
          <w:color w:val="000000" w:themeColor="text1"/>
        </w:rPr>
      </w:pPr>
      <w:r w:rsidRPr="00B64CA9">
        <w:rPr>
          <w:rFonts w:cstheme="minorHAnsi"/>
          <w:color w:val="000000" w:themeColor="text1"/>
        </w:rPr>
        <w:t xml:space="preserve">In the placebo-controlled period of clinical studies in plaque psoriasis (a total of 1,382 patients treated with COSENTYX and 694 patients treated with placebo for up to 12 weeks), infections were reported in 28.7 % of patients treated with COSENTYX compared with 18.9 % of patients treated with placebo. Most of these were mild or moderate. Serious infections occurred in 0.14 % of patients treated with COSENTYX and in 0.3 % of patients treated with placebo (see </w:t>
      </w:r>
      <w:r w:rsidR="009F0E42" w:rsidRPr="00B64CA9">
        <w:rPr>
          <w:rFonts w:cstheme="minorHAnsi"/>
          <w:color w:val="000000" w:themeColor="text1"/>
        </w:rPr>
        <w:t xml:space="preserve">section </w:t>
      </w:r>
      <w:r w:rsidR="009F0E42" w:rsidRPr="00B64CA9">
        <w:rPr>
          <w:rFonts w:eastAsia="MS Mincho" w:cs="Arial"/>
        </w:rPr>
        <w:t xml:space="preserve">4.4 </w:t>
      </w:r>
      <w:r w:rsidR="009F0E42" w:rsidRPr="00B64CA9">
        <w:rPr>
          <w:rFonts w:cs="Arial"/>
          <w:iCs/>
        </w:rPr>
        <w:t>SPECIAL WARNINGS AND PRECAUTIONS FOR USE</w:t>
      </w:r>
      <w:r w:rsidRPr="00B64CA9">
        <w:rPr>
          <w:rFonts w:cstheme="minorHAnsi"/>
          <w:color w:val="000000" w:themeColor="text1"/>
        </w:rPr>
        <w:t>).</w:t>
      </w:r>
    </w:p>
    <w:p w14:paraId="2D6C8DB2" w14:textId="77777777" w:rsidR="00AF4E63" w:rsidRPr="00B64CA9" w:rsidRDefault="00AF4E63" w:rsidP="00D125DE">
      <w:pPr>
        <w:spacing w:line="240" w:lineRule="auto"/>
        <w:jc w:val="both"/>
        <w:rPr>
          <w:rFonts w:cstheme="minorHAnsi"/>
          <w:color w:val="000000" w:themeColor="text1"/>
        </w:rPr>
      </w:pPr>
      <w:r w:rsidRPr="00B64CA9">
        <w:rPr>
          <w:rFonts w:cstheme="minorHAnsi"/>
          <w:color w:val="000000" w:themeColor="text1"/>
        </w:rPr>
        <w:t xml:space="preserve">Over the entire treatment period (a total of 3,430 patients treated with COSENTYX for up to 52 weeks for </w:t>
      </w:r>
      <w:proofErr w:type="gramStart"/>
      <w:r w:rsidRPr="00B64CA9">
        <w:rPr>
          <w:rFonts w:cstheme="minorHAnsi"/>
          <w:color w:val="000000" w:themeColor="text1"/>
        </w:rPr>
        <w:t>the majority of</w:t>
      </w:r>
      <w:proofErr w:type="gramEnd"/>
      <w:r w:rsidRPr="00B64CA9">
        <w:rPr>
          <w:rFonts w:cstheme="minorHAnsi"/>
          <w:color w:val="000000" w:themeColor="text1"/>
        </w:rPr>
        <w:t xml:space="preserve"> patients), infections were reported in 47.5 % of patients treated with COSENTYX (0.9 per patient-year of follow-up). Serious infections were reported in 1.2 % of patients treated with COSENTYX (0.015 per patient-year of follow-up).</w:t>
      </w:r>
    </w:p>
    <w:p w14:paraId="3884B850" w14:textId="77777777" w:rsidR="00AF4E63" w:rsidRPr="00B64CA9" w:rsidRDefault="00AF4E63" w:rsidP="00D125DE">
      <w:pPr>
        <w:spacing w:line="240" w:lineRule="auto"/>
        <w:jc w:val="both"/>
        <w:rPr>
          <w:rFonts w:cstheme="minorHAnsi"/>
          <w:color w:val="000000" w:themeColor="text1"/>
        </w:rPr>
      </w:pPr>
      <w:r w:rsidRPr="00B64CA9">
        <w:rPr>
          <w:rFonts w:cstheme="minorHAnsi"/>
          <w:color w:val="000000" w:themeColor="text1"/>
        </w:rPr>
        <w:t>There was an increase in mucosal or cutaneous candidiasis, related to the mechanism of action.  The cases were mild or moderate in severity, non-serious, responsive to standard treatment and did not necessitate treatment discontinuation.  Frequency of candida infection was 1.2% (</w:t>
      </w:r>
      <w:proofErr w:type="spellStart"/>
      <w:r w:rsidRPr="00B64CA9">
        <w:rPr>
          <w:rFonts w:cstheme="minorHAnsi"/>
          <w:color w:val="000000" w:themeColor="text1"/>
        </w:rPr>
        <w:t>secukinumab</w:t>
      </w:r>
      <w:proofErr w:type="spellEnd"/>
      <w:r w:rsidRPr="00B64CA9">
        <w:rPr>
          <w:rFonts w:cstheme="minorHAnsi"/>
          <w:color w:val="000000" w:themeColor="text1"/>
        </w:rPr>
        <w:t xml:space="preserve"> 300 mg) vs 0.3% (placebo and etanercept arms) in the induction period.</w:t>
      </w:r>
    </w:p>
    <w:p w14:paraId="569F95F3" w14:textId="77777777" w:rsidR="00AF4E63" w:rsidRPr="00B64CA9" w:rsidRDefault="00AF4E63" w:rsidP="00D125DE">
      <w:pPr>
        <w:spacing w:line="240" w:lineRule="auto"/>
        <w:jc w:val="both"/>
        <w:rPr>
          <w:rFonts w:cstheme="minorHAnsi"/>
          <w:color w:val="000000" w:themeColor="text1"/>
        </w:rPr>
      </w:pPr>
      <w:r w:rsidRPr="00B64CA9">
        <w:rPr>
          <w:rFonts w:cstheme="minorHAnsi"/>
          <w:color w:val="000000" w:themeColor="text1"/>
        </w:rPr>
        <w:t xml:space="preserve">Infection rates as observed in psoriatic arthritis and </w:t>
      </w:r>
      <w:r w:rsidR="007A2F8A" w:rsidRPr="00B64CA9">
        <w:rPr>
          <w:rFonts w:cstheme="minorHAnsi"/>
          <w:color w:val="000000" w:themeColor="text1"/>
        </w:rPr>
        <w:t xml:space="preserve">axial </w:t>
      </w:r>
      <w:proofErr w:type="spellStart"/>
      <w:r w:rsidR="007A2F8A" w:rsidRPr="00B64CA9">
        <w:rPr>
          <w:rFonts w:cstheme="minorHAnsi"/>
          <w:color w:val="000000" w:themeColor="text1"/>
        </w:rPr>
        <w:t>spondyloarthritis</w:t>
      </w:r>
      <w:proofErr w:type="spellEnd"/>
      <w:r w:rsidR="007A2F8A" w:rsidRPr="00B64CA9">
        <w:rPr>
          <w:rFonts w:cstheme="minorHAnsi"/>
          <w:color w:val="000000" w:themeColor="text1"/>
        </w:rPr>
        <w:t xml:space="preserve"> (</w:t>
      </w:r>
      <w:r w:rsidRPr="00B64CA9">
        <w:rPr>
          <w:rFonts w:cstheme="minorHAnsi"/>
          <w:color w:val="000000" w:themeColor="text1"/>
        </w:rPr>
        <w:t>ankylosing spondylitis</w:t>
      </w:r>
      <w:r w:rsidR="007A2F8A" w:rsidRPr="00B64CA9">
        <w:rPr>
          <w:rFonts w:cstheme="minorHAnsi"/>
          <w:color w:val="000000" w:themeColor="text1"/>
        </w:rPr>
        <w:t xml:space="preserve"> and non-radiographic axial </w:t>
      </w:r>
      <w:proofErr w:type="spellStart"/>
      <w:r w:rsidR="007A2F8A" w:rsidRPr="00B64CA9">
        <w:rPr>
          <w:rFonts w:cstheme="minorHAnsi"/>
          <w:color w:val="000000" w:themeColor="text1"/>
        </w:rPr>
        <w:t>spondyloarthritis</w:t>
      </w:r>
      <w:proofErr w:type="spellEnd"/>
      <w:r w:rsidR="007A2F8A" w:rsidRPr="00B64CA9">
        <w:rPr>
          <w:rFonts w:cstheme="minorHAnsi"/>
          <w:color w:val="000000" w:themeColor="text1"/>
        </w:rPr>
        <w:t>)</w:t>
      </w:r>
      <w:r w:rsidRPr="00B64CA9">
        <w:rPr>
          <w:rFonts w:cstheme="minorHAnsi"/>
          <w:color w:val="000000" w:themeColor="text1"/>
        </w:rPr>
        <w:t xml:space="preserve"> clinical studies were </w:t>
      </w:r>
      <w:proofErr w:type="gramStart"/>
      <w:r w:rsidRPr="00B64CA9">
        <w:rPr>
          <w:rFonts w:cstheme="minorHAnsi"/>
          <w:color w:val="000000" w:themeColor="text1"/>
        </w:rPr>
        <w:t>similar to</w:t>
      </w:r>
      <w:proofErr w:type="gramEnd"/>
      <w:r w:rsidRPr="00B64CA9">
        <w:rPr>
          <w:rFonts w:cstheme="minorHAnsi"/>
          <w:color w:val="000000" w:themeColor="text1"/>
        </w:rPr>
        <w:t xml:space="preserve"> what was observed in the psoriasis studies.</w:t>
      </w:r>
    </w:p>
    <w:p w14:paraId="434870A8"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Neutropenia</w:t>
      </w:r>
    </w:p>
    <w:p w14:paraId="4D16ADA7" w14:textId="77777777" w:rsidR="00AF4E63" w:rsidRPr="00B64CA9" w:rsidRDefault="00AF4E63" w:rsidP="00D125DE">
      <w:pPr>
        <w:spacing w:line="240" w:lineRule="auto"/>
        <w:jc w:val="both"/>
        <w:rPr>
          <w:rFonts w:cstheme="minorHAnsi"/>
        </w:rPr>
      </w:pPr>
      <w:r w:rsidRPr="00B64CA9">
        <w:rPr>
          <w:rFonts w:cstheme="minorHAnsi"/>
        </w:rPr>
        <w:t xml:space="preserve">In psoriasis phase 3 clinical studies, neutropenia was more frequently observed with </w:t>
      </w:r>
      <w:proofErr w:type="spellStart"/>
      <w:r w:rsidRPr="00B64CA9">
        <w:rPr>
          <w:rFonts w:cstheme="minorHAnsi"/>
        </w:rPr>
        <w:t>secukinumab</w:t>
      </w:r>
      <w:proofErr w:type="spellEnd"/>
      <w:r w:rsidRPr="00B64CA9">
        <w:rPr>
          <w:rFonts w:cstheme="minorHAnsi"/>
        </w:rPr>
        <w:t xml:space="preserve"> than with placebo, but most cases were mild, </w:t>
      </w:r>
      <w:proofErr w:type="gramStart"/>
      <w:r w:rsidRPr="00B64CA9">
        <w:rPr>
          <w:rFonts w:cstheme="minorHAnsi"/>
        </w:rPr>
        <w:t>transient</w:t>
      </w:r>
      <w:proofErr w:type="gramEnd"/>
      <w:r w:rsidRPr="00B64CA9">
        <w:rPr>
          <w:rFonts w:cstheme="minorHAnsi"/>
        </w:rPr>
        <w:t xml:space="preserve"> and reversible. Neutropenia &lt;</w:t>
      </w:r>
      <w:r w:rsidR="00B80E56" w:rsidRPr="00B64CA9">
        <w:rPr>
          <w:rFonts w:cstheme="minorHAnsi"/>
        </w:rPr>
        <w:t>1</w:t>
      </w:r>
      <w:r w:rsidRPr="00B64CA9">
        <w:rPr>
          <w:rFonts w:cstheme="minorHAnsi"/>
        </w:rPr>
        <w:t xml:space="preserve">.0-0.5 x </w:t>
      </w:r>
      <w:r w:rsidR="00B80E56" w:rsidRPr="00B64CA9">
        <w:rPr>
          <w:rFonts w:cstheme="minorHAnsi"/>
        </w:rPr>
        <w:t>10</w:t>
      </w:r>
      <w:r w:rsidR="00B80E56" w:rsidRPr="00B64CA9">
        <w:rPr>
          <w:rFonts w:cstheme="minorHAnsi"/>
          <w:vertAlign w:val="superscript"/>
        </w:rPr>
        <w:t>9</w:t>
      </w:r>
      <w:r w:rsidRPr="00B64CA9">
        <w:rPr>
          <w:rFonts w:cstheme="minorHAnsi"/>
        </w:rPr>
        <w:t xml:space="preserve">/L (CTCAE Grade 3) was reported in 18 out of 3,430 (0.5%) patients on </w:t>
      </w:r>
      <w:proofErr w:type="spellStart"/>
      <w:r w:rsidRPr="00B64CA9">
        <w:rPr>
          <w:rFonts w:cstheme="minorHAnsi"/>
        </w:rPr>
        <w:t>secukinumab</w:t>
      </w:r>
      <w:proofErr w:type="spellEnd"/>
      <w:r w:rsidRPr="00B64CA9">
        <w:rPr>
          <w:rFonts w:cstheme="minorHAnsi"/>
        </w:rPr>
        <w:t>, with no dose dependence and no temporal relationship to infections in 15 out of 18 cases. There were no reported cases of more severe neutropenia. Non-serious infections with usual response to standard care and not requiring discontinuation of COSENTYX were reported in the remaining 3 cases.</w:t>
      </w:r>
    </w:p>
    <w:p w14:paraId="7A10CA96" w14:textId="77777777" w:rsidR="00207E1A" w:rsidRPr="00B64CA9" w:rsidRDefault="00207E1A" w:rsidP="00207E1A">
      <w:pPr>
        <w:spacing w:line="240" w:lineRule="auto"/>
        <w:jc w:val="both"/>
        <w:rPr>
          <w:rFonts w:cstheme="minorHAnsi"/>
        </w:rPr>
      </w:pPr>
      <w:r w:rsidRPr="00B64CA9">
        <w:rPr>
          <w:rFonts w:cstheme="minorHAnsi"/>
        </w:rPr>
        <w:t>In the paediatric safety pool, which includes all subjects who took at least one dose of COSENTYX during the treatment periods [198 subjects (287 patient years)], 22 (11%) subjects reported ≥ CTCAE Grade 2 neutropenia (≥1,000 to &lt; 1,500 cells/mm</w:t>
      </w:r>
      <w:r w:rsidRPr="00B64CA9">
        <w:rPr>
          <w:rFonts w:cstheme="minorHAnsi"/>
          <w:vertAlign w:val="superscript"/>
        </w:rPr>
        <w:t>3</w:t>
      </w:r>
      <w:r w:rsidRPr="00B64CA9">
        <w:rPr>
          <w:rFonts w:cstheme="minorHAnsi"/>
        </w:rPr>
        <w:t xml:space="preserve">) with 57% of subjects followed for one year or more and 30% of subjects followed for two years or more. During the placebo-controlled period which included a total of 80 subjects treated with </w:t>
      </w:r>
      <w:proofErr w:type="spellStart"/>
      <w:r w:rsidRPr="00B64CA9">
        <w:rPr>
          <w:rFonts w:cstheme="minorHAnsi"/>
        </w:rPr>
        <w:t>secukinumab</w:t>
      </w:r>
      <w:proofErr w:type="spellEnd"/>
      <w:r w:rsidRPr="00B64CA9">
        <w:rPr>
          <w:rFonts w:cstheme="minorHAnsi"/>
        </w:rPr>
        <w:t xml:space="preserve"> and 41 subjects treated with placebo up to 12 weeks, ≥ CTCAE Grade 2 neutropenia was reported in 3 (4%) of the subjects treated with </w:t>
      </w:r>
      <w:proofErr w:type="spellStart"/>
      <w:r w:rsidRPr="00B64CA9">
        <w:rPr>
          <w:rFonts w:cstheme="minorHAnsi"/>
        </w:rPr>
        <w:t>secukinumab</w:t>
      </w:r>
      <w:proofErr w:type="spellEnd"/>
      <w:r w:rsidRPr="00B64CA9">
        <w:rPr>
          <w:rFonts w:cstheme="minorHAnsi"/>
        </w:rPr>
        <w:t xml:space="preserve"> compared with no subjects treated with placebo. No serious infections were associated with cases of neutropenia.</w:t>
      </w:r>
    </w:p>
    <w:p w14:paraId="7138E469" w14:textId="77777777" w:rsidR="00AF4E63" w:rsidRPr="00B64CA9" w:rsidRDefault="00AF4E63" w:rsidP="00D125DE">
      <w:pPr>
        <w:spacing w:line="240" w:lineRule="auto"/>
        <w:jc w:val="both"/>
        <w:rPr>
          <w:rFonts w:cstheme="minorHAnsi"/>
        </w:rPr>
      </w:pPr>
      <w:r w:rsidRPr="00B64CA9">
        <w:rPr>
          <w:rFonts w:cstheme="minorHAnsi"/>
        </w:rPr>
        <w:t xml:space="preserve">The frequency of neutropenia in psoriatic arthritis and </w:t>
      </w:r>
      <w:r w:rsidR="002E4CC9" w:rsidRPr="00B64CA9">
        <w:rPr>
          <w:rFonts w:cs="Arial"/>
        </w:rPr>
        <w:t xml:space="preserve">axial </w:t>
      </w:r>
      <w:proofErr w:type="spellStart"/>
      <w:r w:rsidR="002E4CC9" w:rsidRPr="00B64CA9">
        <w:rPr>
          <w:rFonts w:cs="Arial"/>
        </w:rPr>
        <w:t>spondyloarthritis</w:t>
      </w:r>
      <w:proofErr w:type="spellEnd"/>
      <w:r w:rsidRPr="00B64CA9">
        <w:rPr>
          <w:rFonts w:cstheme="minorHAnsi"/>
        </w:rPr>
        <w:t xml:space="preserve"> </w:t>
      </w:r>
      <w:r w:rsidR="00B80E56" w:rsidRPr="00B64CA9">
        <w:rPr>
          <w:rFonts w:cstheme="minorHAnsi"/>
        </w:rPr>
        <w:t xml:space="preserve">(ankylosing spondylitis and non-radiographic axial </w:t>
      </w:r>
      <w:proofErr w:type="spellStart"/>
      <w:r w:rsidR="00B80E56" w:rsidRPr="00B64CA9">
        <w:rPr>
          <w:rFonts w:cstheme="minorHAnsi"/>
        </w:rPr>
        <w:t>spondyloarthritis</w:t>
      </w:r>
      <w:proofErr w:type="spellEnd"/>
      <w:r w:rsidR="00B80E56" w:rsidRPr="00B64CA9">
        <w:rPr>
          <w:rFonts w:cstheme="minorHAnsi"/>
        </w:rPr>
        <w:t xml:space="preserve">) </w:t>
      </w:r>
      <w:r w:rsidRPr="00B64CA9">
        <w:rPr>
          <w:rFonts w:cstheme="minorHAnsi"/>
        </w:rPr>
        <w:t xml:space="preserve">is </w:t>
      </w:r>
      <w:proofErr w:type="gramStart"/>
      <w:r w:rsidRPr="00B64CA9">
        <w:rPr>
          <w:rFonts w:cstheme="minorHAnsi"/>
        </w:rPr>
        <w:t>similar to</w:t>
      </w:r>
      <w:proofErr w:type="gramEnd"/>
      <w:r w:rsidRPr="00B64CA9">
        <w:rPr>
          <w:rFonts w:cstheme="minorHAnsi"/>
        </w:rPr>
        <w:t xml:space="preserve"> psoriasis.</w:t>
      </w:r>
    </w:p>
    <w:p w14:paraId="2E9F7D2B" w14:textId="77777777" w:rsidR="00AF4E63" w:rsidRPr="00B64CA9" w:rsidRDefault="00AF4E63" w:rsidP="00D125DE">
      <w:pPr>
        <w:spacing w:line="240" w:lineRule="auto"/>
        <w:jc w:val="both"/>
        <w:rPr>
          <w:rFonts w:cstheme="minorHAnsi"/>
        </w:rPr>
      </w:pPr>
      <w:r w:rsidRPr="00B64CA9">
        <w:rPr>
          <w:rFonts w:cstheme="minorHAnsi"/>
        </w:rPr>
        <w:t>Rare cases of neutropenia &lt;0.5x 10</w:t>
      </w:r>
      <w:r w:rsidRPr="00B64CA9">
        <w:rPr>
          <w:rFonts w:cstheme="minorHAnsi"/>
          <w:vertAlign w:val="superscript"/>
        </w:rPr>
        <w:t>9</w:t>
      </w:r>
      <w:r w:rsidRPr="00B64CA9">
        <w:rPr>
          <w:rFonts w:cstheme="minorHAnsi"/>
        </w:rPr>
        <w:t>/L (CTCAE Grade 4) were reported.</w:t>
      </w:r>
    </w:p>
    <w:p w14:paraId="37919930" w14:textId="77777777" w:rsidR="00AF4E63" w:rsidRPr="00B64CA9" w:rsidRDefault="00AF4E63" w:rsidP="00290F28">
      <w:pPr>
        <w:pageBreakBefore/>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Hypersensitivity reactions</w:t>
      </w:r>
    </w:p>
    <w:p w14:paraId="67AE939D" w14:textId="77777777" w:rsidR="00AF4E63" w:rsidRPr="00B64CA9" w:rsidRDefault="00AF4E63" w:rsidP="0081558E">
      <w:pPr>
        <w:jc w:val="both"/>
        <w:rPr>
          <w:rFonts w:cs="Arial"/>
        </w:rPr>
      </w:pPr>
      <w:r w:rsidRPr="00B64CA9">
        <w:rPr>
          <w:rFonts w:cs="Arial"/>
        </w:rPr>
        <w:t>In clinical studies, urticaria and rare case of anaphylactic reaction to COSENTYX were observed.</w:t>
      </w:r>
    </w:p>
    <w:p w14:paraId="2F61CB52"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Immunogenicity</w:t>
      </w:r>
    </w:p>
    <w:p w14:paraId="55C1E819" w14:textId="77777777" w:rsidR="00353978" w:rsidRPr="00B64CA9" w:rsidRDefault="00AF4E63" w:rsidP="0081558E">
      <w:pPr>
        <w:jc w:val="both"/>
        <w:rPr>
          <w:rFonts w:cs="Arial"/>
        </w:rPr>
      </w:pPr>
      <w:r w:rsidRPr="00B64CA9">
        <w:rPr>
          <w:rFonts w:cs="Arial"/>
        </w:rPr>
        <w:t xml:space="preserve">In psoriasis, psoriatic arthritis and </w:t>
      </w:r>
      <w:r w:rsidR="007A2F8A" w:rsidRPr="00B64CA9">
        <w:rPr>
          <w:rFonts w:cstheme="minorHAnsi"/>
          <w:color w:val="000000" w:themeColor="text1"/>
        </w:rPr>
        <w:t xml:space="preserve">axial </w:t>
      </w:r>
      <w:proofErr w:type="spellStart"/>
      <w:r w:rsidR="007A2F8A" w:rsidRPr="00B64CA9">
        <w:rPr>
          <w:rFonts w:cstheme="minorHAnsi"/>
          <w:color w:val="000000" w:themeColor="text1"/>
        </w:rPr>
        <w:t>spondyloarthritis</w:t>
      </w:r>
      <w:proofErr w:type="spellEnd"/>
      <w:r w:rsidR="007A2F8A" w:rsidRPr="00B64CA9">
        <w:rPr>
          <w:rFonts w:cstheme="minorHAnsi"/>
          <w:color w:val="000000" w:themeColor="text1"/>
        </w:rPr>
        <w:t xml:space="preserve"> (</w:t>
      </w:r>
      <w:r w:rsidRPr="00B64CA9">
        <w:rPr>
          <w:rFonts w:cs="Arial"/>
        </w:rPr>
        <w:t>ankylosing spondylitis</w:t>
      </w:r>
      <w:r w:rsidR="007A2F8A" w:rsidRPr="00B64CA9">
        <w:rPr>
          <w:rFonts w:cstheme="minorHAnsi"/>
          <w:color w:val="000000" w:themeColor="text1"/>
        </w:rPr>
        <w:t xml:space="preserve"> and non-radiographic axial </w:t>
      </w:r>
      <w:proofErr w:type="spellStart"/>
      <w:r w:rsidR="007A2F8A" w:rsidRPr="00B64CA9">
        <w:rPr>
          <w:rFonts w:cstheme="minorHAnsi"/>
          <w:color w:val="000000" w:themeColor="text1"/>
        </w:rPr>
        <w:t>spondyloarthritis</w:t>
      </w:r>
      <w:proofErr w:type="spellEnd"/>
      <w:r w:rsidR="007A2F8A" w:rsidRPr="00B64CA9">
        <w:rPr>
          <w:rFonts w:cstheme="minorHAnsi"/>
          <w:color w:val="000000" w:themeColor="text1"/>
        </w:rPr>
        <w:t>)</w:t>
      </w:r>
      <w:r w:rsidRPr="00B64CA9">
        <w:rPr>
          <w:rFonts w:cs="Arial"/>
        </w:rPr>
        <w:t xml:space="preserve"> clinical studies less than 1% of patients treated with COSENTYX developed antibodies to </w:t>
      </w:r>
      <w:proofErr w:type="spellStart"/>
      <w:r w:rsidRPr="00B64CA9">
        <w:rPr>
          <w:rFonts w:cs="Arial"/>
        </w:rPr>
        <w:t>secukinumab</w:t>
      </w:r>
      <w:proofErr w:type="spellEnd"/>
      <w:r w:rsidRPr="00B64CA9">
        <w:rPr>
          <w:rFonts w:cs="Arial"/>
        </w:rPr>
        <w:t xml:space="preserve"> up to 52 weeks of treatment. About half of the treatment emergent anti-drug antibodies were neutralising, but this was not associated with loss of efficacy or PK abnormalities.</w:t>
      </w:r>
    </w:p>
    <w:p w14:paraId="0AF1E2B9"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Reproductive system related adverse events</w:t>
      </w:r>
    </w:p>
    <w:p w14:paraId="7C938C4D" w14:textId="77777777" w:rsidR="00AF4E63" w:rsidRPr="00B64CA9" w:rsidRDefault="00AF4E63" w:rsidP="0081558E">
      <w:pPr>
        <w:jc w:val="both"/>
        <w:rPr>
          <w:rFonts w:cs="Arial"/>
        </w:rPr>
      </w:pPr>
      <w:r w:rsidRPr="00B64CA9">
        <w:rPr>
          <w:rFonts w:cs="Arial"/>
        </w:rPr>
        <w:t xml:space="preserve">In the induction period of </w:t>
      </w:r>
      <w:r w:rsidR="00BE7FD1" w:rsidRPr="00B64CA9">
        <w:rPr>
          <w:rFonts w:cs="Arial"/>
        </w:rPr>
        <w:t xml:space="preserve">psoriasis </w:t>
      </w:r>
      <w:r w:rsidRPr="00B64CA9">
        <w:rPr>
          <w:rFonts w:cs="Arial"/>
        </w:rPr>
        <w:t xml:space="preserve">clinical studies, mild and moderate reproductive system adverse events were reported in females, </w:t>
      </w:r>
      <w:proofErr w:type="gramStart"/>
      <w:r w:rsidRPr="00B64CA9">
        <w:rPr>
          <w:rFonts w:cs="Arial"/>
        </w:rPr>
        <w:t>including:</w:t>
      </w:r>
      <w:proofErr w:type="gramEnd"/>
      <w:r w:rsidRPr="00B64CA9">
        <w:rPr>
          <w:rFonts w:cs="Arial"/>
        </w:rPr>
        <w:t xml:space="preserve"> dysmenorrhoea (</w:t>
      </w:r>
      <w:proofErr w:type="spellStart"/>
      <w:r w:rsidRPr="00B64CA9">
        <w:rPr>
          <w:rFonts w:cs="Arial"/>
        </w:rPr>
        <w:t>secukinumab</w:t>
      </w:r>
      <w:proofErr w:type="spellEnd"/>
      <w:r w:rsidRPr="00B64CA9">
        <w:rPr>
          <w:rFonts w:cs="Arial"/>
        </w:rPr>
        <w:t xml:space="preserve"> 300 mg, 1.9%; placebo, 0.5%; etanercept, 1.1%), menorrhagia (</w:t>
      </w:r>
      <w:proofErr w:type="spellStart"/>
      <w:r w:rsidRPr="00B64CA9">
        <w:rPr>
          <w:rFonts w:cs="Arial"/>
        </w:rPr>
        <w:t>secukinumab</w:t>
      </w:r>
      <w:proofErr w:type="spellEnd"/>
      <w:r w:rsidRPr="00B64CA9">
        <w:rPr>
          <w:rFonts w:cs="Arial"/>
        </w:rPr>
        <w:t xml:space="preserve"> 300 mg, 0.9%; placebo, 0%; etanercept, 0%) and metrorrhagia (including menometrorrhagia) (</w:t>
      </w:r>
      <w:proofErr w:type="spellStart"/>
      <w:r w:rsidRPr="00B64CA9">
        <w:rPr>
          <w:rFonts w:cs="Arial"/>
        </w:rPr>
        <w:t>secukinumab</w:t>
      </w:r>
      <w:proofErr w:type="spellEnd"/>
      <w:r w:rsidRPr="00B64CA9">
        <w:rPr>
          <w:rFonts w:cs="Arial"/>
        </w:rPr>
        <w:t xml:space="preserve"> 300 mg, 1.4%; placebo, 0%; etanercept, 0%). Women of child-bearing potential were included in studies only if using adequate contraception.</w:t>
      </w:r>
    </w:p>
    <w:p w14:paraId="437A4F8C"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Major adverse cardiovascular events (MACE)</w:t>
      </w:r>
    </w:p>
    <w:p w14:paraId="464A8527" w14:textId="77777777" w:rsidR="00AF4E63" w:rsidRPr="00B64CA9" w:rsidRDefault="00AF4E63" w:rsidP="0081558E">
      <w:pPr>
        <w:jc w:val="both"/>
        <w:rPr>
          <w:rFonts w:cs="Arial"/>
        </w:rPr>
      </w:pPr>
      <w:r w:rsidRPr="00B64CA9">
        <w:rPr>
          <w:rFonts w:cs="Arial"/>
        </w:rPr>
        <w:t xml:space="preserve">In the </w:t>
      </w:r>
      <w:proofErr w:type="spellStart"/>
      <w:r w:rsidRPr="00B64CA9">
        <w:rPr>
          <w:rFonts w:cs="Arial"/>
        </w:rPr>
        <w:t>secukinumab</w:t>
      </w:r>
      <w:proofErr w:type="spellEnd"/>
      <w:r w:rsidRPr="00B64CA9">
        <w:rPr>
          <w:rFonts w:cs="Arial"/>
        </w:rPr>
        <w:t xml:space="preserve"> clinical trials, MACE events were observed in patients receiving </w:t>
      </w:r>
      <w:proofErr w:type="spellStart"/>
      <w:r w:rsidRPr="00B64CA9">
        <w:rPr>
          <w:rFonts w:cs="Arial"/>
        </w:rPr>
        <w:t>secukinumab</w:t>
      </w:r>
      <w:proofErr w:type="spellEnd"/>
      <w:r w:rsidRPr="00B64CA9">
        <w:rPr>
          <w:rFonts w:cs="Arial"/>
        </w:rPr>
        <w:t xml:space="preserve">. In the Phase 3 studies in psoriasis, </w:t>
      </w:r>
      <w:proofErr w:type="spellStart"/>
      <w:r w:rsidRPr="00B64CA9">
        <w:rPr>
          <w:rFonts w:cs="Arial"/>
        </w:rPr>
        <w:t>PsA</w:t>
      </w:r>
      <w:proofErr w:type="spellEnd"/>
      <w:r w:rsidRPr="00B64CA9">
        <w:rPr>
          <w:rFonts w:cs="Arial"/>
        </w:rPr>
        <w:t xml:space="preserve"> and AS, the exposure adjusted incidence rates of adjudication-confirmed MACE cases per 100 patient-years was 0.49 (19/3911.6 patient-years, 95% CI 0.29, 0.76) for </w:t>
      </w:r>
      <w:proofErr w:type="spellStart"/>
      <w:r w:rsidRPr="00B64CA9">
        <w:rPr>
          <w:rFonts w:cs="Arial"/>
        </w:rPr>
        <w:t>secukinumab</w:t>
      </w:r>
      <w:proofErr w:type="spellEnd"/>
      <w:r w:rsidRPr="00B64CA9">
        <w:rPr>
          <w:rFonts w:cs="Arial"/>
        </w:rPr>
        <w:t xml:space="preserve"> versus 0.00 (0/351.3 patient-years, 95% CI 0.00, 1.05) for placebo. </w:t>
      </w:r>
      <w:r w:rsidR="004C36A3" w:rsidRPr="00B64CA9">
        <w:t>In the Phase 3 study in nr-</w:t>
      </w:r>
      <w:proofErr w:type="spellStart"/>
      <w:r w:rsidR="004C36A3" w:rsidRPr="00B64CA9">
        <w:t>axSpA</w:t>
      </w:r>
      <w:proofErr w:type="spellEnd"/>
      <w:r w:rsidR="004C36A3" w:rsidRPr="00B64CA9">
        <w:t>, the exposure adjusted incidence rates of adjudicated confirmed MACE cases per 100 patient-years was 0 (0/</w:t>
      </w:r>
      <w:r w:rsidR="00CD2BEB" w:rsidRPr="00B64CA9">
        <w:t>759.9</w:t>
      </w:r>
      <w:r w:rsidR="004C36A3" w:rsidRPr="00B64CA9">
        <w:t xml:space="preserve"> patient-years, 95% CI 0.0, 0.</w:t>
      </w:r>
      <w:r w:rsidR="00CD2BEB" w:rsidRPr="00B64CA9">
        <w:t>5</w:t>
      </w:r>
      <w:r w:rsidR="004C36A3" w:rsidRPr="00B64CA9">
        <w:t xml:space="preserve">) for </w:t>
      </w:r>
      <w:proofErr w:type="spellStart"/>
      <w:r w:rsidR="004C36A3" w:rsidRPr="00B64CA9">
        <w:t>secukinumab</w:t>
      </w:r>
      <w:proofErr w:type="spellEnd"/>
      <w:r w:rsidR="004C36A3" w:rsidRPr="00B64CA9">
        <w:t xml:space="preserve"> versus 1.0 (1/</w:t>
      </w:r>
      <w:r w:rsidR="00CD2BEB" w:rsidRPr="00B64CA9">
        <w:t>108.6</w:t>
      </w:r>
      <w:r w:rsidR="004C36A3" w:rsidRPr="00B64CA9">
        <w:t xml:space="preserve"> patient-years, 95% CI 0.0, 5.</w:t>
      </w:r>
      <w:r w:rsidR="00CD2BEB" w:rsidRPr="00B64CA9">
        <w:t>1</w:t>
      </w:r>
      <w:r w:rsidR="004C36A3" w:rsidRPr="00B64CA9">
        <w:t xml:space="preserve">). </w:t>
      </w:r>
      <w:r w:rsidRPr="00B64CA9">
        <w:rPr>
          <w:rFonts w:cs="Arial"/>
        </w:rPr>
        <w:t xml:space="preserve">In the overall </w:t>
      </w:r>
      <w:proofErr w:type="spellStart"/>
      <w:r w:rsidRPr="00B64CA9">
        <w:rPr>
          <w:rFonts w:cs="Arial"/>
        </w:rPr>
        <w:t>secukinumab</w:t>
      </w:r>
      <w:proofErr w:type="spellEnd"/>
      <w:r w:rsidRPr="00B64CA9">
        <w:rPr>
          <w:rFonts w:cs="Arial"/>
        </w:rPr>
        <w:t xml:space="preserve"> program, the exposure adjusted incidence rates of adjudication-confirmed cases per 100 patient-years for </w:t>
      </w:r>
      <w:proofErr w:type="spellStart"/>
      <w:r w:rsidRPr="00B64CA9">
        <w:rPr>
          <w:rFonts w:cs="Arial"/>
        </w:rPr>
        <w:t>secukinumab</w:t>
      </w:r>
      <w:proofErr w:type="spellEnd"/>
      <w:r w:rsidRPr="00B64CA9">
        <w:rPr>
          <w:rFonts w:cs="Arial"/>
        </w:rPr>
        <w:t xml:space="preserve"> was 0.40 (25/6259.8 patient-years, 95% CI 0.26, 0.59) versus 0.39 (2/515.1 patient-years, 95% CI 0.05, 1.40) for placebo. </w:t>
      </w:r>
    </w:p>
    <w:p w14:paraId="33E2F419" w14:textId="77777777" w:rsidR="00AF4E63" w:rsidRPr="00B64CA9" w:rsidRDefault="00AF4E63" w:rsidP="00984CEE">
      <w:pPr>
        <w:pStyle w:val="Heading3"/>
        <w:spacing w:before="0" w:after="120"/>
        <w:ind w:left="0"/>
        <w:jc w:val="both"/>
        <w:rPr>
          <w:rFonts w:cstheme="minorHAnsi"/>
          <w:u w:val="single"/>
        </w:rPr>
      </w:pPr>
      <w:r w:rsidRPr="00B64CA9">
        <w:rPr>
          <w:rFonts w:cstheme="minorHAnsi"/>
          <w:u w:val="single"/>
        </w:rPr>
        <w:t xml:space="preserve">Adverse reactions in psoriatic arthritis </w:t>
      </w:r>
    </w:p>
    <w:p w14:paraId="24BB2F23" w14:textId="77777777" w:rsidR="00AF4E63" w:rsidRPr="00B64CA9" w:rsidRDefault="00AF4E63" w:rsidP="0081558E">
      <w:pPr>
        <w:jc w:val="both"/>
        <w:rPr>
          <w:rFonts w:cs="Arial"/>
        </w:rPr>
      </w:pPr>
      <w:r w:rsidRPr="00B64CA9">
        <w:rPr>
          <w:rFonts w:cs="Arial"/>
        </w:rPr>
        <w:t xml:space="preserve">COSENTYX was studied in </w:t>
      </w:r>
      <w:r w:rsidR="00253D7C" w:rsidRPr="00B64CA9">
        <w:rPr>
          <w:rFonts w:cs="Arial"/>
        </w:rPr>
        <w:t xml:space="preserve">five </w:t>
      </w:r>
      <w:r w:rsidRPr="00B64CA9">
        <w:rPr>
          <w:rFonts w:cs="Arial"/>
        </w:rPr>
        <w:t xml:space="preserve">placebo-controlled psoriatic arthritis trials with </w:t>
      </w:r>
      <w:r w:rsidR="00253D7C" w:rsidRPr="00B64CA9">
        <w:rPr>
          <w:rFonts w:cs="Arial"/>
        </w:rPr>
        <w:t>2,754</w:t>
      </w:r>
      <w:r w:rsidRPr="00B64CA9">
        <w:rPr>
          <w:rFonts w:cs="Arial"/>
        </w:rPr>
        <w:t xml:space="preserve"> patients (</w:t>
      </w:r>
      <w:r w:rsidR="00253D7C" w:rsidRPr="00B64CA9">
        <w:rPr>
          <w:rFonts w:cs="Arial"/>
        </w:rPr>
        <w:t xml:space="preserve">1,871 </w:t>
      </w:r>
      <w:r w:rsidRPr="00B64CA9">
        <w:rPr>
          <w:rFonts w:cs="Arial"/>
        </w:rPr>
        <w:t xml:space="preserve">patients on COSENTYX and </w:t>
      </w:r>
      <w:r w:rsidR="00253D7C" w:rsidRPr="00B64CA9">
        <w:rPr>
          <w:rFonts w:cs="Arial"/>
        </w:rPr>
        <w:t xml:space="preserve">883 </w:t>
      </w:r>
      <w:r w:rsidRPr="00B64CA9">
        <w:rPr>
          <w:rFonts w:cs="Arial"/>
        </w:rPr>
        <w:t xml:space="preserve">patients on placebo) </w:t>
      </w:r>
      <w:r w:rsidR="00253D7C" w:rsidRPr="00B64CA9">
        <w:rPr>
          <w:rFonts w:cs="Arial"/>
        </w:rPr>
        <w:t>with</w:t>
      </w:r>
      <w:r w:rsidRPr="00B64CA9">
        <w:rPr>
          <w:rFonts w:cs="Arial"/>
        </w:rPr>
        <w:t xml:space="preserve"> a total exposure of </w:t>
      </w:r>
      <w:r w:rsidR="00253D7C" w:rsidRPr="00B64CA9">
        <w:rPr>
          <w:rFonts w:cs="Arial"/>
        </w:rPr>
        <w:t>4,478</w:t>
      </w:r>
      <w:r w:rsidRPr="00B64CA9">
        <w:rPr>
          <w:rFonts w:cs="Arial"/>
        </w:rPr>
        <w:t xml:space="preserve"> patient-years of study exposure</w:t>
      </w:r>
      <w:r w:rsidR="00253D7C" w:rsidRPr="00B64CA9">
        <w:rPr>
          <w:rFonts w:cs="Arial"/>
        </w:rPr>
        <w:t xml:space="preserve"> on COSENTYX</w:t>
      </w:r>
      <w:r w:rsidRPr="00B64CA9">
        <w:rPr>
          <w:rFonts w:cs="Arial"/>
        </w:rPr>
        <w:t xml:space="preserve">. The adverse events that occurred at a proportion of at least 2% and at a higher proportion in the COSENTYX groups than the placebo groups during the 16-week placebo-controlled period were nasopharyngitis, upper respiratory tract infection, headache, </w:t>
      </w:r>
      <w:r w:rsidR="00CA1F18" w:rsidRPr="00B64CA9">
        <w:rPr>
          <w:rFonts w:cs="Arial"/>
        </w:rPr>
        <w:t>urinary tract infection</w:t>
      </w:r>
      <w:r w:rsidRPr="00B64CA9">
        <w:rPr>
          <w:rFonts w:cs="Arial"/>
        </w:rPr>
        <w:t xml:space="preserve">, and hypercholesterolemia. The safety profile observed in patients with psoriatic arthritis treated with COSENTYX is consistent with the safety profile in psoriasis. </w:t>
      </w:r>
    </w:p>
    <w:p w14:paraId="3C0C1334" w14:textId="77777777" w:rsidR="00AF4E63" w:rsidRPr="00B64CA9" w:rsidRDefault="00D52CE3" w:rsidP="0081558E">
      <w:pPr>
        <w:jc w:val="both"/>
        <w:rPr>
          <w:rFonts w:cs="Arial"/>
        </w:rPr>
      </w:pPr>
      <w:r w:rsidRPr="00B64CA9">
        <w:rPr>
          <w:rFonts w:cs="Arial"/>
        </w:rPr>
        <w:t>The</w:t>
      </w:r>
      <w:r w:rsidR="00AF4E63" w:rsidRPr="00B64CA9">
        <w:rPr>
          <w:rFonts w:cs="Arial"/>
        </w:rPr>
        <w:t xml:space="preserve"> proportion of patients with infections in the COSENTYX groups (</w:t>
      </w:r>
      <w:r w:rsidR="00394C2A" w:rsidRPr="00B64CA9">
        <w:rPr>
          <w:rFonts w:cs="Arial"/>
        </w:rPr>
        <w:t>28.5</w:t>
      </w:r>
      <w:r w:rsidR="00AF4E63" w:rsidRPr="00B64CA9">
        <w:rPr>
          <w:rFonts w:cs="Arial"/>
        </w:rPr>
        <w:t xml:space="preserve">%) </w:t>
      </w:r>
      <w:r w:rsidRPr="00B64CA9">
        <w:rPr>
          <w:rFonts w:cs="Arial"/>
        </w:rPr>
        <w:t xml:space="preserve">is </w:t>
      </w:r>
      <w:proofErr w:type="gramStart"/>
      <w:r w:rsidRPr="00B64CA9">
        <w:rPr>
          <w:rFonts w:cs="Arial"/>
        </w:rPr>
        <w:t>similar to</w:t>
      </w:r>
      <w:proofErr w:type="gramEnd"/>
      <w:r w:rsidRPr="00B64CA9">
        <w:rPr>
          <w:rFonts w:cs="Arial"/>
        </w:rPr>
        <w:t xml:space="preserve"> the</w:t>
      </w:r>
      <w:r w:rsidR="00AF4E63" w:rsidRPr="00B64CA9">
        <w:rPr>
          <w:rFonts w:cs="Arial"/>
        </w:rPr>
        <w:t xml:space="preserve"> placebo group (</w:t>
      </w:r>
      <w:r w:rsidRPr="00B64CA9">
        <w:rPr>
          <w:rFonts w:cs="Arial"/>
        </w:rPr>
        <w:t>28.1</w:t>
      </w:r>
      <w:r w:rsidR="00AF4E63" w:rsidRPr="00B64CA9">
        <w:rPr>
          <w:rFonts w:cs="Arial"/>
        </w:rPr>
        <w:t xml:space="preserve">%) (see </w:t>
      </w:r>
      <w:r w:rsidR="009F0E42" w:rsidRPr="00B64CA9">
        <w:rPr>
          <w:rFonts w:cs="Arial"/>
        </w:rPr>
        <w:t xml:space="preserve">section 4.4 </w:t>
      </w:r>
      <w:r w:rsidR="003B15C9" w:rsidRPr="00B64CA9">
        <w:rPr>
          <w:rFonts w:cs="Arial"/>
          <w:iCs/>
        </w:rPr>
        <w:t>SPECIAL WARNINGS AND PRECAUTIONS FOR USE</w:t>
      </w:r>
      <w:r w:rsidR="00AF4E63" w:rsidRPr="00B64CA9">
        <w:rPr>
          <w:rFonts w:cs="Arial"/>
        </w:rPr>
        <w:t>).</w:t>
      </w:r>
    </w:p>
    <w:p w14:paraId="3649824A" w14:textId="77777777" w:rsidR="00AF4E63" w:rsidRPr="00B64CA9" w:rsidRDefault="00AF4E63" w:rsidP="0081558E">
      <w:pPr>
        <w:jc w:val="both"/>
        <w:rPr>
          <w:rFonts w:cs="Arial"/>
        </w:rPr>
      </w:pPr>
      <w:r w:rsidRPr="00B64CA9">
        <w:rPr>
          <w:rFonts w:cs="Arial"/>
        </w:rPr>
        <w:t xml:space="preserve">There were cases of Crohn’s disease and ulcerative colitis that include patients who experienced either exacerbations or the development of new disease. </w:t>
      </w:r>
      <w:r w:rsidR="0047444C" w:rsidRPr="00B64CA9">
        <w:rPr>
          <w:rFonts w:cs="Arial"/>
        </w:rPr>
        <w:t xml:space="preserve">In </w:t>
      </w:r>
      <w:r w:rsidR="004C7365" w:rsidRPr="00B64CA9">
        <w:rPr>
          <w:rFonts w:cs="Arial"/>
        </w:rPr>
        <w:t xml:space="preserve">the psoriatic arthritis program with </w:t>
      </w:r>
      <w:r w:rsidR="0047444C" w:rsidRPr="00B64CA9">
        <w:rPr>
          <w:rFonts w:cs="Arial"/>
        </w:rPr>
        <w:t xml:space="preserve">2,536 patients exposed to COSENTYX there were 17 cases </w:t>
      </w:r>
      <w:r w:rsidR="004C7365" w:rsidRPr="00B64CA9">
        <w:rPr>
          <w:rFonts w:cs="Arial"/>
        </w:rPr>
        <w:t xml:space="preserve">of inflammatory bowel disease during the entire </w:t>
      </w:r>
      <w:r w:rsidR="004C7365" w:rsidRPr="00B64CA9">
        <w:rPr>
          <w:rFonts w:cs="Arial"/>
        </w:rPr>
        <w:lastRenderedPageBreak/>
        <w:t xml:space="preserve">treatment period </w:t>
      </w:r>
      <w:r w:rsidR="0047444C" w:rsidRPr="00B64CA9">
        <w:rPr>
          <w:rFonts w:cs="Arial"/>
        </w:rPr>
        <w:t xml:space="preserve">(0.4 per 100 patient-years). During the placebo-controlled period </w:t>
      </w:r>
      <w:proofErr w:type="gramStart"/>
      <w:r w:rsidR="004C7365" w:rsidRPr="00B64CA9">
        <w:rPr>
          <w:rFonts w:cs="Arial"/>
        </w:rPr>
        <w:t>16 week</w:t>
      </w:r>
      <w:proofErr w:type="gramEnd"/>
      <w:r w:rsidR="004C7365" w:rsidRPr="00B64CA9">
        <w:rPr>
          <w:rFonts w:cs="Arial"/>
        </w:rPr>
        <w:t xml:space="preserve"> period, </w:t>
      </w:r>
      <w:r w:rsidR="0047444C" w:rsidRPr="00B64CA9">
        <w:rPr>
          <w:rFonts w:cs="Arial"/>
        </w:rPr>
        <w:t>t</w:t>
      </w:r>
      <w:r w:rsidRPr="00B64CA9">
        <w:rPr>
          <w:rFonts w:cs="Arial"/>
        </w:rPr>
        <w:t xml:space="preserve">here were </w:t>
      </w:r>
      <w:r w:rsidR="0047444C" w:rsidRPr="00B64CA9">
        <w:rPr>
          <w:rFonts w:cs="Arial"/>
        </w:rPr>
        <w:t xml:space="preserve">seven </w:t>
      </w:r>
      <w:r w:rsidRPr="00B64CA9">
        <w:rPr>
          <w:rFonts w:cs="Arial"/>
        </w:rPr>
        <w:t xml:space="preserve">cases of inflammatory bowel disease, of which </w:t>
      </w:r>
      <w:r w:rsidR="0047444C" w:rsidRPr="00B64CA9">
        <w:rPr>
          <w:rFonts w:cs="Arial"/>
        </w:rPr>
        <w:t xml:space="preserve">five </w:t>
      </w:r>
      <w:r w:rsidRPr="00B64CA9">
        <w:rPr>
          <w:rFonts w:cs="Arial"/>
        </w:rPr>
        <w:t xml:space="preserve">patients received </w:t>
      </w:r>
      <w:proofErr w:type="spellStart"/>
      <w:r w:rsidRPr="00B64CA9">
        <w:rPr>
          <w:rFonts w:cs="Arial"/>
        </w:rPr>
        <w:t>secukinumab</w:t>
      </w:r>
      <w:proofErr w:type="spellEnd"/>
      <w:r w:rsidRPr="00B64CA9">
        <w:rPr>
          <w:rFonts w:cs="Arial"/>
        </w:rPr>
        <w:t xml:space="preserve"> and </w:t>
      </w:r>
      <w:r w:rsidR="0047444C" w:rsidRPr="00B64CA9">
        <w:rPr>
          <w:rFonts w:cs="Arial"/>
        </w:rPr>
        <w:t xml:space="preserve">two </w:t>
      </w:r>
      <w:r w:rsidRPr="00B64CA9">
        <w:rPr>
          <w:rFonts w:cs="Arial"/>
        </w:rPr>
        <w:t xml:space="preserve">received placebo (see </w:t>
      </w:r>
      <w:r w:rsidR="009F0E42" w:rsidRPr="00B64CA9">
        <w:rPr>
          <w:rFonts w:cs="Arial"/>
        </w:rPr>
        <w:t xml:space="preserve">section </w:t>
      </w:r>
      <w:r w:rsidR="009F0E42" w:rsidRPr="00B64CA9">
        <w:rPr>
          <w:rFonts w:eastAsia="MS Mincho" w:cs="Arial"/>
        </w:rPr>
        <w:t xml:space="preserve">4.4 </w:t>
      </w:r>
      <w:r w:rsidR="009F0E42" w:rsidRPr="00B64CA9">
        <w:rPr>
          <w:rFonts w:cs="Arial"/>
          <w:iCs/>
        </w:rPr>
        <w:t>SPECIAL WARNINGS AND PRECAUTIONS FOR USE</w:t>
      </w:r>
      <w:r w:rsidRPr="00B64CA9">
        <w:rPr>
          <w:rFonts w:cs="Arial"/>
        </w:rPr>
        <w:t>).</w:t>
      </w:r>
      <w:r w:rsidR="0047444C" w:rsidRPr="00B64CA9">
        <w:rPr>
          <w:rFonts w:cs="Arial"/>
        </w:rPr>
        <w:t xml:space="preserve"> </w:t>
      </w:r>
    </w:p>
    <w:p w14:paraId="3D1826E7" w14:textId="77777777" w:rsidR="00B83E25" w:rsidRPr="00B64CA9" w:rsidRDefault="00B83E25">
      <w:pPr>
        <w:rPr>
          <w:rFonts w:asciiTheme="majorHAnsi" w:eastAsiaTheme="majorEastAsia" w:hAnsiTheme="majorHAnsi" w:cstheme="minorHAnsi"/>
          <w:b/>
          <w:bCs/>
        </w:rPr>
      </w:pPr>
      <w:r w:rsidRPr="00B64CA9">
        <w:rPr>
          <w:rFonts w:asciiTheme="majorHAnsi" w:eastAsiaTheme="majorEastAsia" w:hAnsiTheme="majorHAnsi" w:cstheme="minorHAnsi"/>
          <w:b/>
          <w:bCs/>
        </w:rPr>
        <w:br w:type="page"/>
      </w:r>
    </w:p>
    <w:p w14:paraId="62993379"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Cholesterol and triglycerides</w:t>
      </w:r>
    </w:p>
    <w:p w14:paraId="2A5894B5" w14:textId="77777777" w:rsidR="00AF4E63" w:rsidRPr="00B64CA9" w:rsidRDefault="00AF4E63" w:rsidP="0081558E">
      <w:pPr>
        <w:jc w:val="both"/>
        <w:rPr>
          <w:rFonts w:cs="Arial"/>
        </w:rPr>
      </w:pPr>
      <w:r w:rsidRPr="00B64CA9">
        <w:rPr>
          <w:rFonts w:cs="Arial"/>
        </w:rPr>
        <w:t xml:space="preserve">CTCAE Grade 1 and Grade 2 elevations of blood cholesterol and triglyceride levels were reported in patients receiving </w:t>
      </w:r>
      <w:proofErr w:type="spellStart"/>
      <w:r w:rsidRPr="00B64CA9">
        <w:rPr>
          <w:rFonts w:cs="Arial"/>
        </w:rPr>
        <w:t>secukinumab</w:t>
      </w:r>
      <w:proofErr w:type="spellEnd"/>
      <w:r w:rsidRPr="00B64CA9">
        <w:rPr>
          <w:rFonts w:cs="Arial"/>
        </w:rPr>
        <w:t xml:space="preserve"> compared to placebo in psoriatic arthritis clinical trials. </w:t>
      </w:r>
    </w:p>
    <w:p w14:paraId="234D9EE0" w14:textId="77777777" w:rsidR="00AF4E63" w:rsidRPr="00B64CA9" w:rsidRDefault="00AF4E63" w:rsidP="0081558E">
      <w:pPr>
        <w:jc w:val="both"/>
        <w:rPr>
          <w:rFonts w:cs="Arial"/>
        </w:rPr>
      </w:pPr>
      <w:r w:rsidRPr="00B64CA9">
        <w:rPr>
          <w:rFonts w:cs="Arial"/>
        </w:rPr>
        <w:t>The elevations of cholesterol levels were limited primarily to CTCAE Grade 1 (</w:t>
      </w:r>
      <w:r w:rsidR="00B77E37" w:rsidRPr="00B64CA9">
        <w:rPr>
          <w:rFonts w:cs="Arial"/>
        </w:rPr>
        <w:t>28.7</w:t>
      </w:r>
      <w:r w:rsidRPr="00B64CA9">
        <w:rPr>
          <w:rFonts w:cs="Arial"/>
        </w:rPr>
        <w:t xml:space="preserve">% vs. </w:t>
      </w:r>
      <w:r w:rsidR="00B77E37" w:rsidRPr="00B64CA9">
        <w:rPr>
          <w:rFonts w:cs="Arial"/>
        </w:rPr>
        <w:t>19.1</w:t>
      </w:r>
      <w:r w:rsidRPr="00B64CA9">
        <w:rPr>
          <w:rFonts w:cs="Arial"/>
        </w:rPr>
        <w:t>%, respectively) and Grade 2 (1.6% vs. 0.</w:t>
      </w:r>
      <w:r w:rsidR="00B77E37" w:rsidRPr="00B64CA9">
        <w:rPr>
          <w:rFonts w:cs="Arial"/>
        </w:rPr>
        <w:t>5</w:t>
      </w:r>
      <w:r w:rsidRPr="00B64CA9">
        <w:rPr>
          <w:rFonts w:cs="Arial"/>
        </w:rPr>
        <w:t xml:space="preserve">%, respectively). No cases of CTCAE Grade 3 and Grade 4 cholesterol levels were observed in either </w:t>
      </w:r>
      <w:proofErr w:type="spellStart"/>
      <w:r w:rsidRPr="00B64CA9">
        <w:rPr>
          <w:rFonts w:cs="Arial"/>
        </w:rPr>
        <w:t>secukinumab</w:t>
      </w:r>
      <w:proofErr w:type="spellEnd"/>
      <w:r w:rsidRPr="00B64CA9">
        <w:rPr>
          <w:rFonts w:cs="Arial"/>
        </w:rPr>
        <w:t xml:space="preserve"> or placebo groups during the </w:t>
      </w:r>
      <w:proofErr w:type="gramStart"/>
      <w:r w:rsidRPr="00B64CA9">
        <w:rPr>
          <w:rFonts w:cs="Arial"/>
        </w:rPr>
        <w:t>placebo controlled</w:t>
      </w:r>
      <w:proofErr w:type="gramEnd"/>
      <w:r w:rsidRPr="00B64CA9">
        <w:rPr>
          <w:rFonts w:cs="Arial"/>
        </w:rPr>
        <w:t xml:space="preserve"> period. </w:t>
      </w:r>
    </w:p>
    <w:p w14:paraId="73D4B6E9" w14:textId="77777777" w:rsidR="00AF4E63" w:rsidRPr="00B64CA9" w:rsidRDefault="00AF4E63" w:rsidP="0081558E">
      <w:pPr>
        <w:jc w:val="both"/>
        <w:rPr>
          <w:rFonts w:cs="Arial"/>
        </w:rPr>
      </w:pPr>
      <w:r w:rsidRPr="00B64CA9">
        <w:rPr>
          <w:rFonts w:cs="Arial"/>
        </w:rPr>
        <w:t xml:space="preserve">An increase in blood triglycerides levels was also observed in psoriatic arthritic patients receiving </w:t>
      </w:r>
      <w:proofErr w:type="spellStart"/>
      <w:r w:rsidRPr="00B64CA9">
        <w:rPr>
          <w:rFonts w:cs="Arial"/>
        </w:rPr>
        <w:t>secukinumab</w:t>
      </w:r>
      <w:proofErr w:type="spellEnd"/>
      <w:r w:rsidRPr="00B64CA9">
        <w:rPr>
          <w:rFonts w:cs="Arial"/>
        </w:rPr>
        <w:t xml:space="preserve"> compared to placebo (CTCAE Grade 1: </w:t>
      </w:r>
      <w:r w:rsidR="00B77E37" w:rsidRPr="00B64CA9">
        <w:rPr>
          <w:rFonts w:cs="Arial"/>
        </w:rPr>
        <w:t>26.7</w:t>
      </w:r>
      <w:r w:rsidRPr="00B64CA9">
        <w:rPr>
          <w:rFonts w:cs="Arial"/>
        </w:rPr>
        <w:t xml:space="preserve">% vs. </w:t>
      </w:r>
      <w:r w:rsidR="00B77E37" w:rsidRPr="00B64CA9">
        <w:rPr>
          <w:rFonts w:cs="Arial"/>
        </w:rPr>
        <w:t>19.1</w:t>
      </w:r>
      <w:r w:rsidRPr="00B64CA9">
        <w:rPr>
          <w:rFonts w:cs="Arial"/>
        </w:rPr>
        <w:t>%, Grade 2: 4.</w:t>
      </w:r>
      <w:r w:rsidR="00B77E37" w:rsidRPr="00B64CA9">
        <w:rPr>
          <w:rFonts w:cs="Arial"/>
        </w:rPr>
        <w:t>6</w:t>
      </w:r>
      <w:r w:rsidRPr="00B64CA9">
        <w:rPr>
          <w:rFonts w:cs="Arial"/>
        </w:rPr>
        <w:t>% vs. 3.</w:t>
      </w:r>
      <w:r w:rsidR="00B77E37" w:rsidRPr="00B64CA9">
        <w:rPr>
          <w:rFonts w:cs="Arial"/>
        </w:rPr>
        <w:t>5</w:t>
      </w:r>
      <w:r w:rsidRPr="00B64CA9">
        <w:rPr>
          <w:rFonts w:cs="Arial"/>
        </w:rPr>
        <w:t xml:space="preserve">%, Grade 3: </w:t>
      </w:r>
      <w:r w:rsidR="00B77E37" w:rsidRPr="00B64CA9">
        <w:rPr>
          <w:rFonts w:cs="Arial"/>
        </w:rPr>
        <w:t>1.0</w:t>
      </w:r>
      <w:r w:rsidRPr="00B64CA9">
        <w:rPr>
          <w:rFonts w:cs="Arial"/>
        </w:rPr>
        <w:t>% vs. 0.7% and Grade 4: 0.</w:t>
      </w:r>
      <w:r w:rsidR="00B77E37" w:rsidRPr="00B64CA9">
        <w:rPr>
          <w:rFonts w:cs="Arial"/>
        </w:rPr>
        <w:t>2</w:t>
      </w:r>
      <w:r w:rsidRPr="00B64CA9">
        <w:rPr>
          <w:rFonts w:cs="Arial"/>
        </w:rPr>
        <w:t>% vs. 0.</w:t>
      </w:r>
      <w:r w:rsidR="00B77E37" w:rsidRPr="00B64CA9">
        <w:rPr>
          <w:rFonts w:cs="Arial"/>
        </w:rPr>
        <w:t>1</w:t>
      </w:r>
      <w:r w:rsidRPr="00B64CA9">
        <w:rPr>
          <w:rFonts w:cs="Arial"/>
        </w:rPr>
        <w:t xml:space="preserve">%, respectively) up to Week 16.  </w:t>
      </w:r>
    </w:p>
    <w:p w14:paraId="427A0A0C" w14:textId="77777777" w:rsidR="00AF4E63" w:rsidRPr="00B64CA9" w:rsidRDefault="00AF4E63" w:rsidP="0081558E">
      <w:pPr>
        <w:jc w:val="both"/>
        <w:rPr>
          <w:rFonts w:cs="Arial"/>
        </w:rPr>
      </w:pPr>
      <w:r w:rsidRPr="00B64CA9">
        <w:rPr>
          <w:rFonts w:cs="Arial"/>
        </w:rPr>
        <w:t xml:space="preserve">Elevations (mainly CTCAE Grade 1 and Grade 2) in cholesterol and triglycerides were also observed during long-term treatment with </w:t>
      </w:r>
      <w:proofErr w:type="spellStart"/>
      <w:r w:rsidRPr="00B64CA9">
        <w:rPr>
          <w:rFonts w:cs="Arial"/>
        </w:rPr>
        <w:t>secukinumab</w:t>
      </w:r>
      <w:proofErr w:type="spellEnd"/>
      <w:r w:rsidRPr="00B64CA9">
        <w:rPr>
          <w:rFonts w:cs="Arial"/>
        </w:rPr>
        <w:t>.</w:t>
      </w:r>
    </w:p>
    <w:p w14:paraId="5EE03C82"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Hepatic transaminases</w:t>
      </w:r>
    </w:p>
    <w:p w14:paraId="5B7E325F" w14:textId="77777777" w:rsidR="00AF4E63" w:rsidRPr="00B64CA9" w:rsidRDefault="00AF4E63" w:rsidP="0081558E">
      <w:pPr>
        <w:jc w:val="both"/>
        <w:rPr>
          <w:rFonts w:cs="Arial"/>
        </w:rPr>
      </w:pPr>
      <w:r w:rsidRPr="00B64CA9">
        <w:rPr>
          <w:rFonts w:cs="Arial"/>
        </w:rPr>
        <w:t xml:space="preserve">During the placebo-controlled period, increased incidence of elevated hepatic transaminases was observed in psoriatic arthritis patients treated with </w:t>
      </w:r>
      <w:proofErr w:type="spellStart"/>
      <w:r w:rsidRPr="00B64CA9">
        <w:rPr>
          <w:rFonts w:cs="Arial"/>
        </w:rPr>
        <w:t>secukinumab</w:t>
      </w:r>
      <w:proofErr w:type="spellEnd"/>
      <w:r w:rsidRPr="00B64CA9">
        <w:rPr>
          <w:rFonts w:cs="Arial"/>
        </w:rPr>
        <w:t xml:space="preserve"> compared to placebo. The elevations in hepatic transaminases were seen primarily in CTCAE Grade 1 (ALT: </w:t>
      </w:r>
      <w:r w:rsidR="00B77E37" w:rsidRPr="00B64CA9">
        <w:rPr>
          <w:rFonts w:cs="Arial"/>
        </w:rPr>
        <w:t>17.1</w:t>
      </w:r>
      <w:r w:rsidRPr="00B64CA9">
        <w:rPr>
          <w:rFonts w:cs="Arial"/>
        </w:rPr>
        <w:t xml:space="preserve">% vs </w:t>
      </w:r>
      <w:r w:rsidR="00B77E37" w:rsidRPr="00B64CA9">
        <w:rPr>
          <w:rFonts w:cs="Arial"/>
        </w:rPr>
        <w:t>14.8</w:t>
      </w:r>
      <w:r w:rsidRPr="00B64CA9">
        <w:rPr>
          <w:rFonts w:cs="Arial"/>
        </w:rPr>
        <w:t xml:space="preserve">%; AST: </w:t>
      </w:r>
      <w:r w:rsidR="00B77E37" w:rsidRPr="00B64CA9">
        <w:rPr>
          <w:rFonts w:cs="Arial"/>
        </w:rPr>
        <w:t>12.5</w:t>
      </w:r>
      <w:r w:rsidRPr="00B64CA9">
        <w:rPr>
          <w:rFonts w:cs="Arial"/>
        </w:rPr>
        <w:t xml:space="preserve">% vs. </w:t>
      </w:r>
      <w:r w:rsidR="00B77E37" w:rsidRPr="00B64CA9">
        <w:rPr>
          <w:rFonts w:cs="Arial"/>
        </w:rPr>
        <w:t>10.1</w:t>
      </w:r>
      <w:r w:rsidRPr="00B64CA9">
        <w:rPr>
          <w:rFonts w:cs="Arial"/>
        </w:rPr>
        <w:t xml:space="preserve">%, respectively). No difference in the incidence of elevated ALT and AST was seen between </w:t>
      </w:r>
      <w:proofErr w:type="spellStart"/>
      <w:r w:rsidRPr="00B64CA9">
        <w:rPr>
          <w:rFonts w:cs="Arial"/>
        </w:rPr>
        <w:t>secukinumab</w:t>
      </w:r>
      <w:proofErr w:type="spellEnd"/>
      <w:r w:rsidRPr="00B64CA9">
        <w:rPr>
          <w:rFonts w:cs="Arial"/>
        </w:rPr>
        <w:t xml:space="preserve"> and placebo in CTCAE Grade 2</w:t>
      </w:r>
      <w:r w:rsidR="00B77E37" w:rsidRPr="00B64CA9">
        <w:rPr>
          <w:rFonts w:cs="Arial"/>
        </w:rPr>
        <w:t>,</w:t>
      </w:r>
      <w:r w:rsidR="00690FDD" w:rsidRPr="00B64CA9">
        <w:rPr>
          <w:rFonts w:cs="Arial"/>
        </w:rPr>
        <w:t xml:space="preserve"> </w:t>
      </w:r>
      <w:r w:rsidRPr="00B64CA9">
        <w:rPr>
          <w:rFonts w:cs="Arial"/>
        </w:rPr>
        <w:t xml:space="preserve">Grade </w:t>
      </w:r>
      <w:proofErr w:type="gramStart"/>
      <w:r w:rsidRPr="00B64CA9">
        <w:rPr>
          <w:rFonts w:cs="Arial"/>
        </w:rPr>
        <w:t>3</w:t>
      </w:r>
      <w:proofErr w:type="gramEnd"/>
      <w:r w:rsidR="00B77E37" w:rsidRPr="00B64CA9">
        <w:rPr>
          <w:rFonts w:cs="Arial"/>
        </w:rPr>
        <w:t xml:space="preserve"> and Grade 4</w:t>
      </w:r>
      <w:r w:rsidRPr="00B64CA9">
        <w:rPr>
          <w:rFonts w:cs="Arial"/>
        </w:rPr>
        <w:t>. No cases of CTCAE Grade 4 were observed</w:t>
      </w:r>
      <w:r w:rsidR="00B77E37" w:rsidRPr="00B64CA9">
        <w:rPr>
          <w:rFonts w:cs="Arial"/>
        </w:rPr>
        <w:t xml:space="preserve"> for AST</w:t>
      </w:r>
      <w:r w:rsidRPr="00B64CA9">
        <w:rPr>
          <w:rFonts w:cs="Arial"/>
        </w:rPr>
        <w:t xml:space="preserve">.  </w:t>
      </w:r>
    </w:p>
    <w:p w14:paraId="135F5CFA" w14:textId="77777777" w:rsidR="00AF4E63" w:rsidRPr="00B64CA9" w:rsidRDefault="00AF4E63" w:rsidP="0081558E">
      <w:pPr>
        <w:jc w:val="both"/>
        <w:rPr>
          <w:rFonts w:cs="Arial"/>
        </w:rPr>
      </w:pPr>
      <w:r w:rsidRPr="00B64CA9">
        <w:rPr>
          <w:rFonts w:cs="Arial"/>
        </w:rPr>
        <w:t xml:space="preserve">Elevations (mainly CTCAE Grade 1 and Grade 2) in ALT and AST was also observed during the long-term treatment with </w:t>
      </w:r>
      <w:proofErr w:type="spellStart"/>
      <w:r w:rsidRPr="00B64CA9">
        <w:rPr>
          <w:rFonts w:cs="Arial"/>
        </w:rPr>
        <w:t>secukinumab</w:t>
      </w:r>
      <w:proofErr w:type="spellEnd"/>
      <w:r w:rsidRPr="00B64CA9">
        <w:rPr>
          <w:rFonts w:cs="Arial"/>
        </w:rPr>
        <w:t xml:space="preserve">. </w:t>
      </w:r>
    </w:p>
    <w:p w14:paraId="4C7E9CF7" w14:textId="77777777" w:rsidR="00AF4E63" w:rsidRPr="00B64CA9" w:rsidRDefault="00AF4E63" w:rsidP="00253D7C">
      <w:pPr>
        <w:pStyle w:val="Heading3"/>
        <w:spacing w:before="0" w:after="120"/>
        <w:ind w:left="0"/>
        <w:jc w:val="both"/>
        <w:rPr>
          <w:rFonts w:cstheme="minorHAnsi"/>
          <w:b w:val="0"/>
          <w:u w:val="single"/>
        </w:rPr>
      </w:pPr>
      <w:r w:rsidRPr="00B64CA9">
        <w:rPr>
          <w:rFonts w:cstheme="minorHAnsi"/>
          <w:u w:val="single"/>
        </w:rPr>
        <w:t xml:space="preserve">Adverse reactions in </w:t>
      </w:r>
      <w:r w:rsidR="007A2F8A" w:rsidRPr="00B64CA9">
        <w:rPr>
          <w:rFonts w:cstheme="minorHAnsi"/>
          <w:u w:val="single"/>
        </w:rPr>
        <w:t xml:space="preserve">axial </w:t>
      </w:r>
      <w:proofErr w:type="spellStart"/>
      <w:r w:rsidR="007A2F8A" w:rsidRPr="00B64CA9">
        <w:rPr>
          <w:rFonts w:cstheme="minorHAnsi"/>
          <w:u w:val="single"/>
        </w:rPr>
        <w:t>spondyloarthritis</w:t>
      </w:r>
      <w:proofErr w:type="spellEnd"/>
      <w:r w:rsidR="007A2F8A" w:rsidRPr="00B64CA9">
        <w:rPr>
          <w:rFonts w:cstheme="minorHAnsi"/>
          <w:u w:val="single"/>
        </w:rPr>
        <w:t xml:space="preserve"> (</w:t>
      </w:r>
      <w:r w:rsidRPr="00B64CA9">
        <w:rPr>
          <w:rFonts w:cstheme="minorHAnsi"/>
          <w:u w:val="single"/>
        </w:rPr>
        <w:t>ankylosing spondylitis</w:t>
      </w:r>
      <w:r w:rsidR="007A2F8A" w:rsidRPr="00B64CA9">
        <w:rPr>
          <w:rFonts w:cstheme="minorHAnsi"/>
          <w:u w:val="single"/>
        </w:rPr>
        <w:t xml:space="preserve"> and non-radiographic axial </w:t>
      </w:r>
      <w:proofErr w:type="spellStart"/>
      <w:r w:rsidR="007A2F8A" w:rsidRPr="00B64CA9">
        <w:rPr>
          <w:rFonts w:cstheme="minorHAnsi"/>
          <w:u w:val="single"/>
        </w:rPr>
        <w:t>spondyloarthritis</w:t>
      </w:r>
      <w:proofErr w:type="spellEnd"/>
      <w:r w:rsidR="007A2F8A" w:rsidRPr="00B64CA9">
        <w:rPr>
          <w:rFonts w:cstheme="minorHAnsi"/>
          <w:u w:val="single"/>
        </w:rPr>
        <w:t>)</w:t>
      </w:r>
    </w:p>
    <w:p w14:paraId="305887C6" w14:textId="77777777" w:rsidR="00A40CEA" w:rsidRPr="00B64CA9" w:rsidRDefault="00AF4E63" w:rsidP="0081558E">
      <w:pPr>
        <w:jc w:val="both"/>
        <w:rPr>
          <w:rFonts w:cs="Arial"/>
        </w:rPr>
      </w:pPr>
      <w:r w:rsidRPr="00B64CA9">
        <w:rPr>
          <w:rFonts w:cs="Arial"/>
        </w:rPr>
        <w:t xml:space="preserve">COSENTYX was studied in </w:t>
      </w:r>
      <w:r w:rsidR="0050597C" w:rsidRPr="00B64CA9">
        <w:rPr>
          <w:rFonts w:cs="Arial"/>
        </w:rPr>
        <w:t>three</w:t>
      </w:r>
      <w:r w:rsidRPr="00B64CA9">
        <w:rPr>
          <w:rFonts w:cs="Arial"/>
        </w:rPr>
        <w:t xml:space="preserve"> placebo-controlled ankylosing spondylitis trials with </w:t>
      </w:r>
      <w:r w:rsidR="0050597C" w:rsidRPr="00B64CA9">
        <w:rPr>
          <w:rFonts w:cs="Arial"/>
        </w:rPr>
        <w:t>816</w:t>
      </w:r>
      <w:r w:rsidRPr="00B64CA9">
        <w:rPr>
          <w:rFonts w:cs="Arial"/>
        </w:rPr>
        <w:t xml:space="preserve"> patients (</w:t>
      </w:r>
      <w:r w:rsidR="0050597C" w:rsidRPr="00B64CA9">
        <w:rPr>
          <w:rFonts w:cs="Arial"/>
        </w:rPr>
        <w:t>544</w:t>
      </w:r>
      <w:r w:rsidRPr="00B64CA9">
        <w:rPr>
          <w:rFonts w:cs="Arial"/>
        </w:rPr>
        <w:t xml:space="preserve"> patients on COSENTYX and </w:t>
      </w:r>
      <w:r w:rsidR="0050597C" w:rsidRPr="00B64CA9">
        <w:rPr>
          <w:rFonts w:cs="Arial"/>
        </w:rPr>
        <w:t>272</w:t>
      </w:r>
      <w:r w:rsidRPr="00B64CA9">
        <w:rPr>
          <w:rFonts w:cs="Arial"/>
        </w:rPr>
        <w:t xml:space="preserve"> patients on placebo)</w:t>
      </w:r>
      <w:r w:rsidR="0050597C" w:rsidRPr="00B64CA9">
        <w:rPr>
          <w:rFonts w:cs="Arial"/>
        </w:rPr>
        <w:t>.</w:t>
      </w:r>
      <w:r w:rsidRPr="00B64CA9">
        <w:rPr>
          <w:rFonts w:cs="Arial"/>
        </w:rPr>
        <w:t xml:space="preserve"> </w:t>
      </w:r>
      <w:r w:rsidR="0050597C" w:rsidRPr="00B64CA9">
        <w:rPr>
          <w:rFonts w:cs="Arial"/>
        </w:rPr>
        <w:t xml:space="preserve">The </w:t>
      </w:r>
      <w:r w:rsidRPr="00B64CA9">
        <w:rPr>
          <w:rFonts w:cs="Arial"/>
        </w:rPr>
        <w:t xml:space="preserve">median duration of exposure for </w:t>
      </w:r>
      <w:proofErr w:type="spellStart"/>
      <w:r w:rsidRPr="00B64CA9">
        <w:rPr>
          <w:rFonts w:cs="Arial"/>
        </w:rPr>
        <w:t>secukinumab</w:t>
      </w:r>
      <w:proofErr w:type="spellEnd"/>
      <w:r w:rsidRPr="00B64CA9">
        <w:rPr>
          <w:rFonts w:cs="Arial"/>
        </w:rPr>
        <w:t xml:space="preserve">-treated patients </w:t>
      </w:r>
      <w:r w:rsidR="0050597C" w:rsidRPr="00B64CA9">
        <w:rPr>
          <w:rFonts w:cs="Arial"/>
        </w:rPr>
        <w:t xml:space="preserve">was </w:t>
      </w:r>
      <w:r w:rsidRPr="00B64CA9">
        <w:rPr>
          <w:rFonts w:cs="Arial"/>
        </w:rPr>
        <w:t>469 days in AS1 Study</w:t>
      </w:r>
      <w:r w:rsidR="0050597C" w:rsidRPr="00B64CA9">
        <w:rPr>
          <w:rFonts w:cs="Arial"/>
        </w:rPr>
        <w:t>,</w:t>
      </w:r>
      <w:r w:rsidRPr="00B64CA9">
        <w:rPr>
          <w:rFonts w:cs="Arial"/>
        </w:rPr>
        <w:t xml:space="preserve"> 460 days in AS2 Study</w:t>
      </w:r>
      <w:r w:rsidR="00A40CEA" w:rsidRPr="00B64CA9">
        <w:rPr>
          <w:rFonts w:cs="Arial"/>
        </w:rPr>
        <w:t>, and 1,</w:t>
      </w:r>
      <w:r w:rsidR="0050597C" w:rsidRPr="00B64CA9">
        <w:rPr>
          <w:rFonts w:cs="Arial"/>
        </w:rPr>
        <w:t>142 days in AS3 Study</w:t>
      </w:r>
      <w:r w:rsidRPr="00B64CA9">
        <w:rPr>
          <w:rFonts w:cs="Arial"/>
        </w:rPr>
        <w:t xml:space="preserve">. During the 16-week placebo-controlled period of the trials in patients with ankylosing spondylitis, the overall proportion of patients with adverse events was higher in the </w:t>
      </w:r>
      <w:proofErr w:type="spellStart"/>
      <w:r w:rsidRPr="00B64CA9">
        <w:rPr>
          <w:rFonts w:cs="Arial"/>
        </w:rPr>
        <w:t>secukinumab</w:t>
      </w:r>
      <w:proofErr w:type="spellEnd"/>
      <w:r w:rsidRPr="00B64CA9">
        <w:rPr>
          <w:rFonts w:cs="Arial"/>
        </w:rPr>
        <w:t xml:space="preserve"> groups than the placebo-treatment groups (</w:t>
      </w:r>
      <w:r w:rsidR="0050597C" w:rsidRPr="00B64CA9">
        <w:rPr>
          <w:rFonts w:cs="Arial"/>
        </w:rPr>
        <w:t>60</w:t>
      </w:r>
      <w:r w:rsidRPr="00B64CA9">
        <w:rPr>
          <w:rFonts w:cs="Arial"/>
        </w:rPr>
        <w:t xml:space="preserve">% and </w:t>
      </w:r>
      <w:r w:rsidR="0050597C" w:rsidRPr="00B64CA9">
        <w:rPr>
          <w:rFonts w:cs="Arial"/>
        </w:rPr>
        <w:t>55</w:t>
      </w:r>
      <w:r w:rsidRPr="00B64CA9">
        <w:rPr>
          <w:rFonts w:cs="Arial"/>
        </w:rPr>
        <w:t xml:space="preserve">%, respectively). </w:t>
      </w:r>
    </w:p>
    <w:p w14:paraId="4F5D7AD0" w14:textId="77777777" w:rsidR="0050597C" w:rsidRPr="00B64CA9" w:rsidRDefault="0050597C" w:rsidP="0081558E">
      <w:pPr>
        <w:jc w:val="both"/>
        <w:rPr>
          <w:rFonts w:cs="Arial"/>
        </w:rPr>
      </w:pPr>
      <w:r w:rsidRPr="00B64CA9">
        <w:rPr>
          <w:rFonts w:cs="Arial"/>
        </w:rPr>
        <w:t xml:space="preserve">The overall safety profile of COSENTYX in AS3 Study remained in line with the safety profile established in the pivotal AS1 and AS2 studies, which are summarised in the next paragraphs. </w:t>
      </w:r>
    </w:p>
    <w:p w14:paraId="503D6D21" w14:textId="77777777" w:rsidR="001703F5" w:rsidRPr="00B64CA9" w:rsidRDefault="00AF4E63" w:rsidP="0081558E">
      <w:pPr>
        <w:jc w:val="both"/>
        <w:rPr>
          <w:rFonts w:cs="Arial"/>
        </w:rPr>
      </w:pPr>
      <w:r w:rsidRPr="00B64CA9">
        <w:rPr>
          <w:rFonts w:cs="Arial"/>
        </w:rPr>
        <w:t xml:space="preserve">The adverse events that occurred at a proportion of at least 2% and at a higher proportion in the COSENTYX groups than the placebo groups during the 16-week placebo-controlled period were nasopharyngitis, nausea, and upper respiratory tract infection. </w:t>
      </w:r>
    </w:p>
    <w:p w14:paraId="5F907695" w14:textId="77777777" w:rsidR="001703F5" w:rsidRPr="00B64CA9" w:rsidRDefault="001703F5" w:rsidP="0081558E">
      <w:pPr>
        <w:jc w:val="both"/>
        <w:rPr>
          <w:rFonts w:cs="Arial"/>
        </w:rPr>
      </w:pPr>
      <w:r w:rsidRPr="00B64CA9">
        <w:rPr>
          <w:rFonts w:cs="Arial"/>
        </w:rPr>
        <w:lastRenderedPageBreak/>
        <w:t xml:space="preserve">COSENTYX was also studied in one placebo-controlled non-radiographic axial </w:t>
      </w:r>
      <w:proofErr w:type="spellStart"/>
      <w:r w:rsidRPr="00B64CA9">
        <w:rPr>
          <w:rFonts w:cs="Arial"/>
        </w:rPr>
        <w:t>spondyloarthritis</w:t>
      </w:r>
      <w:proofErr w:type="spellEnd"/>
      <w:r w:rsidRPr="00B64CA9">
        <w:rPr>
          <w:rFonts w:cs="Arial"/>
        </w:rPr>
        <w:t xml:space="preserve"> trial with 555 patients (369 patients on COSENTYX and 186 patients on placebo) for a total of </w:t>
      </w:r>
      <w:r w:rsidR="00CD2BEB" w:rsidRPr="00B64CA9">
        <w:rPr>
          <w:rFonts w:cs="Arial"/>
        </w:rPr>
        <w:t>757.9</w:t>
      </w:r>
      <w:r w:rsidRPr="00B64CA9">
        <w:rPr>
          <w:rFonts w:cs="Arial"/>
        </w:rPr>
        <w:t xml:space="preserve"> patient-years of study exposure (median duration of exposure for </w:t>
      </w:r>
      <w:proofErr w:type="spellStart"/>
      <w:r w:rsidRPr="00B64CA9">
        <w:rPr>
          <w:rFonts w:cs="Arial"/>
        </w:rPr>
        <w:t>secukinumab</w:t>
      </w:r>
      <w:proofErr w:type="spellEnd"/>
      <w:r w:rsidRPr="00B64CA9">
        <w:rPr>
          <w:rFonts w:cs="Arial"/>
        </w:rPr>
        <w:t xml:space="preserve">-treated patients: </w:t>
      </w:r>
      <w:r w:rsidR="00CD2BEB" w:rsidRPr="00B64CA9">
        <w:rPr>
          <w:rFonts w:cs="Arial"/>
        </w:rPr>
        <w:t>540</w:t>
      </w:r>
      <w:r w:rsidRPr="00B64CA9">
        <w:rPr>
          <w:rFonts w:cs="Arial"/>
        </w:rPr>
        <w:t xml:space="preserve"> days).</w:t>
      </w:r>
      <w:r w:rsidR="00BE7FD1" w:rsidRPr="00B64CA9">
        <w:rPr>
          <w:rFonts w:cs="Arial"/>
        </w:rPr>
        <w:t xml:space="preserve"> During the 20-week placebo-controlled period of the trial in patients with non-radiographic axial </w:t>
      </w:r>
      <w:proofErr w:type="spellStart"/>
      <w:r w:rsidR="00BE7FD1" w:rsidRPr="00B64CA9">
        <w:rPr>
          <w:rFonts w:cs="Arial"/>
        </w:rPr>
        <w:t>spondyloarthritis</w:t>
      </w:r>
      <w:proofErr w:type="spellEnd"/>
      <w:r w:rsidR="00BE7FD1" w:rsidRPr="00B64CA9">
        <w:rPr>
          <w:rFonts w:cs="Arial"/>
        </w:rPr>
        <w:t xml:space="preserve">, the overall proportion of patients with adverse events was higher in the </w:t>
      </w:r>
      <w:proofErr w:type="spellStart"/>
      <w:r w:rsidR="00BE7FD1" w:rsidRPr="00B64CA9">
        <w:rPr>
          <w:rFonts w:cs="Arial"/>
        </w:rPr>
        <w:t>secukinumab</w:t>
      </w:r>
      <w:proofErr w:type="spellEnd"/>
      <w:r w:rsidR="00BE7FD1" w:rsidRPr="00B64CA9">
        <w:rPr>
          <w:rFonts w:cs="Arial"/>
        </w:rPr>
        <w:t xml:space="preserve"> groups than the placebo-treatment groups (</w:t>
      </w:r>
      <w:r w:rsidR="00CD2BEB" w:rsidRPr="00B64CA9">
        <w:rPr>
          <w:rFonts w:cs="Arial"/>
        </w:rPr>
        <w:t>61.2</w:t>
      </w:r>
      <w:r w:rsidR="00BE7FD1" w:rsidRPr="00B64CA9">
        <w:rPr>
          <w:rFonts w:cs="Arial"/>
        </w:rPr>
        <w:t xml:space="preserve">% and </w:t>
      </w:r>
      <w:r w:rsidR="00CD2BEB" w:rsidRPr="00B64CA9">
        <w:rPr>
          <w:rFonts w:cs="Arial"/>
        </w:rPr>
        <w:t>54.3</w:t>
      </w:r>
      <w:r w:rsidR="00BE7FD1" w:rsidRPr="00B64CA9">
        <w:rPr>
          <w:rFonts w:cs="Arial"/>
        </w:rPr>
        <w:t xml:space="preserve">%, respectively). The adverse events that occurred at a proportion of at least 2% and at a higher proportion in the COSENTYX groups than the placebo group during the 20-week placebo-controlled period were nasopharyngitis, </w:t>
      </w:r>
      <w:r w:rsidR="002F1E47" w:rsidRPr="00B64CA9">
        <w:rPr>
          <w:rFonts w:cs="Arial"/>
        </w:rPr>
        <w:t xml:space="preserve">diarrhoea, headache, </w:t>
      </w:r>
      <w:r w:rsidR="00BE7FD1" w:rsidRPr="00B64CA9">
        <w:rPr>
          <w:rFonts w:cs="Arial"/>
        </w:rPr>
        <w:t>upper respiratory tract infection</w:t>
      </w:r>
      <w:r w:rsidR="002F1E47" w:rsidRPr="00B64CA9">
        <w:rPr>
          <w:rFonts w:cs="Arial"/>
        </w:rPr>
        <w:t>, oropharyngeal pain, back pain, nausea, urinary tract infection, abdominal pain upper and tonsillitis</w:t>
      </w:r>
      <w:r w:rsidR="00BE7FD1" w:rsidRPr="00B64CA9">
        <w:rPr>
          <w:rFonts w:cs="Arial"/>
        </w:rPr>
        <w:t xml:space="preserve">. </w:t>
      </w:r>
      <w:r w:rsidRPr="00B64CA9">
        <w:rPr>
          <w:rFonts w:cs="Arial"/>
        </w:rPr>
        <w:t xml:space="preserve"> </w:t>
      </w:r>
    </w:p>
    <w:p w14:paraId="44222C0A" w14:textId="77777777" w:rsidR="00AF4E63" w:rsidRPr="00B64CA9" w:rsidRDefault="00AF4E63" w:rsidP="0081558E">
      <w:pPr>
        <w:jc w:val="both"/>
        <w:rPr>
          <w:rFonts w:cs="Arial"/>
        </w:rPr>
      </w:pPr>
      <w:r w:rsidRPr="00B64CA9">
        <w:rPr>
          <w:rFonts w:cs="Arial"/>
        </w:rPr>
        <w:t xml:space="preserve">The safety profile observed in patients with </w:t>
      </w:r>
      <w:r w:rsidR="009E1CC2" w:rsidRPr="00B64CA9">
        <w:t xml:space="preserve">axial </w:t>
      </w:r>
      <w:proofErr w:type="spellStart"/>
      <w:r w:rsidR="009E1CC2" w:rsidRPr="00B64CA9">
        <w:t>spondyloarthritis</w:t>
      </w:r>
      <w:proofErr w:type="spellEnd"/>
      <w:r w:rsidR="009E1CC2" w:rsidRPr="00B64CA9">
        <w:t xml:space="preserve"> (</w:t>
      </w:r>
      <w:r w:rsidRPr="00B64CA9">
        <w:rPr>
          <w:rFonts w:cs="Arial"/>
        </w:rPr>
        <w:t>ankylosing spondylitis</w:t>
      </w:r>
      <w:r w:rsidR="009E1CC2" w:rsidRPr="00B64CA9">
        <w:t xml:space="preserve"> and non-radiographic axial </w:t>
      </w:r>
      <w:proofErr w:type="spellStart"/>
      <w:r w:rsidR="009E1CC2" w:rsidRPr="00B64CA9">
        <w:t>spondyloarthritis</w:t>
      </w:r>
      <w:proofErr w:type="spellEnd"/>
      <w:r w:rsidR="009E1CC2" w:rsidRPr="00B64CA9">
        <w:t>)</w:t>
      </w:r>
      <w:r w:rsidRPr="00B64CA9">
        <w:rPr>
          <w:rFonts w:cs="Arial"/>
        </w:rPr>
        <w:t xml:space="preserve"> treated with COSENTYX is consistent with the safety profile in psoriasis.</w:t>
      </w:r>
    </w:p>
    <w:p w14:paraId="6E004369" w14:textId="77777777" w:rsidR="00AF4E63" w:rsidRPr="00B64CA9" w:rsidRDefault="00AF4E63" w:rsidP="0081558E">
      <w:pPr>
        <w:jc w:val="both"/>
        <w:rPr>
          <w:rFonts w:cs="Arial"/>
        </w:rPr>
      </w:pPr>
      <w:proofErr w:type="gramStart"/>
      <w:r w:rsidRPr="00B64CA9">
        <w:rPr>
          <w:rFonts w:cs="Arial"/>
        </w:rPr>
        <w:t>Similar to</w:t>
      </w:r>
      <w:proofErr w:type="gramEnd"/>
      <w:r w:rsidRPr="00B64CA9">
        <w:rPr>
          <w:rFonts w:cs="Arial"/>
        </w:rPr>
        <w:t xml:space="preserve"> clinical trials in patients with psoriasis, there was an increased proportion of </w:t>
      </w:r>
      <w:r w:rsidR="00866388" w:rsidRPr="00B64CA9">
        <w:rPr>
          <w:rFonts w:cs="Arial"/>
        </w:rPr>
        <w:t xml:space="preserve">ankylosing spondylitis </w:t>
      </w:r>
      <w:r w:rsidRPr="00B64CA9">
        <w:rPr>
          <w:rFonts w:cs="Arial"/>
        </w:rPr>
        <w:t>patients with infections in the COSENTYX groups (31%) compared to the placebo group (18%)</w:t>
      </w:r>
      <w:r w:rsidR="00866388" w:rsidRPr="00B64CA9">
        <w:rPr>
          <w:rFonts w:cs="Arial"/>
        </w:rPr>
        <w:t xml:space="preserve">. The proportion of non-radiographic axial </w:t>
      </w:r>
      <w:proofErr w:type="spellStart"/>
      <w:r w:rsidR="00866388" w:rsidRPr="00B64CA9">
        <w:rPr>
          <w:rFonts w:cs="Arial"/>
        </w:rPr>
        <w:t>spondyloarthritis</w:t>
      </w:r>
      <w:proofErr w:type="spellEnd"/>
      <w:r w:rsidR="00866388" w:rsidRPr="00B64CA9">
        <w:rPr>
          <w:rFonts w:cs="Arial"/>
        </w:rPr>
        <w:t xml:space="preserve"> patients with infections is similar in the COSENTYX groups (</w:t>
      </w:r>
      <w:r w:rsidR="008C0E09" w:rsidRPr="00B64CA9">
        <w:rPr>
          <w:rFonts w:cs="Arial"/>
        </w:rPr>
        <w:t>35.5</w:t>
      </w:r>
      <w:r w:rsidR="00866388" w:rsidRPr="00B64CA9">
        <w:rPr>
          <w:rFonts w:cs="Arial"/>
        </w:rPr>
        <w:t>%) compared to the placebo group (</w:t>
      </w:r>
      <w:r w:rsidR="008C0E09" w:rsidRPr="00B64CA9">
        <w:rPr>
          <w:rFonts w:cs="Arial"/>
        </w:rPr>
        <w:t>32.8</w:t>
      </w:r>
      <w:r w:rsidR="00866388" w:rsidRPr="00B64CA9">
        <w:rPr>
          <w:rFonts w:cs="Arial"/>
        </w:rPr>
        <w:t>%)</w:t>
      </w:r>
      <w:r w:rsidRPr="00B64CA9">
        <w:rPr>
          <w:rFonts w:cs="Arial"/>
        </w:rPr>
        <w:t xml:space="preserve"> </w:t>
      </w:r>
      <w:r w:rsidRPr="00B64CA9">
        <w:rPr>
          <w:rFonts w:cs="Arial"/>
          <w:iCs/>
        </w:rPr>
        <w:t xml:space="preserve">(see </w:t>
      </w:r>
      <w:r w:rsidR="003B15C9" w:rsidRPr="00B64CA9">
        <w:rPr>
          <w:rFonts w:cs="Arial"/>
          <w:iCs/>
        </w:rPr>
        <w:t>section 4.4 SPECIAL WARNINGS AND PRECAUTIONS FOR USE</w:t>
      </w:r>
      <w:r w:rsidRPr="00B64CA9">
        <w:rPr>
          <w:rFonts w:cs="Arial"/>
          <w:iCs/>
        </w:rPr>
        <w:t>)</w:t>
      </w:r>
      <w:r w:rsidRPr="00B64CA9">
        <w:rPr>
          <w:rFonts w:cs="Arial"/>
        </w:rPr>
        <w:t>.</w:t>
      </w:r>
    </w:p>
    <w:p w14:paraId="1B2713CD" w14:textId="77777777" w:rsidR="00AF4E63" w:rsidRPr="00B64CA9" w:rsidRDefault="00AF4E63" w:rsidP="0081558E">
      <w:pPr>
        <w:jc w:val="both"/>
        <w:rPr>
          <w:rFonts w:cs="Arial"/>
        </w:rPr>
      </w:pPr>
      <w:r w:rsidRPr="00B64CA9">
        <w:rPr>
          <w:rFonts w:cs="Arial"/>
        </w:rPr>
        <w:t>In the ankylosing spondylitis program, with 571 patients exposed to COSENTYX there were 8 cases of inflammatory bowel disease during the entire treatment period (5 Crohn’s (0.7 per 100 patient-years) and 3 ulcerative colitis (0.4 per 100 patient-years)). During the placebo-controlled 16-week period, there were 2 Crohn’s disease exacerbations and 1 new onset ulcerative colitis case that was a serious adverse event in patients treated with COSENTYX compared to none of the patients treated with</w:t>
      </w:r>
      <w:r w:rsidRPr="00B64CA9">
        <w:rPr>
          <w:rFonts w:ascii="Arial" w:hAnsi="Arial" w:cs="Arial"/>
          <w:sz w:val="20"/>
        </w:rPr>
        <w:t xml:space="preserve"> </w:t>
      </w:r>
      <w:r w:rsidRPr="00B64CA9">
        <w:rPr>
          <w:rFonts w:cs="Arial"/>
        </w:rPr>
        <w:t>placebo. During the remainder of the study when all patients received COSENTYX, 1 patient developed Crohn’s disease, 2 patients had Crohn’s exacerbations, 1 patient developed ulcerative colitis, and 1 patient had an ulcerative colitis exacerbation</w:t>
      </w:r>
      <w:r w:rsidR="001E6011" w:rsidRPr="00B64CA9">
        <w:rPr>
          <w:rFonts w:cs="Arial"/>
        </w:rPr>
        <w:t xml:space="preserve">. In the non-radiographic axial </w:t>
      </w:r>
      <w:proofErr w:type="spellStart"/>
      <w:r w:rsidR="001E6011" w:rsidRPr="00B64CA9">
        <w:rPr>
          <w:rFonts w:cs="Arial"/>
        </w:rPr>
        <w:t>spondyloarthritis</w:t>
      </w:r>
      <w:proofErr w:type="spellEnd"/>
      <w:r w:rsidR="001E6011" w:rsidRPr="00B64CA9">
        <w:rPr>
          <w:rFonts w:cs="Arial"/>
        </w:rPr>
        <w:t xml:space="preserve"> program, with 524 patients exposed to COSENTYX there were</w:t>
      </w:r>
      <w:r w:rsidR="004C0272" w:rsidRPr="00B64CA9">
        <w:rPr>
          <w:rFonts w:cs="Arial"/>
        </w:rPr>
        <w:t xml:space="preserve"> </w:t>
      </w:r>
      <w:r w:rsidR="00F05843" w:rsidRPr="00B64CA9">
        <w:rPr>
          <w:rFonts w:cs="Arial"/>
        </w:rPr>
        <w:t>7</w:t>
      </w:r>
      <w:r w:rsidR="004C0272" w:rsidRPr="00B64CA9">
        <w:rPr>
          <w:rFonts w:cs="Arial"/>
        </w:rPr>
        <w:t xml:space="preserve"> cases of inflammatory bowel disease during the entire treatment period (</w:t>
      </w:r>
      <w:r w:rsidR="00F05843" w:rsidRPr="00B64CA9">
        <w:rPr>
          <w:rFonts w:cs="Arial"/>
        </w:rPr>
        <w:t>5</w:t>
      </w:r>
      <w:r w:rsidR="004C0272" w:rsidRPr="00B64CA9">
        <w:rPr>
          <w:rFonts w:cs="Arial"/>
        </w:rPr>
        <w:t xml:space="preserve"> Crohn’s (</w:t>
      </w:r>
      <w:r w:rsidR="00A423C6" w:rsidRPr="00B64CA9">
        <w:rPr>
          <w:rFonts w:cs="Arial"/>
        </w:rPr>
        <w:t>0.</w:t>
      </w:r>
      <w:r w:rsidR="00F05843" w:rsidRPr="00B64CA9">
        <w:rPr>
          <w:rFonts w:cs="Arial"/>
        </w:rPr>
        <w:t>7</w:t>
      </w:r>
      <w:r w:rsidR="004C0272" w:rsidRPr="00B64CA9">
        <w:rPr>
          <w:rFonts w:cs="Arial"/>
        </w:rPr>
        <w:t xml:space="preserve"> per 100 patient-years) and </w:t>
      </w:r>
      <w:r w:rsidR="00F05843" w:rsidRPr="00B64CA9">
        <w:rPr>
          <w:rFonts w:cs="Arial"/>
        </w:rPr>
        <w:t>2</w:t>
      </w:r>
      <w:r w:rsidR="004C0272" w:rsidRPr="00B64CA9">
        <w:rPr>
          <w:rFonts w:cs="Arial"/>
        </w:rPr>
        <w:t xml:space="preserve"> ulcerative colitis (</w:t>
      </w:r>
      <w:r w:rsidR="00A423C6" w:rsidRPr="00B64CA9">
        <w:rPr>
          <w:rFonts w:cs="Arial"/>
        </w:rPr>
        <w:t>0.</w:t>
      </w:r>
      <w:r w:rsidR="00F05843" w:rsidRPr="00B64CA9">
        <w:rPr>
          <w:rFonts w:cs="Arial"/>
        </w:rPr>
        <w:t>3</w:t>
      </w:r>
      <w:r w:rsidR="004C0272" w:rsidRPr="00B64CA9">
        <w:rPr>
          <w:rFonts w:cs="Arial"/>
        </w:rPr>
        <w:t xml:space="preserve"> per 100 patient-years)). During the placebo-controlled 20-week period, there w</w:t>
      </w:r>
      <w:r w:rsidR="009908D8" w:rsidRPr="00B64CA9">
        <w:rPr>
          <w:rFonts w:cs="Arial"/>
        </w:rPr>
        <w:t>as</w:t>
      </w:r>
      <w:r w:rsidR="004C0272" w:rsidRPr="00B64CA9">
        <w:rPr>
          <w:rFonts w:cs="Arial"/>
        </w:rPr>
        <w:t xml:space="preserve"> </w:t>
      </w:r>
      <w:r w:rsidR="00A66DFA" w:rsidRPr="00B64CA9">
        <w:rPr>
          <w:rFonts w:cs="Arial"/>
        </w:rPr>
        <w:t>1 new onset of</w:t>
      </w:r>
      <w:r w:rsidR="004C0272" w:rsidRPr="00B64CA9">
        <w:rPr>
          <w:rFonts w:cs="Arial"/>
        </w:rPr>
        <w:t xml:space="preserve"> Crohn’s disease in</w:t>
      </w:r>
      <w:r w:rsidR="009908D8" w:rsidRPr="00B64CA9">
        <w:rPr>
          <w:rFonts w:cs="Arial"/>
        </w:rPr>
        <w:t xml:space="preserve"> a </w:t>
      </w:r>
      <w:r w:rsidR="004C0272" w:rsidRPr="00B64CA9">
        <w:rPr>
          <w:rFonts w:cs="Arial"/>
        </w:rPr>
        <w:t>patient treated with COSENTYX compared to none of the patients treated with</w:t>
      </w:r>
      <w:r w:rsidR="004C0272" w:rsidRPr="00B64CA9">
        <w:rPr>
          <w:rFonts w:ascii="Arial" w:hAnsi="Arial" w:cs="Arial"/>
          <w:sz w:val="20"/>
        </w:rPr>
        <w:t xml:space="preserve"> </w:t>
      </w:r>
      <w:r w:rsidR="004C0272" w:rsidRPr="00B64CA9">
        <w:rPr>
          <w:rFonts w:cs="Arial"/>
        </w:rPr>
        <w:t>placebo. During the remainder of the study when all patients received COSENTYX,</w:t>
      </w:r>
      <w:r w:rsidR="001520C6" w:rsidRPr="00B64CA9">
        <w:rPr>
          <w:rFonts w:cs="Arial"/>
        </w:rPr>
        <w:t xml:space="preserve"> </w:t>
      </w:r>
      <w:r w:rsidR="000C675B" w:rsidRPr="00B64CA9">
        <w:rPr>
          <w:rFonts w:cs="Arial"/>
        </w:rPr>
        <w:t xml:space="preserve">3 patients developed Crohn’s disease, 1 patient had Crohn’s disease exacerbations, </w:t>
      </w:r>
      <w:r w:rsidR="00A423C6" w:rsidRPr="00B64CA9">
        <w:rPr>
          <w:rFonts w:cs="Arial"/>
        </w:rPr>
        <w:t>1</w:t>
      </w:r>
      <w:r w:rsidR="004C0272" w:rsidRPr="00B64CA9">
        <w:rPr>
          <w:rFonts w:cs="Arial"/>
        </w:rPr>
        <w:t xml:space="preserve"> patient developed ulcerative colitis</w:t>
      </w:r>
      <w:r w:rsidR="000C675B" w:rsidRPr="00B64CA9">
        <w:rPr>
          <w:rFonts w:cs="Arial"/>
        </w:rPr>
        <w:t>, and 1 patient had an ulcerative colitis exacerbation</w:t>
      </w:r>
      <w:r w:rsidRPr="00B64CA9">
        <w:rPr>
          <w:rFonts w:cs="Arial"/>
        </w:rPr>
        <w:t xml:space="preserve"> </w:t>
      </w:r>
      <w:r w:rsidRPr="00B64CA9">
        <w:rPr>
          <w:rFonts w:cs="Arial"/>
          <w:iCs/>
        </w:rPr>
        <w:t xml:space="preserve">(see </w:t>
      </w:r>
      <w:r w:rsidR="003B15C9" w:rsidRPr="00B64CA9">
        <w:rPr>
          <w:rFonts w:cs="Arial"/>
          <w:iCs/>
        </w:rPr>
        <w:t>section 4.4 SPECIAL WARNINGS AND PRECAUTIONS FOR USE</w:t>
      </w:r>
      <w:r w:rsidRPr="00B64CA9">
        <w:rPr>
          <w:rFonts w:cs="Arial"/>
          <w:iCs/>
        </w:rPr>
        <w:t>)</w:t>
      </w:r>
      <w:r w:rsidRPr="00B64CA9">
        <w:rPr>
          <w:rFonts w:cs="Arial"/>
        </w:rPr>
        <w:t>.</w:t>
      </w:r>
    </w:p>
    <w:p w14:paraId="452F4E4E"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Cholesterol and triglycerides</w:t>
      </w:r>
    </w:p>
    <w:p w14:paraId="42DBCDF8" w14:textId="77777777" w:rsidR="00AF4E63" w:rsidRPr="00B64CA9" w:rsidRDefault="00AF4E63" w:rsidP="0081558E">
      <w:pPr>
        <w:jc w:val="both"/>
        <w:rPr>
          <w:rFonts w:cs="Arial"/>
        </w:rPr>
      </w:pPr>
      <w:r w:rsidRPr="00B64CA9">
        <w:rPr>
          <w:rFonts w:cs="Arial"/>
        </w:rPr>
        <w:t xml:space="preserve">CTCAE Grade 1 and Grade 2 elevations of blood cholesterol and triglyceride levels were reported in patients receiving </w:t>
      </w:r>
      <w:proofErr w:type="spellStart"/>
      <w:r w:rsidRPr="00B64CA9">
        <w:rPr>
          <w:rFonts w:cs="Arial"/>
        </w:rPr>
        <w:t>secukinumab</w:t>
      </w:r>
      <w:proofErr w:type="spellEnd"/>
      <w:r w:rsidRPr="00B64CA9">
        <w:rPr>
          <w:rFonts w:cs="Arial"/>
        </w:rPr>
        <w:t xml:space="preserve"> compared to placebo in ankylosing spondylitis clinical trials. </w:t>
      </w:r>
    </w:p>
    <w:p w14:paraId="05796F73" w14:textId="77777777" w:rsidR="00AF4E63" w:rsidRPr="00B64CA9" w:rsidRDefault="00AF4E63" w:rsidP="0081558E">
      <w:pPr>
        <w:jc w:val="both"/>
        <w:rPr>
          <w:rFonts w:cs="Arial"/>
        </w:rPr>
      </w:pPr>
      <w:r w:rsidRPr="00B64CA9">
        <w:rPr>
          <w:rFonts w:cs="Arial"/>
        </w:rPr>
        <w:t xml:space="preserve">The elevations of cholesterol levels were limited primarily to CTCAE Grade 1 (20.0% vs. 19.8%, respectively). Increase in CTCAE Grade 2 cholesterol levels was uncommon (0.8% vs. 0.0%, </w:t>
      </w:r>
      <w:r w:rsidRPr="00B64CA9">
        <w:rPr>
          <w:rFonts w:cs="Arial"/>
        </w:rPr>
        <w:lastRenderedPageBreak/>
        <w:t xml:space="preserve">respectively) and no cases of CTCAE Grade 3 and Grade 4 cholesterol levels were observed in both </w:t>
      </w:r>
      <w:proofErr w:type="spellStart"/>
      <w:r w:rsidRPr="00B64CA9">
        <w:rPr>
          <w:rFonts w:cs="Arial"/>
        </w:rPr>
        <w:t>secukinumab</w:t>
      </w:r>
      <w:proofErr w:type="spellEnd"/>
      <w:r w:rsidRPr="00B64CA9">
        <w:rPr>
          <w:rFonts w:cs="Arial"/>
        </w:rPr>
        <w:t xml:space="preserve"> and placebo groups during the </w:t>
      </w:r>
      <w:proofErr w:type="gramStart"/>
      <w:r w:rsidRPr="00B64CA9">
        <w:rPr>
          <w:rFonts w:cs="Arial"/>
        </w:rPr>
        <w:t>placebo controlled</w:t>
      </w:r>
      <w:proofErr w:type="gramEnd"/>
      <w:r w:rsidRPr="00B64CA9">
        <w:rPr>
          <w:rFonts w:cs="Arial"/>
        </w:rPr>
        <w:t xml:space="preserve"> period. </w:t>
      </w:r>
    </w:p>
    <w:p w14:paraId="1EB545C7" w14:textId="77777777" w:rsidR="00AF4E63" w:rsidRPr="00B64CA9" w:rsidRDefault="00AF4E63" w:rsidP="0081558E">
      <w:pPr>
        <w:jc w:val="both"/>
        <w:rPr>
          <w:rFonts w:cs="Arial"/>
        </w:rPr>
      </w:pPr>
      <w:r w:rsidRPr="00B64CA9">
        <w:rPr>
          <w:rFonts w:cs="Arial"/>
        </w:rPr>
        <w:t xml:space="preserve">An increase in blood triglycerides levels was also observed in ankylosing </w:t>
      </w:r>
      <w:r w:rsidR="0086583F" w:rsidRPr="00B64CA9">
        <w:rPr>
          <w:rFonts w:cs="Arial"/>
        </w:rPr>
        <w:t>s</w:t>
      </w:r>
      <w:r w:rsidRPr="00B64CA9">
        <w:rPr>
          <w:rFonts w:cs="Arial"/>
        </w:rPr>
        <w:t xml:space="preserve">pondylitis patients receiving </w:t>
      </w:r>
      <w:proofErr w:type="spellStart"/>
      <w:r w:rsidRPr="00B64CA9">
        <w:rPr>
          <w:rFonts w:cs="Arial"/>
        </w:rPr>
        <w:t>secukinumab</w:t>
      </w:r>
      <w:proofErr w:type="spellEnd"/>
      <w:r w:rsidRPr="00B64CA9">
        <w:rPr>
          <w:rFonts w:cs="Arial"/>
        </w:rPr>
        <w:t xml:space="preserve"> or placebo (CTCAE Grade 1: 17.8% vs. 17.1%, Grade 2: 2.7% vs. 2.7%, and Grade 3: 0.8% vs. 0.5%, respectively). No cases of CTCAE Grade 4 triglyceride levels were reported during the placebo-controlled period.  </w:t>
      </w:r>
    </w:p>
    <w:p w14:paraId="2B42A335" w14:textId="77777777" w:rsidR="00AF4E63" w:rsidRPr="00B64CA9" w:rsidRDefault="00AF4E63" w:rsidP="0081558E">
      <w:pPr>
        <w:jc w:val="both"/>
        <w:rPr>
          <w:rFonts w:cs="Arial"/>
        </w:rPr>
      </w:pPr>
      <w:r w:rsidRPr="00B64CA9">
        <w:rPr>
          <w:rFonts w:cs="Arial"/>
        </w:rPr>
        <w:t xml:space="preserve">Elevations (mainly CTCAE Grade 1 and Grade 2) in cholesterol and triglycerides were also observed during long-term treatment with </w:t>
      </w:r>
      <w:proofErr w:type="spellStart"/>
      <w:r w:rsidRPr="00B64CA9">
        <w:rPr>
          <w:rFonts w:cs="Arial"/>
        </w:rPr>
        <w:t>secukinumab</w:t>
      </w:r>
      <w:proofErr w:type="spellEnd"/>
      <w:r w:rsidRPr="00B64CA9">
        <w:rPr>
          <w:rFonts w:cs="Arial"/>
        </w:rPr>
        <w:t>.</w:t>
      </w:r>
    </w:p>
    <w:p w14:paraId="367BFFC5" w14:textId="77777777" w:rsidR="00FE59EB" w:rsidRPr="00B64CA9" w:rsidRDefault="00FE59EB" w:rsidP="00FE59EB">
      <w:pPr>
        <w:jc w:val="both"/>
        <w:rPr>
          <w:rFonts w:cs="Arial"/>
        </w:rPr>
      </w:pPr>
      <w:r w:rsidRPr="00B64CA9">
        <w:rPr>
          <w:rFonts w:cs="Arial"/>
        </w:rPr>
        <w:t xml:space="preserve">CTCAE Grade 1 and Grade 2 elevations of blood cholesterol and triglyceride levels were also reported in patients receiving </w:t>
      </w:r>
      <w:proofErr w:type="spellStart"/>
      <w:r w:rsidRPr="00B64CA9">
        <w:rPr>
          <w:rFonts w:cs="Arial"/>
        </w:rPr>
        <w:t>secukinumab</w:t>
      </w:r>
      <w:proofErr w:type="spellEnd"/>
      <w:r w:rsidRPr="00B64CA9">
        <w:rPr>
          <w:rFonts w:cs="Arial"/>
        </w:rPr>
        <w:t xml:space="preserve"> compared to placebo in the non-radiographic axial </w:t>
      </w:r>
      <w:proofErr w:type="spellStart"/>
      <w:r w:rsidRPr="00B64CA9">
        <w:rPr>
          <w:rFonts w:cs="Arial"/>
        </w:rPr>
        <w:t>spondyloarthritis</w:t>
      </w:r>
      <w:proofErr w:type="spellEnd"/>
      <w:r w:rsidRPr="00B64CA9">
        <w:rPr>
          <w:rFonts w:cs="Arial"/>
        </w:rPr>
        <w:t xml:space="preserve"> clinical trial. </w:t>
      </w:r>
    </w:p>
    <w:p w14:paraId="4E100866" w14:textId="77777777" w:rsidR="00FE59EB" w:rsidRPr="00B64CA9" w:rsidRDefault="00FE59EB" w:rsidP="00FE59EB">
      <w:pPr>
        <w:jc w:val="both"/>
        <w:rPr>
          <w:rFonts w:cs="Arial"/>
        </w:rPr>
      </w:pPr>
      <w:r w:rsidRPr="00B64CA9">
        <w:rPr>
          <w:rFonts w:cs="Arial"/>
        </w:rPr>
        <w:t xml:space="preserve">An increase in cholesterol levels was observed in non-radiographic axial </w:t>
      </w:r>
      <w:proofErr w:type="spellStart"/>
      <w:r w:rsidRPr="00B64CA9">
        <w:rPr>
          <w:rFonts w:cs="Arial"/>
        </w:rPr>
        <w:t>spondyloarthritis</w:t>
      </w:r>
      <w:proofErr w:type="spellEnd"/>
      <w:r w:rsidRPr="00B64CA9">
        <w:rPr>
          <w:rFonts w:cs="Arial"/>
        </w:rPr>
        <w:t xml:space="preserve"> patients receiving </w:t>
      </w:r>
      <w:proofErr w:type="spellStart"/>
      <w:r w:rsidRPr="00B64CA9">
        <w:rPr>
          <w:rFonts w:cs="Arial"/>
        </w:rPr>
        <w:t>secukinumab</w:t>
      </w:r>
      <w:proofErr w:type="spellEnd"/>
      <w:r w:rsidRPr="00B64CA9">
        <w:rPr>
          <w:rFonts w:cs="Arial"/>
        </w:rPr>
        <w:t xml:space="preserve"> or placebo (CTCAE Grade 1: 16.2% vs. 15.8%, Grade 2: </w:t>
      </w:r>
      <w:r w:rsidR="00980ECC" w:rsidRPr="00B64CA9">
        <w:rPr>
          <w:rFonts w:cs="Arial"/>
        </w:rPr>
        <w:t>0.8</w:t>
      </w:r>
      <w:r w:rsidRPr="00B64CA9">
        <w:rPr>
          <w:rFonts w:cs="Arial"/>
        </w:rPr>
        <w:t xml:space="preserve">% vs. </w:t>
      </w:r>
      <w:r w:rsidR="00980ECC" w:rsidRPr="00B64CA9">
        <w:rPr>
          <w:rFonts w:cs="Arial"/>
        </w:rPr>
        <w:t>0.6</w:t>
      </w:r>
      <w:r w:rsidRPr="00B64CA9">
        <w:rPr>
          <w:rFonts w:cs="Arial"/>
        </w:rPr>
        <w:t>%, and Grade 3: 0.</w:t>
      </w:r>
      <w:r w:rsidR="00980ECC" w:rsidRPr="00B64CA9">
        <w:rPr>
          <w:rFonts w:cs="Arial"/>
        </w:rPr>
        <w:t>3</w:t>
      </w:r>
      <w:r w:rsidRPr="00B64CA9">
        <w:rPr>
          <w:rFonts w:cs="Arial"/>
        </w:rPr>
        <w:t>% vs. 0.</w:t>
      </w:r>
      <w:r w:rsidR="00980ECC" w:rsidRPr="00B64CA9">
        <w:rPr>
          <w:rFonts w:cs="Arial"/>
        </w:rPr>
        <w:t>0</w:t>
      </w:r>
      <w:r w:rsidRPr="00B64CA9">
        <w:rPr>
          <w:rFonts w:cs="Arial"/>
        </w:rPr>
        <w:t xml:space="preserve">%, respectively). No cases of CTCAE Grade 4 </w:t>
      </w:r>
      <w:r w:rsidR="00980ECC" w:rsidRPr="00B64CA9">
        <w:rPr>
          <w:rFonts w:cs="Arial"/>
        </w:rPr>
        <w:t>cholesterol</w:t>
      </w:r>
      <w:r w:rsidRPr="00B64CA9">
        <w:rPr>
          <w:rFonts w:cs="Arial"/>
        </w:rPr>
        <w:t xml:space="preserve"> levels were reported during the placebo-controlled period.  </w:t>
      </w:r>
    </w:p>
    <w:p w14:paraId="581F171B" w14:textId="77777777" w:rsidR="00FE59EB" w:rsidRPr="00B64CA9" w:rsidRDefault="00FE59EB" w:rsidP="00FE59EB">
      <w:pPr>
        <w:jc w:val="both"/>
        <w:rPr>
          <w:rFonts w:cs="Arial"/>
        </w:rPr>
      </w:pPr>
      <w:r w:rsidRPr="00B64CA9">
        <w:rPr>
          <w:rFonts w:cs="Arial"/>
        </w:rPr>
        <w:t xml:space="preserve">An increase in blood triglycerides levels was also observed in non-radiographic axial </w:t>
      </w:r>
      <w:proofErr w:type="spellStart"/>
      <w:r w:rsidRPr="00B64CA9">
        <w:rPr>
          <w:rFonts w:cs="Arial"/>
        </w:rPr>
        <w:t>spondyloarthritis</w:t>
      </w:r>
      <w:proofErr w:type="spellEnd"/>
      <w:r w:rsidRPr="00B64CA9">
        <w:rPr>
          <w:rFonts w:cs="Arial"/>
        </w:rPr>
        <w:t xml:space="preserve"> patients receiving </w:t>
      </w:r>
      <w:proofErr w:type="spellStart"/>
      <w:r w:rsidRPr="00B64CA9">
        <w:rPr>
          <w:rFonts w:cs="Arial"/>
        </w:rPr>
        <w:t>secukinumab</w:t>
      </w:r>
      <w:proofErr w:type="spellEnd"/>
      <w:r w:rsidRPr="00B64CA9">
        <w:rPr>
          <w:rFonts w:cs="Arial"/>
        </w:rPr>
        <w:t xml:space="preserve"> or placebo (CTCAE Grade 1: 18.0% vs. 21.0%, Grade 2: 3.2% vs. 3.4%, and Grade 3: 0.6% vs. 0.5%, respectively). No cases of CTCAE Grade 4 triglyceride levels were reported during the placebo-controlled period.  </w:t>
      </w:r>
    </w:p>
    <w:p w14:paraId="3BC64FC9" w14:textId="77777777" w:rsidR="00FE59EB" w:rsidRPr="00B64CA9" w:rsidRDefault="00FE59EB" w:rsidP="0081558E">
      <w:pPr>
        <w:jc w:val="both"/>
        <w:rPr>
          <w:rFonts w:cs="Arial"/>
        </w:rPr>
      </w:pPr>
      <w:r w:rsidRPr="00B64CA9">
        <w:rPr>
          <w:rFonts w:cs="Arial"/>
        </w:rPr>
        <w:t xml:space="preserve">Elevations (mainly CTCAE Grade 1 and Grade 2) in cholesterol and triglycerides were also observed during long-term treatment with </w:t>
      </w:r>
      <w:proofErr w:type="spellStart"/>
      <w:r w:rsidRPr="00B64CA9">
        <w:rPr>
          <w:rFonts w:cs="Arial"/>
        </w:rPr>
        <w:t>secukinumab</w:t>
      </w:r>
      <w:proofErr w:type="spellEnd"/>
      <w:r w:rsidRPr="00B64CA9">
        <w:rPr>
          <w:rFonts w:cs="Arial"/>
        </w:rPr>
        <w:t>.</w:t>
      </w:r>
    </w:p>
    <w:p w14:paraId="41EF97DA" w14:textId="77777777" w:rsidR="00AF4E63" w:rsidRPr="00B64CA9" w:rsidRDefault="00AF4E63" w:rsidP="0081558E">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Hepatic transaminases</w:t>
      </w:r>
    </w:p>
    <w:p w14:paraId="1FA16B20" w14:textId="77777777" w:rsidR="00AF4E63" w:rsidRPr="00B64CA9" w:rsidRDefault="00AF4E63" w:rsidP="0081558E">
      <w:pPr>
        <w:jc w:val="both"/>
        <w:rPr>
          <w:rFonts w:cs="Arial"/>
        </w:rPr>
      </w:pPr>
      <w:r w:rsidRPr="00B64CA9">
        <w:rPr>
          <w:rFonts w:cs="Arial"/>
        </w:rPr>
        <w:t xml:space="preserve">During the placebo-controlled period, increased incidence of elevated hepatic transaminases was observed in ankylosing spondylitis patients treated with </w:t>
      </w:r>
      <w:proofErr w:type="spellStart"/>
      <w:r w:rsidRPr="00B64CA9">
        <w:rPr>
          <w:rFonts w:cs="Arial"/>
        </w:rPr>
        <w:t>secukinumab</w:t>
      </w:r>
      <w:proofErr w:type="spellEnd"/>
      <w:r w:rsidRPr="00B64CA9">
        <w:rPr>
          <w:rFonts w:cs="Arial"/>
        </w:rPr>
        <w:t xml:space="preserve"> compared to placebo. The elevations in hepatic transaminases were seen primarily in CTCAE Grade 1 (ALT: 16.6% vs 7.1%; AST: 11.3% vs. 7.0%, respectively). Increase in CTCAE Grade 2 and Grade 3 hepatic transaminase levels was uncommon in both </w:t>
      </w:r>
      <w:proofErr w:type="spellStart"/>
      <w:r w:rsidRPr="00B64CA9">
        <w:rPr>
          <w:rFonts w:cs="Arial"/>
        </w:rPr>
        <w:t>secukinumab</w:t>
      </w:r>
      <w:proofErr w:type="spellEnd"/>
      <w:r w:rsidRPr="00B64CA9">
        <w:rPr>
          <w:rFonts w:cs="Arial"/>
        </w:rPr>
        <w:t xml:space="preserve"> and placebo groups (Grade 2 ALT: 1.0% vs. 0.5%, AST: 0.5% vs. 0.0%; Grade 3 ALT: 0.8% vs. 0.0%, AST: 0.8% vs.1.6%, respectively). One case of CTCAE Grade 4 ALT levels was reported in the placebo group and no cases of CTCAE Grade 4 ALT and AST levels were reported in the </w:t>
      </w:r>
      <w:proofErr w:type="spellStart"/>
      <w:r w:rsidRPr="00B64CA9">
        <w:rPr>
          <w:rFonts w:cs="Arial"/>
        </w:rPr>
        <w:t>secukinumab</w:t>
      </w:r>
      <w:proofErr w:type="spellEnd"/>
      <w:r w:rsidRPr="00B64CA9">
        <w:rPr>
          <w:rFonts w:cs="Arial"/>
        </w:rPr>
        <w:t xml:space="preserve"> group.  </w:t>
      </w:r>
    </w:p>
    <w:p w14:paraId="0E9777CE" w14:textId="77777777" w:rsidR="00AF4E63" w:rsidRPr="00B64CA9" w:rsidRDefault="00AF4E63" w:rsidP="0081558E">
      <w:pPr>
        <w:jc w:val="both"/>
        <w:rPr>
          <w:rFonts w:cs="Arial"/>
        </w:rPr>
      </w:pPr>
      <w:r w:rsidRPr="00B64CA9">
        <w:rPr>
          <w:rFonts w:cs="Arial"/>
        </w:rPr>
        <w:t xml:space="preserve">Elevations (mainly CTCAE Grade 1 and Grade 2) in ALT and AST was also observed during the long-term treatment with </w:t>
      </w:r>
      <w:proofErr w:type="spellStart"/>
      <w:r w:rsidRPr="00B64CA9">
        <w:rPr>
          <w:rFonts w:cs="Arial"/>
        </w:rPr>
        <w:t>secukinumab</w:t>
      </w:r>
      <w:proofErr w:type="spellEnd"/>
      <w:r w:rsidRPr="00B64CA9">
        <w:rPr>
          <w:rFonts w:cs="Arial"/>
        </w:rPr>
        <w:t>.</w:t>
      </w:r>
    </w:p>
    <w:p w14:paraId="63DBD0C2" w14:textId="77777777" w:rsidR="00247D3E" w:rsidRPr="00B64CA9" w:rsidRDefault="00247D3E" w:rsidP="00247D3E">
      <w:pPr>
        <w:jc w:val="both"/>
        <w:rPr>
          <w:rFonts w:cs="Arial"/>
        </w:rPr>
      </w:pPr>
      <w:r w:rsidRPr="00B64CA9">
        <w:rPr>
          <w:rFonts w:cs="Arial"/>
        </w:rPr>
        <w:t xml:space="preserve">During the placebo-controlled period, increased incidence of elevated hepatic transaminases was observed in </w:t>
      </w:r>
      <w:r w:rsidR="00B94F93" w:rsidRPr="00B64CA9">
        <w:rPr>
          <w:rFonts w:cs="Arial"/>
        </w:rPr>
        <w:t xml:space="preserve">non-radiographic axial </w:t>
      </w:r>
      <w:proofErr w:type="spellStart"/>
      <w:r w:rsidR="00B94F93" w:rsidRPr="00B64CA9">
        <w:rPr>
          <w:rFonts w:cs="Arial"/>
        </w:rPr>
        <w:t>spondyloarthritis</w:t>
      </w:r>
      <w:proofErr w:type="spellEnd"/>
      <w:r w:rsidRPr="00B64CA9">
        <w:rPr>
          <w:rFonts w:cs="Arial"/>
        </w:rPr>
        <w:t xml:space="preserve"> patients treated with </w:t>
      </w:r>
      <w:proofErr w:type="spellStart"/>
      <w:r w:rsidRPr="00B64CA9">
        <w:rPr>
          <w:rFonts w:cs="Arial"/>
        </w:rPr>
        <w:t>secukinumab</w:t>
      </w:r>
      <w:proofErr w:type="spellEnd"/>
      <w:r w:rsidRPr="00B64CA9">
        <w:rPr>
          <w:rFonts w:cs="Arial"/>
        </w:rPr>
        <w:t xml:space="preserve"> compared to placebo. The elevations in hepatic transaminases were seen primarily in CTCAE Grade 1 (ALT: </w:t>
      </w:r>
      <w:r w:rsidR="00B94F93" w:rsidRPr="00B64CA9">
        <w:rPr>
          <w:rFonts w:cs="Arial"/>
        </w:rPr>
        <w:t>12.9</w:t>
      </w:r>
      <w:r w:rsidRPr="00B64CA9">
        <w:rPr>
          <w:rFonts w:cs="Arial"/>
        </w:rPr>
        <w:t xml:space="preserve">% vs </w:t>
      </w:r>
      <w:r w:rsidR="00B94F93" w:rsidRPr="00B64CA9">
        <w:rPr>
          <w:rFonts w:cs="Arial"/>
        </w:rPr>
        <w:t>9.5</w:t>
      </w:r>
      <w:r w:rsidRPr="00B64CA9">
        <w:rPr>
          <w:rFonts w:cs="Arial"/>
        </w:rPr>
        <w:t xml:space="preserve">%; AST: </w:t>
      </w:r>
      <w:r w:rsidR="00B94F93" w:rsidRPr="00B64CA9">
        <w:rPr>
          <w:rFonts w:cs="Arial"/>
        </w:rPr>
        <w:t>11.1</w:t>
      </w:r>
      <w:r w:rsidRPr="00B64CA9">
        <w:rPr>
          <w:rFonts w:cs="Arial"/>
        </w:rPr>
        <w:t xml:space="preserve">% vs. </w:t>
      </w:r>
      <w:r w:rsidR="00B94F93" w:rsidRPr="00B64CA9">
        <w:rPr>
          <w:rFonts w:cs="Arial"/>
        </w:rPr>
        <w:t>2.8</w:t>
      </w:r>
      <w:r w:rsidRPr="00B64CA9">
        <w:rPr>
          <w:rFonts w:cs="Arial"/>
        </w:rPr>
        <w:t xml:space="preserve">%, respectively). Increase in CTCAE Grade 2 and Grade 3 hepatic </w:t>
      </w:r>
      <w:r w:rsidRPr="00B64CA9">
        <w:rPr>
          <w:rFonts w:cs="Arial"/>
        </w:rPr>
        <w:lastRenderedPageBreak/>
        <w:t xml:space="preserve">transaminase levels was uncommon in both </w:t>
      </w:r>
      <w:proofErr w:type="spellStart"/>
      <w:r w:rsidRPr="00B64CA9">
        <w:rPr>
          <w:rFonts w:cs="Arial"/>
        </w:rPr>
        <w:t>secukinumab</w:t>
      </w:r>
      <w:proofErr w:type="spellEnd"/>
      <w:r w:rsidRPr="00B64CA9">
        <w:rPr>
          <w:rFonts w:cs="Arial"/>
        </w:rPr>
        <w:t xml:space="preserve"> and placebo groups (Grade 2 ALT: </w:t>
      </w:r>
      <w:r w:rsidR="00B94F93" w:rsidRPr="00B64CA9">
        <w:rPr>
          <w:rFonts w:cs="Arial"/>
        </w:rPr>
        <w:t>1.1</w:t>
      </w:r>
      <w:r w:rsidRPr="00B64CA9">
        <w:rPr>
          <w:rFonts w:cs="Arial"/>
        </w:rPr>
        <w:t>% vs. 0.5%, AST: 0.5% vs. 0.0%; Grade 3 ALT: 0.</w:t>
      </w:r>
      <w:r w:rsidR="00B94F93" w:rsidRPr="00B64CA9">
        <w:rPr>
          <w:rFonts w:cs="Arial"/>
        </w:rPr>
        <w:t>0</w:t>
      </w:r>
      <w:r w:rsidRPr="00B64CA9">
        <w:rPr>
          <w:rFonts w:cs="Arial"/>
        </w:rPr>
        <w:t>% vs. 0.0%, AST: 0.</w:t>
      </w:r>
      <w:r w:rsidR="00B94F93" w:rsidRPr="00B64CA9">
        <w:rPr>
          <w:rFonts w:cs="Arial"/>
        </w:rPr>
        <w:t>3</w:t>
      </w:r>
      <w:r w:rsidRPr="00B64CA9">
        <w:rPr>
          <w:rFonts w:cs="Arial"/>
        </w:rPr>
        <w:t>% vs.</w:t>
      </w:r>
      <w:r w:rsidR="00B94F93" w:rsidRPr="00B64CA9">
        <w:rPr>
          <w:rFonts w:cs="Arial"/>
        </w:rPr>
        <w:t>0.5</w:t>
      </w:r>
      <w:r w:rsidRPr="00B64CA9">
        <w:rPr>
          <w:rFonts w:cs="Arial"/>
        </w:rPr>
        <w:t>%, respectively</w:t>
      </w:r>
      <w:r w:rsidR="00B94F93" w:rsidRPr="00B64CA9">
        <w:rPr>
          <w:rFonts w:cs="Arial"/>
        </w:rPr>
        <w:t>). N</w:t>
      </w:r>
      <w:r w:rsidRPr="00B64CA9">
        <w:rPr>
          <w:rFonts w:cs="Arial"/>
        </w:rPr>
        <w:t xml:space="preserve">o cases of CTCAE Grade 4 ALT and AST levels were reported </w:t>
      </w:r>
      <w:r w:rsidR="00B94F93" w:rsidRPr="00B64CA9">
        <w:rPr>
          <w:rFonts w:cs="Arial"/>
        </w:rPr>
        <w:t>during the placebo-controlled period</w:t>
      </w:r>
      <w:r w:rsidRPr="00B64CA9">
        <w:rPr>
          <w:rFonts w:cs="Arial"/>
        </w:rPr>
        <w:t xml:space="preserve">.  </w:t>
      </w:r>
    </w:p>
    <w:p w14:paraId="02E481CA" w14:textId="77777777" w:rsidR="00B83E25" w:rsidRPr="00B64CA9" w:rsidRDefault="00247D3E" w:rsidP="0081558E">
      <w:pPr>
        <w:jc w:val="both"/>
        <w:rPr>
          <w:rFonts w:cs="Arial"/>
        </w:rPr>
      </w:pPr>
      <w:r w:rsidRPr="00B64CA9">
        <w:rPr>
          <w:rFonts w:cs="Arial"/>
        </w:rPr>
        <w:t xml:space="preserve">Elevations (mainly CTCAE Grade 1 and Grade 2) in ALT and AST was also observed during the long-term treatment with </w:t>
      </w:r>
      <w:proofErr w:type="spellStart"/>
      <w:r w:rsidRPr="00B64CA9">
        <w:rPr>
          <w:rFonts w:cs="Arial"/>
        </w:rPr>
        <w:t>secukinumab</w:t>
      </w:r>
      <w:proofErr w:type="spellEnd"/>
      <w:r w:rsidRPr="00B64CA9">
        <w:rPr>
          <w:rFonts w:cs="Arial"/>
        </w:rPr>
        <w:t>.</w:t>
      </w:r>
    </w:p>
    <w:p w14:paraId="1353D7A9" w14:textId="77777777" w:rsidR="00B83E25" w:rsidRPr="00B64CA9" w:rsidRDefault="00B83E25">
      <w:pPr>
        <w:rPr>
          <w:rFonts w:cs="Arial"/>
        </w:rPr>
      </w:pPr>
      <w:r w:rsidRPr="00B64CA9">
        <w:rPr>
          <w:rFonts w:cs="Arial"/>
        </w:rPr>
        <w:br w:type="page"/>
      </w:r>
    </w:p>
    <w:p w14:paraId="1285277F"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lastRenderedPageBreak/>
        <w:t>Overdose</w:t>
      </w:r>
    </w:p>
    <w:p w14:paraId="1948E6FD" w14:textId="77777777" w:rsidR="008A42F5" w:rsidRPr="00B64CA9" w:rsidRDefault="008A42F5" w:rsidP="0081558E">
      <w:pPr>
        <w:jc w:val="both"/>
        <w:rPr>
          <w:rFonts w:cs="Arial"/>
        </w:rPr>
      </w:pPr>
      <w:r w:rsidRPr="00B64CA9">
        <w:rPr>
          <w:rFonts w:cs="Arial"/>
        </w:rPr>
        <w:t>No case of overdose has been reported in clinical studies.</w:t>
      </w:r>
    </w:p>
    <w:p w14:paraId="1CD24610" w14:textId="77777777" w:rsidR="008A42F5" w:rsidRPr="00B64CA9" w:rsidRDefault="008A42F5" w:rsidP="0081558E">
      <w:pPr>
        <w:jc w:val="both"/>
        <w:rPr>
          <w:rFonts w:cs="Arial"/>
        </w:rPr>
      </w:pPr>
      <w:r w:rsidRPr="00B64CA9">
        <w:rPr>
          <w:rFonts w:cs="Arial"/>
        </w:rPr>
        <w:t>Doses up to 30 mg/kg (</w:t>
      </w:r>
      <w:proofErr w:type="gramStart"/>
      <w:r w:rsidRPr="00B64CA9">
        <w:rPr>
          <w:rFonts w:cs="Arial"/>
        </w:rPr>
        <w:t>i.e.</w:t>
      </w:r>
      <w:proofErr w:type="gramEnd"/>
      <w:r w:rsidRPr="00B64CA9">
        <w:rPr>
          <w:rFonts w:cs="Arial"/>
        </w:rPr>
        <w:t xml:space="preserve"> approximately 2,000 mg to 3,000 mg) have been administered intravenously in clinical studies without dose-limiting toxicity. </w:t>
      </w:r>
    </w:p>
    <w:p w14:paraId="49D69899" w14:textId="77777777" w:rsidR="008A42F5" w:rsidRPr="00B64CA9" w:rsidRDefault="008A42F5" w:rsidP="0081558E">
      <w:pPr>
        <w:jc w:val="both"/>
        <w:rPr>
          <w:rFonts w:cs="Arial"/>
        </w:rPr>
      </w:pPr>
      <w:r w:rsidRPr="00B64CA9">
        <w:rPr>
          <w:rFonts w:cs="Arial"/>
        </w:rPr>
        <w:t>In the event of overdose, it is recommended that the patient be monitored for any signs or symptoms of adverse reactions and appropriate symptomatic treatment be instituted immediately.</w:t>
      </w:r>
    </w:p>
    <w:p w14:paraId="48A8F5AE" w14:textId="77777777" w:rsidR="00497C85" w:rsidRPr="00B64CA9" w:rsidRDefault="00497C85" w:rsidP="0081558E">
      <w:pPr>
        <w:jc w:val="both"/>
        <w:rPr>
          <w:rFonts w:cstheme="minorHAnsi"/>
        </w:rPr>
      </w:pPr>
      <w:r w:rsidRPr="00B64CA9">
        <w:rPr>
          <w:rFonts w:cstheme="minorHAnsi"/>
        </w:rPr>
        <w:t>For information on the management of overdose, contact the Poisons Information Centre on 13 11 26 (Australia).</w:t>
      </w:r>
    </w:p>
    <w:p w14:paraId="14E5F4B9" w14:textId="77777777" w:rsidR="001A3992" w:rsidRPr="00B64CA9" w:rsidRDefault="001A3992" w:rsidP="0081558E">
      <w:pPr>
        <w:pStyle w:val="Heading1"/>
        <w:spacing w:before="0" w:after="120"/>
        <w:jc w:val="both"/>
        <w:rPr>
          <w:rFonts w:cstheme="minorHAnsi"/>
        </w:rPr>
      </w:pPr>
      <w:r w:rsidRPr="00B64CA9">
        <w:rPr>
          <w:rFonts w:cstheme="minorHAnsi"/>
        </w:rPr>
        <w:t>Pharmacological properties</w:t>
      </w:r>
    </w:p>
    <w:p w14:paraId="54EA0EE2" w14:textId="77777777" w:rsidR="00AF4E63" w:rsidRPr="00B64CA9" w:rsidRDefault="00AF4E63" w:rsidP="0081558E">
      <w:pPr>
        <w:jc w:val="both"/>
        <w:rPr>
          <w:rFonts w:cs="Arial"/>
        </w:rPr>
      </w:pPr>
      <w:r w:rsidRPr="00B64CA9">
        <w:rPr>
          <w:rFonts w:cs="Arial"/>
        </w:rPr>
        <w:t>Pharmacotherapeutic group</w:t>
      </w:r>
      <w:r w:rsidRPr="00B64CA9">
        <w:rPr>
          <w:rFonts w:cs="Arial"/>
          <w:b/>
        </w:rPr>
        <w:t xml:space="preserve">: </w:t>
      </w:r>
      <w:r w:rsidRPr="00B64CA9">
        <w:rPr>
          <w:rFonts w:cs="Arial"/>
        </w:rPr>
        <w:t>interleukin inhibitors; ATC Code</w:t>
      </w:r>
      <w:r w:rsidRPr="00B64CA9">
        <w:rPr>
          <w:rFonts w:cs="Arial"/>
          <w:b/>
        </w:rPr>
        <w:t xml:space="preserve">: </w:t>
      </w:r>
      <w:r w:rsidRPr="00B64CA9">
        <w:rPr>
          <w:rFonts w:cs="Arial"/>
        </w:rPr>
        <w:t>L04AC10</w:t>
      </w:r>
    </w:p>
    <w:p w14:paraId="3249DE5A" w14:textId="77777777" w:rsidR="001A3992" w:rsidRPr="00B64CA9" w:rsidRDefault="001A3992" w:rsidP="00733D88">
      <w:pPr>
        <w:pStyle w:val="Heading2"/>
        <w:spacing w:before="0" w:after="120"/>
        <w:ind w:left="567"/>
        <w:jc w:val="both"/>
        <w:rPr>
          <w:rFonts w:cstheme="minorHAnsi"/>
        </w:rPr>
      </w:pPr>
      <w:r w:rsidRPr="00B64CA9">
        <w:rPr>
          <w:rFonts w:cstheme="minorHAnsi"/>
        </w:rPr>
        <w:t xml:space="preserve">Pharmacodynamic properties </w:t>
      </w:r>
    </w:p>
    <w:p w14:paraId="56E3EBE6" w14:textId="77777777" w:rsidR="00AF4E63" w:rsidRPr="00B64CA9" w:rsidRDefault="00AF4E63" w:rsidP="0081558E">
      <w:pPr>
        <w:jc w:val="both"/>
        <w:rPr>
          <w:rFonts w:cs="Arial"/>
        </w:rPr>
      </w:pPr>
      <w:r w:rsidRPr="00B64CA9">
        <w:rPr>
          <w:rFonts w:cs="Arial"/>
        </w:rPr>
        <w:t xml:space="preserve">Serum levels of total IL-17A (free and </w:t>
      </w:r>
      <w:proofErr w:type="spellStart"/>
      <w:r w:rsidRPr="00B64CA9">
        <w:rPr>
          <w:rFonts w:cs="Arial"/>
        </w:rPr>
        <w:t>secukinumab</w:t>
      </w:r>
      <w:proofErr w:type="spellEnd"/>
      <w:r w:rsidRPr="00B64CA9">
        <w:rPr>
          <w:rFonts w:cs="Arial"/>
        </w:rPr>
        <w:t xml:space="preserve">-bound IL-17A) are increased due to reduced clearance of </w:t>
      </w:r>
      <w:proofErr w:type="spellStart"/>
      <w:r w:rsidRPr="00B64CA9">
        <w:rPr>
          <w:rFonts w:cs="Arial"/>
        </w:rPr>
        <w:t>secukinumab</w:t>
      </w:r>
      <w:proofErr w:type="spellEnd"/>
      <w:r w:rsidRPr="00B64CA9">
        <w:rPr>
          <w:rFonts w:cs="Arial"/>
        </w:rPr>
        <w:t xml:space="preserve">-bound IL-17A within 2 to 7 days in patients receiving </w:t>
      </w:r>
      <w:proofErr w:type="spellStart"/>
      <w:r w:rsidRPr="00B64CA9">
        <w:rPr>
          <w:rFonts w:cs="Arial"/>
        </w:rPr>
        <w:t>secukinumab</w:t>
      </w:r>
      <w:proofErr w:type="spellEnd"/>
      <w:r w:rsidRPr="00B64CA9">
        <w:rPr>
          <w:rFonts w:cs="Arial"/>
        </w:rPr>
        <w:t xml:space="preserve">, indicating that </w:t>
      </w:r>
      <w:proofErr w:type="spellStart"/>
      <w:r w:rsidRPr="00B64CA9">
        <w:rPr>
          <w:rFonts w:cs="Arial"/>
        </w:rPr>
        <w:t>secukinumab</w:t>
      </w:r>
      <w:proofErr w:type="spellEnd"/>
      <w:r w:rsidRPr="00B64CA9">
        <w:rPr>
          <w:rFonts w:cs="Arial"/>
        </w:rPr>
        <w:t xml:space="preserve"> selectively captures free IL-17A which plays a key role in the pathogenesis of plaque psoriasis.</w:t>
      </w:r>
    </w:p>
    <w:p w14:paraId="00DDC228" w14:textId="77777777" w:rsidR="00AF4E63" w:rsidRPr="00B64CA9" w:rsidRDefault="00AF4E63" w:rsidP="0081558E">
      <w:pPr>
        <w:jc w:val="both"/>
        <w:rPr>
          <w:rFonts w:cs="Arial"/>
        </w:rPr>
      </w:pPr>
      <w:r w:rsidRPr="00B64CA9">
        <w:rPr>
          <w:rFonts w:cs="Arial"/>
        </w:rPr>
        <w:t xml:space="preserve">In a study with </w:t>
      </w:r>
      <w:proofErr w:type="spellStart"/>
      <w:r w:rsidRPr="00B64CA9">
        <w:rPr>
          <w:rFonts w:cs="Arial"/>
        </w:rPr>
        <w:t>secukinumab</w:t>
      </w:r>
      <w:proofErr w:type="spellEnd"/>
      <w:r w:rsidRPr="00B64CA9">
        <w:rPr>
          <w:rFonts w:cs="Arial"/>
        </w:rPr>
        <w:t xml:space="preserve">, infiltrating epidermal neutrophils and various neutrophil associated markers that are increased in </w:t>
      </w:r>
      <w:proofErr w:type="spellStart"/>
      <w:r w:rsidRPr="00B64CA9">
        <w:rPr>
          <w:rFonts w:cs="Arial"/>
        </w:rPr>
        <w:t>lesional</w:t>
      </w:r>
      <w:proofErr w:type="spellEnd"/>
      <w:r w:rsidRPr="00B64CA9">
        <w:rPr>
          <w:rFonts w:cs="Arial"/>
        </w:rPr>
        <w:t xml:space="preserve"> skin of plaque psoriasis patients were significantly reduced after one to two weeks of treatment. </w:t>
      </w:r>
    </w:p>
    <w:p w14:paraId="566E25B6" w14:textId="77777777" w:rsidR="00AF4E63" w:rsidRPr="00B64CA9" w:rsidRDefault="00AF4E63" w:rsidP="0081558E">
      <w:pPr>
        <w:jc w:val="both"/>
        <w:rPr>
          <w:rFonts w:cs="Arial"/>
        </w:rPr>
      </w:pPr>
      <w:proofErr w:type="spellStart"/>
      <w:r w:rsidRPr="00B64CA9">
        <w:rPr>
          <w:rFonts w:cs="Arial"/>
        </w:rPr>
        <w:t>Secukinumab</w:t>
      </w:r>
      <w:proofErr w:type="spellEnd"/>
      <w:r w:rsidRPr="00B64CA9">
        <w:rPr>
          <w:rFonts w:cs="Arial"/>
        </w:rPr>
        <w:t xml:space="preserve"> has been shown to lower (within 1 to 2 weeks of treatment) levels of C-reactive protein, which is a marker of inflammation in psoriatic arthritis and </w:t>
      </w:r>
      <w:r w:rsidR="00457C40" w:rsidRPr="00B64CA9">
        <w:t xml:space="preserve">axial </w:t>
      </w:r>
      <w:proofErr w:type="spellStart"/>
      <w:r w:rsidR="00457C40" w:rsidRPr="00B64CA9">
        <w:t>spondyloarthritis</w:t>
      </w:r>
      <w:proofErr w:type="spellEnd"/>
      <w:r w:rsidR="00457C40" w:rsidRPr="00B64CA9">
        <w:t xml:space="preserve"> (</w:t>
      </w:r>
      <w:r w:rsidRPr="00B64CA9">
        <w:rPr>
          <w:rFonts w:cs="Arial"/>
        </w:rPr>
        <w:t>ankylosing spondylitis</w:t>
      </w:r>
      <w:r w:rsidR="00457C40" w:rsidRPr="00B64CA9">
        <w:t xml:space="preserve"> and non-radiographic axial </w:t>
      </w:r>
      <w:proofErr w:type="spellStart"/>
      <w:r w:rsidR="00457C40" w:rsidRPr="00B64CA9">
        <w:t>spondyloarthritis</w:t>
      </w:r>
      <w:proofErr w:type="spellEnd"/>
      <w:r w:rsidR="00457C40" w:rsidRPr="00B64CA9">
        <w:t>)</w:t>
      </w:r>
      <w:r w:rsidRPr="00B64CA9">
        <w:rPr>
          <w:rFonts w:cs="Arial"/>
        </w:rPr>
        <w:t>.</w:t>
      </w:r>
    </w:p>
    <w:p w14:paraId="5AA9A543" w14:textId="77777777" w:rsidR="001A3992" w:rsidRPr="00B64CA9" w:rsidRDefault="001A3992" w:rsidP="002D07A3">
      <w:pPr>
        <w:pStyle w:val="Heading3"/>
        <w:spacing w:before="0" w:after="120"/>
        <w:ind w:left="0"/>
        <w:jc w:val="both"/>
        <w:rPr>
          <w:rFonts w:cstheme="minorHAnsi"/>
        </w:rPr>
      </w:pPr>
      <w:r w:rsidRPr="00B64CA9">
        <w:rPr>
          <w:rFonts w:cstheme="minorHAnsi"/>
        </w:rPr>
        <w:t>Mechanism of action</w:t>
      </w:r>
    </w:p>
    <w:p w14:paraId="3935E118" w14:textId="77777777" w:rsidR="002D5871" w:rsidRPr="00B64CA9" w:rsidRDefault="00AF4E63" w:rsidP="002D07A3">
      <w:pPr>
        <w:jc w:val="both"/>
      </w:pPr>
      <w:proofErr w:type="spellStart"/>
      <w:r w:rsidRPr="00B64CA9">
        <w:rPr>
          <w:rFonts w:cs="Arial"/>
        </w:rPr>
        <w:t>Secukinumab</w:t>
      </w:r>
      <w:proofErr w:type="spellEnd"/>
      <w:r w:rsidRPr="00B64CA9">
        <w:rPr>
          <w:rFonts w:cs="Arial"/>
        </w:rPr>
        <w:t xml:space="preserve"> is a fully human IgG1 antibody that selectively binds to and neutralises the proinflammatory cytokine interleukin-17A (IL-17A). IL-17A is a naturally occurring cytokine that is involved in normal inflammatory and immune responses. IL-17A plays a key role in the pathogenesis of plaque psoriasis, psoriatic arthritis, and </w:t>
      </w:r>
      <w:r w:rsidR="002D5871" w:rsidRPr="00B64CA9">
        <w:t xml:space="preserve">axial </w:t>
      </w:r>
      <w:proofErr w:type="spellStart"/>
      <w:r w:rsidR="002D5871" w:rsidRPr="00B64CA9">
        <w:t>spondyloarthritis</w:t>
      </w:r>
      <w:proofErr w:type="spellEnd"/>
      <w:r w:rsidR="002D5871" w:rsidRPr="00B64CA9">
        <w:t xml:space="preserve"> (</w:t>
      </w:r>
      <w:r w:rsidRPr="00B64CA9">
        <w:rPr>
          <w:rFonts w:cs="Arial"/>
        </w:rPr>
        <w:t>ankylosing spondylitis</w:t>
      </w:r>
      <w:r w:rsidR="002D5871" w:rsidRPr="00B64CA9">
        <w:t xml:space="preserve"> and non-radiographic axial </w:t>
      </w:r>
      <w:proofErr w:type="spellStart"/>
      <w:r w:rsidR="002D5871" w:rsidRPr="00B64CA9">
        <w:t>spondyloarthritis</w:t>
      </w:r>
      <w:proofErr w:type="spellEnd"/>
      <w:r w:rsidR="002D5871" w:rsidRPr="00B64CA9">
        <w:t>)</w:t>
      </w:r>
      <w:r w:rsidRPr="00B64CA9">
        <w:rPr>
          <w:rFonts w:cs="Arial"/>
        </w:rPr>
        <w:t xml:space="preserve">. Increased numbers of IL-17A producing lymphocytes and innate immune cells and increased levels of IL-17A have been found in the blood of patients with plaque psoriasis, psoriatic arthritis, and </w:t>
      </w:r>
      <w:r w:rsidR="002D5871" w:rsidRPr="00B64CA9">
        <w:t xml:space="preserve">axial </w:t>
      </w:r>
      <w:proofErr w:type="spellStart"/>
      <w:r w:rsidR="002D5871" w:rsidRPr="00B64CA9">
        <w:t>spondyloarthritis</w:t>
      </w:r>
      <w:proofErr w:type="spellEnd"/>
      <w:r w:rsidRPr="00B64CA9">
        <w:rPr>
          <w:rFonts w:cs="Arial"/>
        </w:rPr>
        <w:t xml:space="preserve"> and affected skin of patients with plaque psoriasis. IL-17A is highly up-regulated in </w:t>
      </w:r>
      <w:proofErr w:type="spellStart"/>
      <w:r w:rsidRPr="00B64CA9">
        <w:rPr>
          <w:rFonts w:cs="Arial"/>
        </w:rPr>
        <w:t>lesional</w:t>
      </w:r>
      <w:proofErr w:type="spellEnd"/>
      <w:r w:rsidRPr="00B64CA9">
        <w:rPr>
          <w:rFonts w:cs="Arial"/>
        </w:rPr>
        <w:t xml:space="preserve"> skin in contrast to non-</w:t>
      </w:r>
      <w:proofErr w:type="spellStart"/>
      <w:r w:rsidRPr="00B64CA9">
        <w:rPr>
          <w:rFonts w:cs="Arial"/>
        </w:rPr>
        <w:t>lesional</w:t>
      </w:r>
      <w:proofErr w:type="spellEnd"/>
      <w:r w:rsidRPr="00B64CA9">
        <w:rPr>
          <w:rFonts w:cs="Arial"/>
        </w:rPr>
        <w:t xml:space="preserve"> skin of plaque psoriasis patients. Higher frequency of IL-17- producing cells was detected in the synovial fluid of patients with psoriatic arthritis and in the subchondral bone marrow of facet joints from patients with </w:t>
      </w:r>
      <w:r w:rsidR="002D5871" w:rsidRPr="00B64CA9">
        <w:t xml:space="preserve">axial </w:t>
      </w:r>
      <w:proofErr w:type="spellStart"/>
      <w:r w:rsidR="002D5871" w:rsidRPr="00B64CA9">
        <w:t>spondyloarthritis</w:t>
      </w:r>
      <w:proofErr w:type="spellEnd"/>
      <w:r w:rsidRPr="00B64CA9">
        <w:rPr>
          <w:rFonts w:cs="Arial"/>
        </w:rPr>
        <w:t xml:space="preserve">. </w:t>
      </w:r>
      <w:r w:rsidR="002D5871" w:rsidRPr="00B64CA9">
        <w:rPr>
          <w:rFonts w:cs="Arial"/>
        </w:rPr>
        <w:t xml:space="preserve"> </w:t>
      </w:r>
      <w:r w:rsidR="002D5871" w:rsidRPr="00B64CA9">
        <w:t xml:space="preserve">Inhibition of IL-17A was shown to be effective in the treatment of AS, thus establishing the key role of this cytokine in axial </w:t>
      </w:r>
      <w:proofErr w:type="spellStart"/>
      <w:r w:rsidR="002D5871" w:rsidRPr="00B64CA9">
        <w:t>spondyloarthritis</w:t>
      </w:r>
      <w:proofErr w:type="spellEnd"/>
      <w:r w:rsidR="002D5871" w:rsidRPr="00B64CA9">
        <w:t xml:space="preserve"> (see Clinical </w:t>
      </w:r>
      <w:r w:rsidR="001603B3" w:rsidRPr="00B64CA9">
        <w:t>t</w:t>
      </w:r>
      <w:r w:rsidR="002D5871" w:rsidRPr="00B64CA9">
        <w:t xml:space="preserve">rials). </w:t>
      </w:r>
    </w:p>
    <w:p w14:paraId="630922D1" w14:textId="77777777" w:rsidR="00AF4E63" w:rsidRPr="00B64CA9" w:rsidRDefault="00AF4E63" w:rsidP="002D07A3">
      <w:pPr>
        <w:jc w:val="both"/>
        <w:rPr>
          <w:rFonts w:cs="Arial"/>
        </w:rPr>
      </w:pPr>
      <w:r w:rsidRPr="00B64CA9">
        <w:rPr>
          <w:rFonts w:cs="Arial"/>
        </w:rPr>
        <w:lastRenderedPageBreak/>
        <w:t xml:space="preserve">IL-17A also promotes tissue inflammation, neutrophil infiltration, bone and tissue destruction, and tissue remodelling including angiogenesis and fibrosis. </w:t>
      </w:r>
    </w:p>
    <w:p w14:paraId="7089A89B" w14:textId="77777777" w:rsidR="00AF4E63" w:rsidRPr="00B64CA9" w:rsidRDefault="00AF4E63" w:rsidP="002D07A3">
      <w:pPr>
        <w:jc w:val="both"/>
      </w:pPr>
      <w:proofErr w:type="spellStart"/>
      <w:r w:rsidRPr="00B64CA9">
        <w:rPr>
          <w:rFonts w:cs="Arial"/>
        </w:rPr>
        <w:t>Secukinumab</w:t>
      </w:r>
      <w:proofErr w:type="spellEnd"/>
      <w:r w:rsidRPr="00B64CA9">
        <w:rPr>
          <w:rFonts w:cs="Arial"/>
        </w:rPr>
        <w:t xml:space="preserve"> works by targeting IL-17A and inhibiting its interaction with the IL-17 receptor, which is expressed on various cell types including keratinocytes. As a result, </w:t>
      </w:r>
      <w:proofErr w:type="spellStart"/>
      <w:r w:rsidRPr="00B64CA9">
        <w:rPr>
          <w:rFonts w:cs="Arial"/>
        </w:rPr>
        <w:t>secukinumab</w:t>
      </w:r>
      <w:proofErr w:type="spellEnd"/>
      <w:r w:rsidRPr="00B64CA9">
        <w:rPr>
          <w:rFonts w:cs="Arial"/>
        </w:rPr>
        <w:t xml:space="preserve"> inhibits the release of proinflammatory cytokines, chemokines and mediators of tissue damage and reduces IL-17A-mediated contributions to autoimmune and inflammatory diseases. Clinically relevant levels of </w:t>
      </w:r>
      <w:proofErr w:type="spellStart"/>
      <w:r w:rsidRPr="00B64CA9">
        <w:rPr>
          <w:rFonts w:cs="Arial"/>
        </w:rPr>
        <w:t>secukinumab</w:t>
      </w:r>
      <w:proofErr w:type="spellEnd"/>
      <w:r w:rsidRPr="00B64CA9">
        <w:rPr>
          <w:rFonts w:cs="Arial"/>
        </w:rPr>
        <w:t xml:space="preserve"> reach the skin and reduce local inflammatory markers.  As a direct consequence, treatment with </w:t>
      </w:r>
      <w:proofErr w:type="spellStart"/>
      <w:r w:rsidRPr="00B64CA9">
        <w:rPr>
          <w:rFonts w:cs="Arial"/>
        </w:rPr>
        <w:t>secukinumab</w:t>
      </w:r>
      <w:proofErr w:type="spellEnd"/>
      <w:r w:rsidRPr="00B64CA9">
        <w:rPr>
          <w:rFonts w:cs="Arial"/>
        </w:rPr>
        <w:t xml:space="preserve"> reduces erythema, induration, and desquamation present in plaque psoriasis lesions.</w:t>
      </w:r>
    </w:p>
    <w:p w14:paraId="6C1625BC" w14:textId="77777777" w:rsidR="001A3992" w:rsidRPr="00B64CA9" w:rsidRDefault="001A3992" w:rsidP="002D07A3">
      <w:pPr>
        <w:pStyle w:val="Heading3"/>
        <w:spacing w:before="0" w:after="120"/>
        <w:ind w:left="0"/>
        <w:jc w:val="both"/>
        <w:rPr>
          <w:rFonts w:cstheme="minorHAnsi"/>
        </w:rPr>
      </w:pPr>
      <w:r w:rsidRPr="00B64CA9">
        <w:rPr>
          <w:rFonts w:cstheme="minorHAnsi"/>
        </w:rPr>
        <w:t>Clinical trials</w:t>
      </w:r>
    </w:p>
    <w:p w14:paraId="28B29F00" w14:textId="77777777" w:rsidR="00F62A4F" w:rsidRPr="00B64CA9" w:rsidRDefault="00F62A4F" w:rsidP="002D07A3">
      <w:pPr>
        <w:spacing w:after="120"/>
        <w:jc w:val="both"/>
        <w:rPr>
          <w:rFonts w:ascii="Arial" w:hAnsi="Arial" w:cs="Arial"/>
          <w:b/>
          <w:u w:val="single"/>
        </w:rPr>
      </w:pPr>
      <w:r w:rsidRPr="00B64CA9">
        <w:rPr>
          <w:rFonts w:asciiTheme="majorHAnsi" w:eastAsiaTheme="majorEastAsia" w:hAnsiTheme="majorHAnsi" w:cstheme="minorHAnsi"/>
          <w:b/>
          <w:bCs/>
          <w:u w:val="single"/>
        </w:rPr>
        <w:t>Plaque psoriasis</w:t>
      </w:r>
    </w:p>
    <w:p w14:paraId="678A86A8" w14:textId="77777777" w:rsidR="00207E1A" w:rsidRPr="00B64CA9" w:rsidRDefault="00207E1A" w:rsidP="00207E1A">
      <w:pPr>
        <w:spacing w:after="120"/>
        <w:jc w:val="both"/>
        <w:rPr>
          <w:rFonts w:ascii="Arial" w:hAnsi="Arial" w:cs="Arial"/>
          <w:b/>
          <w:i/>
          <w:lang w:val="fr-CH"/>
        </w:rPr>
      </w:pPr>
      <w:proofErr w:type="spellStart"/>
      <w:r w:rsidRPr="00B64CA9">
        <w:rPr>
          <w:rFonts w:asciiTheme="majorHAnsi" w:eastAsiaTheme="majorEastAsia" w:hAnsiTheme="majorHAnsi" w:cstheme="minorHAnsi"/>
          <w:b/>
          <w:bCs/>
          <w:i/>
          <w:lang w:val="fr-CH"/>
        </w:rPr>
        <w:t>Adult</w:t>
      </w:r>
      <w:proofErr w:type="spellEnd"/>
      <w:r w:rsidRPr="00B64CA9">
        <w:rPr>
          <w:rFonts w:asciiTheme="majorHAnsi" w:eastAsiaTheme="majorEastAsia" w:hAnsiTheme="majorHAnsi" w:cstheme="minorHAnsi"/>
          <w:b/>
          <w:bCs/>
          <w:i/>
          <w:lang w:val="fr-CH"/>
        </w:rPr>
        <w:t xml:space="preserve"> patients</w:t>
      </w:r>
    </w:p>
    <w:p w14:paraId="485CDC0F" w14:textId="77777777" w:rsidR="00F62A4F" w:rsidRPr="00B64CA9" w:rsidRDefault="00F62A4F" w:rsidP="002D07A3">
      <w:pPr>
        <w:jc w:val="both"/>
        <w:rPr>
          <w:rFonts w:cs="Arial"/>
        </w:rPr>
      </w:pPr>
      <w:r w:rsidRPr="00B64CA9">
        <w:rPr>
          <w:rFonts w:cs="Arial"/>
        </w:rPr>
        <w:t>The safety and efficacy of COSENTYX were evaluated versus placebo or etanercept in four randomised, double-blind, placebo-controlled phase 3 studies in adult patients with moderate to severe chronic plaque-type psoriasis poorly controlled by topical treatments and / or phototherapy and / or previous systemic therapy (ERASURE, FIXTURE, FEATURE, and JUNCTURE). The safety and efficacy of COSENTYX were evaluated versus placebo or etanercept in four randomised, double-blind,</w:t>
      </w:r>
      <w:r w:rsidRPr="00B64CA9">
        <w:rPr>
          <w:rFonts w:ascii="Arial" w:hAnsi="Arial" w:cs="Arial"/>
          <w:sz w:val="20"/>
        </w:rPr>
        <w:t xml:space="preserve"> </w:t>
      </w:r>
      <w:r w:rsidRPr="00B64CA9">
        <w:rPr>
          <w:rFonts w:cs="Arial"/>
        </w:rPr>
        <w:t xml:space="preserve">placebo-controlled phase 3 studies in patients with moderate to severe plaque psoriasis who were candidates for phototherapy or systemic therapy (ERASURE, FIXTURE, FEATURE, and JUNCTURE). In addition, one study assessed a chronic treatment regimen versus a ‘retreatment as needed’ regimen (SCULPTURE). </w:t>
      </w:r>
      <w:r w:rsidR="005A26F4" w:rsidRPr="00B64CA9">
        <w:rPr>
          <w:rFonts w:cs="Arial"/>
        </w:rPr>
        <w:t xml:space="preserve">In these studies, each 300 mg dose was given as two subcutaneous injections of 150 mg. </w:t>
      </w:r>
      <w:r w:rsidRPr="00B64CA9">
        <w:rPr>
          <w:rFonts w:cs="Arial"/>
        </w:rPr>
        <w:t xml:space="preserve">The co-primary endpoints in the placebo and active controlled studies were the proportion of patients who achieved a PASI 75 response and IGA mod 2011 ’clear’ or ‘almost clear’ response versus placebo at Week 12. </w:t>
      </w:r>
    </w:p>
    <w:p w14:paraId="2D72FD0C" w14:textId="77777777" w:rsidR="00F62A4F" w:rsidRPr="00B64CA9" w:rsidRDefault="00F62A4F" w:rsidP="002D07A3">
      <w:pPr>
        <w:jc w:val="both"/>
        <w:rPr>
          <w:rFonts w:cs="Arial"/>
        </w:rPr>
      </w:pPr>
      <w:r w:rsidRPr="00B64CA9">
        <w:rPr>
          <w:rFonts w:cs="Arial"/>
        </w:rPr>
        <w:t xml:space="preserve">Key exclusion criteria across pivotal trials were: forms of psoriasis other than chronic plaque-type; drug-induced psoriasis; ongoing use of certain psoriasis treatments, e.g. topical or systemic corticosteroids or UV therapy; patients with active, ongoing inflammatory disease;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&gt;176.8 </w:t>
      </w:r>
      <w:proofErr w:type="spellStart"/>
      <w:r w:rsidRPr="00B64CA9">
        <w:rPr>
          <w:rFonts w:cs="Arial"/>
        </w:rPr>
        <w:t>micromol</w:t>
      </w:r>
      <w:proofErr w:type="spellEnd"/>
      <w:r w:rsidRPr="00B64CA9">
        <w:rPr>
          <w:rFonts w:cs="Arial"/>
        </w:rPr>
        <w:t>/L or with white blood cell count &lt;2,500 /</w:t>
      </w:r>
      <w:proofErr w:type="spellStart"/>
      <w:r w:rsidRPr="00B64CA9">
        <w:rPr>
          <w:rFonts w:cs="Arial"/>
        </w:rPr>
        <w:t>microL</w:t>
      </w:r>
      <w:proofErr w:type="spellEnd"/>
      <w:r w:rsidRPr="00B64CA9">
        <w:rPr>
          <w:rFonts w:cs="Arial"/>
        </w:rPr>
        <w:t>, platelets &lt;100,000/</w:t>
      </w:r>
      <w:proofErr w:type="spellStart"/>
      <w:r w:rsidRPr="00B64CA9">
        <w:rPr>
          <w:rFonts w:cs="Arial"/>
        </w:rPr>
        <w:t>microL</w:t>
      </w:r>
      <w:proofErr w:type="spellEnd"/>
      <w:r w:rsidRPr="00B64CA9">
        <w:rPr>
          <w:rFonts w:cs="Arial"/>
        </w:rPr>
        <w:t>, neutrophils &lt;1,500/</w:t>
      </w:r>
      <w:proofErr w:type="spellStart"/>
      <w:r w:rsidRPr="00B64CA9">
        <w:rPr>
          <w:rFonts w:cs="Arial"/>
        </w:rPr>
        <w:t>microL</w:t>
      </w:r>
      <w:proofErr w:type="spellEnd"/>
      <w:r w:rsidRPr="00B64CA9">
        <w:rPr>
          <w:rFonts w:cs="Arial"/>
        </w:rPr>
        <w:t xml:space="preserve"> or haemoglobin &lt;8.5 g/dL; pregnant or nursing women; and women of child-bearing potential not using effective contraception during the study.</w:t>
      </w:r>
    </w:p>
    <w:p w14:paraId="2F6287C8" w14:textId="77777777" w:rsidR="00F62A4F" w:rsidRPr="00B64CA9" w:rsidRDefault="00F62A4F" w:rsidP="002D07A3">
      <w:pPr>
        <w:jc w:val="both"/>
        <w:rPr>
          <w:rFonts w:cs="Arial"/>
        </w:rPr>
      </w:pPr>
      <w:r w:rsidRPr="00B64CA9">
        <w:rPr>
          <w:rFonts w:cs="Arial"/>
        </w:rPr>
        <w:t xml:space="preserve">Of the 2,403 patients who were included in the placebo-controlled studies, 79 % were biologic-naïve, 45 % were non-biologic failures, 8 % were biologic failures, 6 % were anti-TNF failures, and 2 % were anti-p40 failures. Baseline disease characteristics were generally consistent across all treatment </w:t>
      </w:r>
      <w:r w:rsidRPr="00B64CA9">
        <w:rPr>
          <w:rFonts w:cs="Arial"/>
        </w:rPr>
        <w:lastRenderedPageBreak/>
        <w:t>groups with a median baseline Psoriasis Area Severity Index (PASI) score from 19 to 20, IGA mod 2011 baseline score ranged from “moderate” (62 %) to “severe” (38 %), median baseline Body Surface Area (BSA) ≥ 27 and median Dermatology Life Quality Index (DLQI) score from 10 to 12. Approximately 15 to 25 % of patients in phase III studies had psoriatic arthritis (</w:t>
      </w:r>
      <w:proofErr w:type="spellStart"/>
      <w:r w:rsidRPr="00B64CA9">
        <w:rPr>
          <w:rFonts w:cs="Arial"/>
        </w:rPr>
        <w:t>PsA</w:t>
      </w:r>
      <w:proofErr w:type="spellEnd"/>
      <w:r w:rsidRPr="00B64CA9">
        <w:rPr>
          <w:rFonts w:cs="Arial"/>
        </w:rPr>
        <w:t xml:space="preserve">) at baseline. </w:t>
      </w:r>
    </w:p>
    <w:p w14:paraId="71FFD600"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ERASURE Study (A2302)</w:t>
      </w:r>
    </w:p>
    <w:p w14:paraId="7EC1AFBD" w14:textId="77777777" w:rsidR="00F62A4F" w:rsidRPr="00B64CA9" w:rsidRDefault="00F62A4F" w:rsidP="002D07A3">
      <w:pPr>
        <w:jc w:val="both"/>
        <w:rPr>
          <w:rFonts w:cs="Arial"/>
        </w:rPr>
      </w:pPr>
      <w:r w:rsidRPr="00B64CA9">
        <w:rPr>
          <w:rFonts w:cs="Arial"/>
        </w:rPr>
        <w:t>This trial evaluated 738 patients. Patients were randomised to COSENTYX received 150 mg or 300 mg doses at weeks 0, 1, 2, 3, and 4 followed by the same dose every month. Patients were randomised to receive placebo who were non-responders at week 12 were then crossed over to receive COSENTYX (either 150 mg or 300 mg) at weeks 12, 13, 14, and 15, followed by the same dose every month starting at week 16. All patients were followed for up to 52 weeks following first administration of study treatment.</w:t>
      </w:r>
    </w:p>
    <w:p w14:paraId="677FDBAC"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FIXTURE Study (A2303)</w:t>
      </w:r>
    </w:p>
    <w:p w14:paraId="2F1B329F" w14:textId="77777777" w:rsidR="00D125DE" w:rsidRPr="00B64CA9" w:rsidRDefault="00F62A4F" w:rsidP="002D07A3">
      <w:pPr>
        <w:jc w:val="both"/>
        <w:rPr>
          <w:rFonts w:cs="Arial"/>
        </w:rPr>
      </w:pPr>
      <w:r w:rsidRPr="00B64CA9">
        <w:rPr>
          <w:rFonts w:cs="Arial"/>
        </w:rPr>
        <w:t>This trial evaluated 1,306 patients. Patients were randomised to COSENTYX received 150 mg or 300 mg doses at weeks 0, 1, 2, 3, and 4 followed by the same dose every month. Patients were randomised to etanercept received 50 mg doses twice per week for 12 weeks followed by 50 mg every week. Patients were randomised to receive placebo who were non-responders at week 12 then crossed over to receive COSENTYX (either 150 mg or 300 mg) at weeks 12, 13, 14, and 15, followed by the same dose every month starting at week 16. All patients were followed for up to 52 weeks following first administration of study treatment.</w:t>
      </w:r>
    </w:p>
    <w:p w14:paraId="4171CF22"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 xml:space="preserve">FEATURE Study (A2308)  </w:t>
      </w:r>
    </w:p>
    <w:p w14:paraId="46242F3B" w14:textId="77777777" w:rsidR="00F62A4F" w:rsidRPr="00B64CA9" w:rsidRDefault="00F62A4F" w:rsidP="002D07A3">
      <w:pPr>
        <w:jc w:val="both"/>
        <w:rPr>
          <w:rFonts w:cs="Arial"/>
        </w:rPr>
      </w:pPr>
      <w:r w:rsidRPr="00B64CA9">
        <w:rPr>
          <w:rFonts w:cs="Arial"/>
        </w:rPr>
        <w:t>This trial evaluated 177 patients using a pre-filled syringe compared with placebo after 12 weeks of treatment to assess the safety, tolerability, and usability of COSENTYX self-administration via the pre-filled syringe. Patients randomised to COSENTYX received 150 mg or 300 mg doses at weeks 0, 1, 2, 3, and 4 followed by the same dose every month.  Patients were also randomised to receive placebo at weeks 0, 1, 2, 3, and 4 followed by the same dose every month.</w:t>
      </w:r>
    </w:p>
    <w:p w14:paraId="7534C924"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 xml:space="preserve">JUNCTURE Study (A2309) </w:t>
      </w:r>
    </w:p>
    <w:p w14:paraId="05155AB3" w14:textId="77777777" w:rsidR="00F62A4F" w:rsidRPr="00B64CA9" w:rsidRDefault="00F62A4F" w:rsidP="002D07A3">
      <w:pPr>
        <w:jc w:val="both"/>
        <w:rPr>
          <w:rFonts w:cs="Arial"/>
        </w:rPr>
      </w:pPr>
      <w:r w:rsidRPr="00B64CA9">
        <w:rPr>
          <w:rFonts w:cs="Arial"/>
        </w:rPr>
        <w:t>This trial evaluated 182 patients using a pre-filled pen compared with placebo after 12 weeks of treatment to assess the safety, tolerability, and usability of COSENTYX self-administration via the pre-filled pen. Patients were randomised to COSENTYX received 150 mg or 300 mg doses at weeks 0, 1, 2, and 3, followed by the same dose every month starting at week 4. Patients were also randomised to receive placebo at weeks 0, 1, 2, and 3, followed by the same dose every month starting at week 4.</w:t>
      </w:r>
    </w:p>
    <w:p w14:paraId="1F4538CE"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SCULPTURE Study (A2304)</w:t>
      </w:r>
    </w:p>
    <w:p w14:paraId="3DA0FE05" w14:textId="77777777" w:rsidR="00F62A4F" w:rsidRPr="00B64CA9" w:rsidRDefault="00F62A4F" w:rsidP="002D07A3">
      <w:pPr>
        <w:jc w:val="both"/>
        <w:rPr>
          <w:rFonts w:cs="Arial"/>
        </w:rPr>
      </w:pPr>
      <w:r w:rsidRPr="00B64CA9">
        <w:rPr>
          <w:rFonts w:cs="Arial"/>
        </w:rPr>
        <w:t xml:space="preserve">This trial evaluated 966 patients. All patients received COSENTYX 150 mg or 300 mg doses at weeks 0, 1, 2, 3, 4, 8 and 12 and then were randomised to receive either a maintenance regimen of the same dose every month starting at Week 12 or a “retreatment as needed” regimen of the same dose. </w:t>
      </w:r>
    </w:p>
    <w:p w14:paraId="643DCEB8" w14:textId="77777777" w:rsidR="00F62A4F" w:rsidRPr="00B64CA9" w:rsidRDefault="00F62A4F" w:rsidP="00290F28">
      <w:pPr>
        <w:pageBreakBefore/>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Results</w:t>
      </w:r>
    </w:p>
    <w:p w14:paraId="32305EEF" w14:textId="77777777" w:rsidR="00F62A4F" w:rsidRPr="00B64CA9" w:rsidRDefault="00F62A4F" w:rsidP="002D07A3">
      <w:pPr>
        <w:jc w:val="both"/>
        <w:rPr>
          <w:rFonts w:cs="Arial"/>
        </w:rPr>
      </w:pPr>
      <w:r w:rsidRPr="00B64CA9">
        <w:rPr>
          <w:rFonts w:cs="Arial"/>
        </w:rPr>
        <w:t xml:space="preserve">The 300 mg dose provided improved skin clearance across efficacy endpoints of PASI 75/90/100, and IGA mod 2011 ‘clear’ or ‘almost clear’ responses across all studies with peak effects seen at week 16 (see to Table </w:t>
      </w:r>
      <w:r w:rsidR="005A26F4" w:rsidRPr="00B64CA9">
        <w:rPr>
          <w:rFonts w:cs="Arial"/>
        </w:rPr>
        <w:t>8</w:t>
      </w:r>
      <w:r w:rsidRPr="00B64CA9">
        <w:rPr>
          <w:rFonts w:cs="Arial"/>
        </w:rPr>
        <w:t xml:space="preserve"> and Table </w:t>
      </w:r>
      <w:r w:rsidR="005A26F4" w:rsidRPr="00B64CA9">
        <w:rPr>
          <w:rFonts w:cs="Arial"/>
        </w:rPr>
        <w:t>9</w:t>
      </w:r>
      <w:r w:rsidRPr="00B64CA9">
        <w:rPr>
          <w:rFonts w:cs="Arial"/>
        </w:rPr>
        <w:t>). Therefore the 300 mg dose is recommended.</w:t>
      </w:r>
    </w:p>
    <w:p w14:paraId="04B6B47F" w14:textId="77777777" w:rsidR="00F62A4F" w:rsidRPr="00B64CA9" w:rsidRDefault="00F62A4F" w:rsidP="002D07A3">
      <w:pPr>
        <w:jc w:val="both"/>
        <w:rPr>
          <w:rFonts w:cs="Arial"/>
        </w:rPr>
      </w:pPr>
      <w:r w:rsidRPr="00B64CA9">
        <w:rPr>
          <w:rFonts w:cs="Arial"/>
        </w:rPr>
        <w:t>COSENTYX was efficacious in biologic-naive, biologic/anti-TNF-exposed and biologic/anti-TNF-failure patients.</w:t>
      </w:r>
    </w:p>
    <w:p w14:paraId="70370C0E" w14:textId="77777777" w:rsidR="00353978" w:rsidRPr="00B64CA9" w:rsidRDefault="00F62A4F" w:rsidP="002D07A3">
      <w:pPr>
        <w:jc w:val="both"/>
        <w:rPr>
          <w:rFonts w:cs="Arial"/>
        </w:rPr>
      </w:pPr>
      <w:r w:rsidRPr="00B64CA9">
        <w:rPr>
          <w:rFonts w:cs="Arial"/>
        </w:rPr>
        <w:t>COSENTYX was associated with a fast onset of efficacy as shown in Figure 1 with a 50 % reduction in mean PASI by week 3 for 300 mg.</w:t>
      </w:r>
    </w:p>
    <w:p w14:paraId="0AD65D77" w14:textId="77777777" w:rsidR="00F62A4F" w:rsidRPr="00B64CA9" w:rsidRDefault="00F62A4F" w:rsidP="002D07A3">
      <w:pPr>
        <w:jc w:val="both"/>
        <w:rPr>
          <w:rFonts w:ascii="Arial" w:hAnsi="Arial" w:cs="Arial"/>
          <w:b/>
          <w:sz w:val="20"/>
        </w:rPr>
      </w:pPr>
      <w:r w:rsidRPr="00B64CA9" w:rsidDel="00BF599D">
        <w:rPr>
          <w:rFonts w:ascii="Arial" w:hAnsi="Arial" w:cs="Arial"/>
          <w:b/>
          <w:sz w:val="20"/>
        </w:rPr>
        <w:t xml:space="preserve">Figure </w:t>
      </w:r>
      <w:r w:rsidRPr="00B64CA9">
        <w:rPr>
          <w:rFonts w:ascii="Arial" w:hAnsi="Arial" w:cs="Arial"/>
          <w:b/>
          <w:sz w:val="20"/>
        </w:rPr>
        <w:t xml:space="preserve">1 </w:t>
      </w:r>
      <w:r w:rsidRPr="00B64CA9" w:rsidDel="00BF599D">
        <w:rPr>
          <w:rFonts w:ascii="Arial" w:hAnsi="Arial" w:cs="Arial"/>
          <w:b/>
          <w:sz w:val="20"/>
        </w:rPr>
        <w:tab/>
        <w:t>Time course of percentage change from baseline of mean PASI</w:t>
      </w:r>
      <w:r w:rsidRPr="00B64CA9">
        <w:rPr>
          <w:rFonts w:ascii="Arial" w:hAnsi="Arial" w:cs="Arial"/>
          <w:b/>
          <w:sz w:val="20"/>
        </w:rPr>
        <w:t xml:space="preserve"> score in ERASURE trial (m = number of patients evaluable)</w:t>
      </w:r>
    </w:p>
    <w:p w14:paraId="5CCC52C1" w14:textId="77777777" w:rsidR="00F62A4F" w:rsidRPr="00B64CA9" w:rsidRDefault="00F62A4F" w:rsidP="002D07A3">
      <w:pPr>
        <w:jc w:val="center"/>
        <w:rPr>
          <w:rFonts w:ascii="Arial" w:hAnsi="Arial" w:cs="Arial"/>
          <w:sz w:val="20"/>
        </w:rPr>
      </w:pPr>
      <w:r w:rsidRPr="00B64CA9">
        <w:rPr>
          <w:rFonts w:ascii="Arial" w:hAnsi="Arial" w:cs="Arial"/>
          <w:noProof/>
          <w:sz w:val="20"/>
          <w:lang w:eastAsia="en-AU"/>
        </w:rPr>
        <w:drawing>
          <wp:inline distT="0" distB="0" distL="0" distR="0" wp14:anchorId="2B2E36FD" wp14:editId="27006293">
            <wp:extent cx="5364000" cy="35135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64000" cy="3513531"/>
                    </a:xfrm>
                    <a:prstGeom prst="rect">
                      <a:avLst/>
                    </a:prstGeom>
                  </pic:spPr>
                </pic:pic>
              </a:graphicData>
            </a:graphic>
          </wp:inline>
        </w:drawing>
      </w:r>
    </w:p>
    <w:p w14:paraId="258F9C9E" w14:textId="77777777" w:rsidR="002C3B84" w:rsidRPr="00B64CA9" w:rsidRDefault="002C3B84" w:rsidP="0081558E">
      <w:pPr>
        <w:spacing w:after="120"/>
        <w:ind w:left="1166" w:hanging="1166"/>
        <w:jc w:val="both"/>
        <w:rPr>
          <w:rFonts w:ascii="Arial" w:hAnsi="Arial" w:cs="Arial"/>
          <w:b/>
          <w:sz w:val="20"/>
        </w:rPr>
      </w:pPr>
      <w:bookmarkStart w:id="6" w:name="_Toc368649367"/>
    </w:p>
    <w:p w14:paraId="11781F76" w14:textId="77777777" w:rsidR="00C73D6B" w:rsidRPr="00B64CA9" w:rsidRDefault="00C73D6B" w:rsidP="0081558E">
      <w:pPr>
        <w:spacing w:after="120"/>
        <w:ind w:left="1166" w:hanging="1166"/>
        <w:jc w:val="both"/>
        <w:rPr>
          <w:rFonts w:ascii="Arial" w:hAnsi="Arial" w:cs="Arial"/>
          <w:b/>
          <w:sz w:val="20"/>
        </w:rPr>
      </w:pPr>
      <w:r w:rsidRPr="00B64CA9">
        <w:rPr>
          <w:rFonts w:ascii="Arial" w:hAnsi="Arial" w:cs="Arial"/>
          <w:b/>
          <w:sz w:val="20"/>
        </w:rPr>
        <w:br w:type="page"/>
      </w:r>
    </w:p>
    <w:p w14:paraId="485B9EF9" w14:textId="77777777" w:rsidR="00F62A4F" w:rsidRPr="00B64CA9" w:rsidRDefault="0016038E" w:rsidP="0081558E">
      <w:pPr>
        <w:spacing w:after="120"/>
        <w:ind w:left="1166" w:hanging="1166"/>
        <w:jc w:val="both"/>
        <w:rPr>
          <w:rFonts w:ascii="Arial" w:hAnsi="Arial" w:cs="Arial"/>
          <w:b/>
          <w:sz w:val="20"/>
        </w:rPr>
      </w:pPr>
      <w:r w:rsidRPr="00B64CA9">
        <w:rPr>
          <w:rFonts w:ascii="Arial" w:hAnsi="Arial" w:cs="Arial"/>
          <w:b/>
          <w:sz w:val="20"/>
        </w:rPr>
        <w:lastRenderedPageBreak/>
        <w:t xml:space="preserve">Table </w:t>
      </w:r>
      <w:r w:rsidR="005A26F4" w:rsidRPr="00B64CA9">
        <w:rPr>
          <w:rFonts w:ascii="Arial" w:hAnsi="Arial" w:cs="Arial"/>
          <w:b/>
          <w:sz w:val="20"/>
        </w:rPr>
        <w:t>8</w:t>
      </w:r>
      <w:r w:rsidR="00F62A4F" w:rsidRPr="00B64CA9">
        <w:rPr>
          <w:rFonts w:ascii="Arial" w:hAnsi="Arial" w:cs="Arial"/>
          <w:b/>
          <w:sz w:val="20"/>
        </w:rPr>
        <w:tab/>
        <w:t xml:space="preserve">Summary of clinical response in ERASURE, FEATURE and JUNCTURE </w:t>
      </w:r>
      <w:bookmarkEnd w:id="6"/>
      <w:r w:rsidR="00F62A4F" w:rsidRPr="00B64CA9">
        <w:rPr>
          <w:rFonts w:ascii="Arial" w:hAnsi="Arial" w:cs="Arial"/>
          <w:b/>
          <w:sz w:val="20"/>
        </w:rPr>
        <w:t>trials</w:t>
      </w:r>
    </w:p>
    <w:tbl>
      <w:tblPr>
        <w:tblStyle w:val="TableGrid"/>
        <w:tblW w:w="0" w:type="auto"/>
        <w:tblLook w:val="04A0" w:firstRow="1" w:lastRow="0" w:firstColumn="1" w:lastColumn="0" w:noHBand="0" w:noVBand="1"/>
      </w:tblPr>
      <w:tblGrid>
        <w:gridCol w:w="1477"/>
        <w:gridCol w:w="907"/>
        <w:gridCol w:w="1124"/>
        <w:gridCol w:w="1125"/>
        <w:gridCol w:w="1095"/>
        <w:gridCol w:w="1096"/>
        <w:gridCol w:w="1096"/>
        <w:gridCol w:w="1096"/>
      </w:tblGrid>
      <w:tr w:rsidR="002C3B84" w:rsidRPr="00B64CA9" w14:paraId="577C706D" w14:textId="77777777" w:rsidTr="002C3B84">
        <w:trPr>
          <w:cantSplit/>
        </w:trPr>
        <w:tc>
          <w:tcPr>
            <w:tcW w:w="1477" w:type="dxa"/>
            <w:vMerge w:val="restart"/>
            <w:vAlign w:val="center"/>
          </w:tcPr>
          <w:p w14:paraId="7DEE9DA1" w14:textId="77777777" w:rsidR="002C3B84" w:rsidRPr="00B64CA9" w:rsidRDefault="002C3B84" w:rsidP="00253D7C">
            <w:pPr>
              <w:jc w:val="center"/>
              <w:rPr>
                <w:rFonts w:ascii="Arial" w:hAnsi="Arial" w:cs="Arial"/>
                <w:sz w:val="18"/>
                <w:szCs w:val="18"/>
              </w:rPr>
            </w:pPr>
          </w:p>
        </w:tc>
        <w:tc>
          <w:tcPr>
            <w:tcW w:w="3156" w:type="dxa"/>
            <w:gridSpan w:val="3"/>
            <w:vAlign w:val="center"/>
          </w:tcPr>
          <w:p w14:paraId="46222E43"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Week 12</w:t>
            </w:r>
          </w:p>
        </w:tc>
        <w:tc>
          <w:tcPr>
            <w:tcW w:w="2191" w:type="dxa"/>
            <w:gridSpan w:val="2"/>
            <w:vAlign w:val="center"/>
          </w:tcPr>
          <w:p w14:paraId="28559516"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Week 16</w:t>
            </w:r>
          </w:p>
        </w:tc>
        <w:tc>
          <w:tcPr>
            <w:tcW w:w="2192" w:type="dxa"/>
            <w:gridSpan w:val="2"/>
            <w:vAlign w:val="center"/>
          </w:tcPr>
          <w:p w14:paraId="7645312D"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Week 52</w:t>
            </w:r>
          </w:p>
        </w:tc>
      </w:tr>
      <w:tr w:rsidR="002C3B84" w:rsidRPr="00B64CA9" w14:paraId="4A27093A" w14:textId="77777777" w:rsidTr="002C3B84">
        <w:trPr>
          <w:cantSplit/>
        </w:trPr>
        <w:tc>
          <w:tcPr>
            <w:tcW w:w="1477" w:type="dxa"/>
            <w:vMerge/>
            <w:vAlign w:val="center"/>
          </w:tcPr>
          <w:p w14:paraId="5BF1E0C9" w14:textId="77777777" w:rsidR="002C3B84" w:rsidRPr="00B64CA9" w:rsidRDefault="002C3B84" w:rsidP="00253D7C">
            <w:pPr>
              <w:jc w:val="center"/>
              <w:rPr>
                <w:rFonts w:ascii="Arial" w:hAnsi="Arial" w:cs="Arial"/>
                <w:sz w:val="18"/>
                <w:szCs w:val="18"/>
              </w:rPr>
            </w:pPr>
          </w:p>
        </w:tc>
        <w:tc>
          <w:tcPr>
            <w:tcW w:w="907" w:type="dxa"/>
            <w:vAlign w:val="center"/>
          </w:tcPr>
          <w:p w14:paraId="69495B07"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Placebo</w:t>
            </w:r>
          </w:p>
        </w:tc>
        <w:tc>
          <w:tcPr>
            <w:tcW w:w="1124" w:type="dxa"/>
            <w:vAlign w:val="center"/>
          </w:tcPr>
          <w:p w14:paraId="3E361DD8"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150 mg</w:t>
            </w:r>
          </w:p>
        </w:tc>
        <w:tc>
          <w:tcPr>
            <w:tcW w:w="1125" w:type="dxa"/>
            <w:vAlign w:val="center"/>
          </w:tcPr>
          <w:p w14:paraId="3D23BC70"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300 mg</w:t>
            </w:r>
          </w:p>
        </w:tc>
        <w:tc>
          <w:tcPr>
            <w:tcW w:w="1095" w:type="dxa"/>
            <w:vAlign w:val="center"/>
          </w:tcPr>
          <w:p w14:paraId="1F00EDC8"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150 mg</w:t>
            </w:r>
          </w:p>
        </w:tc>
        <w:tc>
          <w:tcPr>
            <w:tcW w:w="1096" w:type="dxa"/>
            <w:vAlign w:val="center"/>
          </w:tcPr>
          <w:p w14:paraId="01AEC403"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300 mg</w:t>
            </w:r>
          </w:p>
        </w:tc>
        <w:tc>
          <w:tcPr>
            <w:tcW w:w="1096" w:type="dxa"/>
            <w:vAlign w:val="center"/>
          </w:tcPr>
          <w:p w14:paraId="28A25CF7"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150 mg</w:t>
            </w:r>
          </w:p>
        </w:tc>
        <w:tc>
          <w:tcPr>
            <w:tcW w:w="1096" w:type="dxa"/>
            <w:vAlign w:val="center"/>
          </w:tcPr>
          <w:p w14:paraId="77D53A35" w14:textId="77777777" w:rsidR="002C3B84" w:rsidRPr="00B64CA9" w:rsidRDefault="002C3B84" w:rsidP="00253D7C">
            <w:pPr>
              <w:jc w:val="center"/>
              <w:rPr>
                <w:rFonts w:ascii="Arial" w:hAnsi="Arial" w:cs="Arial"/>
                <w:b/>
                <w:color w:val="000000" w:themeColor="text1"/>
                <w:sz w:val="18"/>
                <w:szCs w:val="18"/>
              </w:rPr>
            </w:pPr>
            <w:r w:rsidRPr="00B64CA9">
              <w:rPr>
                <w:rFonts w:ascii="Arial" w:hAnsi="Arial" w:cs="Arial"/>
                <w:b/>
                <w:color w:val="000000" w:themeColor="text1"/>
                <w:sz w:val="18"/>
                <w:szCs w:val="18"/>
              </w:rPr>
              <w:t>300 mg</w:t>
            </w:r>
          </w:p>
        </w:tc>
      </w:tr>
      <w:tr w:rsidR="00F62A4F" w:rsidRPr="00B64CA9" w14:paraId="647C7E51" w14:textId="77777777" w:rsidTr="002D07A3">
        <w:trPr>
          <w:cantSplit/>
        </w:trPr>
        <w:tc>
          <w:tcPr>
            <w:tcW w:w="9016" w:type="dxa"/>
            <w:gridSpan w:val="8"/>
            <w:vAlign w:val="center"/>
          </w:tcPr>
          <w:p w14:paraId="5699C737" w14:textId="77777777" w:rsidR="00F62A4F" w:rsidRPr="00B64CA9" w:rsidRDefault="00F62A4F" w:rsidP="0081558E">
            <w:pPr>
              <w:jc w:val="both"/>
              <w:rPr>
                <w:rFonts w:ascii="Arial" w:hAnsi="Arial" w:cs="Arial"/>
                <w:b/>
                <w:color w:val="000000" w:themeColor="text1"/>
                <w:sz w:val="18"/>
                <w:szCs w:val="18"/>
              </w:rPr>
            </w:pPr>
            <w:r w:rsidRPr="00B64CA9">
              <w:rPr>
                <w:rFonts w:ascii="Arial" w:hAnsi="Arial" w:cs="Arial"/>
                <w:b/>
                <w:color w:val="000000" w:themeColor="text1"/>
                <w:sz w:val="18"/>
                <w:szCs w:val="18"/>
              </w:rPr>
              <w:t>ERASURE</w:t>
            </w:r>
          </w:p>
        </w:tc>
      </w:tr>
      <w:tr w:rsidR="00F62A4F" w:rsidRPr="00B64CA9" w14:paraId="6F2E81F7" w14:textId="77777777" w:rsidTr="002D07A3">
        <w:trPr>
          <w:cantSplit/>
        </w:trPr>
        <w:tc>
          <w:tcPr>
            <w:tcW w:w="1477" w:type="dxa"/>
            <w:vAlign w:val="center"/>
          </w:tcPr>
          <w:p w14:paraId="1706D480" w14:textId="77777777" w:rsidR="00F62A4F" w:rsidRPr="00B64CA9" w:rsidRDefault="00F62A4F" w:rsidP="002D07A3">
            <w:pPr>
              <w:rPr>
                <w:rFonts w:ascii="Arial" w:hAnsi="Arial" w:cs="Arial"/>
                <w:sz w:val="18"/>
                <w:szCs w:val="18"/>
              </w:rPr>
            </w:pPr>
            <w:r w:rsidRPr="00B64CA9">
              <w:rPr>
                <w:rFonts w:ascii="Arial" w:hAnsi="Arial" w:cs="Arial"/>
                <w:sz w:val="18"/>
                <w:szCs w:val="18"/>
              </w:rPr>
              <w:t>Number of patients</w:t>
            </w:r>
          </w:p>
        </w:tc>
        <w:tc>
          <w:tcPr>
            <w:tcW w:w="907" w:type="dxa"/>
            <w:vAlign w:val="center"/>
          </w:tcPr>
          <w:p w14:paraId="7C12FBA0"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246</w:t>
            </w:r>
          </w:p>
        </w:tc>
        <w:tc>
          <w:tcPr>
            <w:tcW w:w="1124" w:type="dxa"/>
            <w:vAlign w:val="center"/>
          </w:tcPr>
          <w:p w14:paraId="7F4C341D"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244</w:t>
            </w:r>
          </w:p>
        </w:tc>
        <w:tc>
          <w:tcPr>
            <w:tcW w:w="1125" w:type="dxa"/>
            <w:vAlign w:val="center"/>
          </w:tcPr>
          <w:p w14:paraId="29783AA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245</w:t>
            </w:r>
          </w:p>
        </w:tc>
        <w:tc>
          <w:tcPr>
            <w:tcW w:w="1095" w:type="dxa"/>
            <w:vAlign w:val="center"/>
          </w:tcPr>
          <w:p w14:paraId="046E740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244</w:t>
            </w:r>
          </w:p>
        </w:tc>
        <w:tc>
          <w:tcPr>
            <w:tcW w:w="1096" w:type="dxa"/>
            <w:vAlign w:val="center"/>
          </w:tcPr>
          <w:p w14:paraId="1C66113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245</w:t>
            </w:r>
          </w:p>
        </w:tc>
        <w:tc>
          <w:tcPr>
            <w:tcW w:w="1096" w:type="dxa"/>
            <w:vAlign w:val="center"/>
          </w:tcPr>
          <w:p w14:paraId="12AEB78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244</w:t>
            </w:r>
          </w:p>
        </w:tc>
        <w:tc>
          <w:tcPr>
            <w:tcW w:w="1096" w:type="dxa"/>
            <w:vAlign w:val="center"/>
          </w:tcPr>
          <w:p w14:paraId="53C2B1DE"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245</w:t>
            </w:r>
          </w:p>
        </w:tc>
      </w:tr>
      <w:tr w:rsidR="00F62A4F" w:rsidRPr="00B64CA9" w14:paraId="315FF554" w14:textId="77777777" w:rsidTr="002D07A3">
        <w:trPr>
          <w:cantSplit/>
        </w:trPr>
        <w:tc>
          <w:tcPr>
            <w:tcW w:w="1477" w:type="dxa"/>
            <w:vAlign w:val="center"/>
          </w:tcPr>
          <w:p w14:paraId="663CC548" w14:textId="77777777" w:rsidR="00F62A4F" w:rsidRPr="00B64CA9" w:rsidRDefault="00F62A4F" w:rsidP="002D07A3">
            <w:pPr>
              <w:rPr>
                <w:rFonts w:ascii="Arial" w:hAnsi="Arial" w:cs="Arial"/>
                <w:sz w:val="18"/>
                <w:szCs w:val="18"/>
              </w:rPr>
            </w:pPr>
            <w:r w:rsidRPr="00B64CA9">
              <w:rPr>
                <w:rFonts w:ascii="Arial" w:hAnsi="Arial" w:cs="Arial"/>
                <w:sz w:val="18"/>
                <w:szCs w:val="18"/>
              </w:rPr>
              <w:t>PASI 50 response n (%)</w:t>
            </w:r>
          </w:p>
        </w:tc>
        <w:tc>
          <w:tcPr>
            <w:tcW w:w="907" w:type="dxa"/>
            <w:vAlign w:val="center"/>
          </w:tcPr>
          <w:p w14:paraId="4469525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22 (8.9%)</w:t>
            </w:r>
          </w:p>
        </w:tc>
        <w:tc>
          <w:tcPr>
            <w:tcW w:w="1124" w:type="dxa"/>
            <w:vAlign w:val="center"/>
          </w:tcPr>
          <w:p w14:paraId="1789B99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203 (83.5%)</w:t>
            </w:r>
          </w:p>
        </w:tc>
        <w:tc>
          <w:tcPr>
            <w:tcW w:w="1125" w:type="dxa"/>
            <w:vAlign w:val="center"/>
          </w:tcPr>
          <w:p w14:paraId="19A2913B"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222 (90.6%)</w:t>
            </w:r>
          </w:p>
        </w:tc>
        <w:tc>
          <w:tcPr>
            <w:tcW w:w="1095" w:type="dxa"/>
            <w:vAlign w:val="center"/>
          </w:tcPr>
          <w:p w14:paraId="0CAA4C1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212 (87.2%)</w:t>
            </w:r>
          </w:p>
        </w:tc>
        <w:tc>
          <w:tcPr>
            <w:tcW w:w="1096" w:type="dxa"/>
            <w:vAlign w:val="center"/>
          </w:tcPr>
          <w:p w14:paraId="7C34F48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224 (91.4%)</w:t>
            </w:r>
          </w:p>
        </w:tc>
        <w:tc>
          <w:tcPr>
            <w:tcW w:w="1096" w:type="dxa"/>
            <w:vAlign w:val="center"/>
          </w:tcPr>
          <w:p w14:paraId="1695BC6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187</w:t>
            </w:r>
          </w:p>
          <w:p w14:paraId="0969A1D9"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(77%)</w:t>
            </w:r>
          </w:p>
        </w:tc>
        <w:tc>
          <w:tcPr>
            <w:tcW w:w="1096" w:type="dxa"/>
            <w:vAlign w:val="center"/>
          </w:tcPr>
          <w:p w14:paraId="3472C0E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207 (84.5%)</w:t>
            </w:r>
          </w:p>
        </w:tc>
      </w:tr>
      <w:tr w:rsidR="00F62A4F" w:rsidRPr="00B64CA9" w14:paraId="1DC88931" w14:textId="77777777" w:rsidTr="002D07A3">
        <w:trPr>
          <w:cantSplit/>
        </w:trPr>
        <w:tc>
          <w:tcPr>
            <w:tcW w:w="1477" w:type="dxa"/>
            <w:vAlign w:val="center"/>
          </w:tcPr>
          <w:p w14:paraId="495357F4" w14:textId="77777777" w:rsidR="00F62A4F" w:rsidRPr="00B64CA9" w:rsidRDefault="00F62A4F" w:rsidP="002D07A3">
            <w:pPr>
              <w:rPr>
                <w:rFonts w:ascii="Arial" w:hAnsi="Arial" w:cs="Arial"/>
                <w:sz w:val="18"/>
                <w:szCs w:val="18"/>
              </w:rPr>
            </w:pPr>
            <w:r w:rsidRPr="00B64CA9">
              <w:rPr>
                <w:rFonts w:ascii="Arial" w:hAnsi="Arial" w:cs="Arial"/>
                <w:sz w:val="18"/>
                <w:szCs w:val="18"/>
              </w:rPr>
              <w:t>PASI 75 response n (%)</w:t>
            </w:r>
          </w:p>
        </w:tc>
        <w:tc>
          <w:tcPr>
            <w:tcW w:w="907" w:type="dxa"/>
            <w:vAlign w:val="center"/>
          </w:tcPr>
          <w:p w14:paraId="1D620D93"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11 (4.5%)</w:t>
            </w:r>
          </w:p>
        </w:tc>
        <w:tc>
          <w:tcPr>
            <w:tcW w:w="1124" w:type="dxa"/>
            <w:vAlign w:val="center"/>
          </w:tcPr>
          <w:p w14:paraId="55AF8363"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174 (71.6</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vAlign w:val="center"/>
          </w:tcPr>
          <w:p w14:paraId="495055A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200 (81.6</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vAlign w:val="center"/>
          </w:tcPr>
          <w:p w14:paraId="29F244E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188 (77.4%)</w:t>
            </w:r>
          </w:p>
        </w:tc>
        <w:tc>
          <w:tcPr>
            <w:tcW w:w="1096" w:type="dxa"/>
            <w:vAlign w:val="center"/>
          </w:tcPr>
          <w:p w14:paraId="4E4A20F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211 (86.1%)</w:t>
            </w:r>
          </w:p>
        </w:tc>
        <w:tc>
          <w:tcPr>
            <w:tcW w:w="1096" w:type="dxa"/>
            <w:vAlign w:val="center"/>
          </w:tcPr>
          <w:p w14:paraId="0CDF95C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146 (60.1%)</w:t>
            </w:r>
          </w:p>
        </w:tc>
        <w:tc>
          <w:tcPr>
            <w:tcW w:w="1096" w:type="dxa"/>
            <w:vAlign w:val="center"/>
          </w:tcPr>
          <w:p w14:paraId="788191E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182 (74.3%)</w:t>
            </w:r>
          </w:p>
        </w:tc>
      </w:tr>
      <w:tr w:rsidR="00F62A4F" w:rsidRPr="00B64CA9" w14:paraId="1EC2B3A3" w14:textId="77777777" w:rsidTr="002D07A3">
        <w:trPr>
          <w:cantSplit/>
        </w:trPr>
        <w:tc>
          <w:tcPr>
            <w:tcW w:w="1477" w:type="dxa"/>
            <w:vAlign w:val="center"/>
          </w:tcPr>
          <w:p w14:paraId="3143F0F2" w14:textId="77777777" w:rsidR="00F62A4F" w:rsidRPr="00B64CA9" w:rsidRDefault="00F62A4F" w:rsidP="002D07A3">
            <w:pPr>
              <w:rPr>
                <w:rFonts w:ascii="Arial" w:hAnsi="Arial" w:cs="Arial"/>
                <w:sz w:val="18"/>
                <w:szCs w:val="18"/>
              </w:rPr>
            </w:pPr>
            <w:r w:rsidRPr="00B64CA9">
              <w:rPr>
                <w:rFonts w:ascii="Arial" w:hAnsi="Arial" w:cs="Arial"/>
                <w:sz w:val="18"/>
                <w:szCs w:val="18"/>
              </w:rPr>
              <w:t>PASI 90 response n (%)</w:t>
            </w:r>
          </w:p>
        </w:tc>
        <w:tc>
          <w:tcPr>
            <w:tcW w:w="907" w:type="dxa"/>
            <w:vAlign w:val="center"/>
          </w:tcPr>
          <w:p w14:paraId="167F4D15"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w:t>
            </w:r>
          </w:p>
          <w:p w14:paraId="2CBCD7F3"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(1.2%)</w:t>
            </w:r>
          </w:p>
        </w:tc>
        <w:tc>
          <w:tcPr>
            <w:tcW w:w="1124" w:type="dxa"/>
            <w:vAlign w:val="center"/>
          </w:tcPr>
          <w:p w14:paraId="63B55D6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95 (39.1</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vAlign w:val="center"/>
          </w:tcPr>
          <w:p w14:paraId="3FCCB68C"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145 (59.2</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vAlign w:val="center"/>
          </w:tcPr>
          <w:p w14:paraId="2B83DDF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130 (53.5%)</w:t>
            </w:r>
          </w:p>
        </w:tc>
        <w:tc>
          <w:tcPr>
            <w:tcW w:w="1096" w:type="dxa"/>
            <w:vAlign w:val="center"/>
          </w:tcPr>
          <w:p w14:paraId="7CE65285"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171 (69.8%)</w:t>
            </w:r>
          </w:p>
        </w:tc>
        <w:tc>
          <w:tcPr>
            <w:tcW w:w="1096" w:type="dxa"/>
            <w:vAlign w:val="center"/>
          </w:tcPr>
          <w:p w14:paraId="2AF8AEB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88</w:t>
            </w:r>
          </w:p>
          <w:p w14:paraId="215308E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(36.2%)</w:t>
            </w:r>
          </w:p>
        </w:tc>
        <w:tc>
          <w:tcPr>
            <w:tcW w:w="1096" w:type="dxa"/>
            <w:vAlign w:val="center"/>
          </w:tcPr>
          <w:p w14:paraId="098A6EA0"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147 (60.0%)</w:t>
            </w:r>
          </w:p>
        </w:tc>
      </w:tr>
      <w:tr w:rsidR="00F62A4F" w:rsidRPr="00B64CA9" w14:paraId="363310BC" w14:textId="77777777" w:rsidTr="002D07A3">
        <w:trPr>
          <w:cantSplit/>
        </w:trPr>
        <w:tc>
          <w:tcPr>
            <w:tcW w:w="1477" w:type="dxa"/>
            <w:vAlign w:val="center"/>
          </w:tcPr>
          <w:p w14:paraId="2E7240F1" w14:textId="77777777" w:rsidR="00F62A4F" w:rsidRPr="00B64CA9" w:rsidRDefault="00F62A4F" w:rsidP="002D07A3">
            <w:pPr>
              <w:rPr>
                <w:rFonts w:ascii="Arial" w:hAnsi="Arial" w:cs="Arial"/>
                <w:sz w:val="18"/>
                <w:szCs w:val="18"/>
              </w:rPr>
            </w:pPr>
            <w:r w:rsidRPr="00B64CA9">
              <w:rPr>
                <w:rFonts w:ascii="Arial" w:hAnsi="Arial" w:cs="Arial"/>
                <w:sz w:val="18"/>
                <w:szCs w:val="18"/>
              </w:rPr>
              <w:t>PASI 100 response n (%)</w:t>
            </w:r>
          </w:p>
        </w:tc>
        <w:tc>
          <w:tcPr>
            <w:tcW w:w="907" w:type="dxa"/>
            <w:vAlign w:val="center"/>
          </w:tcPr>
          <w:p w14:paraId="70323763"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w:t>
            </w:r>
          </w:p>
          <w:p w14:paraId="5183C900"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(0.8%)</w:t>
            </w:r>
          </w:p>
        </w:tc>
        <w:tc>
          <w:tcPr>
            <w:tcW w:w="1124" w:type="dxa"/>
            <w:vAlign w:val="center"/>
          </w:tcPr>
          <w:p w14:paraId="47C2DE8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31</w:t>
            </w:r>
          </w:p>
          <w:p w14:paraId="19E0304C"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(12.8%)</w:t>
            </w:r>
          </w:p>
        </w:tc>
        <w:tc>
          <w:tcPr>
            <w:tcW w:w="1125" w:type="dxa"/>
            <w:vAlign w:val="center"/>
          </w:tcPr>
          <w:p w14:paraId="48A9971F"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70</w:t>
            </w:r>
          </w:p>
          <w:p w14:paraId="2D174CFD"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(28.6%)</w:t>
            </w:r>
          </w:p>
        </w:tc>
        <w:tc>
          <w:tcPr>
            <w:tcW w:w="1095" w:type="dxa"/>
            <w:vAlign w:val="center"/>
          </w:tcPr>
          <w:p w14:paraId="71F15FB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51 (21.0%)</w:t>
            </w:r>
          </w:p>
        </w:tc>
        <w:tc>
          <w:tcPr>
            <w:tcW w:w="1096" w:type="dxa"/>
            <w:vAlign w:val="center"/>
          </w:tcPr>
          <w:p w14:paraId="53F31A6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102 (41.6%)</w:t>
            </w:r>
          </w:p>
        </w:tc>
        <w:tc>
          <w:tcPr>
            <w:tcW w:w="1096" w:type="dxa"/>
            <w:vAlign w:val="center"/>
          </w:tcPr>
          <w:p w14:paraId="30497AC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49</w:t>
            </w:r>
          </w:p>
          <w:p w14:paraId="0DF7DA1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(20.2%)</w:t>
            </w:r>
          </w:p>
        </w:tc>
        <w:tc>
          <w:tcPr>
            <w:tcW w:w="1096" w:type="dxa"/>
            <w:vAlign w:val="center"/>
          </w:tcPr>
          <w:p w14:paraId="78768E3A"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96</w:t>
            </w:r>
          </w:p>
          <w:p w14:paraId="773B3A2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(39.2%)</w:t>
            </w:r>
          </w:p>
        </w:tc>
      </w:tr>
      <w:tr w:rsidR="00F62A4F" w:rsidRPr="00B64CA9" w14:paraId="306E0646" w14:textId="77777777" w:rsidTr="002D07A3">
        <w:trPr>
          <w:cantSplit/>
        </w:trPr>
        <w:tc>
          <w:tcPr>
            <w:tcW w:w="1477" w:type="dxa"/>
            <w:vAlign w:val="center"/>
          </w:tcPr>
          <w:p w14:paraId="6015CE0B" w14:textId="77777777" w:rsidR="00F62A4F" w:rsidRPr="00B64CA9" w:rsidRDefault="00F62A4F" w:rsidP="002D07A3">
            <w:pPr>
              <w:rPr>
                <w:rFonts w:ascii="Arial" w:hAnsi="Arial" w:cs="Arial"/>
                <w:sz w:val="18"/>
                <w:szCs w:val="18"/>
              </w:rPr>
            </w:pPr>
            <w:r w:rsidRPr="00B64CA9">
              <w:rPr>
                <w:rFonts w:ascii="Arial" w:hAnsi="Arial" w:cs="Arial"/>
                <w:sz w:val="18"/>
                <w:szCs w:val="18"/>
              </w:rPr>
              <w:t>IGA mod 2011 “clear” or “almost clear” response n (%)</w:t>
            </w:r>
          </w:p>
        </w:tc>
        <w:tc>
          <w:tcPr>
            <w:tcW w:w="907" w:type="dxa"/>
            <w:vAlign w:val="center"/>
          </w:tcPr>
          <w:p w14:paraId="3F8E5C5B"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6 (2.40%)</w:t>
            </w:r>
          </w:p>
        </w:tc>
        <w:tc>
          <w:tcPr>
            <w:tcW w:w="1124" w:type="dxa"/>
            <w:vAlign w:val="center"/>
          </w:tcPr>
          <w:p w14:paraId="5379D929"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125 (51.2</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vAlign w:val="center"/>
          </w:tcPr>
          <w:p w14:paraId="048CEC6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160 (65.3</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vAlign w:val="center"/>
          </w:tcPr>
          <w:p w14:paraId="2D555A6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142 (58.2%)</w:t>
            </w:r>
          </w:p>
        </w:tc>
        <w:tc>
          <w:tcPr>
            <w:tcW w:w="1096" w:type="dxa"/>
            <w:vAlign w:val="center"/>
          </w:tcPr>
          <w:p w14:paraId="3E7AAD83"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180 (73.5%)</w:t>
            </w:r>
          </w:p>
        </w:tc>
        <w:tc>
          <w:tcPr>
            <w:tcW w:w="1096" w:type="dxa"/>
            <w:vAlign w:val="center"/>
          </w:tcPr>
          <w:p w14:paraId="035F50F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101 (41.4%)</w:t>
            </w:r>
          </w:p>
        </w:tc>
        <w:tc>
          <w:tcPr>
            <w:tcW w:w="1096" w:type="dxa"/>
            <w:vAlign w:val="center"/>
          </w:tcPr>
          <w:p w14:paraId="7AB2979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148 (60.4%)</w:t>
            </w:r>
          </w:p>
        </w:tc>
      </w:tr>
      <w:tr w:rsidR="00F62A4F" w:rsidRPr="00B64CA9" w14:paraId="1FFCAB67" w14:textId="77777777" w:rsidTr="002C3B84">
        <w:trPr>
          <w:cantSplit/>
        </w:trPr>
        <w:tc>
          <w:tcPr>
            <w:tcW w:w="9016" w:type="dxa"/>
            <w:gridSpan w:val="8"/>
            <w:vAlign w:val="center"/>
          </w:tcPr>
          <w:p w14:paraId="07F36880" w14:textId="77777777" w:rsidR="00F62A4F" w:rsidRPr="00B64CA9" w:rsidRDefault="00F62A4F" w:rsidP="0081558E">
            <w:pPr>
              <w:jc w:val="both"/>
              <w:rPr>
                <w:rFonts w:ascii="Arial" w:hAnsi="Arial" w:cs="Arial"/>
                <w:b/>
                <w:color w:val="000000" w:themeColor="text1"/>
                <w:sz w:val="18"/>
                <w:szCs w:val="18"/>
              </w:rPr>
            </w:pPr>
            <w:r w:rsidRPr="00B64CA9">
              <w:rPr>
                <w:rFonts w:ascii="Arial" w:hAnsi="Arial" w:cs="Arial"/>
                <w:b/>
                <w:color w:val="000000" w:themeColor="text1"/>
                <w:sz w:val="18"/>
                <w:szCs w:val="18"/>
              </w:rPr>
              <w:t>FEATURE</w:t>
            </w:r>
          </w:p>
        </w:tc>
      </w:tr>
      <w:tr w:rsidR="00F62A4F" w:rsidRPr="00B64CA9" w14:paraId="6DF7F0C7" w14:textId="77777777" w:rsidTr="002C3B84">
        <w:trPr>
          <w:cantSplit/>
        </w:trPr>
        <w:tc>
          <w:tcPr>
            <w:tcW w:w="1477" w:type="dxa"/>
            <w:vAlign w:val="center"/>
          </w:tcPr>
          <w:p w14:paraId="3B484B09" w14:textId="77777777" w:rsidR="00F62A4F" w:rsidRPr="00B64CA9" w:rsidRDefault="00F62A4F" w:rsidP="002D07A3">
            <w:pPr>
              <w:rPr>
                <w:rFonts w:ascii="Arial" w:hAnsi="Arial" w:cs="Arial"/>
                <w:sz w:val="18"/>
                <w:szCs w:val="18"/>
              </w:rPr>
            </w:pPr>
            <w:r w:rsidRPr="00B64CA9">
              <w:rPr>
                <w:rFonts w:ascii="Arial" w:hAnsi="Arial" w:cs="Arial"/>
                <w:sz w:val="18"/>
                <w:szCs w:val="18"/>
              </w:rPr>
              <w:t>Number of patients</w:t>
            </w:r>
          </w:p>
        </w:tc>
        <w:tc>
          <w:tcPr>
            <w:tcW w:w="907" w:type="dxa"/>
            <w:vAlign w:val="center"/>
          </w:tcPr>
          <w:p w14:paraId="5F737015"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59</w:t>
            </w:r>
          </w:p>
        </w:tc>
        <w:tc>
          <w:tcPr>
            <w:tcW w:w="1124" w:type="dxa"/>
            <w:vAlign w:val="center"/>
          </w:tcPr>
          <w:p w14:paraId="6A9FD155"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59</w:t>
            </w:r>
          </w:p>
        </w:tc>
        <w:tc>
          <w:tcPr>
            <w:tcW w:w="1125" w:type="dxa"/>
            <w:vAlign w:val="center"/>
          </w:tcPr>
          <w:p w14:paraId="102EA5D0"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58</w:t>
            </w:r>
          </w:p>
        </w:tc>
        <w:tc>
          <w:tcPr>
            <w:tcW w:w="1095" w:type="dxa"/>
            <w:vAlign w:val="center"/>
          </w:tcPr>
          <w:p w14:paraId="689BE0A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3F07049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0B481A75"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82BA8C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03A2BEBE" w14:textId="77777777" w:rsidTr="002C3B84">
        <w:trPr>
          <w:cantSplit/>
        </w:trPr>
        <w:tc>
          <w:tcPr>
            <w:tcW w:w="1477" w:type="dxa"/>
            <w:vAlign w:val="center"/>
          </w:tcPr>
          <w:p w14:paraId="5BDCEB7E" w14:textId="77777777" w:rsidR="00F62A4F" w:rsidRPr="00B64CA9" w:rsidRDefault="00F62A4F" w:rsidP="002D07A3">
            <w:pPr>
              <w:rPr>
                <w:rFonts w:ascii="Arial" w:hAnsi="Arial" w:cs="Arial"/>
                <w:sz w:val="18"/>
                <w:szCs w:val="18"/>
              </w:rPr>
            </w:pPr>
            <w:r w:rsidRPr="00B64CA9">
              <w:rPr>
                <w:rFonts w:ascii="Arial" w:hAnsi="Arial" w:cs="Arial"/>
                <w:sz w:val="18"/>
                <w:szCs w:val="18"/>
              </w:rPr>
              <w:t>PASI 50 response n (%)</w:t>
            </w:r>
          </w:p>
        </w:tc>
        <w:tc>
          <w:tcPr>
            <w:tcW w:w="907" w:type="dxa"/>
            <w:vAlign w:val="center"/>
          </w:tcPr>
          <w:p w14:paraId="45431B83"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 (5.1%)</w:t>
            </w:r>
          </w:p>
        </w:tc>
        <w:tc>
          <w:tcPr>
            <w:tcW w:w="1124" w:type="dxa"/>
            <w:vAlign w:val="center"/>
          </w:tcPr>
          <w:p w14:paraId="3A834928"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51 (86.4%)</w:t>
            </w:r>
          </w:p>
        </w:tc>
        <w:tc>
          <w:tcPr>
            <w:tcW w:w="1125" w:type="dxa"/>
            <w:vAlign w:val="center"/>
          </w:tcPr>
          <w:p w14:paraId="599A51D5"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51</w:t>
            </w:r>
          </w:p>
          <w:p w14:paraId="10422B1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(87.9%)</w:t>
            </w:r>
          </w:p>
        </w:tc>
        <w:tc>
          <w:tcPr>
            <w:tcW w:w="1095" w:type="dxa"/>
            <w:vAlign w:val="center"/>
          </w:tcPr>
          <w:p w14:paraId="557C4C4D"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1C88073B"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298A336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35E3EA5D"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1DB56008" w14:textId="77777777" w:rsidTr="002C3B84">
        <w:trPr>
          <w:cantSplit/>
        </w:trPr>
        <w:tc>
          <w:tcPr>
            <w:tcW w:w="1477" w:type="dxa"/>
            <w:vAlign w:val="center"/>
          </w:tcPr>
          <w:p w14:paraId="157C210B" w14:textId="77777777" w:rsidR="00F62A4F" w:rsidRPr="00B64CA9" w:rsidRDefault="00F62A4F" w:rsidP="002D07A3">
            <w:pPr>
              <w:rPr>
                <w:rFonts w:ascii="Arial" w:hAnsi="Arial" w:cs="Arial"/>
                <w:sz w:val="18"/>
                <w:szCs w:val="18"/>
              </w:rPr>
            </w:pPr>
            <w:r w:rsidRPr="00B64CA9">
              <w:rPr>
                <w:rFonts w:ascii="Arial" w:hAnsi="Arial" w:cs="Arial"/>
                <w:sz w:val="18"/>
                <w:szCs w:val="18"/>
              </w:rPr>
              <w:t>PASI 75 response n (%)</w:t>
            </w:r>
          </w:p>
        </w:tc>
        <w:tc>
          <w:tcPr>
            <w:tcW w:w="907" w:type="dxa"/>
            <w:vAlign w:val="center"/>
          </w:tcPr>
          <w:p w14:paraId="560C684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350A52D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41 (69.5</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vAlign w:val="center"/>
          </w:tcPr>
          <w:p w14:paraId="681938D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44 (75.9</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vAlign w:val="center"/>
          </w:tcPr>
          <w:p w14:paraId="2AA70439"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459D04D"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49912C1"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5F716ED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0C84FBF3" w14:textId="77777777" w:rsidTr="002C3B84">
        <w:trPr>
          <w:cantSplit/>
        </w:trPr>
        <w:tc>
          <w:tcPr>
            <w:tcW w:w="1477" w:type="dxa"/>
            <w:vAlign w:val="center"/>
          </w:tcPr>
          <w:p w14:paraId="5231E268" w14:textId="77777777" w:rsidR="00F62A4F" w:rsidRPr="00B64CA9" w:rsidRDefault="00F62A4F" w:rsidP="002D07A3">
            <w:pPr>
              <w:rPr>
                <w:rFonts w:ascii="Arial" w:hAnsi="Arial" w:cs="Arial"/>
                <w:sz w:val="18"/>
                <w:szCs w:val="18"/>
              </w:rPr>
            </w:pPr>
            <w:r w:rsidRPr="00B64CA9">
              <w:rPr>
                <w:rFonts w:ascii="Arial" w:hAnsi="Arial" w:cs="Arial"/>
                <w:sz w:val="18"/>
                <w:szCs w:val="18"/>
              </w:rPr>
              <w:t>PASI 90 response n (%)</w:t>
            </w:r>
          </w:p>
        </w:tc>
        <w:tc>
          <w:tcPr>
            <w:tcW w:w="907" w:type="dxa"/>
            <w:vAlign w:val="center"/>
          </w:tcPr>
          <w:p w14:paraId="5EC77EE7"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265C5CE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27 (45.8%)</w:t>
            </w:r>
          </w:p>
        </w:tc>
        <w:tc>
          <w:tcPr>
            <w:tcW w:w="1125" w:type="dxa"/>
            <w:vAlign w:val="center"/>
          </w:tcPr>
          <w:p w14:paraId="4065D759"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35 (60.3%)</w:t>
            </w:r>
          </w:p>
        </w:tc>
        <w:tc>
          <w:tcPr>
            <w:tcW w:w="1095" w:type="dxa"/>
            <w:vAlign w:val="center"/>
          </w:tcPr>
          <w:p w14:paraId="1E0356B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012254B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1D19C19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002452B1"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51A5B0CD" w14:textId="77777777" w:rsidTr="002C3B84">
        <w:trPr>
          <w:cantSplit/>
        </w:trPr>
        <w:tc>
          <w:tcPr>
            <w:tcW w:w="1477" w:type="dxa"/>
            <w:vAlign w:val="center"/>
          </w:tcPr>
          <w:p w14:paraId="64C2587B" w14:textId="77777777" w:rsidR="00F62A4F" w:rsidRPr="00B64CA9" w:rsidRDefault="00F62A4F" w:rsidP="002D07A3">
            <w:pPr>
              <w:rPr>
                <w:rFonts w:ascii="Arial" w:hAnsi="Arial" w:cs="Arial"/>
                <w:sz w:val="18"/>
                <w:szCs w:val="18"/>
              </w:rPr>
            </w:pPr>
            <w:r w:rsidRPr="00B64CA9">
              <w:rPr>
                <w:rFonts w:ascii="Arial" w:hAnsi="Arial" w:cs="Arial"/>
                <w:sz w:val="18"/>
                <w:szCs w:val="18"/>
              </w:rPr>
              <w:t>PASI 100 response n (%)</w:t>
            </w:r>
          </w:p>
        </w:tc>
        <w:tc>
          <w:tcPr>
            <w:tcW w:w="907" w:type="dxa"/>
            <w:vAlign w:val="center"/>
          </w:tcPr>
          <w:p w14:paraId="0EC943ED"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5A3F947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 (8.5%)</w:t>
            </w:r>
          </w:p>
        </w:tc>
        <w:tc>
          <w:tcPr>
            <w:tcW w:w="1125" w:type="dxa"/>
            <w:vAlign w:val="center"/>
          </w:tcPr>
          <w:p w14:paraId="543084DB"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25 (43.1%)</w:t>
            </w:r>
          </w:p>
        </w:tc>
        <w:tc>
          <w:tcPr>
            <w:tcW w:w="1095" w:type="dxa"/>
            <w:vAlign w:val="center"/>
          </w:tcPr>
          <w:p w14:paraId="6465B2A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2C839C7E"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50174FD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295F8CB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73E0B277" w14:textId="77777777" w:rsidTr="002C3B84">
        <w:trPr>
          <w:cantSplit/>
        </w:trPr>
        <w:tc>
          <w:tcPr>
            <w:tcW w:w="1477" w:type="dxa"/>
            <w:vAlign w:val="center"/>
          </w:tcPr>
          <w:p w14:paraId="5C7C9963" w14:textId="77777777" w:rsidR="00F62A4F" w:rsidRPr="00B64CA9" w:rsidRDefault="00F62A4F" w:rsidP="002D07A3">
            <w:pPr>
              <w:rPr>
                <w:rFonts w:ascii="Arial" w:hAnsi="Arial" w:cs="Arial"/>
                <w:sz w:val="18"/>
                <w:szCs w:val="18"/>
              </w:rPr>
            </w:pPr>
            <w:r w:rsidRPr="00B64CA9">
              <w:rPr>
                <w:rFonts w:ascii="Arial" w:hAnsi="Arial" w:cs="Arial"/>
                <w:sz w:val="18"/>
                <w:szCs w:val="18"/>
              </w:rPr>
              <w:t>IGA mod 2011 “clear” or “almost clear” response n (%)</w:t>
            </w:r>
          </w:p>
        </w:tc>
        <w:tc>
          <w:tcPr>
            <w:tcW w:w="907" w:type="dxa"/>
            <w:vAlign w:val="center"/>
          </w:tcPr>
          <w:p w14:paraId="331560E7"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56335402"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31 (52.5</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vAlign w:val="center"/>
          </w:tcPr>
          <w:p w14:paraId="0A2AC59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40 (69.0</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vAlign w:val="center"/>
          </w:tcPr>
          <w:p w14:paraId="25EBFFAA"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9BBD840"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663F1A1"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23399A49"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34ADC3B1" w14:textId="77777777" w:rsidTr="002C3B84">
        <w:trPr>
          <w:cantSplit/>
        </w:trPr>
        <w:tc>
          <w:tcPr>
            <w:tcW w:w="9016" w:type="dxa"/>
            <w:gridSpan w:val="8"/>
            <w:vAlign w:val="center"/>
          </w:tcPr>
          <w:p w14:paraId="0E2B782B" w14:textId="77777777" w:rsidR="00F62A4F" w:rsidRPr="00B64CA9" w:rsidRDefault="00F62A4F" w:rsidP="0081558E">
            <w:pPr>
              <w:jc w:val="both"/>
              <w:rPr>
                <w:rFonts w:ascii="Arial" w:hAnsi="Arial" w:cs="Arial"/>
                <w:b/>
                <w:color w:val="000000" w:themeColor="text1"/>
                <w:sz w:val="18"/>
                <w:szCs w:val="18"/>
              </w:rPr>
            </w:pPr>
            <w:r w:rsidRPr="00B64CA9">
              <w:rPr>
                <w:rFonts w:ascii="Arial" w:hAnsi="Arial" w:cs="Arial"/>
                <w:b/>
                <w:color w:val="000000" w:themeColor="text1"/>
                <w:sz w:val="18"/>
                <w:szCs w:val="18"/>
              </w:rPr>
              <w:t>JUNCTURE</w:t>
            </w:r>
          </w:p>
        </w:tc>
      </w:tr>
      <w:tr w:rsidR="00F62A4F" w:rsidRPr="00B64CA9" w14:paraId="54E5157B" w14:textId="77777777" w:rsidTr="002C3B84">
        <w:trPr>
          <w:cantSplit/>
        </w:trPr>
        <w:tc>
          <w:tcPr>
            <w:tcW w:w="1477" w:type="dxa"/>
            <w:vAlign w:val="center"/>
          </w:tcPr>
          <w:p w14:paraId="09392E60" w14:textId="77777777" w:rsidR="00F62A4F" w:rsidRPr="00B64CA9" w:rsidRDefault="00F62A4F" w:rsidP="002D07A3">
            <w:pPr>
              <w:rPr>
                <w:rFonts w:ascii="Arial" w:hAnsi="Arial" w:cs="Arial"/>
                <w:sz w:val="18"/>
                <w:szCs w:val="18"/>
              </w:rPr>
            </w:pPr>
            <w:r w:rsidRPr="00B64CA9">
              <w:rPr>
                <w:rFonts w:ascii="Arial" w:hAnsi="Arial" w:cs="Arial"/>
                <w:sz w:val="18"/>
                <w:szCs w:val="18"/>
              </w:rPr>
              <w:t>Number of patients</w:t>
            </w:r>
          </w:p>
        </w:tc>
        <w:tc>
          <w:tcPr>
            <w:tcW w:w="907" w:type="dxa"/>
            <w:vAlign w:val="center"/>
          </w:tcPr>
          <w:p w14:paraId="71B4E0E1"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61</w:t>
            </w:r>
          </w:p>
        </w:tc>
        <w:tc>
          <w:tcPr>
            <w:tcW w:w="1124" w:type="dxa"/>
            <w:vAlign w:val="center"/>
          </w:tcPr>
          <w:p w14:paraId="432406EF"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60</w:t>
            </w:r>
          </w:p>
        </w:tc>
        <w:tc>
          <w:tcPr>
            <w:tcW w:w="1125" w:type="dxa"/>
            <w:vAlign w:val="center"/>
          </w:tcPr>
          <w:p w14:paraId="582AC79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60</w:t>
            </w:r>
          </w:p>
        </w:tc>
        <w:tc>
          <w:tcPr>
            <w:tcW w:w="1095" w:type="dxa"/>
            <w:vAlign w:val="center"/>
          </w:tcPr>
          <w:p w14:paraId="7C3760EA"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738DDD4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246ED8C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4B7EA74D"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1F45A6DC" w14:textId="77777777" w:rsidTr="002C3B84">
        <w:trPr>
          <w:cantSplit/>
        </w:trPr>
        <w:tc>
          <w:tcPr>
            <w:tcW w:w="1477" w:type="dxa"/>
            <w:vAlign w:val="center"/>
          </w:tcPr>
          <w:p w14:paraId="7375E7B9" w14:textId="77777777" w:rsidR="00F62A4F" w:rsidRPr="00B64CA9" w:rsidRDefault="00F62A4F" w:rsidP="002D07A3">
            <w:pPr>
              <w:rPr>
                <w:rFonts w:ascii="Arial" w:hAnsi="Arial" w:cs="Arial"/>
                <w:sz w:val="18"/>
                <w:szCs w:val="18"/>
              </w:rPr>
            </w:pPr>
            <w:r w:rsidRPr="00B64CA9">
              <w:rPr>
                <w:rFonts w:ascii="Arial" w:hAnsi="Arial" w:cs="Arial"/>
                <w:sz w:val="18"/>
                <w:szCs w:val="18"/>
              </w:rPr>
              <w:t>PASI 50 response n (%)</w:t>
            </w:r>
          </w:p>
        </w:tc>
        <w:tc>
          <w:tcPr>
            <w:tcW w:w="907" w:type="dxa"/>
            <w:vAlign w:val="center"/>
          </w:tcPr>
          <w:p w14:paraId="0D478E75"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 (8.2%)</w:t>
            </w:r>
          </w:p>
        </w:tc>
        <w:tc>
          <w:tcPr>
            <w:tcW w:w="1124" w:type="dxa"/>
            <w:vAlign w:val="center"/>
          </w:tcPr>
          <w:p w14:paraId="0D30E7DD"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48 (80.0%)</w:t>
            </w:r>
          </w:p>
        </w:tc>
        <w:tc>
          <w:tcPr>
            <w:tcW w:w="1125" w:type="dxa"/>
            <w:vAlign w:val="center"/>
          </w:tcPr>
          <w:p w14:paraId="283BB618"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58 (96.7%)</w:t>
            </w:r>
          </w:p>
        </w:tc>
        <w:tc>
          <w:tcPr>
            <w:tcW w:w="1095" w:type="dxa"/>
            <w:vAlign w:val="center"/>
          </w:tcPr>
          <w:p w14:paraId="15C5820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5519E8B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5E01615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7600FF0E"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1E09449B" w14:textId="77777777" w:rsidTr="002C3B84">
        <w:trPr>
          <w:cantSplit/>
        </w:trPr>
        <w:tc>
          <w:tcPr>
            <w:tcW w:w="1477" w:type="dxa"/>
            <w:vAlign w:val="center"/>
          </w:tcPr>
          <w:p w14:paraId="4E1F199E" w14:textId="77777777" w:rsidR="00F62A4F" w:rsidRPr="00B64CA9" w:rsidRDefault="00F62A4F" w:rsidP="002D07A3">
            <w:pPr>
              <w:rPr>
                <w:rFonts w:ascii="Arial" w:hAnsi="Arial" w:cs="Arial"/>
                <w:sz w:val="18"/>
                <w:szCs w:val="18"/>
              </w:rPr>
            </w:pPr>
            <w:r w:rsidRPr="00B64CA9">
              <w:rPr>
                <w:rFonts w:ascii="Arial" w:hAnsi="Arial" w:cs="Arial"/>
                <w:sz w:val="18"/>
                <w:szCs w:val="18"/>
              </w:rPr>
              <w:t>PASI 75 response n (%)</w:t>
            </w:r>
          </w:p>
        </w:tc>
        <w:tc>
          <w:tcPr>
            <w:tcW w:w="907" w:type="dxa"/>
            <w:vAlign w:val="center"/>
          </w:tcPr>
          <w:p w14:paraId="1A26981E"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 (3.3%)</w:t>
            </w:r>
          </w:p>
        </w:tc>
        <w:tc>
          <w:tcPr>
            <w:tcW w:w="1124" w:type="dxa"/>
            <w:vAlign w:val="center"/>
          </w:tcPr>
          <w:p w14:paraId="55A688F2"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43 (71.7</w:t>
            </w:r>
            <w:proofErr w:type="gramStart"/>
            <w:r w:rsidRPr="00B64CA9">
              <w:rPr>
                <w:rFonts w:ascii="Arial" w:hAnsi="Arial" w:cs="Arial"/>
                <w:sz w:val="18"/>
                <w:szCs w:val="18"/>
              </w:rPr>
              <w:t>%)*</w:t>
            </w:r>
            <w:proofErr w:type="gramEnd"/>
            <w:r w:rsidRPr="00B64CA9">
              <w:rPr>
                <w:rFonts w:ascii="Arial" w:hAnsi="Arial" w:cs="Arial"/>
                <w:sz w:val="18"/>
                <w:szCs w:val="18"/>
              </w:rPr>
              <w:t>*</w:t>
            </w:r>
          </w:p>
        </w:tc>
        <w:tc>
          <w:tcPr>
            <w:tcW w:w="1125" w:type="dxa"/>
            <w:vAlign w:val="center"/>
          </w:tcPr>
          <w:p w14:paraId="70E081C7"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52 (86.7</w:t>
            </w:r>
            <w:proofErr w:type="gramStart"/>
            <w:r w:rsidRPr="00B64CA9">
              <w:rPr>
                <w:rFonts w:ascii="Arial" w:hAnsi="Arial" w:cs="Arial"/>
                <w:sz w:val="18"/>
                <w:szCs w:val="18"/>
              </w:rPr>
              <w:t>%)*</w:t>
            </w:r>
            <w:proofErr w:type="gramEnd"/>
            <w:r w:rsidRPr="00B64CA9">
              <w:rPr>
                <w:rFonts w:ascii="Arial" w:hAnsi="Arial" w:cs="Arial"/>
                <w:sz w:val="18"/>
                <w:szCs w:val="18"/>
              </w:rPr>
              <w:t>*</w:t>
            </w:r>
          </w:p>
        </w:tc>
        <w:tc>
          <w:tcPr>
            <w:tcW w:w="1095" w:type="dxa"/>
            <w:vAlign w:val="center"/>
          </w:tcPr>
          <w:p w14:paraId="6FDFB5A3"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7448224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0E57E59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5D0EDB8B"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038DEC36" w14:textId="77777777" w:rsidTr="002C3B84">
        <w:trPr>
          <w:cantSplit/>
        </w:trPr>
        <w:tc>
          <w:tcPr>
            <w:tcW w:w="1477" w:type="dxa"/>
            <w:vAlign w:val="center"/>
          </w:tcPr>
          <w:p w14:paraId="6499B15E" w14:textId="77777777" w:rsidR="00F62A4F" w:rsidRPr="00B64CA9" w:rsidRDefault="00F62A4F" w:rsidP="002D07A3">
            <w:pPr>
              <w:rPr>
                <w:rFonts w:ascii="Arial" w:hAnsi="Arial" w:cs="Arial"/>
                <w:sz w:val="18"/>
                <w:szCs w:val="18"/>
              </w:rPr>
            </w:pPr>
            <w:r w:rsidRPr="00B64CA9">
              <w:rPr>
                <w:rFonts w:ascii="Arial" w:hAnsi="Arial" w:cs="Arial"/>
                <w:sz w:val="18"/>
                <w:szCs w:val="18"/>
              </w:rPr>
              <w:t>PASI 90 response n (%)</w:t>
            </w:r>
          </w:p>
        </w:tc>
        <w:tc>
          <w:tcPr>
            <w:tcW w:w="907" w:type="dxa"/>
            <w:vAlign w:val="center"/>
          </w:tcPr>
          <w:p w14:paraId="773652C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7A1301F2"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24 (40.0%)</w:t>
            </w:r>
          </w:p>
        </w:tc>
        <w:tc>
          <w:tcPr>
            <w:tcW w:w="1125" w:type="dxa"/>
            <w:vAlign w:val="center"/>
          </w:tcPr>
          <w:p w14:paraId="463E96C7"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33 (55.0%)</w:t>
            </w:r>
          </w:p>
        </w:tc>
        <w:tc>
          <w:tcPr>
            <w:tcW w:w="1095" w:type="dxa"/>
            <w:vAlign w:val="center"/>
          </w:tcPr>
          <w:p w14:paraId="6A2B1F7D"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1363FE64"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7E22FF17"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1FA12179"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62169083" w14:textId="77777777" w:rsidTr="002C3B84">
        <w:trPr>
          <w:cantSplit/>
        </w:trPr>
        <w:tc>
          <w:tcPr>
            <w:tcW w:w="1477" w:type="dxa"/>
            <w:vAlign w:val="center"/>
          </w:tcPr>
          <w:p w14:paraId="76AB9181" w14:textId="77777777" w:rsidR="00F62A4F" w:rsidRPr="00B64CA9" w:rsidRDefault="00F62A4F" w:rsidP="002D07A3">
            <w:pPr>
              <w:rPr>
                <w:rFonts w:ascii="Arial" w:hAnsi="Arial" w:cs="Arial"/>
                <w:sz w:val="18"/>
                <w:szCs w:val="18"/>
              </w:rPr>
            </w:pPr>
            <w:r w:rsidRPr="00B64CA9">
              <w:rPr>
                <w:rFonts w:ascii="Arial" w:hAnsi="Arial" w:cs="Arial"/>
                <w:sz w:val="18"/>
                <w:szCs w:val="18"/>
              </w:rPr>
              <w:t>PASI 100 response n (%)</w:t>
            </w:r>
          </w:p>
        </w:tc>
        <w:tc>
          <w:tcPr>
            <w:tcW w:w="907" w:type="dxa"/>
            <w:vAlign w:val="center"/>
          </w:tcPr>
          <w:p w14:paraId="2EFA036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vAlign w:val="center"/>
          </w:tcPr>
          <w:p w14:paraId="4861D598"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10 (16.7%)</w:t>
            </w:r>
          </w:p>
        </w:tc>
        <w:tc>
          <w:tcPr>
            <w:tcW w:w="1125" w:type="dxa"/>
            <w:vAlign w:val="center"/>
          </w:tcPr>
          <w:p w14:paraId="6C4C0B1F"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16 (26.7%)</w:t>
            </w:r>
          </w:p>
        </w:tc>
        <w:tc>
          <w:tcPr>
            <w:tcW w:w="1095" w:type="dxa"/>
            <w:vAlign w:val="center"/>
          </w:tcPr>
          <w:p w14:paraId="3C539B79"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E804A7E"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4AB6C64C"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vAlign w:val="center"/>
          </w:tcPr>
          <w:p w14:paraId="60E23BA2"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4ED3196D" w14:textId="77777777" w:rsidTr="002C3B84">
        <w:trPr>
          <w:cantSplit/>
        </w:trPr>
        <w:tc>
          <w:tcPr>
            <w:tcW w:w="1477" w:type="dxa"/>
            <w:tcBorders>
              <w:bottom w:val="single" w:sz="4" w:space="0" w:color="auto"/>
            </w:tcBorders>
            <w:vAlign w:val="center"/>
          </w:tcPr>
          <w:p w14:paraId="16B2E98E" w14:textId="77777777" w:rsidR="00F62A4F" w:rsidRPr="00B64CA9" w:rsidRDefault="00F62A4F" w:rsidP="002D07A3">
            <w:pPr>
              <w:rPr>
                <w:rFonts w:ascii="Arial" w:hAnsi="Arial" w:cs="Arial"/>
                <w:sz w:val="18"/>
                <w:szCs w:val="18"/>
              </w:rPr>
            </w:pPr>
            <w:r w:rsidRPr="00B64CA9">
              <w:rPr>
                <w:rFonts w:ascii="Arial" w:hAnsi="Arial" w:cs="Arial"/>
                <w:sz w:val="18"/>
                <w:szCs w:val="18"/>
              </w:rPr>
              <w:t>IGA mod 2011 “clear” or “almost clear” response n (%)</w:t>
            </w:r>
          </w:p>
        </w:tc>
        <w:tc>
          <w:tcPr>
            <w:tcW w:w="907" w:type="dxa"/>
            <w:tcBorders>
              <w:bottom w:val="single" w:sz="4" w:space="0" w:color="auto"/>
            </w:tcBorders>
            <w:vAlign w:val="center"/>
          </w:tcPr>
          <w:p w14:paraId="68B698A4"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0 (0.0%)</w:t>
            </w:r>
          </w:p>
        </w:tc>
        <w:tc>
          <w:tcPr>
            <w:tcW w:w="1124" w:type="dxa"/>
            <w:tcBorders>
              <w:bottom w:val="single" w:sz="4" w:space="0" w:color="auto"/>
            </w:tcBorders>
            <w:vAlign w:val="center"/>
          </w:tcPr>
          <w:p w14:paraId="400AC44A"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32 (53.3</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125" w:type="dxa"/>
            <w:tcBorders>
              <w:bottom w:val="single" w:sz="4" w:space="0" w:color="auto"/>
            </w:tcBorders>
            <w:vAlign w:val="center"/>
          </w:tcPr>
          <w:p w14:paraId="78191642" w14:textId="77777777" w:rsidR="00F62A4F" w:rsidRPr="00B64CA9" w:rsidRDefault="00F62A4F" w:rsidP="002D07A3">
            <w:pPr>
              <w:jc w:val="center"/>
              <w:rPr>
                <w:rFonts w:ascii="Arial" w:hAnsi="Arial" w:cs="Arial"/>
                <w:sz w:val="18"/>
                <w:szCs w:val="18"/>
              </w:rPr>
            </w:pPr>
            <w:r w:rsidRPr="00B64CA9">
              <w:rPr>
                <w:rFonts w:ascii="Arial" w:hAnsi="Arial" w:cs="Arial"/>
                <w:sz w:val="18"/>
                <w:szCs w:val="18"/>
              </w:rPr>
              <w:t>44 (73.3</w:t>
            </w:r>
            <w:proofErr w:type="gramStart"/>
            <w:r w:rsidRPr="00B64CA9">
              <w:rPr>
                <w:rFonts w:ascii="Arial" w:hAnsi="Arial" w:cs="Arial"/>
                <w:sz w:val="18"/>
                <w:szCs w:val="18"/>
              </w:rPr>
              <w:t>%)</w:t>
            </w:r>
            <w:r w:rsidRPr="00B64CA9">
              <w:rPr>
                <w:rFonts w:ascii="Arial" w:hAnsi="Arial" w:cs="Arial"/>
                <w:i/>
                <w:sz w:val="18"/>
                <w:szCs w:val="18"/>
              </w:rPr>
              <w:t>*</w:t>
            </w:r>
            <w:proofErr w:type="gramEnd"/>
            <w:r w:rsidRPr="00B64CA9">
              <w:rPr>
                <w:rFonts w:ascii="Arial" w:hAnsi="Arial" w:cs="Arial"/>
                <w:i/>
                <w:sz w:val="18"/>
                <w:szCs w:val="18"/>
              </w:rPr>
              <w:t>*</w:t>
            </w:r>
          </w:p>
        </w:tc>
        <w:tc>
          <w:tcPr>
            <w:tcW w:w="1095" w:type="dxa"/>
            <w:tcBorders>
              <w:bottom w:val="single" w:sz="4" w:space="0" w:color="auto"/>
            </w:tcBorders>
            <w:vAlign w:val="center"/>
          </w:tcPr>
          <w:p w14:paraId="7577D7D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tcBorders>
              <w:bottom w:val="single" w:sz="4" w:space="0" w:color="auto"/>
            </w:tcBorders>
            <w:vAlign w:val="center"/>
          </w:tcPr>
          <w:p w14:paraId="11A0224F"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tcBorders>
              <w:bottom w:val="single" w:sz="4" w:space="0" w:color="auto"/>
            </w:tcBorders>
            <w:vAlign w:val="center"/>
          </w:tcPr>
          <w:p w14:paraId="4750E406"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c>
          <w:tcPr>
            <w:tcW w:w="1096" w:type="dxa"/>
            <w:tcBorders>
              <w:bottom w:val="single" w:sz="4" w:space="0" w:color="auto"/>
            </w:tcBorders>
            <w:vAlign w:val="center"/>
          </w:tcPr>
          <w:p w14:paraId="0548A448" w14:textId="77777777" w:rsidR="00F62A4F" w:rsidRPr="00B64CA9" w:rsidRDefault="00F62A4F" w:rsidP="002D07A3">
            <w:pPr>
              <w:jc w:val="center"/>
              <w:rPr>
                <w:rFonts w:ascii="Arial" w:hAnsi="Arial" w:cs="Arial"/>
                <w:color w:val="000000" w:themeColor="text1"/>
                <w:sz w:val="18"/>
                <w:szCs w:val="18"/>
              </w:rPr>
            </w:pPr>
            <w:r w:rsidRPr="00B64CA9">
              <w:rPr>
                <w:rFonts w:ascii="Arial" w:hAnsi="Arial" w:cs="Arial"/>
                <w:color w:val="000000" w:themeColor="text1"/>
                <w:sz w:val="18"/>
                <w:szCs w:val="18"/>
              </w:rPr>
              <w:t>-</w:t>
            </w:r>
          </w:p>
        </w:tc>
      </w:tr>
      <w:tr w:rsidR="00F62A4F" w:rsidRPr="00B64CA9" w14:paraId="3D99B8DA" w14:textId="77777777" w:rsidTr="002C3B84">
        <w:trPr>
          <w:cantSplit/>
        </w:trPr>
        <w:tc>
          <w:tcPr>
            <w:tcW w:w="9016" w:type="dxa"/>
            <w:gridSpan w:val="8"/>
            <w:tcBorders>
              <w:left w:val="nil"/>
              <w:bottom w:val="nil"/>
              <w:right w:val="nil"/>
            </w:tcBorders>
            <w:vAlign w:val="center"/>
          </w:tcPr>
          <w:p w14:paraId="13833814" w14:textId="77777777" w:rsidR="00F62A4F" w:rsidRPr="00B64CA9" w:rsidRDefault="00F62A4F" w:rsidP="0081558E">
            <w:pPr>
              <w:jc w:val="both"/>
              <w:rPr>
                <w:rFonts w:ascii="Arial" w:hAnsi="Arial" w:cs="Arial"/>
                <w:i/>
                <w:color w:val="000000" w:themeColor="text1"/>
                <w:sz w:val="16"/>
              </w:rPr>
            </w:pPr>
            <w:r w:rsidRPr="00B64CA9">
              <w:rPr>
                <w:rFonts w:ascii="Arial" w:hAnsi="Arial" w:cs="Arial"/>
                <w:i/>
                <w:color w:val="000000" w:themeColor="text1"/>
                <w:sz w:val="16"/>
              </w:rPr>
              <w:lastRenderedPageBreak/>
              <w:t xml:space="preserve">*The IGA mod 2011 is a 5-category scale including “0 = clear”, “1 = almost clear”, “2 = mild”, “3 = moderate” or “4 = severe”, indicating the physician’s overall assessment of the psoriasis severity focusing on induration, </w:t>
            </w:r>
            <w:proofErr w:type="gramStart"/>
            <w:r w:rsidRPr="00B64CA9">
              <w:rPr>
                <w:rFonts w:ascii="Arial" w:hAnsi="Arial" w:cs="Arial"/>
                <w:i/>
                <w:color w:val="000000" w:themeColor="text1"/>
                <w:sz w:val="16"/>
              </w:rPr>
              <w:t>erythema</w:t>
            </w:r>
            <w:proofErr w:type="gramEnd"/>
            <w:r w:rsidRPr="00B64CA9">
              <w:rPr>
                <w:rFonts w:ascii="Arial" w:hAnsi="Arial" w:cs="Arial"/>
                <w:i/>
                <w:color w:val="000000" w:themeColor="text1"/>
                <w:sz w:val="16"/>
              </w:rPr>
              <w:t xml:space="preserve"> and scaling. Treatment success of “clear” or “almost clear” consisted of no signs of psoriasis or normal to pink coloration of lesions, no thickening of the plaque and none to minimal focal scaling.</w:t>
            </w:r>
          </w:p>
          <w:p w14:paraId="2C0B03B3" w14:textId="77777777" w:rsidR="00F62A4F" w:rsidRPr="00B64CA9" w:rsidRDefault="00F62A4F" w:rsidP="0081558E">
            <w:pPr>
              <w:jc w:val="both"/>
              <w:rPr>
                <w:rFonts w:ascii="Arial" w:hAnsi="Arial" w:cs="Arial"/>
                <w:i/>
                <w:color w:val="000000" w:themeColor="text1"/>
                <w:sz w:val="16"/>
                <w:szCs w:val="18"/>
              </w:rPr>
            </w:pPr>
            <w:r w:rsidRPr="00B64CA9">
              <w:rPr>
                <w:rFonts w:ascii="Arial" w:hAnsi="Arial" w:cs="Arial"/>
                <w:i/>
                <w:color w:val="000000" w:themeColor="text1"/>
                <w:sz w:val="16"/>
              </w:rPr>
              <w:t>** p values versus placebo and adjusted for multiplicity: p&lt;0.0001</w:t>
            </w:r>
          </w:p>
        </w:tc>
      </w:tr>
    </w:tbl>
    <w:p w14:paraId="4D556055" w14:textId="77777777" w:rsidR="002C3B84" w:rsidRPr="00B64CA9" w:rsidRDefault="002C3B84" w:rsidP="0081558E">
      <w:pPr>
        <w:jc w:val="both"/>
        <w:rPr>
          <w:rFonts w:ascii="Arial" w:hAnsi="Arial" w:cs="Arial"/>
          <w:sz w:val="20"/>
        </w:rPr>
        <w:sectPr w:rsidR="002C3B84" w:rsidRPr="00B64CA9" w:rsidSect="00367772">
          <w:headerReference w:type="default" r:id="rId14"/>
          <w:footerReference w:type="default" r:id="rId15"/>
          <w:pgSz w:w="11906" w:h="16838" w:code="9"/>
          <w:pgMar w:top="1440" w:right="1440" w:bottom="1440" w:left="1440" w:header="709" w:footer="709" w:gutter="0"/>
          <w:cols w:space="708"/>
          <w:docGrid w:linePitch="360"/>
        </w:sectPr>
      </w:pPr>
    </w:p>
    <w:p w14:paraId="5F5D6E40" w14:textId="77777777" w:rsidR="00F62A4F" w:rsidRPr="00B64CA9" w:rsidRDefault="00F62A4F" w:rsidP="0081558E">
      <w:pPr>
        <w:spacing w:after="120"/>
        <w:ind w:left="1166" w:hanging="1166"/>
        <w:jc w:val="both"/>
        <w:rPr>
          <w:rFonts w:ascii="Arial" w:hAnsi="Arial" w:cs="Arial"/>
          <w:b/>
          <w:sz w:val="20"/>
        </w:rPr>
      </w:pPr>
      <w:bookmarkStart w:id="7" w:name="IDX"/>
      <w:bookmarkEnd w:id="7"/>
      <w:r w:rsidRPr="00B64CA9">
        <w:rPr>
          <w:rFonts w:ascii="Arial" w:hAnsi="Arial" w:cs="Arial"/>
          <w:b/>
          <w:sz w:val="20"/>
        </w:rPr>
        <w:lastRenderedPageBreak/>
        <w:t xml:space="preserve">Table </w:t>
      </w:r>
      <w:r w:rsidR="005A26F4" w:rsidRPr="00B64CA9">
        <w:rPr>
          <w:rFonts w:ascii="Arial" w:hAnsi="Arial" w:cs="Arial"/>
          <w:b/>
          <w:sz w:val="20"/>
        </w:rPr>
        <w:t>9</w:t>
      </w:r>
      <w:r w:rsidRPr="00B64CA9">
        <w:rPr>
          <w:rFonts w:ascii="Arial" w:hAnsi="Arial" w:cs="Arial"/>
          <w:b/>
          <w:sz w:val="20"/>
        </w:rPr>
        <w:tab/>
        <w:t>Summary of clinical response in FIXTURE trial</w:t>
      </w:r>
    </w:p>
    <w:tbl>
      <w:tblPr>
        <w:tblStyle w:val="TableGrid"/>
        <w:tblW w:w="9243" w:type="dxa"/>
        <w:tblLayout w:type="fixed"/>
        <w:tblLook w:val="04A0" w:firstRow="1" w:lastRow="0" w:firstColumn="1" w:lastColumn="0" w:noHBand="0" w:noVBand="1"/>
      </w:tblPr>
      <w:tblGrid>
        <w:gridCol w:w="918"/>
        <w:gridCol w:w="837"/>
        <w:gridCol w:w="832"/>
        <w:gridCol w:w="832"/>
        <w:gridCol w:w="832"/>
        <w:gridCol w:w="832"/>
        <w:gridCol w:w="832"/>
        <w:gridCol w:w="832"/>
        <w:gridCol w:w="832"/>
        <w:gridCol w:w="832"/>
        <w:gridCol w:w="832"/>
      </w:tblGrid>
      <w:tr w:rsidR="002C3B84" w:rsidRPr="00B64CA9" w14:paraId="3DFE74EC" w14:textId="77777777" w:rsidTr="002C3B84">
        <w:tc>
          <w:tcPr>
            <w:tcW w:w="918" w:type="dxa"/>
            <w:vMerge w:val="restart"/>
          </w:tcPr>
          <w:p w14:paraId="1E5B7122" w14:textId="77777777" w:rsidR="002C3B84" w:rsidRPr="00B64CA9" w:rsidRDefault="002C3B84" w:rsidP="00253D7C">
            <w:pPr>
              <w:jc w:val="center"/>
              <w:rPr>
                <w:rFonts w:ascii="Arial" w:hAnsi="Arial" w:cs="Arial"/>
                <w:b/>
                <w:sz w:val="16"/>
                <w:szCs w:val="16"/>
              </w:rPr>
            </w:pPr>
          </w:p>
        </w:tc>
        <w:tc>
          <w:tcPr>
            <w:tcW w:w="3333" w:type="dxa"/>
            <w:gridSpan w:val="4"/>
            <w:vAlign w:val="center"/>
          </w:tcPr>
          <w:p w14:paraId="350FDDB3"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Week 12</w:t>
            </w:r>
          </w:p>
        </w:tc>
        <w:tc>
          <w:tcPr>
            <w:tcW w:w="2496" w:type="dxa"/>
            <w:gridSpan w:val="3"/>
            <w:vAlign w:val="center"/>
          </w:tcPr>
          <w:p w14:paraId="3CB8E648"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Week 16</w:t>
            </w:r>
          </w:p>
        </w:tc>
        <w:tc>
          <w:tcPr>
            <w:tcW w:w="2496" w:type="dxa"/>
            <w:gridSpan w:val="3"/>
            <w:vAlign w:val="center"/>
          </w:tcPr>
          <w:p w14:paraId="1C673239" w14:textId="77777777" w:rsidR="002C3B84" w:rsidRPr="00B64CA9" w:rsidRDefault="002C3B84" w:rsidP="00253D7C">
            <w:pPr>
              <w:jc w:val="center"/>
              <w:rPr>
                <w:rFonts w:ascii="Arial" w:hAnsi="Arial" w:cs="Arial"/>
                <w:b/>
                <w:sz w:val="18"/>
                <w:szCs w:val="18"/>
              </w:rPr>
            </w:pPr>
            <w:r w:rsidRPr="00B64CA9">
              <w:rPr>
                <w:rFonts w:ascii="Arial" w:hAnsi="Arial" w:cs="Arial"/>
                <w:b/>
                <w:sz w:val="18"/>
                <w:szCs w:val="18"/>
              </w:rPr>
              <w:t>Week 52</w:t>
            </w:r>
          </w:p>
        </w:tc>
      </w:tr>
      <w:tr w:rsidR="002C3B84" w:rsidRPr="00B64CA9" w14:paraId="7708B757" w14:textId="77777777" w:rsidTr="002C3B84">
        <w:tc>
          <w:tcPr>
            <w:tcW w:w="918" w:type="dxa"/>
            <w:vMerge/>
          </w:tcPr>
          <w:p w14:paraId="65D84EC2" w14:textId="77777777" w:rsidR="002C3B84" w:rsidRPr="00B64CA9" w:rsidRDefault="002C3B84" w:rsidP="00253D7C">
            <w:pPr>
              <w:jc w:val="center"/>
              <w:rPr>
                <w:rFonts w:ascii="Arial" w:hAnsi="Arial" w:cs="Arial"/>
                <w:b/>
                <w:sz w:val="16"/>
                <w:szCs w:val="16"/>
              </w:rPr>
            </w:pPr>
          </w:p>
        </w:tc>
        <w:tc>
          <w:tcPr>
            <w:tcW w:w="837" w:type="dxa"/>
            <w:vAlign w:val="center"/>
          </w:tcPr>
          <w:p w14:paraId="36525E31" w14:textId="77777777" w:rsidR="002C3B84" w:rsidRPr="00B64CA9" w:rsidRDefault="002C3B84" w:rsidP="00253D7C">
            <w:pPr>
              <w:tabs>
                <w:tab w:val="left" w:pos="531"/>
              </w:tabs>
              <w:jc w:val="center"/>
              <w:rPr>
                <w:rFonts w:ascii="Arial" w:hAnsi="Arial" w:cs="Arial"/>
                <w:b/>
                <w:sz w:val="16"/>
                <w:szCs w:val="16"/>
              </w:rPr>
            </w:pPr>
            <w:r w:rsidRPr="00B64CA9">
              <w:rPr>
                <w:rFonts w:ascii="Arial" w:hAnsi="Arial" w:cs="Arial"/>
                <w:b/>
                <w:sz w:val="16"/>
                <w:szCs w:val="16"/>
              </w:rPr>
              <w:t>Placebo</w:t>
            </w:r>
          </w:p>
        </w:tc>
        <w:tc>
          <w:tcPr>
            <w:tcW w:w="832" w:type="dxa"/>
            <w:vAlign w:val="center"/>
          </w:tcPr>
          <w:p w14:paraId="10F43EFE"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150 mg</w:t>
            </w:r>
          </w:p>
        </w:tc>
        <w:tc>
          <w:tcPr>
            <w:tcW w:w="832" w:type="dxa"/>
            <w:vAlign w:val="center"/>
          </w:tcPr>
          <w:p w14:paraId="05214ACD"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300 mg</w:t>
            </w:r>
          </w:p>
        </w:tc>
        <w:tc>
          <w:tcPr>
            <w:tcW w:w="832" w:type="dxa"/>
            <w:vAlign w:val="center"/>
          </w:tcPr>
          <w:p w14:paraId="693F5A9C" w14:textId="77777777" w:rsidR="002C3B84" w:rsidRPr="00B64CA9" w:rsidRDefault="002C3B84" w:rsidP="00253D7C">
            <w:pPr>
              <w:ind w:left="-112" w:right="-108"/>
              <w:jc w:val="center"/>
              <w:rPr>
                <w:rFonts w:ascii="Arial" w:hAnsi="Arial" w:cs="Arial"/>
                <w:b/>
                <w:sz w:val="15"/>
                <w:szCs w:val="15"/>
              </w:rPr>
            </w:pPr>
            <w:r w:rsidRPr="00B64CA9">
              <w:rPr>
                <w:rFonts w:ascii="Arial" w:hAnsi="Arial" w:cs="Arial"/>
                <w:b/>
                <w:sz w:val="15"/>
                <w:szCs w:val="15"/>
              </w:rPr>
              <w:t>Etanercept</w:t>
            </w:r>
          </w:p>
        </w:tc>
        <w:tc>
          <w:tcPr>
            <w:tcW w:w="832" w:type="dxa"/>
            <w:vAlign w:val="center"/>
          </w:tcPr>
          <w:p w14:paraId="3E83FF18"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150 mg</w:t>
            </w:r>
          </w:p>
        </w:tc>
        <w:tc>
          <w:tcPr>
            <w:tcW w:w="832" w:type="dxa"/>
            <w:vAlign w:val="center"/>
          </w:tcPr>
          <w:p w14:paraId="68DE0F30"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300 mg</w:t>
            </w:r>
          </w:p>
        </w:tc>
        <w:tc>
          <w:tcPr>
            <w:tcW w:w="832" w:type="dxa"/>
            <w:vAlign w:val="center"/>
          </w:tcPr>
          <w:p w14:paraId="29F98B9E" w14:textId="77777777" w:rsidR="002C3B84" w:rsidRPr="00B64CA9" w:rsidRDefault="002C3B84" w:rsidP="00253D7C">
            <w:pPr>
              <w:ind w:left="-83" w:right="-111"/>
              <w:jc w:val="center"/>
              <w:rPr>
                <w:rFonts w:ascii="Arial" w:hAnsi="Arial" w:cs="Arial"/>
                <w:b/>
                <w:sz w:val="15"/>
                <w:szCs w:val="15"/>
              </w:rPr>
            </w:pPr>
            <w:r w:rsidRPr="00B64CA9">
              <w:rPr>
                <w:rFonts w:ascii="Arial" w:hAnsi="Arial" w:cs="Arial"/>
                <w:b/>
                <w:sz w:val="15"/>
                <w:szCs w:val="15"/>
              </w:rPr>
              <w:t>Etanercept</w:t>
            </w:r>
          </w:p>
        </w:tc>
        <w:tc>
          <w:tcPr>
            <w:tcW w:w="832" w:type="dxa"/>
            <w:vAlign w:val="center"/>
          </w:tcPr>
          <w:p w14:paraId="656DE471"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150 mg</w:t>
            </w:r>
          </w:p>
        </w:tc>
        <w:tc>
          <w:tcPr>
            <w:tcW w:w="832" w:type="dxa"/>
            <w:vAlign w:val="center"/>
          </w:tcPr>
          <w:p w14:paraId="43E1BE28" w14:textId="77777777" w:rsidR="002C3B84" w:rsidRPr="00B64CA9" w:rsidRDefault="002C3B84" w:rsidP="00253D7C">
            <w:pPr>
              <w:jc w:val="center"/>
              <w:rPr>
                <w:rFonts w:ascii="Arial" w:hAnsi="Arial" w:cs="Arial"/>
                <w:b/>
                <w:sz w:val="16"/>
                <w:szCs w:val="16"/>
              </w:rPr>
            </w:pPr>
            <w:r w:rsidRPr="00B64CA9">
              <w:rPr>
                <w:rFonts w:ascii="Arial" w:hAnsi="Arial" w:cs="Arial"/>
                <w:b/>
                <w:sz w:val="16"/>
                <w:szCs w:val="16"/>
              </w:rPr>
              <w:t>300 mg</w:t>
            </w:r>
          </w:p>
        </w:tc>
        <w:tc>
          <w:tcPr>
            <w:tcW w:w="832" w:type="dxa"/>
            <w:vAlign w:val="center"/>
          </w:tcPr>
          <w:p w14:paraId="4648EF14" w14:textId="77777777" w:rsidR="002C3B84" w:rsidRPr="00B64CA9" w:rsidRDefault="002C3B84" w:rsidP="00253D7C">
            <w:pPr>
              <w:ind w:left="-86" w:right="-90"/>
              <w:jc w:val="center"/>
              <w:rPr>
                <w:rFonts w:ascii="Arial" w:hAnsi="Arial" w:cs="Arial"/>
                <w:b/>
                <w:sz w:val="15"/>
                <w:szCs w:val="15"/>
              </w:rPr>
            </w:pPr>
            <w:r w:rsidRPr="00B64CA9">
              <w:rPr>
                <w:rFonts w:ascii="Arial" w:hAnsi="Arial" w:cs="Arial"/>
                <w:b/>
                <w:sz w:val="15"/>
                <w:szCs w:val="15"/>
              </w:rPr>
              <w:t>Etanercept</w:t>
            </w:r>
          </w:p>
        </w:tc>
      </w:tr>
      <w:tr w:rsidR="00F62A4F" w:rsidRPr="00B64CA9" w14:paraId="45000F59" w14:textId="77777777" w:rsidTr="002C3B84">
        <w:tc>
          <w:tcPr>
            <w:tcW w:w="918" w:type="dxa"/>
            <w:vAlign w:val="center"/>
          </w:tcPr>
          <w:p w14:paraId="246E8615"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Number of patients</w:t>
            </w:r>
          </w:p>
        </w:tc>
        <w:tc>
          <w:tcPr>
            <w:tcW w:w="837" w:type="dxa"/>
            <w:vAlign w:val="center"/>
          </w:tcPr>
          <w:p w14:paraId="3F1AA8AC"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324</w:t>
            </w:r>
          </w:p>
        </w:tc>
        <w:tc>
          <w:tcPr>
            <w:tcW w:w="832" w:type="dxa"/>
            <w:vAlign w:val="center"/>
          </w:tcPr>
          <w:p w14:paraId="7CC5AE8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327</w:t>
            </w:r>
          </w:p>
        </w:tc>
        <w:tc>
          <w:tcPr>
            <w:tcW w:w="832" w:type="dxa"/>
            <w:vAlign w:val="center"/>
          </w:tcPr>
          <w:p w14:paraId="46C5DF17"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c>
          <w:tcPr>
            <w:tcW w:w="832" w:type="dxa"/>
            <w:vAlign w:val="center"/>
          </w:tcPr>
          <w:p w14:paraId="300C520B"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c>
          <w:tcPr>
            <w:tcW w:w="832" w:type="dxa"/>
            <w:vAlign w:val="center"/>
          </w:tcPr>
          <w:p w14:paraId="63B43DEB"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327</w:t>
            </w:r>
          </w:p>
        </w:tc>
        <w:tc>
          <w:tcPr>
            <w:tcW w:w="832" w:type="dxa"/>
            <w:vAlign w:val="center"/>
          </w:tcPr>
          <w:p w14:paraId="14B85CFB"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c>
          <w:tcPr>
            <w:tcW w:w="832" w:type="dxa"/>
            <w:vAlign w:val="center"/>
          </w:tcPr>
          <w:p w14:paraId="7FD3BF47"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c>
          <w:tcPr>
            <w:tcW w:w="832" w:type="dxa"/>
            <w:vAlign w:val="center"/>
          </w:tcPr>
          <w:p w14:paraId="795E0C89"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327</w:t>
            </w:r>
          </w:p>
        </w:tc>
        <w:tc>
          <w:tcPr>
            <w:tcW w:w="832" w:type="dxa"/>
            <w:vAlign w:val="center"/>
          </w:tcPr>
          <w:p w14:paraId="2813ECD1"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c>
          <w:tcPr>
            <w:tcW w:w="832" w:type="dxa"/>
            <w:vAlign w:val="center"/>
          </w:tcPr>
          <w:p w14:paraId="1F70C9F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323</w:t>
            </w:r>
          </w:p>
        </w:tc>
      </w:tr>
      <w:tr w:rsidR="00F62A4F" w:rsidRPr="00B64CA9" w14:paraId="59B1FED4" w14:textId="77777777" w:rsidTr="002C3B84">
        <w:tc>
          <w:tcPr>
            <w:tcW w:w="918" w:type="dxa"/>
            <w:vAlign w:val="center"/>
          </w:tcPr>
          <w:p w14:paraId="2E599948"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PASI 50 response n (%)</w:t>
            </w:r>
          </w:p>
        </w:tc>
        <w:tc>
          <w:tcPr>
            <w:tcW w:w="837" w:type="dxa"/>
            <w:vAlign w:val="center"/>
          </w:tcPr>
          <w:p w14:paraId="3E5A31B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49 (15.1%)</w:t>
            </w:r>
          </w:p>
        </w:tc>
        <w:tc>
          <w:tcPr>
            <w:tcW w:w="832" w:type="dxa"/>
            <w:vAlign w:val="center"/>
          </w:tcPr>
          <w:p w14:paraId="25328CDB"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266 (81.3%)</w:t>
            </w:r>
          </w:p>
        </w:tc>
        <w:tc>
          <w:tcPr>
            <w:tcW w:w="832" w:type="dxa"/>
            <w:vAlign w:val="center"/>
          </w:tcPr>
          <w:p w14:paraId="1F5270B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296 (91.6%)</w:t>
            </w:r>
          </w:p>
        </w:tc>
        <w:tc>
          <w:tcPr>
            <w:tcW w:w="832" w:type="dxa"/>
            <w:vAlign w:val="center"/>
          </w:tcPr>
          <w:p w14:paraId="38BA2CE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226 (70.0%)</w:t>
            </w:r>
          </w:p>
        </w:tc>
        <w:tc>
          <w:tcPr>
            <w:tcW w:w="832" w:type="dxa"/>
            <w:vAlign w:val="center"/>
          </w:tcPr>
          <w:p w14:paraId="5959D51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290 (88.7%)</w:t>
            </w:r>
          </w:p>
        </w:tc>
        <w:tc>
          <w:tcPr>
            <w:tcW w:w="832" w:type="dxa"/>
            <w:vAlign w:val="center"/>
          </w:tcPr>
          <w:p w14:paraId="6650A327"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302 (93.5%)</w:t>
            </w:r>
          </w:p>
        </w:tc>
        <w:tc>
          <w:tcPr>
            <w:tcW w:w="832" w:type="dxa"/>
            <w:vAlign w:val="center"/>
          </w:tcPr>
          <w:p w14:paraId="3E8FFA2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257 (79.6%)</w:t>
            </w:r>
          </w:p>
        </w:tc>
        <w:tc>
          <w:tcPr>
            <w:tcW w:w="832" w:type="dxa"/>
            <w:vAlign w:val="center"/>
          </w:tcPr>
          <w:p w14:paraId="347D05C9"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249 (76.1%)</w:t>
            </w:r>
          </w:p>
        </w:tc>
        <w:tc>
          <w:tcPr>
            <w:tcW w:w="832" w:type="dxa"/>
            <w:vAlign w:val="center"/>
          </w:tcPr>
          <w:p w14:paraId="3B53B268"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274 (84.8%)</w:t>
            </w:r>
          </w:p>
        </w:tc>
        <w:tc>
          <w:tcPr>
            <w:tcW w:w="832" w:type="dxa"/>
            <w:vAlign w:val="center"/>
          </w:tcPr>
          <w:p w14:paraId="14F01713"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234 (72.4%)</w:t>
            </w:r>
          </w:p>
        </w:tc>
      </w:tr>
      <w:tr w:rsidR="00F62A4F" w:rsidRPr="00B64CA9" w14:paraId="6A493AA9" w14:textId="77777777" w:rsidTr="002C3B84">
        <w:tc>
          <w:tcPr>
            <w:tcW w:w="918" w:type="dxa"/>
            <w:vAlign w:val="center"/>
          </w:tcPr>
          <w:p w14:paraId="1C89FD6F"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PASI 75 response n (%)</w:t>
            </w:r>
          </w:p>
        </w:tc>
        <w:tc>
          <w:tcPr>
            <w:tcW w:w="837" w:type="dxa"/>
            <w:vAlign w:val="center"/>
          </w:tcPr>
          <w:p w14:paraId="74CC4CCF"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16 (4.9%)</w:t>
            </w:r>
          </w:p>
        </w:tc>
        <w:tc>
          <w:tcPr>
            <w:tcW w:w="832" w:type="dxa"/>
            <w:vAlign w:val="center"/>
          </w:tcPr>
          <w:p w14:paraId="5CAB97F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219 (67.0</w:t>
            </w:r>
            <w:proofErr w:type="gramStart"/>
            <w:r w:rsidRPr="00B64CA9">
              <w:rPr>
                <w:rFonts w:ascii="Arial" w:hAnsi="Arial" w:cs="Arial"/>
                <w:sz w:val="16"/>
                <w:szCs w:val="16"/>
              </w:rPr>
              <w:t>%)*</w:t>
            </w:r>
            <w:proofErr w:type="gramEnd"/>
            <w:r w:rsidRPr="00B64CA9">
              <w:rPr>
                <w:rFonts w:ascii="Arial" w:hAnsi="Arial" w:cs="Arial"/>
                <w:sz w:val="16"/>
                <w:szCs w:val="16"/>
              </w:rPr>
              <w:t>*</w:t>
            </w:r>
          </w:p>
        </w:tc>
        <w:tc>
          <w:tcPr>
            <w:tcW w:w="832" w:type="dxa"/>
            <w:vAlign w:val="center"/>
          </w:tcPr>
          <w:p w14:paraId="3DF18E7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249 (77.1</w:t>
            </w:r>
            <w:proofErr w:type="gramStart"/>
            <w:r w:rsidRPr="00B64CA9">
              <w:rPr>
                <w:rFonts w:ascii="Arial" w:hAnsi="Arial" w:cs="Arial"/>
                <w:sz w:val="16"/>
                <w:szCs w:val="16"/>
              </w:rPr>
              <w:t>%)*</w:t>
            </w:r>
            <w:proofErr w:type="gramEnd"/>
            <w:r w:rsidRPr="00B64CA9">
              <w:rPr>
                <w:rFonts w:ascii="Arial" w:hAnsi="Arial" w:cs="Arial"/>
                <w:sz w:val="16"/>
                <w:szCs w:val="16"/>
              </w:rPr>
              <w:t>*</w:t>
            </w:r>
          </w:p>
        </w:tc>
        <w:tc>
          <w:tcPr>
            <w:tcW w:w="832" w:type="dxa"/>
            <w:vAlign w:val="center"/>
          </w:tcPr>
          <w:p w14:paraId="76F31364"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142 (44.0%)</w:t>
            </w:r>
          </w:p>
        </w:tc>
        <w:tc>
          <w:tcPr>
            <w:tcW w:w="832" w:type="dxa"/>
            <w:vAlign w:val="center"/>
          </w:tcPr>
          <w:p w14:paraId="663BCAF4"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247 (75.5%)</w:t>
            </w:r>
          </w:p>
        </w:tc>
        <w:tc>
          <w:tcPr>
            <w:tcW w:w="832" w:type="dxa"/>
            <w:vAlign w:val="center"/>
          </w:tcPr>
          <w:p w14:paraId="1EE5D493"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280 (86.7%)</w:t>
            </w:r>
          </w:p>
        </w:tc>
        <w:tc>
          <w:tcPr>
            <w:tcW w:w="832" w:type="dxa"/>
            <w:vAlign w:val="center"/>
          </w:tcPr>
          <w:p w14:paraId="7218CE63"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189 (58.5%)</w:t>
            </w:r>
          </w:p>
        </w:tc>
        <w:tc>
          <w:tcPr>
            <w:tcW w:w="832" w:type="dxa"/>
            <w:vAlign w:val="center"/>
          </w:tcPr>
          <w:p w14:paraId="3CB294A4"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215 (65.7%)</w:t>
            </w:r>
          </w:p>
        </w:tc>
        <w:tc>
          <w:tcPr>
            <w:tcW w:w="832" w:type="dxa"/>
            <w:vAlign w:val="center"/>
          </w:tcPr>
          <w:p w14:paraId="29FD27F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254 (78.6%)</w:t>
            </w:r>
          </w:p>
        </w:tc>
        <w:tc>
          <w:tcPr>
            <w:tcW w:w="832" w:type="dxa"/>
            <w:vAlign w:val="center"/>
          </w:tcPr>
          <w:p w14:paraId="6FF377D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179 (55.4%)</w:t>
            </w:r>
          </w:p>
        </w:tc>
      </w:tr>
      <w:tr w:rsidR="00F62A4F" w:rsidRPr="00B64CA9" w14:paraId="517BB8C9" w14:textId="77777777" w:rsidTr="002C3B84">
        <w:tc>
          <w:tcPr>
            <w:tcW w:w="918" w:type="dxa"/>
            <w:vAlign w:val="center"/>
          </w:tcPr>
          <w:p w14:paraId="165C5138"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PASI 90 response n (%)</w:t>
            </w:r>
          </w:p>
        </w:tc>
        <w:tc>
          <w:tcPr>
            <w:tcW w:w="837" w:type="dxa"/>
            <w:vAlign w:val="center"/>
          </w:tcPr>
          <w:p w14:paraId="6EA4936E"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 xml:space="preserve">5 </w:t>
            </w:r>
          </w:p>
          <w:p w14:paraId="3AB8C4BE"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(1.5%)</w:t>
            </w:r>
          </w:p>
        </w:tc>
        <w:tc>
          <w:tcPr>
            <w:tcW w:w="832" w:type="dxa"/>
            <w:vAlign w:val="center"/>
          </w:tcPr>
          <w:p w14:paraId="5D60888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137 (41.9%)</w:t>
            </w:r>
          </w:p>
        </w:tc>
        <w:tc>
          <w:tcPr>
            <w:tcW w:w="832" w:type="dxa"/>
            <w:vAlign w:val="center"/>
          </w:tcPr>
          <w:p w14:paraId="5B61DB1C"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175 (54.2%)</w:t>
            </w:r>
          </w:p>
        </w:tc>
        <w:tc>
          <w:tcPr>
            <w:tcW w:w="832" w:type="dxa"/>
            <w:vAlign w:val="center"/>
          </w:tcPr>
          <w:p w14:paraId="541FB2FD"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67 (20.7%)</w:t>
            </w:r>
          </w:p>
        </w:tc>
        <w:tc>
          <w:tcPr>
            <w:tcW w:w="832" w:type="dxa"/>
            <w:vAlign w:val="center"/>
          </w:tcPr>
          <w:p w14:paraId="5F226A60"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176 (53.8%)</w:t>
            </w:r>
          </w:p>
        </w:tc>
        <w:tc>
          <w:tcPr>
            <w:tcW w:w="832" w:type="dxa"/>
            <w:vAlign w:val="center"/>
          </w:tcPr>
          <w:p w14:paraId="4657D63E"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234 (72.4%)</w:t>
            </w:r>
          </w:p>
        </w:tc>
        <w:tc>
          <w:tcPr>
            <w:tcW w:w="832" w:type="dxa"/>
            <w:vAlign w:val="center"/>
          </w:tcPr>
          <w:p w14:paraId="32C2DB8C"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101 (31.3%)</w:t>
            </w:r>
          </w:p>
        </w:tc>
        <w:tc>
          <w:tcPr>
            <w:tcW w:w="832" w:type="dxa"/>
            <w:vAlign w:val="center"/>
          </w:tcPr>
          <w:p w14:paraId="786D4739"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147 (45.0%)</w:t>
            </w:r>
          </w:p>
        </w:tc>
        <w:tc>
          <w:tcPr>
            <w:tcW w:w="832" w:type="dxa"/>
            <w:vAlign w:val="center"/>
          </w:tcPr>
          <w:p w14:paraId="13524CD9"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210 (65.0%)</w:t>
            </w:r>
          </w:p>
        </w:tc>
        <w:tc>
          <w:tcPr>
            <w:tcW w:w="832" w:type="dxa"/>
            <w:vAlign w:val="center"/>
          </w:tcPr>
          <w:p w14:paraId="575ACD1D"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108 (33.4%)</w:t>
            </w:r>
          </w:p>
        </w:tc>
      </w:tr>
      <w:tr w:rsidR="00F62A4F" w:rsidRPr="00B64CA9" w14:paraId="02DAA3E7" w14:textId="77777777" w:rsidTr="002C3B84">
        <w:tc>
          <w:tcPr>
            <w:tcW w:w="918" w:type="dxa"/>
            <w:vAlign w:val="center"/>
          </w:tcPr>
          <w:p w14:paraId="126CDC67"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PASI 100 response n (%)</w:t>
            </w:r>
          </w:p>
        </w:tc>
        <w:tc>
          <w:tcPr>
            <w:tcW w:w="837" w:type="dxa"/>
            <w:vAlign w:val="center"/>
          </w:tcPr>
          <w:p w14:paraId="755005AD"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 xml:space="preserve">0 </w:t>
            </w:r>
          </w:p>
          <w:p w14:paraId="19F6A8C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(0%)</w:t>
            </w:r>
          </w:p>
        </w:tc>
        <w:tc>
          <w:tcPr>
            <w:tcW w:w="832" w:type="dxa"/>
            <w:vAlign w:val="center"/>
          </w:tcPr>
          <w:p w14:paraId="26B56F33"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47 (14.4%)</w:t>
            </w:r>
          </w:p>
        </w:tc>
        <w:tc>
          <w:tcPr>
            <w:tcW w:w="832" w:type="dxa"/>
            <w:vAlign w:val="center"/>
          </w:tcPr>
          <w:p w14:paraId="1977C50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78 (24.1%)</w:t>
            </w:r>
          </w:p>
        </w:tc>
        <w:tc>
          <w:tcPr>
            <w:tcW w:w="832" w:type="dxa"/>
            <w:vAlign w:val="center"/>
          </w:tcPr>
          <w:p w14:paraId="22CD8A29"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14 (4.3%)</w:t>
            </w:r>
          </w:p>
        </w:tc>
        <w:tc>
          <w:tcPr>
            <w:tcW w:w="832" w:type="dxa"/>
            <w:vAlign w:val="center"/>
          </w:tcPr>
          <w:p w14:paraId="423A15B8"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84 (25.7%)</w:t>
            </w:r>
          </w:p>
        </w:tc>
        <w:tc>
          <w:tcPr>
            <w:tcW w:w="832" w:type="dxa"/>
            <w:vAlign w:val="center"/>
          </w:tcPr>
          <w:p w14:paraId="496010FB"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119 (36.8%)</w:t>
            </w:r>
          </w:p>
        </w:tc>
        <w:tc>
          <w:tcPr>
            <w:tcW w:w="832" w:type="dxa"/>
            <w:vAlign w:val="center"/>
          </w:tcPr>
          <w:p w14:paraId="05783E8F"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24 (7.4%)</w:t>
            </w:r>
          </w:p>
        </w:tc>
        <w:tc>
          <w:tcPr>
            <w:tcW w:w="832" w:type="dxa"/>
            <w:vAlign w:val="center"/>
          </w:tcPr>
          <w:p w14:paraId="7104B17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65 (19.9%)</w:t>
            </w:r>
          </w:p>
        </w:tc>
        <w:tc>
          <w:tcPr>
            <w:tcW w:w="832" w:type="dxa"/>
            <w:vAlign w:val="center"/>
          </w:tcPr>
          <w:p w14:paraId="5C1900F0"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117 (36.2%)</w:t>
            </w:r>
          </w:p>
        </w:tc>
        <w:tc>
          <w:tcPr>
            <w:tcW w:w="832" w:type="dxa"/>
            <w:vAlign w:val="center"/>
          </w:tcPr>
          <w:p w14:paraId="4645E7CE"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32 (9.9%)</w:t>
            </w:r>
          </w:p>
        </w:tc>
      </w:tr>
      <w:tr w:rsidR="00F62A4F" w:rsidRPr="00B64CA9" w14:paraId="442CBF0A" w14:textId="77777777" w:rsidTr="002C3B84">
        <w:tc>
          <w:tcPr>
            <w:tcW w:w="918" w:type="dxa"/>
            <w:tcBorders>
              <w:bottom w:val="single" w:sz="4" w:space="0" w:color="auto"/>
            </w:tcBorders>
            <w:vAlign w:val="center"/>
          </w:tcPr>
          <w:p w14:paraId="18CE952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IGA mod 2011 “clear” or “almost clear” response n (%)</w:t>
            </w:r>
          </w:p>
        </w:tc>
        <w:tc>
          <w:tcPr>
            <w:tcW w:w="837" w:type="dxa"/>
            <w:tcBorders>
              <w:bottom w:val="single" w:sz="4" w:space="0" w:color="auto"/>
            </w:tcBorders>
            <w:vAlign w:val="center"/>
          </w:tcPr>
          <w:p w14:paraId="483C0661"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9 (2.8%)</w:t>
            </w:r>
          </w:p>
        </w:tc>
        <w:tc>
          <w:tcPr>
            <w:tcW w:w="832" w:type="dxa"/>
            <w:tcBorders>
              <w:bottom w:val="single" w:sz="4" w:space="0" w:color="auto"/>
            </w:tcBorders>
            <w:vAlign w:val="center"/>
          </w:tcPr>
          <w:p w14:paraId="41CD9D97"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167 (51.1</w:t>
            </w:r>
            <w:proofErr w:type="gramStart"/>
            <w:r w:rsidRPr="00B64CA9">
              <w:rPr>
                <w:rFonts w:ascii="Arial" w:hAnsi="Arial" w:cs="Arial"/>
                <w:sz w:val="16"/>
                <w:szCs w:val="16"/>
              </w:rPr>
              <w:t>%)*</w:t>
            </w:r>
            <w:proofErr w:type="gramEnd"/>
            <w:r w:rsidRPr="00B64CA9">
              <w:rPr>
                <w:rFonts w:ascii="Arial" w:hAnsi="Arial" w:cs="Arial"/>
                <w:sz w:val="16"/>
                <w:szCs w:val="16"/>
              </w:rPr>
              <w:t>*</w:t>
            </w:r>
          </w:p>
        </w:tc>
        <w:tc>
          <w:tcPr>
            <w:tcW w:w="832" w:type="dxa"/>
            <w:tcBorders>
              <w:bottom w:val="single" w:sz="4" w:space="0" w:color="auto"/>
            </w:tcBorders>
            <w:vAlign w:val="center"/>
          </w:tcPr>
          <w:p w14:paraId="08238858"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202 (62.5</w:t>
            </w:r>
            <w:proofErr w:type="gramStart"/>
            <w:r w:rsidRPr="00B64CA9">
              <w:rPr>
                <w:rFonts w:ascii="Arial" w:hAnsi="Arial" w:cs="Arial"/>
                <w:sz w:val="16"/>
                <w:szCs w:val="16"/>
              </w:rPr>
              <w:t>%)*</w:t>
            </w:r>
            <w:proofErr w:type="gramEnd"/>
            <w:r w:rsidRPr="00B64CA9">
              <w:rPr>
                <w:rFonts w:ascii="Arial" w:hAnsi="Arial" w:cs="Arial"/>
                <w:sz w:val="16"/>
                <w:szCs w:val="16"/>
              </w:rPr>
              <w:t>*</w:t>
            </w:r>
          </w:p>
        </w:tc>
        <w:tc>
          <w:tcPr>
            <w:tcW w:w="832" w:type="dxa"/>
            <w:tcBorders>
              <w:bottom w:val="single" w:sz="4" w:space="0" w:color="auto"/>
            </w:tcBorders>
            <w:vAlign w:val="center"/>
          </w:tcPr>
          <w:p w14:paraId="56324D51"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88 (27.2%)</w:t>
            </w:r>
          </w:p>
        </w:tc>
        <w:tc>
          <w:tcPr>
            <w:tcW w:w="832" w:type="dxa"/>
            <w:tcBorders>
              <w:bottom w:val="single" w:sz="4" w:space="0" w:color="auto"/>
            </w:tcBorders>
            <w:vAlign w:val="center"/>
          </w:tcPr>
          <w:p w14:paraId="62CD02DA"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200 (61.2%)</w:t>
            </w:r>
          </w:p>
        </w:tc>
        <w:tc>
          <w:tcPr>
            <w:tcW w:w="832" w:type="dxa"/>
            <w:tcBorders>
              <w:bottom w:val="single" w:sz="4" w:space="0" w:color="auto"/>
            </w:tcBorders>
            <w:vAlign w:val="center"/>
          </w:tcPr>
          <w:p w14:paraId="6DF34AA5"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244 (75.5%)</w:t>
            </w:r>
          </w:p>
        </w:tc>
        <w:tc>
          <w:tcPr>
            <w:tcW w:w="832" w:type="dxa"/>
            <w:tcBorders>
              <w:bottom w:val="single" w:sz="4" w:space="0" w:color="auto"/>
            </w:tcBorders>
            <w:vAlign w:val="center"/>
          </w:tcPr>
          <w:p w14:paraId="298399E6"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127 (39.3%)</w:t>
            </w:r>
          </w:p>
        </w:tc>
        <w:tc>
          <w:tcPr>
            <w:tcW w:w="832" w:type="dxa"/>
            <w:tcBorders>
              <w:bottom w:val="single" w:sz="4" w:space="0" w:color="auto"/>
            </w:tcBorders>
            <w:vAlign w:val="center"/>
          </w:tcPr>
          <w:p w14:paraId="38B3CD12"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168 (51.4%)</w:t>
            </w:r>
          </w:p>
        </w:tc>
        <w:tc>
          <w:tcPr>
            <w:tcW w:w="832" w:type="dxa"/>
            <w:tcBorders>
              <w:bottom w:val="single" w:sz="4" w:space="0" w:color="auto"/>
            </w:tcBorders>
            <w:vAlign w:val="center"/>
          </w:tcPr>
          <w:p w14:paraId="64CEEE13"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219 (67.8%)</w:t>
            </w:r>
          </w:p>
        </w:tc>
        <w:tc>
          <w:tcPr>
            <w:tcW w:w="832" w:type="dxa"/>
            <w:tcBorders>
              <w:bottom w:val="single" w:sz="4" w:space="0" w:color="auto"/>
            </w:tcBorders>
            <w:vAlign w:val="center"/>
          </w:tcPr>
          <w:p w14:paraId="71903421" w14:textId="77777777" w:rsidR="00F62A4F" w:rsidRPr="00B64CA9" w:rsidRDefault="00F62A4F" w:rsidP="0081558E">
            <w:pPr>
              <w:jc w:val="both"/>
              <w:rPr>
                <w:rFonts w:ascii="Arial" w:hAnsi="Arial" w:cs="Arial"/>
                <w:sz w:val="16"/>
                <w:szCs w:val="16"/>
              </w:rPr>
            </w:pPr>
            <w:r w:rsidRPr="00B64CA9">
              <w:rPr>
                <w:rFonts w:ascii="Arial" w:hAnsi="Arial" w:cs="Arial"/>
                <w:sz w:val="16"/>
                <w:szCs w:val="16"/>
              </w:rPr>
              <w:t>120 (37.2%)</w:t>
            </w:r>
          </w:p>
        </w:tc>
      </w:tr>
      <w:tr w:rsidR="00F62A4F" w:rsidRPr="00B64CA9" w14:paraId="1FC1D5E0" w14:textId="77777777" w:rsidTr="002C3B84">
        <w:tc>
          <w:tcPr>
            <w:tcW w:w="9243" w:type="dxa"/>
            <w:gridSpan w:val="11"/>
            <w:tcBorders>
              <w:left w:val="nil"/>
              <w:bottom w:val="nil"/>
              <w:right w:val="nil"/>
            </w:tcBorders>
            <w:vAlign w:val="center"/>
          </w:tcPr>
          <w:p w14:paraId="03A9AF97" w14:textId="77777777" w:rsidR="00F62A4F" w:rsidRPr="00B64CA9" w:rsidRDefault="00F62A4F" w:rsidP="0081558E">
            <w:pPr>
              <w:jc w:val="both"/>
              <w:rPr>
                <w:rFonts w:ascii="Arial" w:hAnsi="Arial" w:cs="Arial"/>
                <w:i/>
                <w:sz w:val="16"/>
                <w:szCs w:val="16"/>
                <w:lang w:val="fr-FR"/>
              </w:rPr>
            </w:pPr>
            <w:r w:rsidRPr="00B64CA9">
              <w:rPr>
                <w:rFonts w:ascii="Arial" w:hAnsi="Arial" w:cs="Arial"/>
                <w:i/>
                <w:sz w:val="16"/>
                <w:szCs w:val="18"/>
                <w:lang w:val="fr-FR"/>
              </w:rPr>
              <w:t xml:space="preserve">** p values versus </w:t>
            </w:r>
            <w:proofErr w:type="spellStart"/>
            <w:proofErr w:type="gramStart"/>
            <w:r w:rsidRPr="00B64CA9">
              <w:rPr>
                <w:rFonts w:ascii="Arial" w:hAnsi="Arial" w:cs="Arial"/>
                <w:i/>
                <w:sz w:val="16"/>
                <w:szCs w:val="18"/>
                <w:lang w:val="fr-FR"/>
              </w:rPr>
              <w:t>etanercept</w:t>
            </w:r>
            <w:proofErr w:type="spellEnd"/>
            <w:r w:rsidRPr="00B64CA9">
              <w:rPr>
                <w:rFonts w:ascii="Arial" w:hAnsi="Arial" w:cs="Arial"/>
                <w:i/>
                <w:sz w:val="16"/>
                <w:szCs w:val="18"/>
                <w:lang w:val="fr-FR"/>
              </w:rPr>
              <w:t>:</w:t>
            </w:r>
            <w:proofErr w:type="gramEnd"/>
            <w:r w:rsidRPr="00B64CA9">
              <w:rPr>
                <w:rFonts w:ascii="Arial" w:hAnsi="Arial" w:cs="Arial"/>
                <w:i/>
                <w:sz w:val="16"/>
                <w:szCs w:val="18"/>
                <w:lang w:val="fr-FR"/>
              </w:rPr>
              <w:t xml:space="preserve"> p=0.0250</w:t>
            </w:r>
          </w:p>
        </w:tc>
      </w:tr>
    </w:tbl>
    <w:p w14:paraId="6A36B7AE" w14:textId="77777777" w:rsidR="00DD3737" w:rsidRPr="00B64CA9" w:rsidRDefault="00DD3737" w:rsidP="0081558E">
      <w:pPr>
        <w:jc w:val="both"/>
        <w:rPr>
          <w:rFonts w:ascii="Arial" w:hAnsi="Arial" w:cs="Arial"/>
          <w:sz w:val="20"/>
          <w:lang w:val="fr-FR"/>
        </w:rPr>
      </w:pPr>
    </w:p>
    <w:p w14:paraId="50318F16" w14:textId="77777777" w:rsidR="00F62A4F" w:rsidRPr="00B64CA9" w:rsidRDefault="00F62A4F" w:rsidP="002D07A3">
      <w:pPr>
        <w:jc w:val="both"/>
        <w:rPr>
          <w:rFonts w:cs="Arial"/>
        </w:rPr>
      </w:pPr>
      <w:r w:rsidRPr="00B64CA9">
        <w:rPr>
          <w:rFonts w:cs="Arial"/>
        </w:rPr>
        <w:t xml:space="preserve">An additional psoriasis study (CLEAR) evaluated 676 patients. </w:t>
      </w:r>
      <w:proofErr w:type="spellStart"/>
      <w:r w:rsidRPr="00B64CA9">
        <w:rPr>
          <w:rFonts w:cs="Arial"/>
        </w:rPr>
        <w:t>Secukinumab</w:t>
      </w:r>
      <w:proofErr w:type="spellEnd"/>
      <w:r w:rsidRPr="00B64CA9">
        <w:rPr>
          <w:rFonts w:cs="Arial"/>
        </w:rPr>
        <w:t xml:space="preserve"> 300 mg met the primary and secondary endpoints by showing superiority to </w:t>
      </w:r>
      <w:proofErr w:type="spellStart"/>
      <w:r w:rsidRPr="00B64CA9">
        <w:rPr>
          <w:rFonts w:cs="Arial"/>
        </w:rPr>
        <w:t>ustekinumab</w:t>
      </w:r>
      <w:proofErr w:type="spellEnd"/>
      <w:r w:rsidRPr="00B64CA9">
        <w:rPr>
          <w:rFonts w:cs="Arial"/>
        </w:rPr>
        <w:t xml:space="preserve"> based on PASI 90 response at Week 16 and speed of onset of PASI 75 response at Week 4, and long term PASI 90 </w:t>
      </w:r>
      <w:proofErr w:type="gramStart"/>
      <w:r w:rsidRPr="00B64CA9">
        <w:rPr>
          <w:rFonts w:cs="Arial"/>
        </w:rPr>
        <w:t>response</w:t>
      </w:r>
      <w:proofErr w:type="gramEnd"/>
      <w:r w:rsidRPr="00B64CA9">
        <w:rPr>
          <w:rFonts w:cs="Arial"/>
        </w:rPr>
        <w:t xml:space="preserve"> at Week 52. Greater efficacy of </w:t>
      </w:r>
      <w:proofErr w:type="spellStart"/>
      <w:r w:rsidRPr="00B64CA9">
        <w:rPr>
          <w:rFonts w:cs="Arial"/>
        </w:rPr>
        <w:t>secukinumab</w:t>
      </w:r>
      <w:proofErr w:type="spellEnd"/>
      <w:r w:rsidRPr="00B64CA9">
        <w:rPr>
          <w:rFonts w:cs="Arial"/>
        </w:rPr>
        <w:t xml:space="preserve"> compared to </w:t>
      </w:r>
      <w:proofErr w:type="spellStart"/>
      <w:r w:rsidRPr="00B64CA9">
        <w:rPr>
          <w:rFonts w:cs="Arial"/>
        </w:rPr>
        <w:t>ustekinumab</w:t>
      </w:r>
      <w:proofErr w:type="spellEnd"/>
      <w:r w:rsidRPr="00B64CA9">
        <w:rPr>
          <w:rFonts w:cs="Arial"/>
        </w:rPr>
        <w:t xml:space="preserve"> for the endpoints PASI 75/90/100 and IGA mod 2011 0 or 1 response (“clear” or “almost clear”) was observed early and continued through to Week 52.</w:t>
      </w:r>
      <w:r w:rsidR="005A26F4" w:rsidRPr="00B64CA9">
        <w:rPr>
          <w:rFonts w:cs="Arial"/>
        </w:rPr>
        <w:t xml:space="preserve"> In this study, each 300 mg dose was administered as two injections of 150 mg.</w:t>
      </w:r>
    </w:p>
    <w:p w14:paraId="184B2905" w14:textId="77777777" w:rsidR="00B83E25" w:rsidRPr="00B64CA9" w:rsidRDefault="00B83E25" w:rsidP="002D07A3">
      <w:pPr>
        <w:jc w:val="both"/>
        <w:rPr>
          <w:rFonts w:cs="Arial"/>
        </w:rPr>
      </w:pPr>
    </w:p>
    <w:p w14:paraId="1671591F" w14:textId="77777777" w:rsidR="00F62A4F" w:rsidRPr="00B64CA9" w:rsidRDefault="00F62A4F" w:rsidP="0081558E">
      <w:pPr>
        <w:spacing w:after="120"/>
        <w:ind w:left="1166" w:hanging="1166"/>
        <w:jc w:val="both"/>
        <w:rPr>
          <w:rFonts w:ascii="Arial" w:hAnsi="Arial" w:cs="Arial"/>
          <w:b/>
          <w:sz w:val="20"/>
        </w:rPr>
      </w:pPr>
      <w:r w:rsidRPr="00B64CA9">
        <w:rPr>
          <w:rFonts w:ascii="Arial" w:hAnsi="Arial" w:cs="Arial"/>
          <w:b/>
          <w:sz w:val="20"/>
        </w:rPr>
        <w:t xml:space="preserve">Table </w:t>
      </w:r>
      <w:r w:rsidR="005A26F4" w:rsidRPr="00B64CA9">
        <w:rPr>
          <w:rFonts w:ascii="Arial" w:hAnsi="Arial" w:cs="Arial"/>
          <w:b/>
          <w:sz w:val="20"/>
        </w:rPr>
        <w:t>10</w:t>
      </w:r>
      <w:r w:rsidRPr="00B64CA9">
        <w:rPr>
          <w:rFonts w:ascii="Arial" w:hAnsi="Arial" w:cs="Arial"/>
          <w:b/>
          <w:sz w:val="20"/>
        </w:rPr>
        <w:tab/>
        <w:t>Summary of clinical response on CLEAR Study</w:t>
      </w:r>
    </w:p>
    <w:tbl>
      <w:tblPr>
        <w:tblStyle w:val="TableGrid"/>
        <w:tblW w:w="9243" w:type="dxa"/>
        <w:tblLook w:val="04A0" w:firstRow="1" w:lastRow="0" w:firstColumn="1" w:lastColumn="0" w:noHBand="0" w:noVBand="1"/>
      </w:tblPr>
      <w:tblGrid>
        <w:gridCol w:w="1432"/>
        <w:gridCol w:w="1301"/>
        <w:gridCol w:w="1302"/>
        <w:gridCol w:w="1302"/>
        <w:gridCol w:w="1302"/>
        <w:gridCol w:w="1302"/>
        <w:gridCol w:w="1302"/>
      </w:tblGrid>
      <w:tr w:rsidR="005854D8" w:rsidRPr="00B64CA9" w14:paraId="0B80A66A" w14:textId="77777777" w:rsidTr="00D834B1">
        <w:tc>
          <w:tcPr>
            <w:tcW w:w="1432" w:type="dxa"/>
            <w:vMerge w:val="restart"/>
            <w:vAlign w:val="center"/>
          </w:tcPr>
          <w:p w14:paraId="1574A580" w14:textId="77777777" w:rsidR="005854D8" w:rsidRPr="00B64CA9" w:rsidRDefault="005854D8" w:rsidP="0081558E">
            <w:pPr>
              <w:jc w:val="both"/>
              <w:rPr>
                <w:rFonts w:ascii="Arial" w:hAnsi="Arial" w:cs="Arial"/>
                <w:b/>
                <w:sz w:val="15"/>
                <w:szCs w:val="15"/>
              </w:rPr>
            </w:pPr>
          </w:p>
        </w:tc>
        <w:tc>
          <w:tcPr>
            <w:tcW w:w="2603" w:type="dxa"/>
            <w:gridSpan w:val="2"/>
            <w:vAlign w:val="center"/>
          </w:tcPr>
          <w:p w14:paraId="36FDCB8F" w14:textId="77777777" w:rsidR="005854D8" w:rsidRPr="00B64CA9" w:rsidRDefault="005854D8" w:rsidP="00253D7C">
            <w:pPr>
              <w:jc w:val="center"/>
              <w:rPr>
                <w:rFonts w:ascii="Arial" w:hAnsi="Arial" w:cs="Arial"/>
                <w:b/>
                <w:sz w:val="16"/>
                <w:szCs w:val="15"/>
              </w:rPr>
            </w:pPr>
            <w:r w:rsidRPr="00B64CA9">
              <w:rPr>
                <w:rFonts w:ascii="Arial" w:hAnsi="Arial" w:cs="Arial"/>
                <w:b/>
                <w:sz w:val="16"/>
                <w:szCs w:val="15"/>
              </w:rPr>
              <w:t>Week 4</w:t>
            </w:r>
          </w:p>
        </w:tc>
        <w:tc>
          <w:tcPr>
            <w:tcW w:w="2604" w:type="dxa"/>
            <w:gridSpan w:val="2"/>
            <w:vAlign w:val="center"/>
          </w:tcPr>
          <w:p w14:paraId="4176FF4C" w14:textId="77777777" w:rsidR="005854D8" w:rsidRPr="00B64CA9" w:rsidRDefault="005854D8" w:rsidP="00253D7C">
            <w:pPr>
              <w:jc w:val="center"/>
              <w:rPr>
                <w:rFonts w:ascii="Arial" w:hAnsi="Arial" w:cs="Arial"/>
                <w:b/>
                <w:sz w:val="16"/>
                <w:szCs w:val="15"/>
              </w:rPr>
            </w:pPr>
            <w:r w:rsidRPr="00B64CA9">
              <w:rPr>
                <w:rFonts w:ascii="Arial" w:hAnsi="Arial" w:cs="Arial"/>
                <w:b/>
                <w:sz w:val="16"/>
                <w:szCs w:val="15"/>
              </w:rPr>
              <w:t>Week 16</w:t>
            </w:r>
          </w:p>
        </w:tc>
        <w:tc>
          <w:tcPr>
            <w:tcW w:w="2604" w:type="dxa"/>
            <w:gridSpan w:val="2"/>
          </w:tcPr>
          <w:p w14:paraId="0D2CD1FE" w14:textId="77777777" w:rsidR="005854D8" w:rsidRPr="00B64CA9" w:rsidRDefault="005854D8" w:rsidP="00253D7C">
            <w:pPr>
              <w:jc w:val="center"/>
              <w:rPr>
                <w:rFonts w:ascii="Arial" w:hAnsi="Arial" w:cs="Arial"/>
                <w:b/>
                <w:sz w:val="16"/>
                <w:szCs w:val="15"/>
              </w:rPr>
            </w:pPr>
            <w:r w:rsidRPr="00B64CA9">
              <w:rPr>
                <w:rFonts w:ascii="Arial" w:hAnsi="Arial" w:cs="Arial"/>
                <w:b/>
                <w:sz w:val="16"/>
                <w:szCs w:val="15"/>
              </w:rPr>
              <w:t>Week 52</w:t>
            </w:r>
          </w:p>
        </w:tc>
      </w:tr>
      <w:tr w:rsidR="005854D8" w:rsidRPr="00B64CA9" w14:paraId="079B59FC" w14:textId="77777777" w:rsidTr="00D834B1">
        <w:tc>
          <w:tcPr>
            <w:tcW w:w="1432" w:type="dxa"/>
            <w:vMerge/>
            <w:vAlign w:val="center"/>
          </w:tcPr>
          <w:p w14:paraId="617CD944" w14:textId="77777777" w:rsidR="005854D8" w:rsidRPr="00B64CA9" w:rsidRDefault="005854D8" w:rsidP="0081558E">
            <w:pPr>
              <w:jc w:val="both"/>
              <w:rPr>
                <w:rFonts w:ascii="Arial" w:hAnsi="Arial" w:cs="Arial"/>
                <w:b/>
                <w:sz w:val="15"/>
                <w:szCs w:val="15"/>
              </w:rPr>
            </w:pPr>
          </w:p>
        </w:tc>
        <w:tc>
          <w:tcPr>
            <w:tcW w:w="1301" w:type="dxa"/>
            <w:vAlign w:val="center"/>
          </w:tcPr>
          <w:p w14:paraId="0DA7FEB7" w14:textId="77777777" w:rsidR="005854D8" w:rsidRPr="00B64CA9" w:rsidRDefault="005854D8" w:rsidP="0022141A">
            <w:pPr>
              <w:spacing w:after="0"/>
              <w:ind w:left="-45"/>
              <w:jc w:val="center"/>
              <w:rPr>
                <w:rFonts w:ascii="Arial" w:hAnsi="Arial" w:cs="Arial"/>
                <w:b/>
                <w:sz w:val="15"/>
                <w:szCs w:val="15"/>
              </w:rPr>
            </w:pPr>
            <w:proofErr w:type="spellStart"/>
            <w:r w:rsidRPr="00B64CA9">
              <w:rPr>
                <w:rFonts w:ascii="Arial" w:hAnsi="Arial" w:cs="Arial"/>
                <w:b/>
                <w:sz w:val="15"/>
                <w:szCs w:val="15"/>
              </w:rPr>
              <w:t>Secukinumab</w:t>
            </w:r>
            <w:proofErr w:type="spellEnd"/>
          </w:p>
          <w:p w14:paraId="00E3735F" w14:textId="77777777" w:rsidR="005854D8" w:rsidRPr="00B64CA9" w:rsidRDefault="005854D8" w:rsidP="0022141A">
            <w:pPr>
              <w:spacing w:after="0"/>
              <w:ind w:left="-45"/>
              <w:jc w:val="center"/>
              <w:rPr>
                <w:rFonts w:ascii="Arial" w:hAnsi="Arial" w:cs="Arial"/>
                <w:b/>
                <w:sz w:val="15"/>
                <w:szCs w:val="15"/>
              </w:rPr>
            </w:pPr>
            <w:r w:rsidRPr="00B64CA9">
              <w:rPr>
                <w:rFonts w:ascii="Arial" w:hAnsi="Arial" w:cs="Arial"/>
                <w:b/>
                <w:sz w:val="15"/>
                <w:szCs w:val="15"/>
              </w:rPr>
              <w:t>300 mg</w:t>
            </w:r>
          </w:p>
        </w:tc>
        <w:tc>
          <w:tcPr>
            <w:tcW w:w="1302" w:type="dxa"/>
            <w:vAlign w:val="center"/>
          </w:tcPr>
          <w:p w14:paraId="30CDC287" w14:textId="77777777" w:rsidR="005854D8" w:rsidRPr="00B64CA9" w:rsidRDefault="005854D8" w:rsidP="0022141A">
            <w:pPr>
              <w:spacing w:after="0"/>
              <w:jc w:val="center"/>
              <w:rPr>
                <w:rFonts w:ascii="Arial" w:hAnsi="Arial" w:cs="Arial"/>
                <w:b/>
                <w:sz w:val="15"/>
                <w:szCs w:val="15"/>
              </w:rPr>
            </w:pPr>
            <w:r w:rsidRPr="00B64CA9">
              <w:rPr>
                <w:rFonts w:ascii="Arial" w:hAnsi="Arial" w:cs="Arial"/>
                <w:b/>
                <w:sz w:val="15"/>
                <w:szCs w:val="15"/>
              </w:rPr>
              <w:t>Ustekinumab*</w:t>
            </w:r>
          </w:p>
        </w:tc>
        <w:tc>
          <w:tcPr>
            <w:tcW w:w="1302" w:type="dxa"/>
            <w:vAlign w:val="center"/>
          </w:tcPr>
          <w:p w14:paraId="60AC85AA" w14:textId="77777777" w:rsidR="005854D8" w:rsidRPr="00B64CA9" w:rsidRDefault="005854D8" w:rsidP="0022141A">
            <w:pPr>
              <w:spacing w:after="0"/>
              <w:jc w:val="center"/>
              <w:rPr>
                <w:rFonts w:ascii="Arial" w:hAnsi="Arial" w:cs="Arial"/>
                <w:b/>
                <w:sz w:val="15"/>
                <w:szCs w:val="15"/>
              </w:rPr>
            </w:pPr>
            <w:proofErr w:type="spellStart"/>
            <w:r w:rsidRPr="00B64CA9">
              <w:rPr>
                <w:rFonts w:ascii="Arial" w:hAnsi="Arial" w:cs="Arial"/>
                <w:b/>
                <w:sz w:val="15"/>
                <w:szCs w:val="15"/>
              </w:rPr>
              <w:t>Secukinumab</w:t>
            </w:r>
            <w:proofErr w:type="spellEnd"/>
          </w:p>
          <w:p w14:paraId="5590C12E" w14:textId="77777777" w:rsidR="005854D8" w:rsidRPr="00B64CA9" w:rsidRDefault="005854D8" w:rsidP="0022141A">
            <w:pPr>
              <w:spacing w:after="0"/>
              <w:jc w:val="center"/>
              <w:rPr>
                <w:rFonts w:ascii="Arial" w:hAnsi="Arial" w:cs="Arial"/>
                <w:b/>
                <w:sz w:val="15"/>
                <w:szCs w:val="15"/>
              </w:rPr>
            </w:pPr>
            <w:r w:rsidRPr="00B64CA9">
              <w:rPr>
                <w:rFonts w:ascii="Arial" w:hAnsi="Arial" w:cs="Arial"/>
                <w:b/>
                <w:sz w:val="15"/>
                <w:szCs w:val="15"/>
              </w:rPr>
              <w:t>300 mg</w:t>
            </w:r>
          </w:p>
        </w:tc>
        <w:tc>
          <w:tcPr>
            <w:tcW w:w="1302" w:type="dxa"/>
            <w:vAlign w:val="center"/>
          </w:tcPr>
          <w:p w14:paraId="2D4FF1F4" w14:textId="77777777" w:rsidR="005854D8" w:rsidRPr="00B64CA9" w:rsidRDefault="005854D8" w:rsidP="0022141A">
            <w:pPr>
              <w:spacing w:after="0"/>
              <w:jc w:val="center"/>
              <w:rPr>
                <w:rFonts w:ascii="Arial" w:hAnsi="Arial" w:cs="Arial"/>
                <w:b/>
                <w:sz w:val="15"/>
                <w:szCs w:val="15"/>
              </w:rPr>
            </w:pPr>
            <w:r w:rsidRPr="00B64CA9">
              <w:rPr>
                <w:rFonts w:ascii="Arial" w:hAnsi="Arial" w:cs="Arial"/>
                <w:b/>
                <w:sz w:val="15"/>
                <w:szCs w:val="15"/>
              </w:rPr>
              <w:t>Ustekinumab*</w:t>
            </w:r>
          </w:p>
        </w:tc>
        <w:tc>
          <w:tcPr>
            <w:tcW w:w="1302" w:type="dxa"/>
            <w:vAlign w:val="center"/>
          </w:tcPr>
          <w:p w14:paraId="6F01FB39" w14:textId="77777777" w:rsidR="005854D8" w:rsidRPr="00B64CA9" w:rsidRDefault="005854D8" w:rsidP="0022141A">
            <w:pPr>
              <w:spacing w:after="0"/>
              <w:jc w:val="center"/>
              <w:rPr>
                <w:rFonts w:ascii="Arial" w:hAnsi="Arial" w:cs="Arial"/>
                <w:b/>
                <w:sz w:val="15"/>
                <w:szCs w:val="15"/>
              </w:rPr>
            </w:pPr>
            <w:proofErr w:type="spellStart"/>
            <w:r w:rsidRPr="00B64CA9">
              <w:rPr>
                <w:rFonts w:ascii="Arial" w:hAnsi="Arial" w:cs="Arial"/>
                <w:b/>
                <w:sz w:val="15"/>
                <w:szCs w:val="15"/>
              </w:rPr>
              <w:t>Secukinumab</w:t>
            </w:r>
            <w:proofErr w:type="spellEnd"/>
            <w:r w:rsidRPr="00B64CA9">
              <w:rPr>
                <w:rFonts w:ascii="Arial" w:hAnsi="Arial" w:cs="Arial"/>
                <w:b/>
                <w:sz w:val="15"/>
                <w:szCs w:val="15"/>
              </w:rPr>
              <w:t xml:space="preserve"> 300 mg</w:t>
            </w:r>
          </w:p>
        </w:tc>
        <w:tc>
          <w:tcPr>
            <w:tcW w:w="1302" w:type="dxa"/>
            <w:vAlign w:val="center"/>
          </w:tcPr>
          <w:p w14:paraId="3A0FB4E4" w14:textId="77777777" w:rsidR="005854D8" w:rsidRPr="00B64CA9" w:rsidRDefault="005854D8" w:rsidP="0022141A">
            <w:pPr>
              <w:spacing w:after="0"/>
              <w:jc w:val="center"/>
              <w:rPr>
                <w:rFonts w:ascii="Arial" w:hAnsi="Arial" w:cs="Arial"/>
                <w:b/>
                <w:sz w:val="15"/>
                <w:szCs w:val="15"/>
              </w:rPr>
            </w:pPr>
            <w:r w:rsidRPr="00B64CA9">
              <w:rPr>
                <w:rFonts w:ascii="Arial" w:hAnsi="Arial" w:cs="Arial"/>
                <w:b/>
                <w:sz w:val="15"/>
                <w:szCs w:val="15"/>
              </w:rPr>
              <w:t>Ustekinumab*</w:t>
            </w:r>
          </w:p>
        </w:tc>
      </w:tr>
      <w:tr w:rsidR="00F62A4F" w:rsidRPr="00B64CA9" w14:paraId="10D13281" w14:textId="77777777" w:rsidTr="00D834B1">
        <w:tc>
          <w:tcPr>
            <w:tcW w:w="1432" w:type="dxa"/>
            <w:vAlign w:val="center"/>
          </w:tcPr>
          <w:p w14:paraId="6DD7D323" w14:textId="77777777" w:rsidR="00F62A4F" w:rsidRPr="00B64CA9" w:rsidRDefault="00F62A4F" w:rsidP="002D07A3">
            <w:pPr>
              <w:ind w:left="-54"/>
              <w:rPr>
                <w:rFonts w:ascii="Arial" w:hAnsi="Arial" w:cs="Arial"/>
                <w:sz w:val="16"/>
                <w:szCs w:val="15"/>
              </w:rPr>
            </w:pPr>
            <w:r w:rsidRPr="00B64CA9">
              <w:rPr>
                <w:rFonts w:ascii="Arial" w:hAnsi="Arial" w:cs="Arial"/>
                <w:sz w:val="16"/>
                <w:szCs w:val="15"/>
              </w:rPr>
              <w:t>Number of patients</w:t>
            </w:r>
          </w:p>
        </w:tc>
        <w:tc>
          <w:tcPr>
            <w:tcW w:w="1301" w:type="dxa"/>
            <w:vAlign w:val="center"/>
          </w:tcPr>
          <w:p w14:paraId="0BCBE792"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334</w:t>
            </w:r>
          </w:p>
        </w:tc>
        <w:tc>
          <w:tcPr>
            <w:tcW w:w="1302" w:type="dxa"/>
            <w:vAlign w:val="center"/>
          </w:tcPr>
          <w:p w14:paraId="287F7746"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335</w:t>
            </w:r>
          </w:p>
        </w:tc>
        <w:tc>
          <w:tcPr>
            <w:tcW w:w="1302" w:type="dxa"/>
            <w:vAlign w:val="center"/>
          </w:tcPr>
          <w:p w14:paraId="3D0F8ADA"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334</w:t>
            </w:r>
          </w:p>
        </w:tc>
        <w:tc>
          <w:tcPr>
            <w:tcW w:w="1302" w:type="dxa"/>
            <w:vAlign w:val="center"/>
          </w:tcPr>
          <w:p w14:paraId="184E9F8B"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335</w:t>
            </w:r>
          </w:p>
        </w:tc>
        <w:tc>
          <w:tcPr>
            <w:tcW w:w="1302" w:type="dxa"/>
            <w:vAlign w:val="center"/>
          </w:tcPr>
          <w:p w14:paraId="1B4B62E0"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334</w:t>
            </w:r>
          </w:p>
        </w:tc>
        <w:tc>
          <w:tcPr>
            <w:tcW w:w="1302" w:type="dxa"/>
            <w:vAlign w:val="center"/>
          </w:tcPr>
          <w:p w14:paraId="361CFAE0"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335</w:t>
            </w:r>
          </w:p>
        </w:tc>
      </w:tr>
      <w:tr w:rsidR="00F62A4F" w:rsidRPr="00B64CA9" w14:paraId="62834EEC" w14:textId="77777777" w:rsidTr="00D834B1">
        <w:tc>
          <w:tcPr>
            <w:tcW w:w="1432" w:type="dxa"/>
            <w:vAlign w:val="center"/>
          </w:tcPr>
          <w:p w14:paraId="448B2B25" w14:textId="77777777" w:rsidR="00F62A4F" w:rsidRPr="00B64CA9" w:rsidRDefault="00F62A4F" w:rsidP="002D07A3">
            <w:pPr>
              <w:ind w:left="-54"/>
              <w:rPr>
                <w:rFonts w:ascii="Arial" w:hAnsi="Arial" w:cs="Arial"/>
                <w:sz w:val="16"/>
                <w:szCs w:val="15"/>
              </w:rPr>
            </w:pPr>
            <w:r w:rsidRPr="00B64CA9">
              <w:rPr>
                <w:rFonts w:ascii="Arial" w:hAnsi="Arial" w:cs="Arial"/>
                <w:sz w:val="16"/>
                <w:szCs w:val="15"/>
              </w:rPr>
              <w:t>PASI 75 response n (%)</w:t>
            </w:r>
          </w:p>
        </w:tc>
        <w:tc>
          <w:tcPr>
            <w:tcW w:w="1301" w:type="dxa"/>
            <w:vAlign w:val="center"/>
          </w:tcPr>
          <w:p w14:paraId="2A0311B2"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167 (50.0</w:t>
            </w:r>
            <w:proofErr w:type="gramStart"/>
            <w:r w:rsidRPr="00B64CA9">
              <w:rPr>
                <w:rFonts w:ascii="Arial" w:hAnsi="Arial" w:cs="Arial"/>
                <w:sz w:val="16"/>
                <w:szCs w:val="15"/>
              </w:rPr>
              <w:t>%)*</w:t>
            </w:r>
            <w:proofErr w:type="gramEnd"/>
            <w:r w:rsidRPr="00B64CA9">
              <w:rPr>
                <w:rFonts w:ascii="Arial" w:hAnsi="Arial" w:cs="Arial"/>
                <w:sz w:val="16"/>
                <w:szCs w:val="15"/>
              </w:rPr>
              <w:t>*</w:t>
            </w:r>
          </w:p>
        </w:tc>
        <w:tc>
          <w:tcPr>
            <w:tcW w:w="1302" w:type="dxa"/>
            <w:vAlign w:val="center"/>
          </w:tcPr>
          <w:p w14:paraId="52CA98AE"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69 (20.6%)</w:t>
            </w:r>
          </w:p>
        </w:tc>
        <w:tc>
          <w:tcPr>
            <w:tcW w:w="1302" w:type="dxa"/>
            <w:vAlign w:val="center"/>
          </w:tcPr>
          <w:p w14:paraId="41501BD6"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311 (93.1%)</w:t>
            </w:r>
          </w:p>
        </w:tc>
        <w:tc>
          <w:tcPr>
            <w:tcW w:w="1302" w:type="dxa"/>
            <w:vAlign w:val="center"/>
          </w:tcPr>
          <w:p w14:paraId="3948A54D"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277 (82.7%)</w:t>
            </w:r>
          </w:p>
        </w:tc>
        <w:tc>
          <w:tcPr>
            <w:tcW w:w="1302" w:type="dxa"/>
            <w:vAlign w:val="center"/>
          </w:tcPr>
          <w:p w14:paraId="32FA5C88"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306 (91.6%)</w:t>
            </w:r>
          </w:p>
        </w:tc>
        <w:tc>
          <w:tcPr>
            <w:tcW w:w="1302" w:type="dxa"/>
            <w:vAlign w:val="center"/>
          </w:tcPr>
          <w:p w14:paraId="49BC93EA"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262 (78.2%)</w:t>
            </w:r>
          </w:p>
        </w:tc>
      </w:tr>
      <w:tr w:rsidR="00F62A4F" w:rsidRPr="00B64CA9" w14:paraId="34FA53C8" w14:textId="77777777" w:rsidTr="00D834B1">
        <w:tc>
          <w:tcPr>
            <w:tcW w:w="1432" w:type="dxa"/>
            <w:vAlign w:val="center"/>
          </w:tcPr>
          <w:p w14:paraId="6277A88C" w14:textId="77777777" w:rsidR="00F62A4F" w:rsidRPr="00B64CA9" w:rsidRDefault="00F62A4F" w:rsidP="002D07A3">
            <w:pPr>
              <w:ind w:left="-54"/>
              <w:rPr>
                <w:rFonts w:ascii="Arial" w:hAnsi="Arial" w:cs="Arial"/>
                <w:sz w:val="16"/>
                <w:szCs w:val="15"/>
              </w:rPr>
            </w:pPr>
            <w:r w:rsidRPr="00B64CA9">
              <w:rPr>
                <w:rFonts w:ascii="Arial" w:hAnsi="Arial" w:cs="Arial"/>
                <w:sz w:val="16"/>
                <w:szCs w:val="15"/>
              </w:rPr>
              <w:t>PASI 90 response n (%)</w:t>
            </w:r>
          </w:p>
        </w:tc>
        <w:tc>
          <w:tcPr>
            <w:tcW w:w="1301" w:type="dxa"/>
            <w:vAlign w:val="center"/>
          </w:tcPr>
          <w:p w14:paraId="2389E385"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70 (21.0%)</w:t>
            </w:r>
          </w:p>
        </w:tc>
        <w:tc>
          <w:tcPr>
            <w:tcW w:w="1302" w:type="dxa"/>
            <w:vAlign w:val="center"/>
          </w:tcPr>
          <w:p w14:paraId="7BEA24ED"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18 (5.4%)</w:t>
            </w:r>
          </w:p>
        </w:tc>
        <w:tc>
          <w:tcPr>
            <w:tcW w:w="1302" w:type="dxa"/>
            <w:vAlign w:val="center"/>
          </w:tcPr>
          <w:p w14:paraId="6097A077"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264 (79.0</w:t>
            </w:r>
            <w:proofErr w:type="gramStart"/>
            <w:r w:rsidRPr="00B64CA9">
              <w:rPr>
                <w:rFonts w:ascii="Arial" w:hAnsi="Arial" w:cs="Arial"/>
                <w:sz w:val="16"/>
                <w:szCs w:val="15"/>
              </w:rPr>
              <w:t>%)*</w:t>
            </w:r>
            <w:proofErr w:type="gramEnd"/>
            <w:r w:rsidRPr="00B64CA9">
              <w:rPr>
                <w:rFonts w:ascii="Arial" w:hAnsi="Arial" w:cs="Arial"/>
                <w:sz w:val="16"/>
                <w:szCs w:val="15"/>
              </w:rPr>
              <w:t>*</w:t>
            </w:r>
          </w:p>
        </w:tc>
        <w:tc>
          <w:tcPr>
            <w:tcW w:w="1302" w:type="dxa"/>
            <w:vAlign w:val="center"/>
          </w:tcPr>
          <w:p w14:paraId="33F3E58D"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193 (57.6%)</w:t>
            </w:r>
          </w:p>
        </w:tc>
        <w:tc>
          <w:tcPr>
            <w:tcW w:w="1302" w:type="dxa"/>
            <w:vAlign w:val="center"/>
          </w:tcPr>
          <w:p w14:paraId="2EBA106A" w14:textId="77777777" w:rsidR="00F62A4F" w:rsidRPr="00B64CA9" w:rsidRDefault="00F62A4F" w:rsidP="002D07A3">
            <w:pPr>
              <w:tabs>
                <w:tab w:val="left" w:pos="1019"/>
              </w:tabs>
              <w:jc w:val="center"/>
              <w:rPr>
                <w:rFonts w:ascii="Arial" w:hAnsi="Arial" w:cs="Arial"/>
                <w:sz w:val="16"/>
                <w:szCs w:val="15"/>
              </w:rPr>
            </w:pPr>
            <w:r w:rsidRPr="00B64CA9">
              <w:rPr>
                <w:rFonts w:ascii="Arial" w:hAnsi="Arial" w:cs="Arial"/>
                <w:sz w:val="16"/>
                <w:szCs w:val="15"/>
              </w:rPr>
              <w:t>250 (74.9</w:t>
            </w:r>
            <w:proofErr w:type="gramStart"/>
            <w:r w:rsidRPr="00B64CA9">
              <w:rPr>
                <w:rFonts w:ascii="Arial" w:hAnsi="Arial" w:cs="Arial"/>
                <w:sz w:val="16"/>
                <w:szCs w:val="15"/>
              </w:rPr>
              <w:t>%)*</w:t>
            </w:r>
            <w:proofErr w:type="gramEnd"/>
            <w:r w:rsidRPr="00B64CA9">
              <w:rPr>
                <w:rFonts w:ascii="Arial" w:hAnsi="Arial" w:cs="Arial"/>
                <w:sz w:val="16"/>
                <w:szCs w:val="15"/>
              </w:rPr>
              <w:t>**</w:t>
            </w:r>
          </w:p>
        </w:tc>
        <w:tc>
          <w:tcPr>
            <w:tcW w:w="1302" w:type="dxa"/>
            <w:vAlign w:val="center"/>
          </w:tcPr>
          <w:p w14:paraId="33148335"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203 (60.6%)</w:t>
            </w:r>
          </w:p>
        </w:tc>
      </w:tr>
      <w:tr w:rsidR="00F62A4F" w:rsidRPr="00B64CA9" w14:paraId="4D7DD89E" w14:textId="77777777" w:rsidTr="00D834B1">
        <w:tc>
          <w:tcPr>
            <w:tcW w:w="1432" w:type="dxa"/>
            <w:vAlign w:val="center"/>
          </w:tcPr>
          <w:p w14:paraId="026CFD19" w14:textId="77777777" w:rsidR="00F62A4F" w:rsidRPr="00B64CA9" w:rsidRDefault="00F62A4F" w:rsidP="002D07A3">
            <w:pPr>
              <w:ind w:left="-54"/>
              <w:rPr>
                <w:rFonts w:ascii="Arial" w:hAnsi="Arial" w:cs="Arial"/>
                <w:sz w:val="16"/>
                <w:szCs w:val="15"/>
              </w:rPr>
            </w:pPr>
            <w:r w:rsidRPr="00B64CA9">
              <w:rPr>
                <w:rFonts w:ascii="Arial" w:hAnsi="Arial" w:cs="Arial"/>
                <w:sz w:val="16"/>
                <w:szCs w:val="15"/>
              </w:rPr>
              <w:t>PASI 100 response n (%)</w:t>
            </w:r>
          </w:p>
        </w:tc>
        <w:tc>
          <w:tcPr>
            <w:tcW w:w="1301" w:type="dxa"/>
            <w:vAlign w:val="center"/>
          </w:tcPr>
          <w:p w14:paraId="2A36489A"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14 (4.2%)</w:t>
            </w:r>
          </w:p>
        </w:tc>
        <w:tc>
          <w:tcPr>
            <w:tcW w:w="1302" w:type="dxa"/>
            <w:vAlign w:val="center"/>
          </w:tcPr>
          <w:p w14:paraId="7F8C0F57"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3 (0.9%)</w:t>
            </w:r>
          </w:p>
        </w:tc>
        <w:tc>
          <w:tcPr>
            <w:tcW w:w="1302" w:type="dxa"/>
            <w:vAlign w:val="center"/>
          </w:tcPr>
          <w:p w14:paraId="3B3573D1"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148 (44.3%)</w:t>
            </w:r>
          </w:p>
        </w:tc>
        <w:tc>
          <w:tcPr>
            <w:tcW w:w="1302" w:type="dxa"/>
            <w:vAlign w:val="center"/>
          </w:tcPr>
          <w:p w14:paraId="0CA8F278"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95 (28.4%)</w:t>
            </w:r>
          </w:p>
        </w:tc>
        <w:tc>
          <w:tcPr>
            <w:tcW w:w="1302" w:type="dxa"/>
            <w:vAlign w:val="center"/>
          </w:tcPr>
          <w:p w14:paraId="486A9B64"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150 (44.9%)</w:t>
            </w:r>
          </w:p>
        </w:tc>
        <w:tc>
          <w:tcPr>
            <w:tcW w:w="1302" w:type="dxa"/>
            <w:vAlign w:val="center"/>
          </w:tcPr>
          <w:p w14:paraId="3CD83534"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123 (36.7%)</w:t>
            </w:r>
          </w:p>
        </w:tc>
      </w:tr>
      <w:tr w:rsidR="00F62A4F" w:rsidRPr="00B64CA9" w14:paraId="505C7639" w14:textId="77777777" w:rsidTr="00D834B1">
        <w:tc>
          <w:tcPr>
            <w:tcW w:w="1432" w:type="dxa"/>
            <w:tcBorders>
              <w:bottom w:val="single" w:sz="4" w:space="0" w:color="auto"/>
            </w:tcBorders>
            <w:vAlign w:val="center"/>
          </w:tcPr>
          <w:p w14:paraId="6FEBFF3C" w14:textId="77777777" w:rsidR="00F62A4F" w:rsidRPr="00B64CA9" w:rsidRDefault="00F62A4F" w:rsidP="002D07A3">
            <w:pPr>
              <w:ind w:left="-54"/>
              <w:rPr>
                <w:rFonts w:ascii="Arial" w:hAnsi="Arial" w:cs="Arial"/>
                <w:sz w:val="16"/>
                <w:szCs w:val="15"/>
              </w:rPr>
            </w:pPr>
            <w:r w:rsidRPr="00B64CA9">
              <w:rPr>
                <w:rFonts w:ascii="Arial" w:hAnsi="Arial" w:cs="Arial"/>
                <w:sz w:val="16"/>
                <w:szCs w:val="15"/>
              </w:rPr>
              <w:t>IGA mod 2011 “clear” or “almost clear” response n (%)</w:t>
            </w:r>
          </w:p>
        </w:tc>
        <w:tc>
          <w:tcPr>
            <w:tcW w:w="1301" w:type="dxa"/>
            <w:tcBorders>
              <w:bottom w:val="single" w:sz="4" w:space="0" w:color="auto"/>
            </w:tcBorders>
            <w:vAlign w:val="center"/>
          </w:tcPr>
          <w:p w14:paraId="4BAB98D5"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126 (37.7%)</w:t>
            </w:r>
          </w:p>
        </w:tc>
        <w:tc>
          <w:tcPr>
            <w:tcW w:w="1302" w:type="dxa"/>
            <w:tcBorders>
              <w:bottom w:val="single" w:sz="4" w:space="0" w:color="auto"/>
            </w:tcBorders>
            <w:vAlign w:val="center"/>
          </w:tcPr>
          <w:p w14:paraId="1112FCEC"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41 (12.2%)</w:t>
            </w:r>
          </w:p>
        </w:tc>
        <w:tc>
          <w:tcPr>
            <w:tcW w:w="1302" w:type="dxa"/>
            <w:tcBorders>
              <w:bottom w:val="single" w:sz="4" w:space="0" w:color="auto"/>
            </w:tcBorders>
            <w:vAlign w:val="center"/>
          </w:tcPr>
          <w:p w14:paraId="207D9F89"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277 (82.9%)</w:t>
            </w:r>
          </w:p>
        </w:tc>
        <w:tc>
          <w:tcPr>
            <w:tcW w:w="1302" w:type="dxa"/>
            <w:tcBorders>
              <w:bottom w:val="single" w:sz="4" w:space="0" w:color="auto"/>
            </w:tcBorders>
            <w:vAlign w:val="center"/>
          </w:tcPr>
          <w:p w14:paraId="0E5E0E49"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226 (67.5%)</w:t>
            </w:r>
          </w:p>
        </w:tc>
        <w:tc>
          <w:tcPr>
            <w:tcW w:w="1302" w:type="dxa"/>
            <w:tcBorders>
              <w:bottom w:val="single" w:sz="4" w:space="0" w:color="auto"/>
            </w:tcBorders>
            <w:vAlign w:val="center"/>
          </w:tcPr>
          <w:p w14:paraId="4956ACE2"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261 (78.1%)</w:t>
            </w:r>
          </w:p>
        </w:tc>
        <w:tc>
          <w:tcPr>
            <w:tcW w:w="1302" w:type="dxa"/>
            <w:tcBorders>
              <w:bottom w:val="single" w:sz="4" w:space="0" w:color="auto"/>
            </w:tcBorders>
            <w:vAlign w:val="center"/>
          </w:tcPr>
          <w:p w14:paraId="1D3333F1" w14:textId="77777777" w:rsidR="00F62A4F" w:rsidRPr="00B64CA9" w:rsidRDefault="00F62A4F" w:rsidP="002D07A3">
            <w:pPr>
              <w:jc w:val="center"/>
              <w:rPr>
                <w:rFonts w:ascii="Arial" w:hAnsi="Arial" w:cs="Arial"/>
                <w:sz w:val="16"/>
                <w:szCs w:val="15"/>
              </w:rPr>
            </w:pPr>
            <w:r w:rsidRPr="00B64CA9">
              <w:rPr>
                <w:rFonts w:ascii="Arial" w:hAnsi="Arial" w:cs="Arial"/>
                <w:sz w:val="16"/>
                <w:szCs w:val="15"/>
              </w:rPr>
              <w:t>213 (63.6%)</w:t>
            </w:r>
          </w:p>
        </w:tc>
      </w:tr>
      <w:tr w:rsidR="00F62A4F" w:rsidRPr="00B64CA9" w14:paraId="283BEAC8" w14:textId="77777777" w:rsidTr="00D834B1">
        <w:tc>
          <w:tcPr>
            <w:tcW w:w="9243" w:type="dxa"/>
            <w:gridSpan w:val="7"/>
            <w:tcBorders>
              <w:left w:val="nil"/>
              <w:bottom w:val="nil"/>
              <w:right w:val="nil"/>
            </w:tcBorders>
            <w:vAlign w:val="center"/>
          </w:tcPr>
          <w:p w14:paraId="0630421A" w14:textId="77777777" w:rsidR="00F62A4F" w:rsidRPr="00B64CA9" w:rsidRDefault="00F62A4F" w:rsidP="0081558E">
            <w:pPr>
              <w:jc w:val="both"/>
              <w:rPr>
                <w:rFonts w:ascii="Arial" w:hAnsi="Arial" w:cs="Arial"/>
                <w:i/>
                <w:sz w:val="15"/>
                <w:szCs w:val="15"/>
              </w:rPr>
            </w:pPr>
            <w:r w:rsidRPr="00B64CA9">
              <w:rPr>
                <w:rFonts w:ascii="Arial" w:hAnsi="Arial" w:cs="Arial"/>
                <w:i/>
                <w:sz w:val="15"/>
                <w:szCs w:val="15"/>
              </w:rPr>
              <w:t xml:space="preserve">* Patients treated with </w:t>
            </w:r>
            <w:proofErr w:type="spellStart"/>
            <w:r w:rsidRPr="00B64CA9">
              <w:rPr>
                <w:rFonts w:ascii="Arial" w:hAnsi="Arial" w:cs="Arial"/>
                <w:i/>
                <w:sz w:val="15"/>
                <w:szCs w:val="15"/>
              </w:rPr>
              <w:t>secukinumab</w:t>
            </w:r>
            <w:proofErr w:type="spellEnd"/>
            <w:r w:rsidRPr="00B64CA9">
              <w:rPr>
                <w:rFonts w:ascii="Arial" w:hAnsi="Arial" w:cs="Arial"/>
                <w:i/>
                <w:sz w:val="15"/>
                <w:szCs w:val="15"/>
              </w:rPr>
              <w:t xml:space="preserve"> received 300 mg doses at Weeks 0, 1, 2, 3, and 4 followed by the same dose every 4 weeks until Week 52. </w:t>
            </w:r>
          </w:p>
          <w:p w14:paraId="04648750" w14:textId="77777777" w:rsidR="00F62A4F" w:rsidRPr="00B64CA9" w:rsidRDefault="00F62A4F" w:rsidP="0081558E">
            <w:pPr>
              <w:jc w:val="both"/>
              <w:rPr>
                <w:rFonts w:ascii="Arial" w:hAnsi="Arial" w:cs="Arial"/>
                <w:i/>
                <w:sz w:val="15"/>
                <w:szCs w:val="15"/>
              </w:rPr>
            </w:pPr>
            <w:r w:rsidRPr="00B64CA9">
              <w:rPr>
                <w:rFonts w:ascii="Arial" w:hAnsi="Arial" w:cs="Arial"/>
                <w:i/>
                <w:sz w:val="15"/>
                <w:szCs w:val="15"/>
              </w:rPr>
              <w:lastRenderedPageBreak/>
              <w:t xml:space="preserve">Patients treated with </w:t>
            </w:r>
            <w:proofErr w:type="spellStart"/>
            <w:r w:rsidRPr="00B64CA9">
              <w:rPr>
                <w:rFonts w:ascii="Arial" w:hAnsi="Arial" w:cs="Arial"/>
                <w:i/>
                <w:sz w:val="15"/>
                <w:szCs w:val="15"/>
              </w:rPr>
              <w:t>ustekinumab</w:t>
            </w:r>
            <w:proofErr w:type="spellEnd"/>
            <w:r w:rsidRPr="00B64CA9">
              <w:rPr>
                <w:rFonts w:ascii="Arial" w:hAnsi="Arial" w:cs="Arial"/>
                <w:i/>
                <w:sz w:val="15"/>
                <w:szCs w:val="15"/>
              </w:rPr>
              <w:t xml:space="preserve"> received 45 mg or 90 mg at Weeks 0 and 4, then every 12 weeks until Week 52 (dosed by weight as per approved posology)</w:t>
            </w:r>
          </w:p>
          <w:p w14:paraId="1FA7AD74" w14:textId="77777777" w:rsidR="00F62A4F" w:rsidRPr="00B64CA9" w:rsidRDefault="00F62A4F" w:rsidP="0081558E">
            <w:pPr>
              <w:jc w:val="both"/>
              <w:rPr>
                <w:rFonts w:ascii="Arial" w:hAnsi="Arial" w:cs="Arial"/>
                <w:i/>
                <w:sz w:val="15"/>
                <w:szCs w:val="15"/>
              </w:rPr>
            </w:pPr>
            <w:r w:rsidRPr="00B64CA9">
              <w:rPr>
                <w:rFonts w:ascii="Arial" w:hAnsi="Arial" w:cs="Arial"/>
                <w:i/>
                <w:sz w:val="15"/>
                <w:szCs w:val="15"/>
              </w:rPr>
              <w:t xml:space="preserve">** p values versus </w:t>
            </w:r>
            <w:proofErr w:type="spellStart"/>
            <w:r w:rsidRPr="00B64CA9">
              <w:rPr>
                <w:rFonts w:ascii="Arial" w:hAnsi="Arial" w:cs="Arial"/>
                <w:i/>
                <w:sz w:val="15"/>
                <w:szCs w:val="15"/>
              </w:rPr>
              <w:t>ustekinumab</w:t>
            </w:r>
            <w:proofErr w:type="spellEnd"/>
            <w:r w:rsidRPr="00B64CA9">
              <w:rPr>
                <w:rFonts w:ascii="Arial" w:hAnsi="Arial" w:cs="Arial"/>
                <w:i/>
                <w:sz w:val="15"/>
                <w:szCs w:val="15"/>
              </w:rPr>
              <w:t>: p&lt;0.0001 for primary endpoint PASI 90 at Week 16 and secondary endpoint PASI 75 at Week 4</w:t>
            </w:r>
          </w:p>
          <w:p w14:paraId="7EB6071D" w14:textId="77777777" w:rsidR="00F62A4F" w:rsidRPr="00B64CA9" w:rsidRDefault="00F62A4F" w:rsidP="0081558E">
            <w:pPr>
              <w:jc w:val="both"/>
              <w:rPr>
                <w:rFonts w:ascii="Arial" w:hAnsi="Arial" w:cs="Arial"/>
                <w:i/>
                <w:sz w:val="15"/>
                <w:szCs w:val="15"/>
              </w:rPr>
            </w:pPr>
            <w:r w:rsidRPr="00B64CA9">
              <w:rPr>
                <w:rFonts w:ascii="Arial" w:hAnsi="Arial" w:cs="Arial"/>
                <w:i/>
                <w:sz w:val="15"/>
                <w:szCs w:val="15"/>
              </w:rPr>
              <w:t xml:space="preserve">*** p value versus </w:t>
            </w:r>
            <w:proofErr w:type="spellStart"/>
            <w:r w:rsidRPr="00B64CA9">
              <w:rPr>
                <w:rFonts w:ascii="Arial" w:hAnsi="Arial" w:cs="Arial"/>
                <w:i/>
                <w:sz w:val="15"/>
                <w:szCs w:val="15"/>
              </w:rPr>
              <w:t>ustekinumab</w:t>
            </w:r>
            <w:proofErr w:type="spellEnd"/>
            <w:r w:rsidRPr="00B64CA9">
              <w:rPr>
                <w:rFonts w:ascii="Arial" w:hAnsi="Arial" w:cs="Arial"/>
                <w:i/>
                <w:sz w:val="15"/>
                <w:szCs w:val="15"/>
              </w:rPr>
              <w:t>: p = 0.0001 for secondary endpoint of PASI 90 at Week 52</w:t>
            </w:r>
          </w:p>
        </w:tc>
      </w:tr>
    </w:tbl>
    <w:p w14:paraId="1DAACF41" w14:textId="77777777" w:rsidR="00F62A4F" w:rsidRPr="00B64CA9" w:rsidRDefault="00F62A4F" w:rsidP="002D07A3">
      <w:pPr>
        <w:jc w:val="both"/>
        <w:rPr>
          <w:rFonts w:cs="Arial"/>
        </w:rPr>
      </w:pPr>
      <w:r w:rsidRPr="00B64CA9" w:rsidDel="004C3437">
        <w:rPr>
          <w:rFonts w:cs="Arial"/>
        </w:rPr>
        <w:lastRenderedPageBreak/>
        <w:t xml:space="preserve">All plaque psoriasis phase III studies included approximately 15 to 25% of patients with concurrent psoriatic arthritis at baseline. Improvements in PASI 75 in this patient population were </w:t>
      </w:r>
      <w:proofErr w:type="gramStart"/>
      <w:r w:rsidRPr="00B64CA9" w:rsidDel="004C3437">
        <w:rPr>
          <w:rFonts w:cs="Arial"/>
        </w:rPr>
        <w:t>similar to</w:t>
      </w:r>
      <w:proofErr w:type="gramEnd"/>
      <w:r w:rsidRPr="00B64CA9" w:rsidDel="004C3437">
        <w:rPr>
          <w:rFonts w:cs="Arial"/>
        </w:rPr>
        <w:t xml:space="preserve"> those in the overall plaque psoriasis population.</w:t>
      </w:r>
    </w:p>
    <w:p w14:paraId="3CDDA6DD" w14:textId="77777777" w:rsidR="00F62A4F" w:rsidRPr="00B64CA9" w:rsidRDefault="00F62A4F" w:rsidP="002D07A3">
      <w:pPr>
        <w:jc w:val="both"/>
        <w:rPr>
          <w:rFonts w:cs="Arial"/>
        </w:rPr>
      </w:pPr>
      <w:r w:rsidRPr="00B64CA9" w:rsidDel="004C3437">
        <w:rPr>
          <w:rFonts w:cs="Arial"/>
        </w:rPr>
        <w:t xml:space="preserve">In the subset of psoriatic arthritis patients </w:t>
      </w:r>
      <w:r w:rsidRPr="00B64CA9">
        <w:rPr>
          <w:rFonts w:cs="Arial"/>
        </w:rPr>
        <w:t xml:space="preserve">in </w:t>
      </w:r>
      <w:r w:rsidRPr="00B64CA9" w:rsidDel="004C3437">
        <w:rPr>
          <w:rFonts w:cs="Arial"/>
        </w:rPr>
        <w:t xml:space="preserve">the </w:t>
      </w:r>
      <w:r w:rsidRPr="00B64CA9">
        <w:rPr>
          <w:rFonts w:cs="Arial"/>
        </w:rPr>
        <w:t xml:space="preserve">ERASURE and FIXTURE </w:t>
      </w:r>
      <w:r w:rsidRPr="00B64CA9" w:rsidDel="004C3437">
        <w:rPr>
          <w:rFonts w:cs="Arial"/>
        </w:rPr>
        <w:t xml:space="preserve">studies, physical function was assessed using the HAQ Disability Index (HAQ-DI). In these studies, patients treated with 150 mg or 300 mg </w:t>
      </w:r>
      <w:r w:rsidRPr="00B64CA9">
        <w:rPr>
          <w:rFonts w:cs="Arial"/>
        </w:rPr>
        <w:t>COSENTYX</w:t>
      </w:r>
      <w:r w:rsidRPr="00B64CA9" w:rsidDel="004C3437">
        <w:rPr>
          <w:rFonts w:cs="Arial"/>
        </w:rPr>
        <w:t xml:space="preserve"> showed greater improvement from baseline in the HAQ-DI score (mean decreases of -27.5</w:t>
      </w:r>
      <w:proofErr w:type="gramStart"/>
      <w:r w:rsidRPr="00B64CA9" w:rsidDel="004C3437">
        <w:rPr>
          <w:rFonts w:cs="Arial"/>
        </w:rPr>
        <w:t>%  and</w:t>
      </w:r>
      <w:proofErr w:type="gramEnd"/>
      <w:r w:rsidRPr="00B64CA9" w:rsidDel="004C3437">
        <w:rPr>
          <w:rFonts w:cs="Arial"/>
        </w:rPr>
        <w:t xml:space="preserve"> -50.2% at week 12) compared to placebo (-8.9%). This improvement was maintained up to week 52. </w:t>
      </w:r>
    </w:p>
    <w:p w14:paraId="1E57333F" w14:textId="77777777" w:rsidR="00F62A4F" w:rsidRPr="00B64CA9" w:rsidRDefault="00F62A4F" w:rsidP="002D07A3">
      <w:pPr>
        <w:jc w:val="both"/>
        <w:rPr>
          <w:rFonts w:cs="Arial"/>
        </w:rPr>
      </w:pPr>
      <w:r w:rsidRPr="00B64CA9">
        <w:rPr>
          <w:rFonts w:cs="Arial"/>
        </w:rPr>
        <w:t xml:space="preserve">Patients in the SCULPTURE study that were randomised after week 12 to a “retreatment as needed” maintenance regimen did not achieve adequate maintenance of response to either dose used. After 52 weeks of treatment patients with 300 mg “retreatment as needed” regimen achieved a PASI 75 of 41.0% and a PASI 90 of 13.8%, whereas patients with a monthly maintenance regimen of 300 mg achieved a PASI 75 of 78.2% and a PASI 90 of 59.7%. Similarly, patients with 150 mg “retreatment as needed” regimen achieved a PASI 75 of 35.0% and a PASI 90 of 11.2%, whereas patients with a monthly maintenance regimen of 150 mg achieved a PASI 75 of 62.1% and a PASI 90 of 45.8% after 52 weeks of treatment. </w:t>
      </w:r>
      <w:proofErr w:type="gramStart"/>
      <w:r w:rsidRPr="00B64CA9">
        <w:rPr>
          <w:rFonts w:cs="Arial"/>
        </w:rPr>
        <w:t>Therefore</w:t>
      </w:r>
      <w:proofErr w:type="gramEnd"/>
      <w:r w:rsidRPr="00B64CA9">
        <w:rPr>
          <w:rFonts w:cs="Arial"/>
        </w:rPr>
        <w:t xml:space="preserve"> a fixed monthly maintenance regimen is recommended.</w:t>
      </w:r>
    </w:p>
    <w:p w14:paraId="1255ABE4"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Specific locations/forms of plaque psoriasis</w:t>
      </w:r>
    </w:p>
    <w:p w14:paraId="7BAFFF8C" w14:textId="77777777" w:rsidR="00F62A4F" w:rsidRPr="00B64CA9" w:rsidRDefault="00F62A4F" w:rsidP="002D07A3">
      <w:pPr>
        <w:jc w:val="both"/>
        <w:rPr>
          <w:rFonts w:cs="Arial"/>
        </w:rPr>
      </w:pPr>
      <w:r w:rsidRPr="00B64CA9">
        <w:rPr>
          <w:rFonts w:cs="Arial"/>
        </w:rPr>
        <w:t xml:space="preserve">In two additional placebo-controlled studies, improvement was seen in both nail psoriasis (TRANSFIGURE, 198 patients) and palmoplantar plaque psoriasis (GESTURE, 205 patients). In the TRANSFIGURE study, </w:t>
      </w:r>
      <w:proofErr w:type="spellStart"/>
      <w:r w:rsidRPr="00B64CA9">
        <w:rPr>
          <w:rFonts w:cs="Arial"/>
        </w:rPr>
        <w:t>secukinumab</w:t>
      </w:r>
      <w:proofErr w:type="spellEnd"/>
      <w:r w:rsidRPr="00B64CA9">
        <w:rPr>
          <w:rFonts w:cs="Arial"/>
        </w:rPr>
        <w:t xml:space="preserve"> was superior to placebo at Week 16 (46.1% for 300 mg, 38.4% for 150 mg and 11.7% for placebo) as assessed by significant improvement from baseline in the Nail Psoriasis Severity Index (NAPSI %) for patients with moderate to severe plaque psoriasis with nail involvement. In the GESTURE study, </w:t>
      </w:r>
      <w:proofErr w:type="spellStart"/>
      <w:r w:rsidRPr="00B64CA9">
        <w:rPr>
          <w:rFonts w:cs="Arial"/>
        </w:rPr>
        <w:t>secukinumab</w:t>
      </w:r>
      <w:proofErr w:type="spellEnd"/>
      <w:r w:rsidRPr="00B64CA9">
        <w:rPr>
          <w:rFonts w:cs="Arial"/>
        </w:rPr>
        <w:t xml:space="preserve"> was superior to placebo at Week 16 (33.3% for 300 mg, 22.1% for 150 mg, and 1.5% for placebo) as assessed by significant improvement of the Palmoplantar Investigator’s Global Assessment (</w:t>
      </w:r>
      <w:proofErr w:type="spellStart"/>
      <w:r w:rsidRPr="00B64CA9">
        <w:rPr>
          <w:rFonts w:cs="Arial"/>
        </w:rPr>
        <w:t>ppIGA</w:t>
      </w:r>
      <w:proofErr w:type="spellEnd"/>
      <w:r w:rsidRPr="00B64CA9">
        <w:rPr>
          <w:rFonts w:cs="Arial"/>
        </w:rPr>
        <w:t>) 0 or 1 response (“clear” or “almost clear”) for patients with moderate to severe palmoplantar plaque psoriasis.</w:t>
      </w:r>
      <w:r w:rsidR="005A26F4" w:rsidRPr="00B64CA9">
        <w:rPr>
          <w:rFonts w:cs="Arial"/>
        </w:rPr>
        <w:t xml:space="preserve">  In these studies, each 300 mg dose was given as two subcutaneous injections of 150 mg.</w:t>
      </w:r>
    </w:p>
    <w:p w14:paraId="29EBA721" w14:textId="77777777" w:rsidR="00F62A4F" w:rsidRPr="00B64CA9" w:rsidRDefault="00F62A4F" w:rsidP="002D07A3">
      <w:pPr>
        <w:jc w:val="both"/>
        <w:rPr>
          <w:rFonts w:cs="Arial"/>
        </w:rPr>
      </w:pPr>
      <w:r w:rsidRPr="00B64CA9">
        <w:rPr>
          <w:rFonts w:cs="Arial"/>
        </w:rPr>
        <w:t xml:space="preserve">The placebo-controlled SCALP study evaluated 102 patients with moderate to severe scalp psoriasis, defined as having a Psoriasis Scalp Severity Index (PSSI) score of ≥12, an IGA mod 2011 scalp only score of 3 or greater and at least 30% of the scalp surface area affected. In this study, 62% of patients had at least 50% of the scalp surface area affected. </w:t>
      </w:r>
      <w:proofErr w:type="spellStart"/>
      <w:r w:rsidRPr="00B64CA9">
        <w:rPr>
          <w:rFonts w:cs="Arial"/>
        </w:rPr>
        <w:t>Secukinumab</w:t>
      </w:r>
      <w:proofErr w:type="spellEnd"/>
      <w:r w:rsidRPr="00B64CA9">
        <w:rPr>
          <w:rFonts w:cs="Arial"/>
        </w:rPr>
        <w:t xml:space="preserve"> 300 mg was superior to placebo at Week 12 as assessed by significant improvement from baseline in both the PSSI 90 response (52.9% vs. 2.0%) and IGA mod 2011 0 or 1 scalp only response (56.9% vs. 5.9%). Greater efficacy of </w:t>
      </w:r>
      <w:proofErr w:type="spellStart"/>
      <w:r w:rsidRPr="00B64CA9">
        <w:rPr>
          <w:rFonts w:cs="Arial"/>
        </w:rPr>
        <w:t>secukinumab</w:t>
      </w:r>
      <w:proofErr w:type="spellEnd"/>
      <w:r w:rsidRPr="00B64CA9">
        <w:rPr>
          <w:rFonts w:cs="Arial"/>
        </w:rPr>
        <w:t xml:space="preserve"> 300 mg over placebo for both endpoints was observed by Week 3. Improvement in both endpoints was sustained for </w:t>
      </w:r>
      <w:proofErr w:type="spellStart"/>
      <w:r w:rsidRPr="00B64CA9">
        <w:rPr>
          <w:rFonts w:cs="Arial"/>
        </w:rPr>
        <w:t>secukinumab</w:t>
      </w:r>
      <w:proofErr w:type="spellEnd"/>
      <w:r w:rsidRPr="00B64CA9">
        <w:rPr>
          <w:rFonts w:cs="Arial"/>
        </w:rPr>
        <w:t xml:space="preserve"> patients who continued treatment through to Week 24 (PSSI 90 response 58.8% and IGA mod 2011 0 or 1 scalp only response 62.7%).</w:t>
      </w:r>
      <w:r w:rsidR="005A26F4" w:rsidRPr="00B64CA9">
        <w:rPr>
          <w:rFonts w:cs="Arial"/>
        </w:rPr>
        <w:t xml:space="preserve">  In these studies, each 300 mg dose was given as two subcutaneous injections of 150 mg.</w:t>
      </w:r>
    </w:p>
    <w:p w14:paraId="50776DD6" w14:textId="77777777" w:rsidR="00F62A4F" w:rsidRPr="00B64CA9" w:rsidDel="004C3437" w:rsidRDefault="00F62A4F" w:rsidP="002D07A3">
      <w:pPr>
        <w:spacing w:after="120"/>
        <w:jc w:val="both"/>
        <w:rPr>
          <w:rFonts w:asciiTheme="majorHAnsi" w:eastAsiaTheme="majorEastAsia" w:hAnsiTheme="majorHAnsi" w:cstheme="minorHAnsi"/>
          <w:b/>
          <w:bCs/>
        </w:rPr>
      </w:pPr>
      <w:r w:rsidRPr="00B64CA9" w:rsidDel="004C3437">
        <w:rPr>
          <w:rFonts w:asciiTheme="majorHAnsi" w:eastAsiaTheme="majorEastAsia" w:hAnsiTheme="majorHAnsi" w:cstheme="minorHAnsi"/>
          <w:b/>
          <w:bCs/>
        </w:rPr>
        <w:lastRenderedPageBreak/>
        <w:t>Quality of Life / Patient reported outcomes</w:t>
      </w:r>
    </w:p>
    <w:p w14:paraId="10BD8436" w14:textId="77777777" w:rsidR="00F62A4F" w:rsidRPr="00B64CA9" w:rsidRDefault="00F62A4F" w:rsidP="002D07A3">
      <w:pPr>
        <w:jc w:val="both"/>
        <w:rPr>
          <w:rFonts w:cs="Arial"/>
        </w:rPr>
      </w:pPr>
      <w:r w:rsidRPr="00B64CA9" w:rsidDel="004C3437">
        <w:rPr>
          <w:rFonts w:cs="Arial"/>
        </w:rPr>
        <w:t>Statistically significant improvements at week 12 (Studies 1-4) from baseline compared to placebo were demonstrated in the DLQI (Dermatology Life Quality Index), these improvements were maintained for 52 weeks (Studies 1 and 2).</w:t>
      </w:r>
    </w:p>
    <w:p w14:paraId="5185BA72" w14:textId="77777777" w:rsidR="00F62A4F" w:rsidRPr="00B64CA9" w:rsidRDefault="00F62A4F" w:rsidP="002D07A3">
      <w:pPr>
        <w:jc w:val="both"/>
        <w:rPr>
          <w:rFonts w:cs="Arial"/>
        </w:rPr>
      </w:pPr>
      <w:r w:rsidRPr="00B64CA9" w:rsidDel="004C3437">
        <w:rPr>
          <w:rFonts w:cs="Arial"/>
        </w:rPr>
        <w:t>Statistically significant improvements at week 12 from baseline compared to placebo (</w:t>
      </w:r>
      <w:r w:rsidRPr="00B64CA9">
        <w:rPr>
          <w:rFonts w:cs="Arial"/>
        </w:rPr>
        <w:t xml:space="preserve">ERASURE and FIXTURE </w:t>
      </w:r>
      <w:r w:rsidRPr="00B64CA9" w:rsidDel="004C3437">
        <w:rPr>
          <w:rFonts w:cs="Arial"/>
        </w:rPr>
        <w:t>Studies) in patient reported signs and symptoms of itching, pain and scaling were demonstrated in the validated Psoriasis Symptom Diary.</w:t>
      </w:r>
    </w:p>
    <w:p w14:paraId="124E9569" w14:textId="77777777" w:rsidR="00F62A4F" w:rsidRPr="00B64CA9" w:rsidRDefault="00F62A4F" w:rsidP="002D07A3">
      <w:pPr>
        <w:jc w:val="both"/>
        <w:rPr>
          <w:rFonts w:cs="Arial"/>
        </w:rPr>
      </w:pPr>
      <w:r w:rsidRPr="00B64CA9">
        <w:rPr>
          <w:rFonts w:cs="Arial"/>
        </w:rPr>
        <w:t xml:space="preserve">Statistically significant improvements at Week 4 from baseline in patients treated with </w:t>
      </w:r>
      <w:proofErr w:type="spellStart"/>
      <w:r w:rsidRPr="00B64CA9">
        <w:rPr>
          <w:rFonts w:cs="Arial"/>
        </w:rPr>
        <w:t>secukinumab</w:t>
      </w:r>
      <w:proofErr w:type="spellEnd"/>
      <w:r w:rsidRPr="00B64CA9">
        <w:rPr>
          <w:rFonts w:cs="Arial"/>
        </w:rPr>
        <w:t xml:space="preserve"> compared to patients treated with </w:t>
      </w:r>
      <w:proofErr w:type="spellStart"/>
      <w:r w:rsidRPr="00B64CA9">
        <w:rPr>
          <w:rFonts w:cs="Arial"/>
        </w:rPr>
        <w:t>ustekinumab</w:t>
      </w:r>
      <w:proofErr w:type="spellEnd"/>
      <w:r w:rsidRPr="00B64CA9">
        <w:rPr>
          <w:rFonts w:cs="Arial"/>
        </w:rPr>
        <w:t xml:space="preserve"> (CLEAR) were demonstrated in the DLQI, and these improvements were maintained for up to 52 weeks. The Work Productivity and Activity Impairment Questionnaire-Psoriasis outcom</w:t>
      </w:r>
      <w:r w:rsidR="00F9049D" w:rsidRPr="00B64CA9">
        <w:rPr>
          <w:rFonts w:cs="Arial"/>
        </w:rPr>
        <w:t>es (WPAI-PSO) showed generally</w:t>
      </w:r>
      <w:r w:rsidRPr="00B64CA9">
        <w:rPr>
          <w:rFonts w:cs="Arial"/>
        </w:rPr>
        <w:t xml:space="preserve"> greater improvement in patients treated with </w:t>
      </w:r>
      <w:proofErr w:type="spellStart"/>
      <w:r w:rsidRPr="00B64CA9">
        <w:rPr>
          <w:rFonts w:cs="Arial"/>
        </w:rPr>
        <w:t>secukinumab</w:t>
      </w:r>
      <w:proofErr w:type="spellEnd"/>
      <w:r w:rsidRPr="00B64CA9">
        <w:rPr>
          <w:rFonts w:cs="Arial"/>
        </w:rPr>
        <w:t xml:space="preserve"> compared to patients treated with </w:t>
      </w:r>
      <w:proofErr w:type="spellStart"/>
      <w:r w:rsidRPr="00B64CA9">
        <w:rPr>
          <w:rFonts w:cs="Arial"/>
        </w:rPr>
        <w:t>ustekinumab</w:t>
      </w:r>
      <w:proofErr w:type="spellEnd"/>
      <w:r w:rsidRPr="00B64CA9">
        <w:rPr>
          <w:rFonts w:cs="Arial"/>
        </w:rPr>
        <w:t>.</w:t>
      </w:r>
    </w:p>
    <w:p w14:paraId="6BC6A97E" w14:textId="77777777" w:rsidR="00F62A4F" w:rsidRPr="00B64CA9" w:rsidRDefault="00F62A4F" w:rsidP="002D07A3">
      <w:pPr>
        <w:jc w:val="both"/>
        <w:rPr>
          <w:rFonts w:cs="Arial"/>
        </w:rPr>
      </w:pPr>
      <w:r w:rsidRPr="00B64CA9">
        <w:rPr>
          <w:rFonts w:cs="Arial"/>
        </w:rPr>
        <w:t xml:space="preserve">Statistically significant improvements in patient reported signs and symptoms of itching, pain and scaling at Week 16 and Week 52 (CLEAR) were demonstrated in the Psoriasis Symptom Diary in patients treated with </w:t>
      </w:r>
      <w:proofErr w:type="spellStart"/>
      <w:r w:rsidRPr="00B64CA9">
        <w:rPr>
          <w:rFonts w:cs="Arial"/>
        </w:rPr>
        <w:t>secukinumab</w:t>
      </w:r>
      <w:proofErr w:type="spellEnd"/>
      <w:r w:rsidRPr="00B64CA9">
        <w:rPr>
          <w:rFonts w:cs="Arial"/>
        </w:rPr>
        <w:t xml:space="preserve"> compared to patients treated with </w:t>
      </w:r>
      <w:proofErr w:type="spellStart"/>
      <w:r w:rsidRPr="00B64CA9">
        <w:rPr>
          <w:rFonts w:cs="Arial"/>
        </w:rPr>
        <w:t>ustekinumab</w:t>
      </w:r>
      <w:proofErr w:type="spellEnd"/>
      <w:r w:rsidRPr="00B64CA9">
        <w:rPr>
          <w:rFonts w:cs="Arial"/>
        </w:rPr>
        <w:t xml:space="preserve">. </w:t>
      </w:r>
    </w:p>
    <w:p w14:paraId="3F614A7F" w14:textId="77777777" w:rsidR="00F62A4F" w:rsidRPr="00B64CA9" w:rsidRDefault="00F62A4F" w:rsidP="002D07A3">
      <w:pPr>
        <w:jc w:val="both"/>
        <w:rPr>
          <w:rFonts w:cs="Arial"/>
        </w:rPr>
      </w:pPr>
      <w:r w:rsidRPr="00B64CA9">
        <w:rPr>
          <w:rFonts w:cs="Arial"/>
        </w:rPr>
        <w:t xml:space="preserve">Statistically significant improvements at Week 12 from baseline compared to placebo (SCALP) were demonstrated in </w:t>
      </w:r>
      <w:proofErr w:type="gramStart"/>
      <w:r w:rsidRPr="00B64CA9">
        <w:rPr>
          <w:rFonts w:cs="Arial"/>
        </w:rPr>
        <w:t>Health Related</w:t>
      </w:r>
      <w:proofErr w:type="gramEnd"/>
      <w:r w:rsidRPr="00B64CA9">
        <w:rPr>
          <w:rFonts w:cs="Arial"/>
        </w:rPr>
        <w:t xml:space="preserve"> Quality of Life as measured by </w:t>
      </w:r>
      <w:proofErr w:type="spellStart"/>
      <w:r w:rsidRPr="00B64CA9">
        <w:rPr>
          <w:rFonts w:cs="Arial"/>
        </w:rPr>
        <w:t>Scalpdex</w:t>
      </w:r>
      <w:proofErr w:type="spellEnd"/>
      <w:r w:rsidRPr="00B64CA9">
        <w:rPr>
          <w:rFonts w:cs="Arial"/>
        </w:rPr>
        <w:t>. These improvements were observed starting at Week 4 and were maintained through to Week 24.</w:t>
      </w:r>
    </w:p>
    <w:p w14:paraId="1273D091" w14:textId="77777777" w:rsidR="00F62A4F" w:rsidRPr="00B64CA9" w:rsidRDefault="00F62A4F" w:rsidP="002D07A3">
      <w:pPr>
        <w:jc w:val="both"/>
        <w:rPr>
          <w:rFonts w:cs="Arial"/>
        </w:rPr>
      </w:pPr>
      <w:r w:rsidRPr="00B64CA9">
        <w:rPr>
          <w:rFonts w:cs="Arial"/>
        </w:rPr>
        <w:t>Statistically significant improvements (decreases) at Week 12 from baseline (SCALP) were demonstrated in patient-reported signs and symptoms of scalp itching, pain, and scaling, compared to placebo.</w:t>
      </w:r>
    </w:p>
    <w:p w14:paraId="001509C5" w14:textId="77777777" w:rsidR="00C11994" w:rsidRPr="00B64CA9" w:rsidRDefault="00C11994" w:rsidP="00B64CA9">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Plaque Psoriasis Dose Flexibility</w:t>
      </w:r>
    </w:p>
    <w:p w14:paraId="42247BCB" w14:textId="77777777" w:rsidR="00C11994" w:rsidRPr="00B64CA9" w:rsidRDefault="00C11994" w:rsidP="00C11994">
      <w:pPr>
        <w:jc w:val="both"/>
        <w:rPr>
          <w:rFonts w:cstheme="minorHAnsi"/>
        </w:rPr>
      </w:pPr>
      <w:r w:rsidRPr="00B64CA9">
        <w:rPr>
          <w:rFonts w:cstheme="minorHAnsi"/>
        </w:rPr>
        <w:t>The efficacy, safety, and tolerability of Cosentyx 300 mg administered every 4 weeks vs. Cosentyx 300 mg administered every 2 weeks in adult patients weighing ≥ 90 kg with moderate to severe plaque psori</w:t>
      </w:r>
      <w:r w:rsidR="00387046" w:rsidRPr="00B64CA9">
        <w:rPr>
          <w:rFonts w:cstheme="minorHAnsi"/>
        </w:rPr>
        <w:t>asis were assessed in a randomis</w:t>
      </w:r>
      <w:r w:rsidRPr="00B64CA9">
        <w:rPr>
          <w:rFonts w:cstheme="minorHAnsi"/>
        </w:rPr>
        <w:t xml:space="preserve">ed, double-blind, </w:t>
      </w:r>
      <w:r w:rsidR="00387046" w:rsidRPr="00B64CA9">
        <w:rPr>
          <w:rFonts w:cstheme="minorHAnsi"/>
        </w:rPr>
        <w:t>multicentre</w:t>
      </w:r>
      <w:r w:rsidRPr="00B64CA9">
        <w:rPr>
          <w:rFonts w:cstheme="minorHAnsi"/>
        </w:rPr>
        <w:t xml:space="preserve"> study of 331 patients.  Patients were randomi</w:t>
      </w:r>
      <w:r w:rsidR="00387046" w:rsidRPr="00B64CA9">
        <w:rPr>
          <w:rFonts w:cstheme="minorHAnsi"/>
        </w:rPr>
        <w:t>s</w:t>
      </w:r>
      <w:r w:rsidRPr="00B64CA9">
        <w:rPr>
          <w:rFonts w:cstheme="minorHAnsi"/>
        </w:rPr>
        <w:t>ed 1:1 as follows:</w:t>
      </w:r>
    </w:p>
    <w:p w14:paraId="0CAE018D" w14:textId="77777777" w:rsidR="00C11994" w:rsidRPr="00B64CA9" w:rsidRDefault="00C11994" w:rsidP="00B64CA9">
      <w:pPr>
        <w:pStyle w:val="ListParagraph"/>
        <w:numPr>
          <w:ilvl w:val="0"/>
          <w:numId w:val="51"/>
        </w:numPr>
        <w:jc w:val="both"/>
        <w:rPr>
          <w:rFonts w:cstheme="minorHAnsi"/>
        </w:rPr>
      </w:pPr>
      <w:proofErr w:type="spellStart"/>
      <w:r w:rsidRPr="00B64CA9">
        <w:rPr>
          <w:rFonts w:asciiTheme="minorHAnsi" w:hAnsiTheme="minorHAnsi" w:cstheme="minorHAnsi"/>
        </w:rPr>
        <w:t>secukinumab</w:t>
      </w:r>
      <w:proofErr w:type="spellEnd"/>
      <w:r w:rsidRPr="00B64CA9">
        <w:rPr>
          <w:rFonts w:asciiTheme="minorHAnsi" w:hAnsiTheme="minorHAnsi" w:cstheme="minorHAnsi"/>
        </w:rPr>
        <w:t xml:space="preserve"> 300 mg at Weeks 0, 1, 2, 3, and 4 followed by the same dose every 2 weeks up to Week 52 (n=165).</w:t>
      </w:r>
    </w:p>
    <w:p w14:paraId="0A7E476E" w14:textId="77777777" w:rsidR="00C11994" w:rsidRPr="00B64CA9" w:rsidRDefault="00C11994" w:rsidP="00B64CA9">
      <w:pPr>
        <w:pStyle w:val="ListParagraph"/>
        <w:numPr>
          <w:ilvl w:val="0"/>
          <w:numId w:val="51"/>
        </w:numPr>
        <w:jc w:val="both"/>
        <w:rPr>
          <w:rFonts w:cstheme="minorHAnsi"/>
        </w:rPr>
      </w:pPr>
      <w:proofErr w:type="spellStart"/>
      <w:r w:rsidRPr="00B64CA9">
        <w:rPr>
          <w:rFonts w:asciiTheme="minorHAnsi" w:hAnsiTheme="minorHAnsi" w:cstheme="minorHAnsi"/>
        </w:rPr>
        <w:t>secukinumab</w:t>
      </w:r>
      <w:proofErr w:type="spellEnd"/>
      <w:r w:rsidRPr="00B64CA9">
        <w:rPr>
          <w:rFonts w:asciiTheme="minorHAnsi" w:hAnsiTheme="minorHAnsi" w:cstheme="minorHAnsi"/>
        </w:rPr>
        <w:t xml:space="preserve"> 300 mg at Weeks 0, 1, 2, 3, and 4 followed by the same dose every 4 weeks up to Week 16 (n=166). </w:t>
      </w:r>
    </w:p>
    <w:p w14:paraId="29870C32" w14:textId="77777777" w:rsidR="00C11994" w:rsidRPr="00B64CA9" w:rsidRDefault="00C11994" w:rsidP="00B64CA9">
      <w:pPr>
        <w:pStyle w:val="ListParagraph"/>
        <w:numPr>
          <w:ilvl w:val="1"/>
          <w:numId w:val="52"/>
        </w:numPr>
        <w:ind w:left="709"/>
        <w:jc w:val="both"/>
        <w:rPr>
          <w:rFonts w:cstheme="minorHAnsi"/>
        </w:rPr>
      </w:pPr>
      <w:r w:rsidRPr="00B64CA9">
        <w:rPr>
          <w:rFonts w:asciiTheme="minorHAnsi" w:hAnsiTheme="minorHAnsi" w:cstheme="minorHAnsi"/>
        </w:rPr>
        <w:t>Patients randomi</w:t>
      </w:r>
      <w:r w:rsidR="00387046" w:rsidRPr="00B64CA9">
        <w:rPr>
          <w:rFonts w:asciiTheme="minorHAnsi" w:hAnsiTheme="minorHAnsi" w:cstheme="minorHAnsi"/>
        </w:rPr>
        <w:t>s</w:t>
      </w:r>
      <w:r w:rsidRPr="00B64CA9">
        <w:rPr>
          <w:rFonts w:asciiTheme="minorHAnsi" w:hAnsiTheme="minorHAnsi" w:cstheme="minorHAnsi"/>
        </w:rPr>
        <w:t xml:space="preserve">ed to receive </w:t>
      </w:r>
      <w:proofErr w:type="spellStart"/>
      <w:r w:rsidRPr="00B64CA9">
        <w:rPr>
          <w:rFonts w:asciiTheme="minorHAnsi" w:hAnsiTheme="minorHAnsi" w:cstheme="minorHAnsi"/>
        </w:rPr>
        <w:t>secukinumab</w:t>
      </w:r>
      <w:proofErr w:type="spellEnd"/>
      <w:r w:rsidRPr="00B64CA9">
        <w:rPr>
          <w:rFonts w:asciiTheme="minorHAnsi" w:hAnsiTheme="minorHAnsi" w:cstheme="minorHAnsi"/>
        </w:rPr>
        <w:t xml:space="preserve"> 300 mg every 4 weeks who were PASI 90 responders at Week 16 continued to receive the same dosing regimen </w:t>
      </w:r>
      <w:r w:rsidR="00387046" w:rsidRPr="00B64CA9">
        <w:rPr>
          <w:rFonts w:asciiTheme="minorHAnsi" w:hAnsiTheme="minorHAnsi" w:cstheme="minorHAnsi"/>
        </w:rPr>
        <w:t>up to Week 52. Patients randomis</w:t>
      </w:r>
      <w:r w:rsidRPr="00B64CA9">
        <w:rPr>
          <w:rFonts w:asciiTheme="minorHAnsi" w:hAnsiTheme="minorHAnsi" w:cstheme="minorHAnsi"/>
        </w:rPr>
        <w:t xml:space="preserve">ed to receive Cosentyx 300 mg every 4 weeks who were PASI 90 non-responders at Week 16 either continued on the same dosing </w:t>
      </w:r>
      <w:proofErr w:type="gramStart"/>
      <w:r w:rsidRPr="00B64CA9">
        <w:rPr>
          <w:rFonts w:asciiTheme="minorHAnsi" w:hAnsiTheme="minorHAnsi" w:cstheme="minorHAnsi"/>
        </w:rPr>
        <w:t>regimen, or</w:t>
      </w:r>
      <w:proofErr w:type="gramEnd"/>
      <w:r w:rsidRPr="00B64CA9">
        <w:rPr>
          <w:rFonts w:asciiTheme="minorHAnsi" w:hAnsiTheme="minorHAnsi" w:cstheme="minorHAnsi"/>
        </w:rPr>
        <w:t xml:space="preserve"> were reassigned to receive Cosentyx 300 mg every 2 weeks up to Week 52.</w:t>
      </w:r>
    </w:p>
    <w:p w14:paraId="3CEBADB6" w14:textId="77777777" w:rsidR="00C11994" w:rsidRPr="00B64CA9" w:rsidRDefault="00C11994" w:rsidP="00C11994">
      <w:pPr>
        <w:jc w:val="both"/>
        <w:rPr>
          <w:rFonts w:cstheme="minorHAnsi"/>
        </w:rPr>
      </w:pPr>
      <w:r w:rsidRPr="00B64CA9">
        <w:rPr>
          <w:rFonts w:cstheme="minorHAnsi"/>
        </w:rPr>
        <w:t xml:space="preserve">The primary and key secondary endpoints were the proportion of patients who achieved a PASI 90 response and IGA mod 2011 ‘clear’ or ‘almost clear’ (0 or 1) response at Week 16. At Week 16, the </w:t>
      </w:r>
      <w:r w:rsidRPr="00B64CA9">
        <w:rPr>
          <w:rFonts w:cstheme="minorHAnsi"/>
        </w:rPr>
        <w:lastRenderedPageBreak/>
        <w:t xml:space="preserve">proportion of patients who were PASI 90 responders was higher in the group treated with </w:t>
      </w:r>
      <w:proofErr w:type="gramStart"/>
      <w:r w:rsidRPr="00B64CA9">
        <w:rPr>
          <w:rFonts w:cstheme="minorHAnsi"/>
        </w:rPr>
        <w:t>the every</w:t>
      </w:r>
      <w:proofErr w:type="gramEnd"/>
      <w:r w:rsidRPr="00B64CA9">
        <w:rPr>
          <w:rFonts w:cstheme="minorHAnsi"/>
        </w:rPr>
        <w:t xml:space="preserve"> 2 week regimen vs. the every 4 week regimen (73.2% vs. 55.5%, respectively). The treatment difference was clinically relevant and statistically significant (one-sided p-value = 0.0003). The proportion of patients who achieved an IGA mod 2011 ‘clear’ or ‘almost clear’ response was also higher </w:t>
      </w:r>
      <w:r w:rsidR="00E00A33" w:rsidRPr="00B64CA9">
        <w:rPr>
          <w:rFonts w:cstheme="minorHAnsi"/>
        </w:rPr>
        <w:t>but not statistically different from</w:t>
      </w:r>
      <w:r w:rsidRPr="00B64CA9">
        <w:rPr>
          <w:rFonts w:cstheme="minorHAnsi"/>
        </w:rPr>
        <w:t xml:space="preserve"> the group treated with </w:t>
      </w:r>
      <w:proofErr w:type="gramStart"/>
      <w:r w:rsidRPr="00B64CA9">
        <w:rPr>
          <w:rFonts w:cstheme="minorHAnsi"/>
        </w:rPr>
        <w:t>the every</w:t>
      </w:r>
      <w:proofErr w:type="gramEnd"/>
      <w:r w:rsidRPr="00B64CA9">
        <w:rPr>
          <w:rFonts w:cstheme="minorHAnsi"/>
        </w:rPr>
        <w:t xml:space="preserve"> 2 week regimen vs. the group treated with the every 4 week regimen (74.2% vs. 65.9%, respectively).</w:t>
      </w:r>
    </w:p>
    <w:p w14:paraId="3873E6E6" w14:textId="77777777" w:rsidR="00387046" w:rsidRPr="00B64CA9" w:rsidRDefault="00387046" w:rsidP="00387046">
      <w:pPr>
        <w:jc w:val="both"/>
        <w:rPr>
          <w:rFonts w:cstheme="minorHAnsi"/>
        </w:rPr>
      </w:pPr>
    </w:p>
    <w:p w14:paraId="516DDFD8" w14:textId="77777777" w:rsidR="00387046" w:rsidRPr="00B64CA9" w:rsidRDefault="00387046" w:rsidP="00387046">
      <w:pPr>
        <w:jc w:val="both"/>
        <w:rPr>
          <w:rFonts w:cstheme="minorHAnsi"/>
        </w:rPr>
      </w:pPr>
      <w:r w:rsidRPr="00B64CA9">
        <w:rPr>
          <w:rFonts w:cstheme="minorHAnsi"/>
        </w:rPr>
        <w:t xml:space="preserve">Patients on </w:t>
      </w:r>
      <w:proofErr w:type="gramStart"/>
      <w:r w:rsidRPr="00B64CA9">
        <w:rPr>
          <w:rFonts w:cstheme="minorHAnsi"/>
        </w:rPr>
        <w:t>the every</w:t>
      </w:r>
      <w:proofErr w:type="gramEnd"/>
      <w:r w:rsidRPr="00B64CA9">
        <w:rPr>
          <w:rFonts w:cstheme="minorHAnsi"/>
        </w:rPr>
        <w:t xml:space="preserve"> 2 week regimen vs. the every 4 week regimen (Figure 2) showed overall benefit, and benefit for </w:t>
      </w:r>
      <w:r w:rsidR="00E94F66" w:rsidRPr="00B64CA9">
        <w:rPr>
          <w:rFonts w:cstheme="minorHAnsi"/>
        </w:rPr>
        <w:t>some of</w:t>
      </w:r>
      <w:r w:rsidRPr="00B64CA9">
        <w:rPr>
          <w:rFonts w:cstheme="minorHAnsi"/>
        </w:rPr>
        <w:t xml:space="preserve"> the subgroups (weight, IGA, and time since diagnosis).  The highest incremental benefit as shown by the calculated risk differences was for patients with severe disease (IGA 4).</w:t>
      </w:r>
    </w:p>
    <w:p w14:paraId="7F313695" w14:textId="77777777" w:rsidR="00AF3517" w:rsidRPr="00B64CA9" w:rsidRDefault="00AF3517" w:rsidP="00387046">
      <w:pPr>
        <w:jc w:val="both"/>
        <w:rPr>
          <w:rFonts w:ascii="Arial" w:hAnsi="Arial" w:cs="Arial"/>
          <w:b/>
          <w:sz w:val="20"/>
        </w:rPr>
      </w:pPr>
      <w:r w:rsidRPr="00B64CA9" w:rsidDel="00BF599D">
        <w:rPr>
          <w:rFonts w:ascii="Arial" w:hAnsi="Arial" w:cs="Arial"/>
          <w:b/>
          <w:sz w:val="20"/>
        </w:rPr>
        <w:t xml:space="preserve">Figure </w:t>
      </w:r>
      <w:r w:rsidRPr="00B64CA9">
        <w:rPr>
          <w:rFonts w:ascii="Arial" w:hAnsi="Arial" w:cs="Arial"/>
          <w:b/>
          <w:sz w:val="20"/>
        </w:rPr>
        <w:t>2</w:t>
      </w:r>
      <w:r w:rsidRPr="00B64CA9" w:rsidDel="00BF599D">
        <w:rPr>
          <w:rFonts w:ascii="Arial" w:hAnsi="Arial" w:cs="Arial"/>
          <w:b/>
          <w:sz w:val="20"/>
        </w:rPr>
        <w:tab/>
      </w:r>
      <w:r w:rsidRPr="00B64CA9">
        <w:rPr>
          <w:rFonts w:ascii="Arial" w:hAnsi="Arial" w:cs="Arial"/>
          <w:b/>
          <w:sz w:val="20"/>
        </w:rPr>
        <w:t>Forest plot of risk difference of PASI 90 response at Week 16 with subgroups (modified non-</w:t>
      </w:r>
      <w:proofErr w:type="gramStart"/>
      <w:r w:rsidRPr="00B64CA9">
        <w:rPr>
          <w:rFonts w:ascii="Arial" w:hAnsi="Arial" w:cs="Arial"/>
          <w:b/>
          <w:sz w:val="20"/>
        </w:rPr>
        <w:t>responders</w:t>
      </w:r>
      <w:proofErr w:type="gramEnd"/>
      <w:r w:rsidRPr="00B64CA9">
        <w:rPr>
          <w:rFonts w:ascii="Arial" w:hAnsi="Arial" w:cs="Arial"/>
          <w:b/>
          <w:sz w:val="20"/>
        </w:rPr>
        <w:t xml:space="preserve"> imputation) – Full Analysis set*</w:t>
      </w:r>
      <w:r w:rsidR="00E94F66" w:rsidRPr="00B64CA9">
        <w:rPr>
          <w:rFonts w:ascii="Arial" w:hAnsi="Arial" w:cs="Arial"/>
          <w:b/>
          <w:sz w:val="20"/>
        </w:rPr>
        <w:t xml:space="preserve"> </w:t>
      </w:r>
      <w:r w:rsidR="00E94F66" w:rsidRPr="00B64CA9">
        <w:rPr>
          <w:rFonts w:ascii="Arial" w:hAnsi="Arial" w:cs="Arial"/>
          <w:b/>
          <w:i/>
          <w:sz w:val="20"/>
        </w:rPr>
        <w:t>Post hoc</w:t>
      </w:r>
      <w:r w:rsidR="00E94F66" w:rsidRPr="00B64CA9">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F3517" w:rsidRPr="00B64CA9" w14:paraId="33E261DE" w14:textId="77777777" w:rsidTr="00B64CA9">
        <w:tc>
          <w:tcPr>
            <w:tcW w:w="9016" w:type="dxa"/>
          </w:tcPr>
          <w:p w14:paraId="1E07FF85" w14:textId="77777777" w:rsidR="00AF3517" w:rsidRPr="00B64CA9" w:rsidRDefault="00AF3517" w:rsidP="00387046">
            <w:pPr>
              <w:jc w:val="both"/>
              <w:rPr>
                <w:rFonts w:ascii="Arial" w:hAnsi="Arial" w:cs="Arial"/>
                <w:b/>
              </w:rPr>
            </w:pPr>
            <w:r w:rsidRPr="00B64CA9">
              <w:rPr>
                <w:noProof/>
                <w:sz w:val="18"/>
                <w:szCs w:val="18"/>
                <w:lang w:eastAsia="en-AU"/>
              </w:rPr>
              <w:drawing>
                <wp:inline distT="0" distB="0" distL="0" distR="0" wp14:anchorId="54D27300" wp14:editId="2892996C">
                  <wp:extent cx="5731510" cy="3178555"/>
                  <wp:effectExtent l="0" t="0" r="254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3178555"/>
                          </a:xfrm>
                          <a:prstGeom prst="rect">
                            <a:avLst/>
                          </a:prstGeom>
                        </pic:spPr>
                      </pic:pic>
                    </a:graphicData>
                  </a:graphic>
                </wp:inline>
              </w:drawing>
            </w:r>
          </w:p>
        </w:tc>
      </w:tr>
      <w:tr w:rsidR="00AF3517" w:rsidRPr="00B64CA9" w14:paraId="0C73ECD7" w14:textId="77777777" w:rsidTr="00B64CA9">
        <w:tc>
          <w:tcPr>
            <w:tcW w:w="9016" w:type="dxa"/>
          </w:tcPr>
          <w:p w14:paraId="0ED13F3E" w14:textId="77777777" w:rsidR="00AF3517" w:rsidRPr="00B64CA9" w:rsidRDefault="00AF3517" w:rsidP="00B64CA9">
            <w:pPr>
              <w:pStyle w:val="Legend"/>
              <w:rPr>
                <w:i/>
                <w:sz w:val="18"/>
                <w:szCs w:val="18"/>
              </w:rPr>
            </w:pPr>
            <w:r w:rsidRPr="00B64CA9">
              <w:rPr>
                <w:i/>
                <w:sz w:val="16"/>
                <w:szCs w:val="18"/>
              </w:rPr>
              <w:t xml:space="preserve">* Figure 2 Forest plot presents risk difference of every </w:t>
            </w:r>
            <w:proofErr w:type="gramStart"/>
            <w:r w:rsidRPr="00B64CA9">
              <w:rPr>
                <w:i/>
                <w:sz w:val="16"/>
                <w:szCs w:val="18"/>
              </w:rPr>
              <w:t>2 week</w:t>
            </w:r>
            <w:proofErr w:type="gramEnd"/>
            <w:r w:rsidRPr="00B64CA9">
              <w:rPr>
                <w:i/>
                <w:sz w:val="16"/>
                <w:szCs w:val="18"/>
              </w:rPr>
              <w:t xml:space="preserve"> regimen (Q2W) vs. every 4 week regimen (Q4W)</w:t>
            </w:r>
          </w:p>
        </w:tc>
      </w:tr>
    </w:tbl>
    <w:p w14:paraId="5651BA3D" w14:textId="77777777" w:rsidR="00AF3517" w:rsidRPr="00B64CA9" w:rsidRDefault="00AF3517" w:rsidP="00387046">
      <w:pPr>
        <w:jc w:val="both"/>
        <w:rPr>
          <w:rFonts w:ascii="Arial" w:hAnsi="Arial" w:cs="Arial"/>
          <w:b/>
          <w:sz w:val="20"/>
        </w:rPr>
      </w:pPr>
    </w:p>
    <w:p w14:paraId="1862909A" w14:textId="77777777" w:rsidR="00AF3517" w:rsidRPr="00B64CA9" w:rsidRDefault="00AF3517" w:rsidP="00AF3517">
      <w:pPr>
        <w:jc w:val="both"/>
        <w:rPr>
          <w:rFonts w:cs="Arial"/>
        </w:rPr>
      </w:pPr>
      <w:r w:rsidRPr="00B64CA9">
        <w:rPr>
          <w:rFonts w:cs="Arial"/>
        </w:rPr>
        <w:t xml:space="preserve">The safety profiles of the two dosing regimens, Cosentyx 300 mg administered every 4 weeks and Cosentyx 300 mg administered every 2 weeks, in patients weighing ≥ 90 kg were comparable and consistent with the safety profile reported in psoriasis patients. </w:t>
      </w:r>
    </w:p>
    <w:p w14:paraId="185220A4" w14:textId="77777777" w:rsidR="00AF3517" w:rsidRPr="00B64CA9" w:rsidRDefault="00B97A64" w:rsidP="00B97A64">
      <w:pPr>
        <w:jc w:val="both"/>
        <w:rPr>
          <w:rFonts w:cs="Arial"/>
        </w:rPr>
      </w:pPr>
      <w:r w:rsidRPr="00B64CA9">
        <w:rPr>
          <w:rFonts w:cs="Arial"/>
        </w:rPr>
        <w:t xml:space="preserve">In the PASI 90 non-responders at week 16 who were </w:t>
      </w:r>
      <w:proofErr w:type="gramStart"/>
      <w:r w:rsidRPr="00B64CA9">
        <w:rPr>
          <w:rFonts w:cs="Arial"/>
        </w:rPr>
        <w:t>up-titrated</w:t>
      </w:r>
      <w:proofErr w:type="gramEnd"/>
      <w:r w:rsidRPr="00B64CA9">
        <w:rPr>
          <w:rFonts w:cs="Arial"/>
        </w:rPr>
        <w:t xml:space="preserve"> to </w:t>
      </w:r>
      <w:proofErr w:type="spellStart"/>
      <w:r w:rsidRPr="00B64CA9">
        <w:rPr>
          <w:rFonts w:cs="Arial"/>
        </w:rPr>
        <w:t>secukinumab</w:t>
      </w:r>
      <w:proofErr w:type="spellEnd"/>
      <w:r w:rsidRPr="00B64CA9">
        <w:rPr>
          <w:rFonts w:cs="Arial"/>
        </w:rPr>
        <w:t xml:space="preserve"> 300 mg Q2W, the PASI 90 response rates improved compared to those who remained on the </w:t>
      </w:r>
      <w:proofErr w:type="spellStart"/>
      <w:r w:rsidRPr="00B64CA9">
        <w:rPr>
          <w:rFonts w:cs="Arial"/>
        </w:rPr>
        <w:t>secukinumab</w:t>
      </w:r>
      <w:proofErr w:type="spellEnd"/>
      <w:r w:rsidRPr="00B64CA9">
        <w:rPr>
          <w:rFonts w:cs="Arial"/>
        </w:rPr>
        <w:t xml:space="preserve"> 300 mg Q4W dosing regimen, while the IGA mod 2011 0/1 response rates remained stable over time in both treatment groups.</w:t>
      </w:r>
    </w:p>
    <w:p w14:paraId="21BAEC00" w14:textId="77777777" w:rsidR="005A26F4" w:rsidRPr="00B64CA9" w:rsidRDefault="005A26F4" w:rsidP="005A26F4">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300 mg/2 mL pre-filled syringe and 300 mg/2 mL pre-filled pen</w:t>
      </w:r>
    </w:p>
    <w:p w14:paraId="1AFC8D3A" w14:textId="77777777" w:rsidR="005A26F4" w:rsidRPr="00B64CA9" w:rsidRDefault="005A26F4" w:rsidP="005A26F4">
      <w:pPr>
        <w:jc w:val="both"/>
        <w:rPr>
          <w:rFonts w:cs="Arial"/>
        </w:rPr>
      </w:pPr>
      <w:r w:rsidRPr="00B64CA9">
        <w:rPr>
          <w:rFonts w:cs="Arial"/>
        </w:rPr>
        <w:t>The results of the studies ALLURE and MATURE showed similar safety, efficacy, and overall patient experience in patients that received one injection of 300 mg and those that received 2 injections of 150 mg, with both the PFS and AI device.</w:t>
      </w:r>
    </w:p>
    <w:p w14:paraId="65C299A6" w14:textId="77777777" w:rsidR="005A26F4" w:rsidRPr="00B64CA9" w:rsidRDefault="005A26F4" w:rsidP="005A26F4">
      <w:pPr>
        <w:spacing w:after="120"/>
        <w:jc w:val="both"/>
        <w:rPr>
          <w:rFonts w:asciiTheme="majorHAnsi" w:eastAsiaTheme="majorEastAsia" w:hAnsiTheme="majorHAnsi" w:cstheme="minorHAnsi"/>
          <w:b/>
          <w:bCs/>
          <w:i/>
        </w:rPr>
      </w:pPr>
      <w:r w:rsidRPr="00B64CA9">
        <w:rPr>
          <w:rFonts w:asciiTheme="majorHAnsi" w:eastAsiaTheme="majorEastAsia" w:hAnsiTheme="majorHAnsi" w:cstheme="minorHAnsi"/>
          <w:b/>
          <w:bCs/>
          <w:i/>
        </w:rPr>
        <w:t>Paediatric patients</w:t>
      </w:r>
    </w:p>
    <w:p w14:paraId="758D5C41" w14:textId="77777777" w:rsidR="005A26F4" w:rsidRPr="00B64CA9" w:rsidRDefault="005A26F4" w:rsidP="005A26F4">
      <w:pPr>
        <w:rPr>
          <w:rFonts w:cs="Arial"/>
        </w:rPr>
      </w:pPr>
      <w:r w:rsidRPr="00B64CA9">
        <w:rPr>
          <w:rFonts w:cs="Arial"/>
        </w:rPr>
        <w:t xml:space="preserve">The safety and efficacy of Cosentyx in paediatric plaque psoriasis patients aged 6 to less than 18 years were assessed in two phase III studies, A2310 (severe psoriasis) and A2311 (moderate to severe psoriasis). The age and weigh distribution </w:t>
      </w:r>
      <w:proofErr w:type="gramStart"/>
      <w:r w:rsidRPr="00B64CA9">
        <w:rPr>
          <w:rFonts w:cs="Arial"/>
        </w:rPr>
        <w:t>is</w:t>
      </w:r>
      <w:proofErr w:type="gramEnd"/>
      <w:r w:rsidRPr="00B64CA9">
        <w:rPr>
          <w:rFonts w:cs="Arial"/>
        </w:rPr>
        <w:t xml:space="preserve"> presented in table 11.</w:t>
      </w:r>
    </w:p>
    <w:p w14:paraId="4B19197B" w14:textId="77777777" w:rsidR="005A26F4" w:rsidRPr="00B64CA9" w:rsidRDefault="005A26F4" w:rsidP="005A26F4">
      <w:pPr>
        <w:jc w:val="both"/>
        <w:rPr>
          <w:rFonts w:ascii="Arial" w:eastAsia="MS Gothic" w:hAnsi="Arial" w:cs="Arial"/>
          <w:b/>
          <w:sz w:val="20"/>
          <w:szCs w:val="20"/>
          <w:lang w:eastAsia="zh-CN"/>
        </w:rPr>
      </w:pPr>
      <w:r w:rsidRPr="00B64CA9">
        <w:rPr>
          <w:rFonts w:ascii="Arial" w:eastAsia="MS Gothic" w:hAnsi="Arial" w:cs="Arial"/>
          <w:b/>
          <w:sz w:val="20"/>
          <w:szCs w:val="20"/>
          <w:lang w:eastAsia="zh-CN"/>
        </w:rPr>
        <w:t>Table 11</w:t>
      </w:r>
      <w:r w:rsidRPr="00B64CA9">
        <w:rPr>
          <w:rFonts w:ascii="Arial" w:eastAsia="MS Gothic" w:hAnsi="Arial" w:cs="Arial"/>
          <w:b/>
          <w:sz w:val="20"/>
          <w:szCs w:val="20"/>
          <w:lang w:eastAsia="zh-CN"/>
        </w:rPr>
        <w:tab/>
        <w:t xml:space="preserve">Number of paediatric patients by dose, </w:t>
      </w:r>
      <w:proofErr w:type="gramStart"/>
      <w:r w:rsidRPr="00B64CA9">
        <w:rPr>
          <w:rFonts w:ascii="Arial" w:eastAsia="MS Gothic" w:hAnsi="Arial" w:cs="Arial"/>
          <w:b/>
          <w:sz w:val="20"/>
          <w:szCs w:val="20"/>
          <w:lang w:eastAsia="zh-CN"/>
        </w:rPr>
        <w:t>weight</w:t>
      </w:r>
      <w:proofErr w:type="gramEnd"/>
      <w:r w:rsidRPr="00B64CA9">
        <w:rPr>
          <w:rFonts w:ascii="Arial" w:eastAsia="MS Gothic" w:hAnsi="Arial" w:cs="Arial"/>
          <w:b/>
          <w:sz w:val="20"/>
          <w:szCs w:val="20"/>
          <w:lang w:eastAsia="zh-CN"/>
        </w:rPr>
        <w:t xml:space="preserve"> and age groups</w:t>
      </w:r>
    </w:p>
    <w:tbl>
      <w:tblPr>
        <w:tblStyle w:val="TableGrid1"/>
        <w:tblW w:w="0" w:type="auto"/>
        <w:tblLayout w:type="fixed"/>
        <w:tblLook w:val="04A0" w:firstRow="1" w:lastRow="0" w:firstColumn="1" w:lastColumn="0" w:noHBand="0" w:noVBand="1"/>
      </w:tblPr>
      <w:tblGrid>
        <w:gridCol w:w="1415"/>
        <w:gridCol w:w="1415"/>
        <w:gridCol w:w="1453"/>
        <w:gridCol w:w="1453"/>
        <w:gridCol w:w="1453"/>
        <w:gridCol w:w="1455"/>
      </w:tblGrid>
      <w:tr w:rsidR="005A26F4" w:rsidRPr="00B64CA9" w14:paraId="38239978" w14:textId="77777777" w:rsidTr="005A26F4">
        <w:trPr>
          <w:trHeight w:val="30"/>
        </w:trPr>
        <w:tc>
          <w:tcPr>
            <w:tcW w:w="1415" w:type="dxa"/>
            <w:vMerge w:val="restart"/>
          </w:tcPr>
          <w:p w14:paraId="1CF364DE"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Variable</w:t>
            </w:r>
          </w:p>
        </w:tc>
        <w:tc>
          <w:tcPr>
            <w:tcW w:w="1415" w:type="dxa"/>
            <w:vMerge w:val="restart"/>
          </w:tcPr>
          <w:p w14:paraId="407162AE"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Subgroups</w:t>
            </w:r>
          </w:p>
        </w:tc>
        <w:tc>
          <w:tcPr>
            <w:tcW w:w="2904" w:type="dxa"/>
            <w:gridSpan w:val="2"/>
          </w:tcPr>
          <w:p w14:paraId="58E3725E"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 xml:space="preserve">A2311 study </w:t>
            </w:r>
          </w:p>
          <w:p w14:paraId="28A77317"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w:t>
            </w:r>
            <w:proofErr w:type="gramStart"/>
            <w:r w:rsidRPr="00B64CA9">
              <w:rPr>
                <w:rFonts w:ascii="Arial" w:eastAsia="MS Mincho" w:hAnsi="Arial" w:cs="Arial"/>
                <w:b/>
                <w:sz w:val="18"/>
                <w:szCs w:val="18"/>
                <w:lang w:eastAsia="zh-CN"/>
              </w:rPr>
              <w:t>moderate</w:t>
            </w:r>
            <w:proofErr w:type="gramEnd"/>
            <w:r w:rsidRPr="00B64CA9">
              <w:rPr>
                <w:rFonts w:ascii="Arial" w:eastAsia="MS Mincho" w:hAnsi="Arial" w:cs="Arial"/>
                <w:b/>
                <w:sz w:val="18"/>
                <w:szCs w:val="18"/>
                <w:lang w:eastAsia="zh-CN"/>
              </w:rPr>
              <w:t xml:space="preserve"> to severe psoriasis)</w:t>
            </w:r>
          </w:p>
        </w:tc>
        <w:tc>
          <w:tcPr>
            <w:tcW w:w="2908" w:type="dxa"/>
            <w:gridSpan w:val="2"/>
          </w:tcPr>
          <w:p w14:paraId="3AF70542"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 xml:space="preserve">A2310 study </w:t>
            </w:r>
          </w:p>
          <w:p w14:paraId="31918EE4" w14:textId="77777777" w:rsidR="005A26F4" w:rsidRPr="00B64CA9" w:rsidRDefault="005A26F4" w:rsidP="005A26F4">
            <w:pPr>
              <w:keepNext/>
              <w:widowControl w:val="0"/>
              <w:spacing w:before="40"/>
              <w:rPr>
                <w:rFonts w:ascii="Arial" w:eastAsia="MS Mincho" w:hAnsi="Arial" w:cs="Arial"/>
                <w:b/>
                <w:sz w:val="18"/>
                <w:szCs w:val="18"/>
                <w:lang w:eastAsia="zh-CN"/>
              </w:rPr>
            </w:pPr>
            <w:r w:rsidRPr="00B64CA9">
              <w:rPr>
                <w:rFonts w:ascii="Arial" w:eastAsia="MS Mincho" w:hAnsi="Arial" w:cs="Arial"/>
                <w:b/>
                <w:sz w:val="18"/>
                <w:szCs w:val="18"/>
                <w:lang w:eastAsia="zh-CN"/>
              </w:rPr>
              <w:t>(</w:t>
            </w:r>
            <w:proofErr w:type="gramStart"/>
            <w:r w:rsidRPr="00B64CA9">
              <w:rPr>
                <w:rFonts w:ascii="Arial" w:eastAsia="MS Mincho" w:hAnsi="Arial" w:cs="Arial"/>
                <w:b/>
                <w:sz w:val="18"/>
                <w:szCs w:val="18"/>
                <w:lang w:eastAsia="zh-CN"/>
              </w:rPr>
              <w:t>severe</w:t>
            </w:r>
            <w:proofErr w:type="gramEnd"/>
            <w:r w:rsidRPr="00B64CA9">
              <w:rPr>
                <w:rFonts w:ascii="Arial" w:eastAsia="MS Mincho" w:hAnsi="Arial" w:cs="Arial"/>
                <w:b/>
                <w:sz w:val="18"/>
                <w:szCs w:val="18"/>
                <w:lang w:eastAsia="zh-CN"/>
              </w:rPr>
              <w:t xml:space="preserve"> psoriasis)</w:t>
            </w:r>
          </w:p>
        </w:tc>
      </w:tr>
      <w:tr w:rsidR="005A26F4" w:rsidRPr="00B64CA9" w14:paraId="791BD3A9" w14:textId="77777777" w:rsidTr="005A26F4">
        <w:trPr>
          <w:trHeight w:val="30"/>
        </w:trPr>
        <w:tc>
          <w:tcPr>
            <w:tcW w:w="1415" w:type="dxa"/>
            <w:vMerge/>
          </w:tcPr>
          <w:p w14:paraId="48C365DD" w14:textId="77777777" w:rsidR="005A26F4" w:rsidRPr="00B64CA9" w:rsidRDefault="005A26F4" w:rsidP="005A26F4">
            <w:pPr>
              <w:keepNext/>
              <w:widowControl w:val="0"/>
              <w:spacing w:before="40"/>
              <w:rPr>
                <w:rFonts w:ascii="Arial" w:eastAsia="MS Mincho" w:hAnsi="Arial" w:cs="Arial"/>
                <w:b/>
                <w:sz w:val="18"/>
                <w:szCs w:val="18"/>
                <w:lang w:eastAsia="zh-CN"/>
              </w:rPr>
            </w:pPr>
          </w:p>
        </w:tc>
        <w:tc>
          <w:tcPr>
            <w:tcW w:w="1415" w:type="dxa"/>
            <w:vMerge/>
          </w:tcPr>
          <w:p w14:paraId="0B279DE3" w14:textId="77777777" w:rsidR="005A26F4" w:rsidRPr="00B64CA9" w:rsidRDefault="005A26F4" w:rsidP="005A26F4">
            <w:pPr>
              <w:keepNext/>
              <w:widowControl w:val="0"/>
              <w:spacing w:before="40"/>
              <w:rPr>
                <w:rFonts w:ascii="Arial" w:eastAsia="MS Mincho" w:hAnsi="Arial" w:cs="Arial"/>
                <w:b/>
                <w:sz w:val="18"/>
                <w:szCs w:val="18"/>
                <w:lang w:eastAsia="zh-CN"/>
              </w:rPr>
            </w:pPr>
          </w:p>
        </w:tc>
        <w:tc>
          <w:tcPr>
            <w:tcW w:w="1453" w:type="dxa"/>
          </w:tcPr>
          <w:p w14:paraId="09E0D5B3" w14:textId="77777777" w:rsidR="005A26F4" w:rsidRPr="00B64CA9" w:rsidRDefault="005A26F4" w:rsidP="005A26F4">
            <w:pPr>
              <w:keepNext/>
              <w:widowControl w:val="0"/>
              <w:spacing w:before="40"/>
              <w:rPr>
                <w:rFonts w:ascii="Arial" w:eastAsia="MS Mincho" w:hAnsi="Arial" w:cs="Arial"/>
                <w:b/>
                <w:sz w:val="18"/>
                <w:szCs w:val="18"/>
                <w:lang w:eastAsia="zh-CN"/>
              </w:rPr>
            </w:pPr>
            <w:proofErr w:type="gramStart"/>
            <w:r w:rsidRPr="00B64CA9">
              <w:rPr>
                <w:rFonts w:ascii="Arial" w:eastAsia="MS Mincho" w:hAnsi="Arial" w:cs="Arial"/>
                <w:b/>
                <w:sz w:val="18"/>
                <w:szCs w:val="18"/>
                <w:lang w:eastAsia="zh-CN"/>
              </w:rPr>
              <w:t>Low-dose</w:t>
            </w:r>
            <w:proofErr w:type="gramEnd"/>
          </w:p>
        </w:tc>
        <w:tc>
          <w:tcPr>
            <w:tcW w:w="1453" w:type="dxa"/>
          </w:tcPr>
          <w:p w14:paraId="1172EB67" w14:textId="77777777" w:rsidR="005A26F4" w:rsidRPr="00B64CA9" w:rsidRDefault="005A26F4" w:rsidP="005A26F4">
            <w:pPr>
              <w:keepNext/>
              <w:widowControl w:val="0"/>
              <w:spacing w:before="40"/>
              <w:rPr>
                <w:rFonts w:ascii="Arial" w:eastAsia="MS Mincho" w:hAnsi="Arial" w:cs="Arial"/>
                <w:b/>
                <w:sz w:val="18"/>
                <w:szCs w:val="18"/>
                <w:lang w:eastAsia="zh-CN"/>
              </w:rPr>
            </w:pPr>
            <w:proofErr w:type="gramStart"/>
            <w:r w:rsidRPr="00B64CA9">
              <w:rPr>
                <w:rFonts w:ascii="Arial" w:eastAsia="MS Mincho" w:hAnsi="Arial" w:cs="Arial"/>
                <w:b/>
                <w:sz w:val="18"/>
                <w:szCs w:val="18"/>
                <w:lang w:eastAsia="zh-CN"/>
              </w:rPr>
              <w:t>High-dose</w:t>
            </w:r>
            <w:proofErr w:type="gramEnd"/>
          </w:p>
        </w:tc>
        <w:tc>
          <w:tcPr>
            <w:tcW w:w="1453" w:type="dxa"/>
          </w:tcPr>
          <w:p w14:paraId="00BD8AD0" w14:textId="77777777" w:rsidR="005A26F4" w:rsidRPr="00B64CA9" w:rsidRDefault="005A26F4" w:rsidP="005A26F4">
            <w:pPr>
              <w:keepNext/>
              <w:widowControl w:val="0"/>
              <w:spacing w:before="40"/>
              <w:rPr>
                <w:rFonts w:ascii="Arial" w:eastAsia="MS Mincho" w:hAnsi="Arial" w:cs="Arial"/>
                <w:b/>
                <w:sz w:val="18"/>
                <w:szCs w:val="18"/>
                <w:lang w:eastAsia="zh-CN"/>
              </w:rPr>
            </w:pPr>
            <w:proofErr w:type="gramStart"/>
            <w:r w:rsidRPr="00B64CA9">
              <w:rPr>
                <w:rFonts w:ascii="Arial" w:eastAsia="MS Mincho" w:hAnsi="Arial" w:cs="Arial"/>
                <w:b/>
                <w:sz w:val="18"/>
                <w:szCs w:val="18"/>
                <w:lang w:eastAsia="zh-CN"/>
              </w:rPr>
              <w:t>Low-dose</w:t>
            </w:r>
            <w:proofErr w:type="gramEnd"/>
          </w:p>
        </w:tc>
        <w:tc>
          <w:tcPr>
            <w:tcW w:w="1453" w:type="dxa"/>
          </w:tcPr>
          <w:p w14:paraId="0283107A" w14:textId="77777777" w:rsidR="005A26F4" w:rsidRPr="00B64CA9" w:rsidRDefault="005A26F4" w:rsidP="005A26F4">
            <w:pPr>
              <w:keepNext/>
              <w:widowControl w:val="0"/>
              <w:spacing w:before="40"/>
              <w:rPr>
                <w:rFonts w:ascii="Arial" w:eastAsia="MS Mincho" w:hAnsi="Arial" w:cs="Arial"/>
                <w:b/>
                <w:sz w:val="18"/>
                <w:szCs w:val="18"/>
                <w:lang w:eastAsia="zh-CN"/>
              </w:rPr>
            </w:pPr>
            <w:proofErr w:type="gramStart"/>
            <w:r w:rsidRPr="00B64CA9">
              <w:rPr>
                <w:rFonts w:ascii="Arial" w:eastAsia="MS Mincho" w:hAnsi="Arial" w:cs="Arial"/>
                <w:b/>
                <w:sz w:val="18"/>
                <w:szCs w:val="18"/>
                <w:lang w:eastAsia="zh-CN"/>
              </w:rPr>
              <w:t>High-dose</w:t>
            </w:r>
            <w:proofErr w:type="gramEnd"/>
          </w:p>
        </w:tc>
      </w:tr>
      <w:tr w:rsidR="005A26F4" w:rsidRPr="00B64CA9" w14:paraId="570BE2F3" w14:textId="77777777" w:rsidTr="005A26F4">
        <w:trPr>
          <w:trHeight w:val="30"/>
        </w:trPr>
        <w:tc>
          <w:tcPr>
            <w:tcW w:w="1415" w:type="dxa"/>
            <w:vMerge w:val="restart"/>
          </w:tcPr>
          <w:p w14:paraId="3B9400B4" w14:textId="77777777" w:rsidR="005A26F4" w:rsidRPr="00B64CA9" w:rsidRDefault="005A26F4" w:rsidP="005A26F4">
            <w:pPr>
              <w:keepNext/>
              <w:widowControl w:val="0"/>
              <w:spacing w:before="40"/>
              <w:rPr>
                <w:rFonts w:ascii="Arial" w:eastAsia="MS Mincho" w:hAnsi="Arial" w:cs="Arial"/>
                <w:sz w:val="18"/>
                <w:szCs w:val="18"/>
                <w:lang w:eastAsia="zh-CN"/>
              </w:rPr>
            </w:pPr>
            <w:r w:rsidRPr="00B64CA9">
              <w:rPr>
                <w:rFonts w:ascii="Arial" w:eastAsia="MS Mincho" w:hAnsi="Arial" w:cs="Arial"/>
                <w:sz w:val="18"/>
                <w:szCs w:val="18"/>
                <w:lang w:eastAsia="zh-CN"/>
              </w:rPr>
              <w:t xml:space="preserve">Age </w:t>
            </w:r>
          </w:p>
        </w:tc>
        <w:tc>
          <w:tcPr>
            <w:tcW w:w="1415" w:type="dxa"/>
          </w:tcPr>
          <w:p w14:paraId="37EBBFC0" w14:textId="77777777" w:rsidR="005A26F4" w:rsidRPr="00B64CA9" w:rsidRDefault="005A26F4" w:rsidP="005A26F4">
            <w:pPr>
              <w:keepNext/>
              <w:widowControl w:val="0"/>
              <w:spacing w:before="40"/>
              <w:rPr>
                <w:rFonts w:ascii="Arial" w:eastAsia="MS Mincho" w:hAnsi="Arial" w:cs="Arial"/>
                <w:sz w:val="18"/>
                <w:szCs w:val="18"/>
                <w:lang w:eastAsia="zh-CN"/>
              </w:rPr>
            </w:pPr>
            <w:r w:rsidRPr="00B64CA9">
              <w:rPr>
                <w:rFonts w:ascii="Arial" w:eastAsia="MS Mincho" w:hAnsi="Arial" w:cs="Arial"/>
                <w:sz w:val="18"/>
                <w:szCs w:val="18"/>
                <w:lang w:eastAsia="zh-CN"/>
              </w:rPr>
              <w:t>&lt;12 years</w:t>
            </w:r>
          </w:p>
        </w:tc>
        <w:tc>
          <w:tcPr>
            <w:tcW w:w="1453" w:type="dxa"/>
          </w:tcPr>
          <w:p w14:paraId="6A27F1BA"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17</w:t>
            </w:r>
          </w:p>
        </w:tc>
        <w:tc>
          <w:tcPr>
            <w:tcW w:w="1453" w:type="dxa"/>
          </w:tcPr>
          <w:p w14:paraId="197169A1"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16</w:t>
            </w:r>
          </w:p>
        </w:tc>
        <w:tc>
          <w:tcPr>
            <w:tcW w:w="1453" w:type="dxa"/>
          </w:tcPr>
          <w:p w14:paraId="2EEDFF09"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8</w:t>
            </w:r>
          </w:p>
        </w:tc>
        <w:tc>
          <w:tcPr>
            <w:tcW w:w="1453" w:type="dxa"/>
          </w:tcPr>
          <w:p w14:paraId="7B5DC2EC"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9</w:t>
            </w:r>
          </w:p>
        </w:tc>
      </w:tr>
      <w:tr w:rsidR="005A26F4" w:rsidRPr="00B64CA9" w14:paraId="2AF76ED7" w14:textId="77777777" w:rsidTr="005A26F4">
        <w:trPr>
          <w:trHeight w:val="30"/>
        </w:trPr>
        <w:tc>
          <w:tcPr>
            <w:tcW w:w="1415" w:type="dxa"/>
            <w:vMerge/>
          </w:tcPr>
          <w:p w14:paraId="7E0E70FF" w14:textId="77777777" w:rsidR="005A26F4" w:rsidRPr="00B64CA9" w:rsidRDefault="005A26F4" w:rsidP="005A26F4">
            <w:pPr>
              <w:keepNext/>
              <w:widowControl w:val="0"/>
              <w:spacing w:before="40"/>
              <w:rPr>
                <w:rFonts w:ascii="Arial" w:eastAsia="MS Mincho" w:hAnsi="Arial" w:cs="Arial"/>
                <w:sz w:val="18"/>
                <w:szCs w:val="18"/>
                <w:lang w:eastAsia="zh-CN"/>
              </w:rPr>
            </w:pPr>
          </w:p>
        </w:tc>
        <w:tc>
          <w:tcPr>
            <w:tcW w:w="1415" w:type="dxa"/>
          </w:tcPr>
          <w:p w14:paraId="0B11D5FC" w14:textId="77777777" w:rsidR="005A26F4" w:rsidRPr="00B64CA9" w:rsidRDefault="005A26F4" w:rsidP="005A26F4">
            <w:pPr>
              <w:keepNext/>
              <w:widowControl w:val="0"/>
              <w:spacing w:before="40"/>
              <w:rPr>
                <w:rFonts w:ascii="Arial" w:eastAsia="MS Mincho" w:hAnsi="Arial" w:cs="Arial"/>
                <w:sz w:val="18"/>
                <w:szCs w:val="18"/>
                <w:lang w:eastAsia="zh-CN"/>
              </w:rPr>
            </w:pPr>
            <w:r w:rsidRPr="00B64CA9">
              <w:rPr>
                <w:rFonts w:ascii="Arial" w:eastAsia="MS Mincho" w:hAnsi="Arial" w:cs="Arial"/>
                <w:sz w:val="18"/>
                <w:szCs w:val="18"/>
                <w:lang w:eastAsia="zh-CN"/>
              </w:rPr>
              <w:t>≥12 years</w:t>
            </w:r>
          </w:p>
        </w:tc>
        <w:tc>
          <w:tcPr>
            <w:tcW w:w="1453" w:type="dxa"/>
          </w:tcPr>
          <w:p w14:paraId="464AD507"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25</w:t>
            </w:r>
          </w:p>
        </w:tc>
        <w:tc>
          <w:tcPr>
            <w:tcW w:w="1453" w:type="dxa"/>
          </w:tcPr>
          <w:p w14:paraId="3FDB3506"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26</w:t>
            </w:r>
          </w:p>
        </w:tc>
        <w:tc>
          <w:tcPr>
            <w:tcW w:w="1453" w:type="dxa"/>
          </w:tcPr>
          <w:p w14:paraId="578E0BF5"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32</w:t>
            </w:r>
          </w:p>
        </w:tc>
        <w:tc>
          <w:tcPr>
            <w:tcW w:w="1453" w:type="dxa"/>
          </w:tcPr>
          <w:p w14:paraId="7F6D9B9A"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31</w:t>
            </w:r>
          </w:p>
        </w:tc>
      </w:tr>
      <w:tr w:rsidR="005A26F4" w:rsidRPr="00B64CA9" w14:paraId="5C8517BD" w14:textId="77777777" w:rsidTr="005A26F4">
        <w:trPr>
          <w:trHeight w:val="30"/>
        </w:trPr>
        <w:tc>
          <w:tcPr>
            <w:tcW w:w="1415" w:type="dxa"/>
            <w:vMerge w:val="restart"/>
          </w:tcPr>
          <w:p w14:paraId="7163E660" w14:textId="77777777" w:rsidR="005A26F4" w:rsidRPr="00B64CA9" w:rsidRDefault="005A26F4" w:rsidP="005A26F4">
            <w:pPr>
              <w:keepNext/>
              <w:widowControl w:val="0"/>
              <w:spacing w:before="40"/>
              <w:rPr>
                <w:rFonts w:ascii="Arial" w:eastAsia="MS Mincho" w:hAnsi="Arial" w:cs="Arial"/>
                <w:sz w:val="18"/>
                <w:szCs w:val="18"/>
                <w:lang w:eastAsia="zh-CN"/>
              </w:rPr>
            </w:pPr>
            <w:r w:rsidRPr="00B64CA9">
              <w:rPr>
                <w:rFonts w:ascii="Arial" w:eastAsia="MS Mincho" w:hAnsi="Arial" w:cs="Arial"/>
                <w:sz w:val="18"/>
                <w:szCs w:val="18"/>
                <w:lang w:eastAsia="zh-CN"/>
              </w:rPr>
              <w:t>Weight</w:t>
            </w:r>
          </w:p>
        </w:tc>
        <w:tc>
          <w:tcPr>
            <w:tcW w:w="1415" w:type="dxa"/>
          </w:tcPr>
          <w:p w14:paraId="2089DA87" w14:textId="77777777" w:rsidR="005A26F4" w:rsidRPr="00B64CA9" w:rsidRDefault="005A26F4" w:rsidP="005A26F4">
            <w:pPr>
              <w:keepNext/>
              <w:widowControl w:val="0"/>
              <w:spacing w:before="40"/>
              <w:rPr>
                <w:rFonts w:ascii="Arial" w:eastAsia="MS Mincho" w:hAnsi="Arial" w:cs="Arial"/>
                <w:sz w:val="18"/>
                <w:szCs w:val="18"/>
                <w:lang w:eastAsia="zh-CN"/>
              </w:rPr>
            </w:pPr>
            <w:r w:rsidRPr="00B64CA9">
              <w:rPr>
                <w:rFonts w:ascii="Arial" w:eastAsia="MS Mincho" w:hAnsi="Arial" w:cs="Arial"/>
                <w:sz w:val="18"/>
                <w:szCs w:val="18"/>
                <w:lang w:eastAsia="zh-CN"/>
              </w:rPr>
              <w:t>&lt;25 kg*</w:t>
            </w:r>
          </w:p>
        </w:tc>
        <w:tc>
          <w:tcPr>
            <w:tcW w:w="2906" w:type="dxa"/>
            <w:gridSpan w:val="2"/>
          </w:tcPr>
          <w:p w14:paraId="63912503"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8</w:t>
            </w:r>
          </w:p>
        </w:tc>
        <w:tc>
          <w:tcPr>
            <w:tcW w:w="2906" w:type="dxa"/>
            <w:gridSpan w:val="2"/>
          </w:tcPr>
          <w:p w14:paraId="5245D83A" w14:textId="77777777" w:rsidR="005A26F4" w:rsidRPr="00B64CA9" w:rsidRDefault="005A26F4" w:rsidP="00B64CA9">
            <w:pPr>
              <w:keepNext/>
              <w:widowControl w:val="0"/>
              <w:spacing w:before="40"/>
              <w:jc w:val="center"/>
              <w:rPr>
                <w:rFonts w:ascii="Arial" w:eastAsia="MS Mincho" w:hAnsi="Arial" w:cs="Arial"/>
                <w:sz w:val="18"/>
                <w:szCs w:val="18"/>
                <w:lang w:eastAsia="zh-CN"/>
              </w:rPr>
            </w:pPr>
            <w:r w:rsidRPr="00B64CA9">
              <w:rPr>
                <w:rFonts w:ascii="Arial" w:eastAsia="MS Mincho" w:hAnsi="Arial" w:cs="Arial"/>
                <w:sz w:val="18"/>
                <w:szCs w:val="18"/>
                <w:lang w:eastAsia="zh-CN"/>
              </w:rPr>
              <w:t>5</w:t>
            </w:r>
          </w:p>
        </w:tc>
      </w:tr>
      <w:tr w:rsidR="005A26F4" w:rsidRPr="00B64CA9" w14:paraId="2872C54B" w14:textId="77777777" w:rsidTr="005A26F4">
        <w:trPr>
          <w:trHeight w:val="30"/>
        </w:trPr>
        <w:tc>
          <w:tcPr>
            <w:tcW w:w="1415" w:type="dxa"/>
            <w:vMerge/>
          </w:tcPr>
          <w:p w14:paraId="78EC925C" w14:textId="77777777" w:rsidR="005A26F4" w:rsidRPr="00B64CA9" w:rsidRDefault="005A26F4" w:rsidP="005A26F4">
            <w:pPr>
              <w:rPr>
                <w:rFonts w:ascii="Arial" w:hAnsi="Arial" w:cs="Arial"/>
              </w:rPr>
            </w:pPr>
          </w:p>
        </w:tc>
        <w:tc>
          <w:tcPr>
            <w:tcW w:w="1415" w:type="dxa"/>
          </w:tcPr>
          <w:p w14:paraId="26B7D86C" w14:textId="77777777" w:rsidR="005A26F4" w:rsidRPr="00B64CA9" w:rsidRDefault="005A26F4" w:rsidP="005A26F4">
            <w:pPr>
              <w:rPr>
                <w:rFonts w:ascii="Arial" w:hAnsi="Arial" w:cs="Arial"/>
              </w:rPr>
            </w:pPr>
            <w:r w:rsidRPr="00B64CA9">
              <w:rPr>
                <w:rFonts w:ascii="Arial" w:hAnsi="Arial" w:cs="Arial"/>
                <w:color w:val="000000" w:themeColor="text1"/>
                <w:sz w:val="18"/>
                <w:szCs w:val="18"/>
              </w:rPr>
              <w:t>25−&lt;50 kg</w:t>
            </w:r>
          </w:p>
        </w:tc>
        <w:tc>
          <w:tcPr>
            <w:tcW w:w="1453" w:type="dxa"/>
          </w:tcPr>
          <w:p w14:paraId="75F66A98"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13</w:t>
            </w:r>
          </w:p>
        </w:tc>
        <w:tc>
          <w:tcPr>
            <w:tcW w:w="1453" w:type="dxa"/>
          </w:tcPr>
          <w:p w14:paraId="09642E60"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12</w:t>
            </w:r>
          </w:p>
        </w:tc>
        <w:tc>
          <w:tcPr>
            <w:tcW w:w="1453" w:type="dxa"/>
          </w:tcPr>
          <w:p w14:paraId="6353D4BE"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17</w:t>
            </w:r>
          </w:p>
        </w:tc>
        <w:tc>
          <w:tcPr>
            <w:tcW w:w="1453" w:type="dxa"/>
          </w:tcPr>
          <w:p w14:paraId="22155BE3"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15</w:t>
            </w:r>
          </w:p>
        </w:tc>
      </w:tr>
      <w:tr w:rsidR="005A26F4" w:rsidRPr="00B64CA9" w14:paraId="3B7EA246" w14:textId="77777777" w:rsidTr="005A26F4">
        <w:trPr>
          <w:trHeight w:val="30"/>
        </w:trPr>
        <w:tc>
          <w:tcPr>
            <w:tcW w:w="1415" w:type="dxa"/>
            <w:vMerge/>
          </w:tcPr>
          <w:p w14:paraId="5607A011" w14:textId="77777777" w:rsidR="005A26F4" w:rsidRPr="00B64CA9" w:rsidRDefault="005A26F4" w:rsidP="005A26F4">
            <w:pPr>
              <w:rPr>
                <w:rFonts w:ascii="Arial" w:hAnsi="Arial" w:cs="Arial"/>
              </w:rPr>
            </w:pPr>
          </w:p>
        </w:tc>
        <w:tc>
          <w:tcPr>
            <w:tcW w:w="1415" w:type="dxa"/>
          </w:tcPr>
          <w:p w14:paraId="7D949380" w14:textId="77777777" w:rsidR="005A26F4" w:rsidRPr="00B64CA9" w:rsidRDefault="005A26F4" w:rsidP="005A26F4">
            <w:pPr>
              <w:rPr>
                <w:rFonts w:ascii="Arial" w:hAnsi="Arial" w:cs="Arial"/>
              </w:rPr>
            </w:pPr>
            <w:r w:rsidRPr="00B64CA9">
              <w:rPr>
                <w:rFonts w:ascii="Arial" w:hAnsi="Arial" w:cs="Arial"/>
                <w:color w:val="000000" w:themeColor="text1"/>
                <w:sz w:val="18"/>
                <w:szCs w:val="18"/>
              </w:rPr>
              <w:t>≥50 kg</w:t>
            </w:r>
          </w:p>
        </w:tc>
        <w:tc>
          <w:tcPr>
            <w:tcW w:w="1453" w:type="dxa"/>
          </w:tcPr>
          <w:p w14:paraId="47EB81D9"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25</w:t>
            </w:r>
          </w:p>
        </w:tc>
        <w:tc>
          <w:tcPr>
            <w:tcW w:w="1453" w:type="dxa"/>
          </w:tcPr>
          <w:p w14:paraId="30E12E7C"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26</w:t>
            </w:r>
          </w:p>
        </w:tc>
        <w:tc>
          <w:tcPr>
            <w:tcW w:w="1453" w:type="dxa"/>
          </w:tcPr>
          <w:p w14:paraId="49C11DEB"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22</w:t>
            </w:r>
          </w:p>
        </w:tc>
        <w:tc>
          <w:tcPr>
            <w:tcW w:w="1453" w:type="dxa"/>
          </w:tcPr>
          <w:p w14:paraId="10A5962B" w14:textId="77777777" w:rsidR="005A26F4" w:rsidRPr="00B64CA9" w:rsidRDefault="005A26F4">
            <w:pPr>
              <w:jc w:val="center"/>
              <w:rPr>
                <w:rFonts w:ascii="Arial" w:hAnsi="Arial" w:cs="Arial"/>
                <w:color w:val="000000" w:themeColor="text1"/>
                <w:sz w:val="18"/>
                <w:szCs w:val="18"/>
              </w:rPr>
            </w:pPr>
            <w:r w:rsidRPr="00B64CA9">
              <w:rPr>
                <w:rFonts w:ascii="Arial" w:hAnsi="Arial" w:cs="Arial"/>
                <w:color w:val="000000" w:themeColor="text1"/>
                <w:sz w:val="18"/>
                <w:szCs w:val="18"/>
              </w:rPr>
              <w:t>21</w:t>
            </w:r>
          </w:p>
        </w:tc>
      </w:tr>
    </w:tbl>
    <w:p w14:paraId="0424292E" w14:textId="77777777" w:rsidR="005A26F4" w:rsidRPr="00B64CA9" w:rsidRDefault="005A26F4" w:rsidP="005A26F4">
      <w:pPr>
        <w:pStyle w:val="Legend"/>
        <w:rPr>
          <w:b/>
          <w:i/>
          <w:sz w:val="16"/>
        </w:rPr>
      </w:pPr>
      <w:r w:rsidRPr="00B64CA9">
        <w:rPr>
          <w:i/>
          <w:sz w:val="16"/>
        </w:rPr>
        <w:t>*</w:t>
      </w:r>
      <w:proofErr w:type="gramStart"/>
      <w:r w:rsidRPr="00B64CA9">
        <w:rPr>
          <w:i/>
          <w:sz w:val="16"/>
        </w:rPr>
        <w:t>patients</w:t>
      </w:r>
      <w:proofErr w:type="gramEnd"/>
      <w:r w:rsidRPr="00B64CA9">
        <w:rPr>
          <w:i/>
          <w:sz w:val="16"/>
        </w:rPr>
        <w:t xml:space="preserve"> weighing ≤ 25 kg receive 75 mg in either the Low or the High dose groups and thus are reported together </w:t>
      </w:r>
    </w:p>
    <w:p w14:paraId="7A4C83B4" w14:textId="77777777" w:rsidR="00B83E25" w:rsidRPr="00B64CA9" w:rsidRDefault="00B83E25" w:rsidP="005A26F4">
      <w:pPr>
        <w:rPr>
          <w:rFonts w:ascii="Arial" w:eastAsia="MS Mincho" w:hAnsi="Arial" w:cs="Arial"/>
          <w:bCs/>
          <w:sz w:val="20"/>
          <w:szCs w:val="18"/>
          <w:lang w:bidi="th-TH"/>
        </w:rPr>
      </w:pPr>
    </w:p>
    <w:p w14:paraId="646580DB" w14:textId="77777777" w:rsidR="005A26F4" w:rsidRPr="00B64CA9" w:rsidRDefault="005A26F4" w:rsidP="005A26F4">
      <w:pPr>
        <w:spacing w:after="120"/>
        <w:jc w:val="both"/>
        <w:rPr>
          <w:rFonts w:asciiTheme="majorHAnsi" w:eastAsiaTheme="majorEastAsia" w:hAnsiTheme="majorHAnsi" w:cstheme="minorHAnsi"/>
          <w:bCs/>
          <w:i/>
          <w:u w:val="single"/>
        </w:rPr>
      </w:pPr>
      <w:r w:rsidRPr="00B64CA9">
        <w:rPr>
          <w:rFonts w:asciiTheme="majorHAnsi" w:eastAsiaTheme="majorEastAsia" w:hAnsiTheme="majorHAnsi" w:cstheme="minorHAnsi"/>
          <w:bCs/>
          <w:i/>
          <w:u w:val="single"/>
        </w:rPr>
        <w:t>Severe plaque psoriasis</w:t>
      </w:r>
    </w:p>
    <w:p w14:paraId="250D4420" w14:textId="77777777" w:rsidR="005A26F4" w:rsidRPr="00B64CA9" w:rsidRDefault="005A26F4" w:rsidP="005A26F4">
      <w:pPr>
        <w:jc w:val="both"/>
        <w:rPr>
          <w:rFonts w:cs="Arial"/>
        </w:rPr>
      </w:pPr>
      <w:r w:rsidRPr="00B64CA9">
        <w:rPr>
          <w:rFonts w:cs="Arial"/>
        </w:rPr>
        <w:t>A 52-week, randomised, double-blind, placebo and etanercept-controlled phase III study enrolled 162 paediatric patients 6 to less than 18 years of age, with severe plaque psoriasis (as defined by a PASI score ≥20, an IGA mod 2011 score of 4, and involving ≥10% of the body surface area) who were candidates for systemic therapy. Approximately 43% had prior exposure to phototherapy, 53% to conventional systemic therapy, 3% to biologics, and 9% had concomitant psoriatic arthritis.</w:t>
      </w:r>
    </w:p>
    <w:p w14:paraId="08FB4F0D" w14:textId="77777777" w:rsidR="005A26F4" w:rsidRPr="00B64CA9" w:rsidRDefault="005A26F4" w:rsidP="005A26F4">
      <w:pPr>
        <w:jc w:val="both"/>
        <w:rPr>
          <w:rFonts w:cs="Arial"/>
        </w:rPr>
      </w:pPr>
      <w:r w:rsidRPr="00B64CA9">
        <w:rPr>
          <w:rFonts w:cs="Arial"/>
        </w:rPr>
        <w:t>Patients were randomised to receive one of the following four treatments:</w:t>
      </w:r>
    </w:p>
    <w:p w14:paraId="2C146DE1" w14:textId="77777777" w:rsidR="005A26F4" w:rsidRPr="00B64CA9" w:rsidRDefault="005A26F4" w:rsidP="005A26F4">
      <w:pPr>
        <w:numPr>
          <w:ilvl w:val="0"/>
          <w:numId w:val="54"/>
        </w:numPr>
        <w:jc w:val="both"/>
        <w:rPr>
          <w:rFonts w:cs="Arial"/>
        </w:rPr>
      </w:pPr>
      <w:r w:rsidRPr="00B64CA9">
        <w:rPr>
          <w:rFonts w:cs="Arial"/>
        </w:rPr>
        <w:t xml:space="preserve">low dose </w:t>
      </w:r>
      <w:proofErr w:type="spellStart"/>
      <w:r w:rsidRPr="00B64CA9">
        <w:rPr>
          <w:rFonts w:cs="Arial"/>
        </w:rPr>
        <w:t>secukinumab</w:t>
      </w:r>
      <w:proofErr w:type="spellEnd"/>
      <w:r w:rsidRPr="00B64CA9">
        <w:rPr>
          <w:rFonts w:cs="Arial"/>
        </w:rPr>
        <w:t xml:space="preserve"> (75 mg for body weight &lt;50 kg or 150 mg for body weight ≥50 kg) at Weeks 0, 1, 2, 3, and 4 followed by the same dose every 4 weeks, </w:t>
      </w:r>
    </w:p>
    <w:p w14:paraId="26C82782" w14:textId="77777777" w:rsidR="005A26F4" w:rsidRPr="00B64CA9" w:rsidRDefault="005A26F4" w:rsidP="005A26F4">
      <w:pPr>
        <w:numPr>
          <w:ilvl w:val="0"/>
          <w:numId w:val="54"/>
        </w:numPr>
        <w:jc w:val="both"/>
        <w:rPr>
          <w:rFonts w:cs="Arial"/>
        </w:rPr>
      </w:pPr>
      <w:r w:rsidRPr="00B64CA9">
        <w:rPr>
          <w:rFonts w:cs="Arial"/>
        </w:rPr>
        <w:t xml:space="preserve">high dose </w:t>
      </w:r>
      <w:proofErr w:type="spellStart"/>
      <w:r w:rsidRPr="00B64CA9">
        <w:rPr>
          <w:rFonts w:cs="Arial"/>
        </w:rPr>
        <w:t>secukinumab</w:t>
      </w:r>
      <w:proofErr w:type="spellEnd"/>
      <w:r w:rsidRPr="00B64CA9">
        <w:rPr>
          <w:rFonts w:cs="Arial"/>
        </w:rPr>
        <w:t xml:space="preserve"> (75 mg for body weight &lt;25 kg, 150 mg for body weight ≥25 kg and &lt;50 kg, or 300 mg for body weight ≥50 kg) at Weeks 0, 1, 2, 3, and 4 followed by the same dose every 4 weeks, </w:t>
      </w:r>
    </w:p>
    <w:p w14:paraId="67A066BD" w14:textId="77777777" w:rsidR="005A26F4" w:rsidRPr="00B64CA9" w:rsidRDefault="005A26F4" w:rsidP="005A26F4">
      <w:pPr>
        <w:numPr>
          <w:ilvl w:val="0"/>
          <w:numId w:val="54"/>
        </w:numPr>
        <w:jc w:val="both"/>
        <w:rPr>
          <w:rFonts w:cs="Arial"/>
        </w:rPr>
      </w:pPr>
      <w:r w:rsidRPr="00B64CA9">
        <w:rPr>
          <w:rFonts w:cs="Arial"/>
        </w:rPr>
        <w:t>placebo at Weeks 0, 1, 2, 3, and 4 followed by the same dose every 4 weeks</w:t>
      </w:r>
    </w:p>
    <w:p w14:paraId="0F924990" w14:textId="77777777" w:rsidR="005A26F4" w:rsidRPr="00B64CA9" w:rsidRDefault="005A26F4" w:rsidP="005A26F4">
      <w:pPr>
        <w:numPr>
          <w:ilvl w:val="0"/>
          <w:numId w:val="54"/>
        </w:numPr>
        <w:jc w:val="both"/>
        <w:rPr>
          <w:rFonts w:cs="Arial"/>
        </w:rPr>
      </w:pPr>
      <w:r w:rsidRPr="00B64CA9">
        <w:rPr>
          <w:rFonts w:cs="Arial"/>
        </w:rPr>
        <w:t xml:space="preserve">etanercept (0.8 mg/kg) weekly (up to a maximum of 50 mg) </w:t>
      </w:r>
    </w:p>
    <w:p w14:paraId="7A1CD82D" w14:textId="77777777" w:rsidR="005A26F4" w:rsidRPr="00B64CA9" w:rsidRDefault="005A26F4" w:rsidP="005A26F4">
      <w:pPr>
        <w:jc w:val="both"/>
        <w:rPr>
          <w:rFonts w:cs="Arial"/>
        </w:rPr>
      </w:pPr>
      <w:r w:rsidRPr="00B64CA9">
        <w:rPr>
          <w:rFonts w:cs="Arial"/>
        </w:rPr>
        <w:t xml:space="preserve">Patients randomised to receive placebo who were non-responders at Week 12 were switched to either the </w:t>
      </w:r>
      <w:proofErr w:type="spellStart"/>
      <w:r w:rsidRPr="00B64CA9">
        <w:rPr>
          <w:rFonts w:cs="Arial"/>
        </w:rPr>
        <w:t>secukinumab</w:t>
      </w:r>
      <w:proofErr w:type="spellEnd"/>
      <w:r w:rsidRPr="00B64CA9">
        <w:rPr>
          <w:rFonts w:cs="Arial"/>
        </w:rPr>
        <w:t xml:space="preserve"> low or high dose group (dose based on body weight group) and received study drug at Weeks 12, 13, 14, and 15, followed by the same dose every 4 weeks starting at Week 16. </w:t>
      </w:r>
    </w:p>
    <w:p w14:paraId="3F9E1F66" w14:textId="77777777" w:rsidR="005A26F4" w:rsidRPr="00B64CA9" w:rsidRDefault="005A26F4" w:rsidP="005A26F4">
      <w:pPr>
        <w:jc w:val="both"/>
        <w:rPr>
          <w:rFonts w:cs="Arial"/>
        </w:rPr>
      </w:pPr>
      <w:r w:rsidRPr="00B64CA9">
        <w:rPr>
          <w:rFonts w:cs="Arial"/>
        </w:rPr>
        <w:lastRenderedPageBreak/>
        <w:t xml:space="preserve">The co-primary endpoints were the proportion of patients who achieved a reduction in PASI score of at least 75% (PASI 75) and IGA mod 2011 ‘clear’ or ‘almost clear’ (0 or 1) with at least a </w:t>
      </w:r>
      <w:proofErr w:type="gramStart"/>
      <w:r w:rsidRPr="00B64CA9">
        <w:rPr>
          <w:rFonts w:cs="Arial"/>
        </w:rPr>
        <w:t>2 point</w:t>
      </w:r>
      <w:proofErr w:type="gramEnd"/>
      <w:r w:rsidRPr="00B64CA9">
        <w:rPr>
          <w:rFonts w:cs="Arial"/>
        </w:rPr>
        <w:t xml:space="preserve"> improvement from baseline to Week 12. The key secondary endpoint was the proportion of patients who achieved a reduction in PASI score of at least 90% (PASI 90) from baseline to Week 12. Other secondary endpoints included PASI 50, 100 responder rates at Week 12, PASI 50, 75, 90, 100 and IGA 0/1 responder rates at Week 16 and over time up to and including Week 52, change in PASI score over time up to and including Week 52 and IGA score over time up to and including Week 52, the proportion of patients with a Children’s Dermatology Life Quality Index (CDLQI) score of 0 or 1 at Week 12 and over time up to and including Week 52, and change from baseline in CDLQI compared to placebo at Week 12 and over time up to and including Week 52.</w:t>
      </w:r>
    </w:p>
    <w:p w14:paraId="30275902" w14:textId="77777777" w:rsidR="005A26F4" w:rsidRPr="00B64CA9" w:rsidRDefault="005A26F4" w:rsidP="005A26F4">
      <w:pPr>
        <w:jc w:val="both"/>
        <w:rPr>
          <w:rFonts w:cs="Arial"/>
          <w:bCs/>
        </w:rPr>
      </w:pPr>
      <w:r w:rsidRPr="00B64CA9">
        <w:rPr>
          <w:rFonts w:cs="Arial"/>
        </w:rPr>
        <w:t xml:space="preserve">At Week 12 the efficacy of both the low and the high dose of </w:t>
      </w:r>
      <w:proofErr w:type="spellStart"/>
      <w:r w:rsidRPr="00B64CA9">
        <w:rPr>
          <w:rFonts w:cs="Arial"/>
        </w:rPr>
        <w:t>secukinumab</w:t>
      </w:r>
      <w:proofErr w:type="spellEnd"/>
      <w:r w:rsidRPr="00B64CA9">
        <w:rPr>
          <w:rFonts w:cs="Arial"/>
        </w:rPr>
        <w:t xml:space="preserve"> was comparable for the co-primary endpoints. </w:t>
      </w:r>
      <w:r w:rsidRPr="00B64CA9">
        <w:rPr>
          <w:rFonts w:cs="Arial"/>
          <w:bCs/>
        </w:rPr>
        <w:t xml:space="preserve">The odds ratio estimates in </w:t>
      </w:r>
      <w:proofErr w:type="spellStart"/>
      <w:r w:rsidRPr="00B64CA9">
        <w:rPr>
          <w:rFonts w:cs="Arial"/>
          <w:bCs/>
        </w:rPr>
        <w:t>favor</w:t>
      </w:r>
      <w:proofErr w:type="spellEnd"/>
      <w:r w:rsidRPr="00B64CA9">
        <w:rPr>
          <w:rFonts w:cs="Arial"/>
          <w:bCs/>
        </w:rPr>
        <w:t xml:space="preserve"> of both </w:t>
      </w:r>
      <w:proofErr w:type="spellStart"/>
      <w:r w:rsidRPr="00B64CA9">
        <w:rPr>
          <w:rFonts w:cs="Arial"/>
          <w:bCs/>
        </w:rPr>
        <w:t>secukinumab</w:t>
      </w:r>
      <w:proofErr w:type="spellEnd"/>
      <w:r w:rsidRPr="00B64CA9">
        <w:rPr>
          <w:rFonts w:cs="Arial"/>
          <w:bCs/>
        </w:rPr>
        <w:t xml:space="preserve"> doses were clinically relevant and statistically significant for both the PASI 75 and IGA mod 2011 </w:t>
      </w:r>
      <w:r w:rsidRPr="00B64CA9">
        <w:rPr>
          <w:rFonts w:cs="Arial"/>
        </w:rPr>
        <w:t xml:space="preserve">‘clear’ or ‘almost clear’ (0 or 1) </w:t>
      </w:r>
      <w:r w:rsidRPr="00B64CA9">
        <w:rPr>
          <w:rFonts w:cs="Arial"/>
          <w:bCs/>
        </w:rPr>
        <w:t>responses.</w:t>
      </w:r>
    </w:p>
    <w:p w14:paraId="708E6A1B" w14:textId="77777777" w:rsidR="005A26F4" w:rsidRPr="00B64CA9" w:rsidRDefault="005A26F4" w:rsidP="005A26F4">
      <w:pPr>
        <w:jc w:val="both"/>
        <w:rPr>
          <w:rFonts w:cs="Arial"/>
        </w:rPr>
      </w:pPr>
      <w:r w:rsidRPr="00B64CA9">
        <w:rPr>
          <w:rFonts w:cs="Arial"/>
          <w:bCs/>
        </w:rPr>
        <w:t>All patients were followed for efficacy and safety during the 52 weeks following the first dose. The proportion of patients achieving P</w:t>
      </w:r>
      <w:r w:rsidRPr="00B64CA9">
        <w:rPr>
          <w:rFonts w:cs="Arial"/>
        </w:rPr>
        <w:t xml:space="preserve">ASI 75 and IGA mod 2011 ‘clear’ or ‘almost clear’ (0 or 1) responses showed separation between </w:t>
      </w:r>
      <w:proofErr w:type="spellStart"/>
      <w:r w:rsidRPr="00B64CA9">
        <w:rPr>
          <w:rFonts w:cs="Arial"/>
        </w:rPr>
        <w:t>secukinumab</w:t>
      </w:r>
      <w:proofErr w:type="spellEnd"/>
      <w:r w:rsidRPr="00B64CA9">
        <w:rPr>
          <w:rFonts w:cs="Arial"/>
        </w:rPr>
        <w:t xml:space="preserve"> treatment groups and placebo at the first post-baseline visit at Week 4, the difference becoming more prominent at Week 12. The response was maintained throughout the </w:t>
      </w:r>
      <w:proofErr w:type="gramStart"/>
      <w:r w:rsidRPr="00B64CA9">
        <w:rPr>
          <w:rFonts w:cs="Arial"/>
        </w:rPr>
        <w:t>52 week</w:t>
      </w:r>
      <w:proofErr w:type="gramEnd"/>
      <w:r w:rsidRPr="00B64CA9">
        <w:rPr>
          <w:rFonts w:cs="Arial"/>
        </w:rPr>
        <w:t xml:space="preserve"> time period. Improvement in PASI 50, 90, 100 responder rates and CDLQI 0 or 1 scores were also maintained throughout the </w:t>
      </w:r>
      <w:proofErr w:type="gramStart"/>
      <w:r w:rsidRPr="00B64CA9">
        <w:rPr>
          <w:rFonts w:cs="Arial"/>
        </w:rPr>
        <w:t>52 week</w:t>
      </w:r>
      <w:proofErr w:type="gramEnd"/>
      <w:r w:rsidRPr="00B64CA9">
        <w:rPr>
          <w:rFonts w:cs="Arial"/>
        </w:rPr>
        <w:t xml:space="preserve"> time period.</w:t>
      </w:r>
    </w:p>
    <w:p w14:paraId="2289797C" w14:textId="77777777" w:rsidR="005A26F4" w:rsidRPr="00B64CA9" w:rsidRDefault="005A26F4" w:rsidP="005A26F4">
      <w:pPr>
        <w:jc w:val="both"/>
        <w:rPr>
          <w:rFonts w:cs="Arial"/>
        </w:rPr>
      </w:pPr>
      <w:r w:rsidRPr="00B64CA9">
        <w:rPr>
          <w:rFonts w:cs="Arial"/>
        </w:rPr>
        <w:t xml:space="preserve">Beyond Week 12, efficacy of both the low and the high dose of </w:t>
      </w:r>
      <w:proofErr w:type="spellStart"/>
      <w:r w:rsidRPr="00B64CA9">
        <w:rPr>
          <w:rFonts w:cs="Arial"/>
        </w:rPr>
        <w:t>secukinumab</w:t>
      </w:r>
      <w:proofErr w:type="spellEnd"/>
      <w:r w:rsidRPr="00B64CA9">
        <w:rPr>
          <w:rFonts w:cs="Arial"/>
        </w:rPr>
        <w:t xml:space="preserve"> was comparable although the efficacy of the high dose was higher for patients ≥50 kg. The safety profiles of the low dose and the high dose were comparable.</w:t>
      </w:r>
    </w:p>
    <w:p w14:paraId="0F063E46" w14:textId="77777777" w:rsidR="00B83E25" w:rsidRDefault="005A26F4" w:rsidP="005A26F4">
      <w:pPr>
        <w:jc w:val="both"/>
        <w:rPr>
          <w:rFonts w:cs="Arial"/>
          <w:bCs/>
        </w:rPr>
      </w:pPr>
      <w:r w:rsidRPr="00B64CA9">
        <w:rPr>
          <w:rFonts w:cs="Arial"/>
          <w:bCs/>
        </w:rPr>
        <w:t>The efficacy results at Weeks 12 are presented in Table 12.</w:t>
      </w:r>
      <w:bookmarkStart w:id="8" w:name="_Toc42759422"/>
    </w:p>
    <w:p w14:paraId="7D8FCE0E" w14:textId="77777777" w:rsidR="00494F5C" w:rsidRPr="00B64CA9" w:rsidRDefault="00494F5C" w:rsidP="005A26F4">
      <w:pPr>
        <w:jc w:val="both"/>
        <w:rPr>
          <w:rFonts w:cs="Arial"/>
          <w:bCs/>
        </w:rPr>
      </w:pPr>
    </w:p>
    <w:p w14:paraId="10E0EBFF" w14:textId="77777777" w:rsidR="005A26F4" w:rsidRPr="00B64CA9" w:rsidRDefault="005A26F4" w:rsidP="005A26F4">
      <w:pPr>
        <w:jc w:val="both"/>
        <w:rPr>
          <w:rFonts w:cs="Arial"/>
          <w:bCs/>
        </w:rPr>
      </w:pPr>
      <w:r w:rsidRPr="00B64CA9">
        <w:rPr>
          <w:rFonts w:ascii="Arial" w:eastAsia="MS Gothic" w:hAnsi="Arial" w:cs="Arial"/>
          <w:b/>
          <w:sz w:val="20"/>
          <w:szCs w:val="20"/>
          <w:lang w:eastAsia="zh-CN"/>
        </w:rPr>
        <w:t>Table 12</w:t>
      </w:r>
      <w:r w:rsidRPr="00B64CA9">
        <w:rPr>
          <w:rFonts w:ascii="Arial" w:eastAsia="MS Gothic" w:hAnsi="Arial" w:cs="Arial"/>
          <w:b/>
          <w:sz w:val="20"/>
          <w:szCs w:val="20"/>
          <w:lang w:eastAsia="zh-CN"/>
        </w:rPr>
        <w:tab/>
        <w:t>Summary of clinical response in severe paediatric psoriasis at Weeks 12*</w:t>
      </w:r>
      <w:bookmarkEnd w:id="8"/>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0"/>
        <w:gridCol w:w="3151"/>
        <w:gridCol w:w="1080"/>
        <w:gridCol w:w="1127"/>
        <w:gridCol w:w="1976"/>
        <w:gridCol w:w="850"/>
      </w:tblGrid>
      <w:tr w:rsidR="005A26F4" w:rsidRPr="00B64CA9" w14:paraId="399EAC04" w14:textId="77777777" w:rsidTr="005A26F4">
        <w:trPr>
          <w:cantSplit/>
        </w:trPr>
        <w:tc>
          <w:tcPr>
            <w:tcW w:w="535" w:type="pct"/>
            <w:vMerge w:val="restart"/>
            <w:shd w:val="clear" w:color="auto" w:fill="FFFFFF" w:themeFill="background1"/>
            <w:vAlign w:val="center"/>
          </w:tcPr>
          <w:p w14:paraId="1FCA4152" w14:textId="77777777" w:rsidR="005A26F4" w:rsidRPr="00B64CA9" w:rsidRDefault="005A26F4" w:rsidP="005A26F4">
            <w:pPr>
              <w:keepNext/>
              <w:widowControl w:val="0"/>
              <w:spacing w:before="40" w:after="0" w:line="240" w:lineRule="auto"/>
              <w:rPr>
                <w:rFonts w:ascii="Arial" w:eastAsia="MS Mincho" w:hAnsi="Arial" w:cs="Arial"/>
                <w:b/>
                <w:sz w:val="18"/>
                <w:szCs w:val="18"/>
                <w:lang w:eastAsia="zh-CN"/>
              </w:rPr>
            </w:pPr>
            <w:r w:rsidRPr="00B64CA9">
              <w:rPr>
                <w:rFonts w:ascii="Arial" w:eastAsia="MS Mincho" w:hAnsi="Arial" w:cs="Arial"/>
                <w:b/>
                <w:sz w:val="18"/>
                <w:szCs w:val="18"/>
                <w:lang w:eastAsia="zh-CN"/>
              </w:rPr>
              <w:t>Response criterion</w:t>
            </w:r>
          </w:p>
        </w:tc>
        <w:tc>
          <w:tcPr>
            <w:tcW w:w="1719" w:type="pct"/>
            <w:tcBorders>
              <w:bottom w:val="nil"/>
            </w:tcBorders>
            <w:shd w:val="clear" w:color="auto" w:fill="FFFFFF" w:themeFill="background1"/>
            <w:vAlign w:val="bottom"/>
          </w:tcPr>
          <w:p w14:paraId="2D38BCA9" w14:textId="77777777" w:rsidR="005A26F4" w:rsidRPr="00B64CA9" w:rsidRDefault="005A26F4" w:rsidP="005A26F4">
            <w:pPr>
              <w:keepNext/>
              <w:widowControl w:val="0"/>
              <w:spacing w:before="40" w:after="0" w:line="240" w:lineRule="auto"/>
              <w:jc w:val="both"/>
              <w:rPr>
                <w:rFonts w:ascii="Arial" w:eastAsia="MS Mincho" w:hAnsi="Arial" w:cs="Arial"/>
                <w:b/>
                <w:sz w:val="18"/>
                <w:szCs w:val="18"/>
                <w:lang w:eastAsia="zh-CN"/>
              </w:rPr>
            </w:pPr>
            <w:r w:rsidRPr="00B64CA9">
              <w:rPr>
                <w:rFonts w:ascii="Arial" w:eastAsia="MS Mincho" w:hAnsi="Arial" w:cs="Arial"/>
                <w:b/>
                <w:sz w:val="18"/>
                <w:szCs w:val="18"/>
                <w:lang w:eastAsia="zh-CN"/>
              </w:rPr>
              <w:t>Treatment comparison</w:t>
            </w:r>
          </w:p>
        </w:tc>
        <w:tc>
          <w:tcPr>
            <w:tcW w:w="589" w:type="pct"/>
            <w:tcBorders>
              <w:bottom w:val="nil"/>
            </w:tcBorders>
            <w:shd w:val="clear" w:color="auto" w:fill="FFFFFF" w:themeFill="background1"/>
            <w:vAlign w:val="bottom"/>
          </w:tcPr>
          <w:p w14:paraId="74AA5903"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'test'</w:t>
            </w:r>
          </w:p>
        </w:tc>
        <w:tc>
          <w:tcPr>
            <w:tcW w:w="615" w:type="pct"/>
            <w:tcBorders>
              <w:bottom w:val="nil"/>
            </w:tcBorders>
            <w:shd w:val="clear" w:color="auto" w:fill="FFFFFF" w:themeFill="background1"/>
            <w:vAlign w:val="bottom"/>
          </w:tcPr>
          <w:p w14:paraId="4625BC14"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'control'</w:t>
            </w:r>
          </w:p>
        </w:tc>
        <w:tc>
          <w:tcPr>
            <w:tcW w:w="1078" w:type="pct"/>
            <w:tcBorders>
              <w:bottom w:val="nil"/>
            </w:tcBorders>
            <w:shd w:val="clear" w:color="auto" w:fill="FFFFFF" w:themeFill="background1"/>
            <w:vAlign w:val="bottom"/>
          </w:tcPr>
          <w:p w14:paraId="30AD2C00"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odds ratio</w:t>
            </w:r>
          </w:p>
        </w:tc>
        <w:tc>
          <w:tcPr>
            <w:tcW w:w="464" w:type="pct"/>
            <w:tcBorders>
              <w:bottom w:val="nil"/>
            </w:tcBorders>
            <w:shd w:val="clear" w:color="auto" w:fill="FFFFFF" w:themeFill="background1"/>
            <w:vAlign w:val="bottom"/>
          </w:tcPr>
          <w:p w14:paraId="7E7DC294"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p>
        </w:tc>
      </w:tr>
      <w:tr w:rsidR="005A26F4" w:rsidRPr="00B64CA9" w14:paraId="0E2CB6C1" w14:textId="77777777" w:rsidTr="005A26F4">
        <w:trPr>
          <w:cantSplit/>
        </w:trPr>
        <w:tc>
          <w:tcPr>
            <w:tcW w:w="535" w:type="pct"/>
            <w:vMerge/>
            <w:vAlign w:val="bottom"/>
          </w:tcPr>
          <w:p w14:paraId="1739DFDC" w14:textId="77777777" w:rsidR="005A26F4" w:rsidRPr="00B64CA9" w:rsidRDefault="005A26F4" w:rsidP="005A26F4">
            <w:pPr>
              <w:keepNext/>
              <w:widowControl w:val="0"/>
              <w:spacing w:before="40" w:after="0" w:line="240" w:lineRule="auto"/>
              <w:jc w:val="both"/>
              <w:rPr>
                <w:rFonts w:ascii="Arial" w:eastAsia="MS Mincho" w:hAnsi="Arial" w:cs="Arial"/>
                <w:b/>
                <w:sz w:val="18"/>
                <w:szCs w:val="18"/>
                <w:lang w:eastAsia="zh-CN"/>
              </w:rPr>
            </w:pPr>
          </w:p>
        </w:tc>
        <w:tc>
          <w:tcPr>
            <w:tcW w:w="1719" w:type="pct"/>
            <w:tcBorders>
              <w:top w:val="nil"/>
            </w:tcBorders>
            <w:shd w:val="clear" w:color="auto" w:fill="FFFFFF" w:themeFill="background1"/>
            <w:vAlign w:val="bottom"/>
          </w:tcPr>
          <w:p w14:paraId="224DBC90" w14:textId="77777777" w:rsidR="005A26F4" w:rsidRPr="00B64CA9" w:rsidRDefault="005A26F4" w:rsidP="005A26F4">
            <w:pPr>
              <w:keepNext/>
              <w:widowControl w:val="0"/>
              <w:spacing w:before="40" w:after="0" w:line="240" w:lineRule="auto"/>
              <w:jc w:val="both"/>
              <w:rPr>
                <w:rFonts w:ascii="Arial" w:eastAsia="MS Mincho" w:hAnsi="Arial" w:cs="Arial"/>
                <w:b/>
                <w:sz w:val="18"/>
                <w:szCs w:val="18"/>
                <w:lang w:eastAsia="zh-CN"/>
              </w:rPr>
            </w:pPr>
            <w:r w:rsidRPr="00B64CA9">
              <w:rPr>
                <w:rFonts w:ascii="Arial" w:eastAsia="MS Mincho" w:hAnsi="Arial" w:cs="Arial"/>
                <w:b/>
                <w:sz w:val="18"/>
                <w:szCs w:val="18"/>
                <w:lang w:eastAsia="zh-CN"/>
              </w:rPr>
              <w:t>'test' vs. 'control'</w:t>
            </w:r>
          </w:p>
        </w:tc>
        <w:tc>
          <w:tcPr>
            <w:tcW w:w="589" w:type="pct"/>
            <w:tcBorders>
              <w:top w:val="nil"/>
            </w:tcBorders>
            <w:shd w:val="clear" w:color="auto" w:fill="FFFFFF" w:themeFill="background1"/>
            <w:vAlign w:val="bottom"/>
          </w:tcPr>
          <w:p w14:paraId="1B479849"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n/m** (%)</w:t>
            </w:r>
          </w:p>
        </w:tc>
        <w:tc>
          <w:tcPr>
            <w:tcW w:w="615" w:type="pct"/>
            <w:tcBorders>
              <w:top w:val="nil"/>
            </w:tcBorders>
            <w:shd w:val="clear" w:color="auto" w:fill="FFFFFF" w:themeFill="background1"/>
            <w:vAlign w:val="bottom"/>
          </w:tcPr>
          <w:p w14:paraId="24A9F64C"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n/m** (%)</w:t>
            </w:r>
          </w:p>
        </w:tc>
        <w:tc>
          <w:tcPr>
            <w:tcW w:w="1078" w:type="pct"/>
            <w:tcBorders>
              <w:top w:val="nil"/>
            </w:tcBorders>
            <w:shd w:val="clear" w:color="auto" w:fill="FFFFFF" w:themeFill="background1"/>
            <w:vAlign w:val="bottom"/>
          </w:tcPr>
          <w:p w14:paraId="275A89EB"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estimate (95% CI)</w:t>
            </w:r>
          </w:p>
        </w:tc>
        <w:tc>
          <w:tcPr>
            <w:tcW w:w="464" w:type="pct"/>
            <w:tcBorders>
              <w:top w:val="nil"/>
            </w:tcBorders>
            <w:shd w:val="clear" w:color="auto" w:fill="FFFFFF" w:themeFill="background1"/>
            <w:vAlign w:val="bottom"/>
          </w:tcPr>
          <w:p w14:paraId="5769BAB6"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p-value</w:t>
            </w:r>
          </w:p>
        </w:tc>
      </w:tr>
      <w:tr w:rsidR="005A26F4" w:rsidRPr="00B64CA9" w14:paraId="49F09C95" w14:textId="77777777" w:rsidTr="005A26F4">
        <w:trPr>
          <w:cantSplit/>
          <w:trHeight w:val="340"/>
        </w:trPr>
        <w:tc>
          <w:tcPr>
            <w:tcW w:w="535" w:type="pct"/>
            <w:vMerge w:val="restart"/>
            <w:shd w:val="clear" w:color="auto" w:fill="FFFFFF" w:themeFill="background1"/>
            <w:vAlign w:val="center"/>
          </w:tcPr>
          <w:p w14:paraId="646BCD66"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PASI 75</w:t>
            </w:r>
          </w:p>
        </w:tc>
        <w:tc>
          <w:tcPr>
            <w:tcW w:w="1719" w:type="pct"/>
            <w:shd w:val="clear" w:color="auto" w:fill="FFFFFF" w:themeFill="background1"/>
            <w:vAlign w:val="center"/>
          </w:tcPr>
          <w:p w14:paraId="16B3A03E"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low dose vs. placebo</w:t>
            </w:r>
          </w:p>
        </w:tc>
        <w:tc>
          <w:tcPr>
            <w:tcW w:w="589" w:type="pct"/>
            <w:shd w:val="clear" w:color="auto" w:fill="FFFFFF" w:themeFill="background1"/>
            <w:vAlign w:val="center"/>
          </w:tcPr>
          <w:p w14:paraId="04172A5E"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32/40 (80.0)</w:t>
            </w:r>
          </w:p>
        </w:tc>
        <w:tc>
          <w:tcPr>
            <w:tcW w:w="615" w:type="pct"/>
            <w:shd w:val="clear" w:color="auto" w:fill="FFFFFF" w:themeFill="background1"/>
            <w:vAlign w:val="center"/>
          </w:tcPr>
          <w:p w14:paraId="07C10256"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6/41 (14.6)</w:t>
            </w:r>
          </w:p>
        </w:tc>
        <w:tc>
          <w:tcPr>
            <w:tcW w:w="1078" w:type="pct"/>
            <w:shd w:val="clear" w:color="auto" w:fill="FFFFFF" w:themeFill="background1"/>
            <w:vAlign w:val="center"/>
          </w:tcPr>
          <w:p w14:paraId="12835AD6"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25.78 (7.08,114.66)</w:t>
            </w:r>
          </w:p>
        </w:tc>
        <w:tc>
          <w:tcPr>
            <w:tcW w:w="464" w:type="pct"/>
            <w:shd w:val="clear" w:color="auto" w:fill="FFFFFF" w:themeFill="background1"/>
            <w:vAlign w:val="center"/>
          </w:tcPr>
          <w:p w14:paraId="5440830E"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12FAD2B4" w14:textId="77777777" w:rsidTr="005A26F4">
        <w:trPr>
          <w:cantSplit/>
          <w:trHeight w:val="340"/>
        </w:trPr>
        <w:tc>
          <w:tcPr>
            <w:tcW w:w="535" w:type="pct"/>
            <w:vMerge/>
            <w:shd w:val="clear" w:color="auto" w:fill="FFFFFF" w:themeFill="background1"/>
            <w:vAlign w:val="center"/>
          </w:tcPr>
          <w:p w14:paraId="2EB3DA92" w14:textId="77777777" w:rsidR="005A26F4" w:rsidRPr="00B64CA9" w:rsidRDefault="005A26F4" w:rsidP="005A26F4">
            <w:pPr>
              <w:keepNext/>
              <w:widowControl w:val="0"/>
              <w:spacing w:before="40" w:after="0" w:line="240" w:lineRule="auto"/>
              <w:rPr>
                <w:rFonts w:ascii="Arial" w:eastAsia="MS Mincho" w:hAnsi="Arial" w:cs="Arial"/>
                <w:b/>
                <w:sz w:val="18"/>
                <w:szCs w:val="18"/>
                <w:lang w:eastAsia="zh-CN"/>
              </w:rPr>
            </w:pPr>
          </w:p>
        </w:tc>
        <w:tc>
          <w:tcPr>
            <w:tcW w:w="1719" w:type="pct"/>
            <w:shd w:val="clear" w:color="auto" w:fill="FFFFFF" w:themeFill="background1"/>
            <w:vAlign w:val="center"/>
          </w:tcPr>
          <w:p w14:paraId="44D4CFBB"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high dose vs. placebo</w:t>
            </w:r>
          </w:p>
        </w:tc>
        <w:tc>
          <w:tcPr>
            <w:tcW w:w="589" w:type="pct"/>
            <w:shd w:val="clear" w:color="auto" w:fill="FFFFFF" w:themeFill="background1"/>
            <w:vAlign w:val="center"/>
          </w:tcPr>
          <w:p w14:paraId="333217B8"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31/40 (77.5)</w:t>
            </w:r>
          </w:p>
        </w:tc>
        <w:tc>
          <w:tcPr>
            <w:tcW w:w="615" w:type="pct"/>
            <w:shd w:val="clear" w:color="auto" w:fill="FFFFFF" w:themeFill="background1"/>
            <w:vAlign w:val="center"/>
          </w:tcPr>
          <w:p w14:paraId="23C4BF11"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6/41 (14.6)</w:t>
            </w:r>
          </w:p>
        </w:tc>
        <w:tc>
          <w:tcPr>
            <w:tcW w:w="1078" w:type="pct"/>
            <w:shd w:val="clear" w:color="auto" w:fill="FFFFFF" w:themeFill="background1"/>
            <w:vAlign w:val="center"/>
          </w:tcPr>
          <w:p w14:paraId="4DE2C51E"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22.65 (6.31,98.93)</w:t>
            </w:r>
          </w:p>
        </w:tc>
        <w:tc>
          <w:tcPr>
            <w:tcW w:w="464" w:type="pct"/>
            <w:shd w:val="clear" w:color="auto" w:fill="FFFFFF" w:themeFill="background1"/>
            <w:vAlign w:val="center"/>
          </w:tcPr>
          <w:p w14:paraId="0FB0F6DA"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4D01BCCC" w14:textId="77777777" w:rsidTr="005A26F4">
        <w:trPr>
          <w:cantSplit/>
          <w:trHeight w:val="340"/>
        </w:trPr>
        <w:tc>
          <w:tcPr>
            <w:tcW w:w="535" w:type="pct"/>
            <w:vMerge w:val="restart"/>
            <w:shd w:val="clear" w:color="auto" w:fill="FFFFFF" w:themeFill="background1"/>
            <w:vAlign w:val="center"/>
          </w:tcPr>
          <w:p w14:paraId="3B71FE23"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IGA 0/1</w:t>
            </w:r>
          </w:p>
        </w:tc>
        <w:tc>
          <w:tcPr>
            <w:tcW w:w="1719" w:type="pct"/>
            <w:shd w:val="clear" w:color="auto" w:fill="FFFFFF" w:themeFill="background1"/>
            <w:vAlign w:val="center"/>
          </w:tcPr>
          <w:p w14:paraId="1F2F47C7"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low dose vs. placebo</w:t>
            </w:r>
          </w:p>
        </w:tc>
        <w:tc>
          <w:tcPr>
            <w:tcW w:w="589" w:type="pct"/>
            <w:shd w:val="clear" w:color="auto" w:fill="FFFFFF" w:themeFill="background1"/>
            <w:vAlign w:val="center"/>
          </w:tcPr>
          <w:p w14:paraId="73E16692"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28/40 (70.0)</w:t>
            </w:r>
          </w:p>
        </w:tc>
        <w:tc>
          <w:tcPr>
            <w:tcW w:w="615" w:type="pct"/>
            <w:shd w:val="clear" w:color="auto" w:fill="FFFFFF" w:themeFill="background1"/>
            <w:vAlign w:val="center"/>
          </w:tcPr>
          <w:p w14:paraId="2928E19B"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2/41 (4.9)</w:t>
            </w:r>
          </w:p>
        </w:tc>
        <w:tc>
          <w:tcPr>
            <w:tcW w:w="1078" w:type="pct"/>
            <w:shd w:val="clear" w:color="auto" w:fill="FFFFFF" w:themeFill="background1"/>
            <w:vAlign w:val="center"/>
          </w:tcPr>
          <w:p w14:paraId="2063C6CF"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51.77 (10.02,538.64)</w:t>
            </w:r>
          </w:p>
        </w:tc>
        <w:tc>
          <w:tcPr>
            <w:tcW w:w="464" w:type="pct"/>
            <w:shd w:val="clear" w:color="auto" w:fill="FFFFFF" w:themeFill="background1"/>
            <w:vAlign w:val="center"/>
          </w:tcPr>
          <w:p w14:paraId="2ECEC253"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2BF63485" w14:textId="77777777" w:rsidTr="005A26F4">
        <w:trPr>
          <w:cantSplit/>
          <w:trHeight w:val="340"/>
        </w:trPr>
        <w:tc>
          <w:tcPr>
            <w:tcW w:w="535" w:type="pct"/>
            <w:vMerge/>
            <w:shd w:val="clear" w:color="auto" w:fill="FFFFFF" w:themeFill="background1"/>
            <w:vAlign w:val="center"/>
          </w:tcPr>
          <w:p w14:paraId="56B4C55C" w14:textId="77777777" w:rsidR="005A26F4" w:rsidRPr="00B64CA9" w:rsidRDefault="005A26F4" w:rsidP="005A26F4">
            <w:pPr>
              <w:keepNext/>
              <w:widowControl w:val="0"/>
              <w:spacing w:before="40" w:after="0" w:line="240" w:lineRule="auto"/>
              <w:rPr>
                <w:rFonts w:ascii="Arial" w:eastAsia="MS Mincho" w:hAnsi="Arial" w:cs="Arial"/>
                <w:b/>
                <w:sz w:val="18"/>
                <w:szCs w:val="18"/>
                <w:lang w:eastAsia="zh-CN"/>
              </w:rPr>
            </w:pPr>
          </w:p>
        </w:tc>
        <w:tc>
          <w:tcPr>
            <w:tcW w:w="1719" w:type="pct"/>
            <w:shd w:val="clear" w:color="auto" w:fill="FFFFFF" w:themeFill="background1"/>
            <w:vAlign w:val="center"/>
          </w:tcPr>
          <w:p w14:paraId="70043FCC"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high dose vs. placebo</w:t>
            </w:r>
          </w:p>
        </w:tc>
        <w:tc>
          <w:tcPr>
            <w:tcW w:w="589" w:type="pct"/>
            <w:shd w:val="clear" w:color="auto" w:fill="FFFFFF" w:themeFill="background1"/>
            <w:vAlign w:val="center"/>
          </w:tcPr>
          <w:p w14:paraId="6E106C18"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24/40 (60.0)</w:t>
            </w:r>
          </w:p>
        </w:tc>
        <w:tc>
          <w:tcPr>
            <w:tcW w:w="615" w:type="pct"/>
            <w:shd w:val="clear" w:color="auto" w:fill="FFFFFF" w:themeFill="background1"/>
            <w:vAlign w:val="center"/>
          </w:tcPr>
          <w:p w14:paraId="070FBFA5"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2/41 (4.9)</w:t>
            </w:r>
          </w:p>
        </w:tc>
        <w:tc>
          <w:tcPr>
            <w:tcW w:w="1078" w:type="pct"/>
            <w:shd w:val="clear" w:color="auto" w:fill="FFFFFF" w:themeFill="background1"/>
            <w:vAlign w:val="center"/>
          </w:tcPr>
          <w:p w14:paraId="0237D837"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32.52 (6.48,329.52)</w:t>
            </w:r>
          </w:p>
        </w:tc>
        <w:tc>
          <w:tcPr>
            <w:tcW w:w="464" w:type="pct"/>
            <w:shd w:val="clear" w:color="auto" w:fill="FFFFFF" w:themeFill="background1"/>
            <w:vAlign w:val="center"/>
          </w:tcPr>
          <w:p w14:paraId="336E5D18"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2A2521C9" w14:textId="77777777" w:rsidTr="005A26F4">
        <w:trPr>
          <w:cantSplit/>
          <w:trHeight w:val="340"/>
        </w:trPr>
        <w:tc>
          <w:tcPr>
            <w:tcW w:w="535" w:type="pct"/>
            <w:vMerge w:val="restart"/>
            <w:shd w:val="clear" w:color="auto" w:fill="FFFFFF" w:themeFill="background1"/>
            <w:vAlign w:val="center"/>
          </w:tcPr>
          <w:p w14:paraId="1F4991C8" w14:textId="77777777" w:rsidR="005A26F4" w:rsidRPr="00B64CA9" w:rsidRDefault="005A26F4" w:rsidP="005A26F4">
            <w:pPr>
              <w:keepNext/>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PASI 90</w:t>
            </w:r>
          </w:p>
        </w:tc>
        <w:tc>
          <w:tcPr>
            <w:tcW w:w="1719" w:type="pct"/>
            <w:shd w:val="clear" w:color="auto" w:fill="FFFFFF" w:themeFill="background1"/>
            <w:vAlign w:val="center"/>
          </w:tcPr>
          <w:p w14:paraId="646A79B9"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low dose vs. placebo</w:t>
            </w:r>
          </w:p>
        </w:tc>
        <w:tc>
          <w:tcPr>
            <w:tcW w:w="589" w:type="pct"/>
            <w:shd w:val="clear" w:color="auto" w:fill="FFFFFF" w:themeFill="background1"/>
            <w:vAlign w:val="center"/>
          </w:tcPr>
          <w:p w14:paraId="63CCA6C4"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29/40 (72.5)</w:t>
            </w:r>
          </w:p>
        </w:tc>
        <w:tc>
          <w:tcPr>
            <w:tcW w:w="615" w:type="pct"/>
            <w:shd w:val="clear" w:color="auto" w:fill="FFFFFF" w:themeFill="background1"/>
            <w:vAlign w:val="center"/>
          </w:tcPr>
          <w:p w14:paraId="3D269102"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1/41 (2.4)</w:t>
            </w:r>
          </w:p>
        </w:tc>
        <w:tc>
          <w:tcPr>
            <w:tcW w:w="1078" w:type="pct"/>
            <w:shd w:val="clear" w:color="auto" w:fill="FFFFFF" w:themeFill="background1"/>
            <w:vAlign w:val="center"/>
          </w:tcPr>
          <w:p w14:paraId="0B95D179"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133.67 (16.83,6395.22)</w:t>
            </w:r>
          </w:p>
        </w:tc>
        <w:tc>
          <w:tcPr>
            <w:tcW w:w="464" w:type="pct"/>
            <w:shd w:val="clear" w:color="auto" w:fill="FFFFFF" w:themeFill="background1"/>
            <w:vAlign w:val="center"/>
          </w:tcPr>
          <w:p w14:paraId="0D91B6F9"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76C284BC" w14:textId="77777777" w:rsidTr="005A26F4">
        <w:trPr>
          <w:cantSplit/>
          <w:trHeight w:val="340"/>
        </w:trPr>
        <w:tc>
          <w:tcPr>
            <w:tcW w:w="535" w:type="pct"/>
            <w:vMerge/>
            <w:shd w:val="clear" w:color="auto" w:fill="FFFFFF" w:themeFill="background1"/>
            <w:vAlign w:val="center"/>
          </w:tcPr>
          <w:p w14:paraId="6D8DDFC1"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
        </w:tc>
        <w:tc>
          <w:tcPr>
            <w:tcW w:w="1719" w:type="pct"/>
            <w:shd w:val="clear" w:color="auto" w:fill="FFFFFF" w:themeFill="background1"/>
            <w:vAlign w:val="center"/>
          </w:tcPr>
          <w:p w14:paraId="76CDD0BE" w14:textId="77777777" w:rsidR="005A26F4" w:rsidRPr="00B64CA9" w:rsidRDefault="005A26F4" w:rsidP="005A26F4">
            <w:pPr>
              <w:keepNext/>
              <w:widowControl w:val="0"/>
              <w:spacing w:before="40" w:after="0" w:line="240" w:lineRule="auto"/>
              <w:rPr>
                <w:rFonts w:ascii="Arial" w:eastAsia="MS Mincho" w:hAnsi="Arial" w:cs="Arial"/>
                <w:sz w:val="18"/>
                <w:szCs w:val="18"/>
                <w:lang w:eastAsia="zh-CN"/>
              </w:rPr>
            </w:pPr>
            <w:proofErr w:type="spellStart"/>
            <w:r w:rsidRPr="00B64CA9">
              <w:rPr>
                <w:rFonts w:ascii="Arial" w:eastAsia="MS Mincho" w:hAnsi="Arial" w:cs="Arial"/>
                <w:sz w:val="18"/>
                <w:szCs w:val="18"/>
                <w:lang w:eastAsia="zh-CN"/>
              </w:rPr>
              <w:t>secukinumab</w:t>
            </w:r>
            <w:proofErr w:type="spellEnd"/>
            <w:r w:rsidRPr="00B64CA9">
              <w:rPr>
                <w:rFonts w:ascii="Arial" w:eastAsia="MS Mincho" w:hAnsi="Arial" w:cs="Arial"/>
                <w:sz w:val="18"/>
                <w:szCs w:val="18"/>
                <w:lang w:eastAsia="zh-CN"/>
              </w:rPr>
              <w:t xml:space="preserve"> high dose vs. placebo</w:t>
            </w:r>
          </w:p>
        </w:tc>
        <w:tc>
          <w:tcPr>
            <w:tcW w:w="589" w:type="pct"/>
            <w:shd w:val="clear" w:color="auto" w:fill="FFFFFF" w:themeFill="background1"/>
            <w:vAlign w:val="center"/>
          </w:tcPr>
          <w:p w14:paraId="50CDFCF0"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27/40 (67.5)</w:t>
            </w:r>
          </w:p>
        </w:tc>
        <w:tc>
          <w:tcPr>
            <w:tcW w:w="615" w:type="pct"/>
            <w:shd w:val="clear" w:color="auto" w:fill="FFFFFF" w:themeFill="background1"/>
            <w:vAlign w:val="center"/>
          </w:tcPr>
          <w:p w14:paraId="096D5D08"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1/41 (2.4)</w:t>
            </w:r>
          </w:p>
        </w:tc>
        <w:tc>
          <w:tcPr>
            <w:tcW w:w="1078" w:type="pct"/>
            <w:shd w:val="clear" w:color="auto" w:fill="FFFFFF" w:themeFill="background1"/>
            <w:vAlign w:val="center"/>
          </w:tcPr>
          <w:p w14:paraId="4396A737"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102.86 (13.22,4850.13)</w:t>
            </w:r>
          </w:p>
        </w:tc>
        <w:tc>
          <w:tcPr>
            <w:tcW w:w="464" w:type="pct"/>
            <w:shd w:val="clear" w:color="auto" w:fill="FFFFFF" w:themeFill="background1"/>
            <w:vAlign w:val="center"/>
          </w:tcPr>
          <w:p w14:paraId="0599C260" w14:textId="77777777" w:rsidR="005A26F4" w:rsidRPr="00B64CA9" w:rsidRDefault="005A26F4" w:rsidP="005A26F4">
            <w:pPr>
              <w:keepNext/>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&lt;0.0001</w:t>
            </w:r>
          </w:p>
        </w:tc>
      </w:tr>
      <w:tr w:rsidR="005A26F4" w:rsidRPr="00B64CA9" w14:paraId="560B7E07" w14:textId="77777777" w:rsidTr="005A26F4">
        <w:trPr>
          <w:cantSplit/>
        </w:trPr>
        <w:tc>
          <w:tcPr>
            <w:tcW w:w="5000" w:type="pct"/>
            <w:gridSpan w:val="6"/>
            <w:tcBorders>
              <w:left w:val="nil"/>
              <w:bottom w:val="nil"/>
              <w:right w:val="nil"/>
            </w:tcBorders>
            <w:shd w:val="clear" w:color="auto" w:fill="FFFFFF" w:themeFill="background1"/>
          </w:tcPr>
          <w:p w14:paraId="1F6B126A" w14:textId="77777777" w:rsidR="005A26F4" w:rsidRPr="00B64CA9" w:rsidRDefault="005A26F4" w:rsidP="005A26F4">
            <w:pPr>
              <w:keepLines/>
              <w:tabs>
                <w:tab w:val="left" w:pos="284"/>
              </w:tabs>
              <w:spacing w:before="40" w:after="0" w:line="240" w:lineRule="auto"/>
              <w:rPr>
                <w:rFonts w:ascii="Arial" w:eastAsia="MS Mincho" w:hAnsi="Arial" w:cs="Arial"/>
                <w:i/>
                <w:sz w:val="16"/>
                <w:szCs w:val="16"/>
                <w:lang w:eastAsia="zh-CN"/>
              </w:rPr>
            </w:pPr>
            <w:r w:rsidRPr="00B64CA9">
              <w:rPr>
                <w:rFonts w:ascii="Arial" w:eastAsia="MS Mincho" w:hAnsi="Arial" w:cs="Arial"/>
                <w:i/>
                <w:sz w:val="16"/>
                <w:szCs w:val="16"/>
                <w:lang w:eastAsia="zh-CN"/>
              </w:rPr>
              <w:t>* non-responder imputation was used to handle missing values</w:t>
            </w:r>
          </w:p>
          <w:p w14:paraId="69AE388F" w14:textId="77777777" w:rsidR="005A26F4" w:rsidRPr="00B64CA9" w:rsidRDefault="005A26F4" w:rsidP="005A26F4">
            <w:pPr>
              <w:keepLines/>
              <w:tabs>
                <w:tab w:val="left" w:pos="284"/>
              </w:tabs>
              <w:spacing w:before="40" w:after="0" w:line="240" w:lineRule="auto"/>
              <w:rPr>
                <w:rFonts w:ascii="Arial" w:eastAsia="MS Mincho" w:hAnsi="Arial" w:cs="Arial"/>
                <w:i/>
                <w:sz w:val="16"/>
                <w:szCs w:val="16"/>
                <w:lang w:eastAsia="zh-CN"/>
              </w:rPr>
            </w:pPr>
            <w:r w:rsidRPr="00B64CA9">
              <w:rPr>
                <w:rFonts w:ascii="Arial" w:eastAsia="MS Mincho" w:hAnsi="Arial" w:cs="Arial"/>
                <w:i/>
                <w:sz w:val="16"/>
                <w:szCs w:val="16"/>
                <w:lang w:eastAsia="zh-CN"/>
              </w:rPr>
              <w:t>** n is the number of responders, m = number of patients evaluable</w:t>
            </w:r>
          </w:p>
          <w:p w14:paraId="5BBCADCC" w14:textId="77777777" w:rsidR="005A26F4" w:rsidRPr="00B64CA9" w:rsidRDefault="005A26F4" w:rsidP="005A26F4">
            <w:pPr>
              <w:keepLines/>
              <w:tabs>
                <w:tab w:val="left" w:pos="284"/>
              </w:tabs>
              <w:spacing w:before="40" w:after="0" w:line="240" w:lineRule="auto"/>
              <w:rPr>
                <w:rFonts w:ascii="Arial" w:eastAsia="MS Mincho" w:hAnsi="Arial" w:cs="Arial"/>
                <w:i/>
                <w:sz w:val="16"/>
                <w:szCs w:val="16"/>
                <w:lang w:eastAsia="zh-CN"/>
              </w:rPr>
            </w:pPr>
            <w:r w:rsidRPr="00B64CA9">
              <w:rPr>
                <w:rFonts w:ascii="Arial" w:eastAsia="MS Mincho" w:hAnsi="Arial" w:cs="Arial"/>
                <w:i/>
                <w:sz w:val="16"/>
                <w:szCs w:val="16"/>
                <w:lang w:eastAsia="zh-CN"/>
              </w:rPr>
              <w:t>*** extended visit-window at week 12</w:t>
            </w:r>
          </w:p>
          <w:p w14:paraId="706461DE" w14:textId="77777777" w:rsidR="005A26F4" w:rsidRPr="00B64CA9" w:rsidRDefault="005A26F4" w:rsidP="005A26F4">
            <w:pPr>
              <w:keepLines/>
              <w:tabs>
                <w:tab w:val="left" w:pos="284"/>
              </w:tabs>
              <w:spacing w:before="40" w:after="0" w:line="240" w:lineRule="auto"/>
              <w:rPr>
                <w:rFonts w:ascii="Arial" w:eastAsia="MS Mincho" w:hAnsi="Arial" w:cs="Arial"/>
                <w:i/>
                <w:sz w:val="16"/>
                <w:szCs w:val="16"/>
                <w:lang w:eastAsia="zh-CN"/>
              </w:rPr>
            </w:pPr>
            <w:r w:rsidRPr="00B64CA9">
              <w:rPr>
                <w:rFonts w:ascii="Arial" w:eastAsia="MS Mincho" w:hAnsi="Arial" w:cs="Arial"/>
                <w:i/>
                <w:sz w:val="16"/>
                <w:szCs w:val="16"/>
                <w:lang w:eastAsia="zh-CN"/>
              </w:rPr>
              <w:t>Odds ratio, 95% confidence interval, and p-value are from an exact logistic regression model with treatment group, baseline body-weight category and age category as factors</w:t>
            </w:r>
          </w:p>
        </w:tc>
      </w:tr>
    </w:tbl>
    <w:p w14:paraId="11EEC077" w14:textId="77777777" w:rsidR="005A26F4" w:rsidRPr="00B64CA9" w:rsidRDefault="005A26F4" w:rsidP="005A26F4">
      <w:pPr>
        <w:jc w:val="both"/>
        <w:rPr>
          <w:rFonts w:cs="Arial"/>
        </w:rPr>
      </w:pPr>
    </w:p>
    <w:p w14:paraId="0F5A5A9E" w14:textId="77777777" w:rsidR="005A26F4" w:rsidRPr="00B64CA9" w:rsidRDefault="005A26F4" w:rsidP="005A26F4">
      <w:pPr>
        <w:jc w:val="both"/>
        <w:rPr>
          <w:rFonts w:cs="Arial"/>
        </w:rPr>
      </w:pPr>
      <w:r w:rsidRPr="00B64CA9">
        <w:rPr>
          <w:rFonts w:cs="Arial"/>
        </w:rPr>
        <w:t xml:space="preserve">A higher proportion of paediatric patients treated with </w:t>
      </w:r>
      <w:proofErr w:type="spellStart"/>
      <w:r w:rsidRPr="00B64CA9">
        <w:rPr>
          <w:rFonts w:cs="Arial"/>
        </w:rPr>
        <w:t>secukinumab</w:t>
      </w:r>
      <w:proofErr w:type="spellEnd"/>
      <w:r w:rsidRPr="00B64CA9">
        <w:rPr>
          <w:rFonts w:cs="Arial"/>
        </w:rPr>
        <w:t xml:space="preserve"> reported improvement in health-related quality of life as measured by a CDLQI score of 0 or 1 compared to placebo at Week 12 (low dose 44.7%, high dose 50%, placebo 15%). This improvement was further maintained through Week 52.</w:t>
      </w:r>
    </w:p>
    <w:p w14:paraId="18531A85" w14:textId="77777777" w:rsidR="005A26F4" w:rsidRPr="00B64CA9" w:rsidRDefault="005A26F4" w:rsidP="005A26F4">
      <w:pPr>
        <w:spacing w:after="120"/>
        <w:jc w:val="both"/>
        <w:rPr>
          <w:rFonts w:cs="Arial"/>
          <w:i/>
          <w:u w:val="single"/>
        </w:rPr>
      </w:pPr>
      <w:r w:rsidRPr="00B64CA9">
        <w:rPr>
          <w:rFonts w:cs="Arial"/>
          <w:i/>
          <w:u w:val="single"/>
        </w:rPr>
        <w:t>Moderate to severe plaque psoriasis</w:t>
      </w:r>
    </w:p>
    <w:p w14:paraId="472D1FDB" w14:textId="77777777" w:rsidR="005A26F4" w:rsidRPr="00B64CA9" w:rsidRDefault="005A26F4" w:rsidP="005A26F4">
      <w:pPr>
        <w:jc w:val="both"/>
        <w:rPr>
          <w:rFonts w:cs="Arial"/>
        </w:rPr>
      </w:pPr>
      <w:r w:rsidRPr="00B64CA9">
        <w:rPr>
          <w:rFonts w:cs="Arial"/>
        </w:rPr>
        <w:t>An open</w:t>
      </w:r>
      <w:r w:rsidRPr="00B64CA9">
        <w:rPr>
          <w:rFonts w:cs="Arial"/>
        </w:rPr>
        <w:noBreakHyphen/>
        <w:t>label, two-arm, parallel</w:t>
      </w:r>
      <w:r w:rsidRPr="00B64CA9">
        <w:rPr>
          <w:rFonts w:cs="Arial"/>
        </w:rPr>
        <w:noBreakHyphen/>
        <w:t>group, multicentre phase III study enrolled 84 paediatric patients 6 to less than 18 years of age with moderate to severe plaque psoriasis (as defined by a PASI score ≥12, an IGA mod 2011 score of ≥3, and involving ≥10% of the body surface area) who were candidates for systemic therapy.</w:t>
      </w:r>
    </w:p>
    <w:p w14:paraId="292BEF99" w14:textId="77777777" w:rsidR="005A26F4" w:rsidRPr="00B64CA9" w:rsidRDefault="005A26F4" w:rsidP="005A26F4">
      <w:pPr>
        <w:jc w:val="both"/>
        <w:rPr>
          <w:rFonts w:cs="Arial"/>
        </w:rPr>
      </w:pPr>
      <w:r w:rsidRPr="00B64CA9">
        <w:rPr>
          <w:rFonts w:cs="Arial"/>
        </w:rPr>
        <w:t xml:space="preserve">Patients were randomized to receive </w:t>
      </w:r>
      <w:proofErr w:type="spellStart"/>
      <w:r w:rsidRPr="00B64CA9">
        <w:rPr>
          <w:rFonts w:cs="Arial"/>
        </w:rPr>
        <w:t>secukinumab</w:t>
      </w:r>
      <w:proofErr w:type="spellEnd"/>
      <w:r w:rsidRPr="00B64CA9">
        <w:rPr>
          <w:rFonts w:cs="Arial"/>
        </w:rPr>
        <w:t xml:space="preserve"> at Weeks 0, 1, 2, 3, and 4 followed by the same dose every 4 weeks as follows:</w:t>
      </w:r>
    </w:p>
    <w:p w14:paraId="15938EA9" w14:textId="77777777" w:rsidR="005A26F4" w:rsidRPr="00B64CA9" w:rsidRDefault="005A26F4" w:rsidP="005A26F4">
      <w:pPr>
        <w:numPr>
          <w:ilvl w:val="0"/>
          <w:numId w:val="55"/>
        </w:numPr>
        <w:jc w:val="both"/>
        <w:rPr>
          <w:rFonts w:cs="Arial"/>
        </w:rPr>
      </w:pPr>
      <w:r w:rsidRPr="00B64CA9">
        <w:rPr>
          <w:rFonts w:cs="Arial"/>
        </w:rPr>
        <w:t xml:space="preserve">low dose </w:t>
      </w:r>
      <w:proofErr w:type="spellStart"/>
      <w:r w:rsidRPr="00B64CA9">
        <w:rPr>
          <w:rFonts w:cs="Arial"/>
        </w:rPr>
        <w:t>s</w:t>
      </w:r>
      <w:r w:rsidRPr="00B64CA9">
        <w:rPr>
          <w:rFonts w:cs="Arial"/>
          <w:bCs/>
        </w:rPr>
        <w:t>ecukinumab</w:t>
      </w:r>
      <w:proofErr w:type="spellEnd"/>
      <w:r w:rsidRPr="00B64CA9">
        <w:rPr>
          <w:rFonts w:cs="Arial"/>
        </w:rPr>
        <w:t xml:space="preserve"> (75 mg for body weight &lt;50 kg or 150 mg for body weight ≥50 kg), </w:t>
      </w:r>
    </w:p>
    <w:p w14:paraId="58D4A736" w14:textId="77777777" w:rsidR="005A26F4" w:rsidRPr="00B64CA9" w:rsidRDefault="005A26F4" w:rsidP="005A26F4">
      <w:pPr>
        <w:numPr>
          <w:ilvl w:val="0"/>
          <w:numId w:val="55"/>
        </w:numPr>
        <w:jc w:val="both"/>
        <w:rPr>
          <w:rFonts w:cs="Arial"/>
        </w:rPr>
      </w:pPr>
      <w:r w:rsidRPr="00B64CA9">
        <w:rPr>
          <w:rFonts w:cs="Arial"/>
        </w:rPr>
        <w:t xml:space="preserve">high dose </w:t>
      </w:r>
      <w:proofErr w:type="spellStart"/>
      <w:r w:rsidRPr="00B64CA9">
        <w:rPr>
          <w:rFonts w:cs="Arial"/>
        </w:rPr>
        <w:t>s</w:t>
      </w:r>
      <w:r w:rsidRPr="00B64CA9">
        <w:rPr>
          <w:rFonts w:cs="Arial"/>
          <w:bCs/>
        </w:rPr>
        <w:t>ecukinumab</w:t>
      </w:r>
      <w:proofErr w:type="spellEnd"/>
      <w:r w:rsidRPr="00B64CA9">
        <w:rPr>
          <w:rFonts w:cs="Arial"/>
        </w:rPr>
        <w:t xml:space="preserve"> (75 mg for body weight &lt;25 kg, 150 mg for body weight between ≥25 kg and &lt;50 kg, or 300 mg for body weight ≥50 kg). </w:t>
      </w:r>
    </w:p>
    <w:p w14:paraId="711F96D5" w14:textId="77777777" w:rsidR="005A26F4" w:rsidRPr="00B64CA9" w:rsidRDefault="005A26F4" w:rsidP="005A26F4">
      <w:pPr>
        <w:jc w:val="both"/>
        <w:rPr>
          <w:rFonts w:cs="Arial"/>
        </w:rPr>
      </w:pPr>
      <w:r w:rsidRPr="00B64CA9">
        <w:rPr>
          <w:rFonts w:cs="Arial"/>
        </w:rPr>
        <w:t xml:space="preserve">The co-primary endpoints were the proportion of patients who achieved a reduction in PASI score of at least 75% (PASI 75) and IGA mod 2011 ‘clear’ or ‘almost clear’ (0 or 1) with at least a </w:t>
      </w:r>
      <w:proofErr w:type="gramStart"/>
      <w:r w:rsidRPr="00B64CA9">
        <w:rPr>
          <w:rFonts w:cs="Arial"/>
        </w:rPr>
        <w:t>2 point</w:t>
      </w:r>
      <w:proofErr w:type="gramEnd"/>
      <w:r w:rsidRPr="00B64CA9">
        <w:rPr>
          <w:rFonts w:cs="Arial"/>
        </w:rPr>
        <w:t xml:space="preserve"> improvement from baseline to Week 12. Secondary endpoints included PASI 90 response at Week 12.</w:t>
      </w:r>
    </w:p>
    <w:p w14:paraId="63EA6FE0" w14:textId="77777777" w:rsidR="005A26F4" w:rsidRPr="00B64CA9" w:rsidRDefault="005A26F4" w:rsidP="005A26F4">
      <w:pPr>
        <w:jc w:val="both"/>
        <w:rPr>
          <w:rFonts w:cs="Arial"/>
          <w:bCs/>
        </w:rPr>
      </w:pPr>
      <w:r w:rsidRPr="00B64CA9">
        <w:rPr>
          <w:rFonts w:cs="Arial"/>
        </w:rPr>
        <w:t xml:space="preserve">The efficacy of both the low and the high dose of </w:t>
      </w:r>
      <w:proofErr w:type="spellStart"/>
      <w:r w:rsidRPr="00B64CA9">
        <w:rPr>
          <w:rFonts w:cs="Arial"/>
        </w:rPr>
        <w:t>secukinumab</w:t>
      </w:r>
      <w:proofErr w:type="spellEnd"/>
      <w:r w:rsidRPr="00B64CA9">
        <w:rPr>
          <w:rFonts w:cs="Arial"/>
        </w:rPr>
        <w:t xml:space="preserve"> was comparable and showed statistically and clinically meaningful improvement compared to historical placebo</w:t>
      </w:r>
      <w:r w:rsidRPr="00B64CA9" w:rsidDel="00532052">
        <w:rPr>
          <w:rFonts w:cs="Arial"/>
        </w:rPr>
        <w:t xml:space="preserve"> </w:t>
      </w:r>
      <w:r w:rsidRPr="00B64CA9">
        <w:rPr>
          <w:rFonts w:cs="Arial"/>
        </w:rPr>
        <w:t xml:space="preserve">for the co-primary endpoints. The odds ratio estimates in </w:t>
      </w:r>
      <w:proofErr w:type="spellStart"/>
      <w:r w:rsidRPr="00B64CA9">
        <w:rPr>
          <w:rFonts w:cs="Arial"/>
        </w:rPr>
        <w:t>favor</w:t>
      </w:r>
      <w:proofErr w:type="spellEnd"/>
      <w:r w:rsidRPr="00B64CA9">
        <w:rPr>
          <w:rFonts w:cs="Arial"/>
        </w:rPr>
        <w:t xml:space="preserve"> of both </w:t>
      </w:r>
      <w:proofErr w:type="spellStart"/>
      <w:r w:rsidRPr="00B64CA9">
        <w:rPr>
          <w:rFonts w:cs="Arial"/>
        </w:rPr>
        <w:t>secukinumab</w:t>
      </w:r>
      <w:proofErr w:type="spellEnd"/>
      <w:r w:rsidRPr="00B64CA9">
        <w:rPr>
          <w:rFonts w:cs="Arial"/>
        </w:rPr>
        <w:t xml:space="preserve"> doses were clinically relevant and statistically significant for both the PASI 75 and IGA mod 2011 0 or 1 responses versus historical placebo. </w:t>
      </w:r>
      <w:r w:rsidRPr="00B64CA9">
        <w:rPr>
          <w:rFonts w:cs="Arial"/>
          <w:bCs/>
        </w:rPr>
        <w:t>The estimated posterior probability of a positive treatment effect was 100%.</w:t>
      </w:r>
    </w:p>
    <w:p w14:paraId="33D2C003" w14:textId="77777777" w:rsidR="005A26F4" w:rsidRPr="00B64CA9" w:rsidRDefault="005A26F4" w:rsidP="005A26F4">
      <w:pPr>
        <w:jc w:val="both"/>
        <w:rPr>
          <w:rFonts w:cs="Arial"/>
          <w:bCs/>
        </w:rPr>
      </w:pPr>
      <w:r w:rsidRPr="00B64CA9">
        <w:rPr>
          <w:rFonts w:cs="Arial"/>
          <w:bCs/>
        </w:rPr>
        <w:t>The efficacy results at Weeks 12 are presented in Table 13.</w:t>
      </w:r>
      <w:bookmarkStart w:id="9" w:name="_Toc42759423"/>
    </w:p>
    <w:p w14:paraId="371D128D" w14:textId="77777777" w:rsidR="005A26F4" w:rsidRPr="00B64CA9" w:rsidRDefault="005A26F4" w:rsidP="005A26F4">
      <w:pPr>
        <w:ind w:left="1440" w:hanging="1440"/>
        <w:jc w:val="both"/>
        <w:rPr>
          <w:rFonts w:cs="Arial"/>
          <w:bCs/>
          <w:sz w:val="20"/>
          <w:szCs w:val="20"/>
        </w:rPr>
      </w:pPr>
      <w:r w:rsidRPr="00B64CA9">
        <w:rPr>
          <w:rFonts w:ascii="Arial" w:eastAsia="MS Gothic" w:hAnsi="Arial" w:cs="Arial"/>
          <w:b/>
          <w:sz w:val="20"/>
          <w:szCs w:val="20"/>
          <w:lang w:eastAsia="zh-CN"/>
        </w:rPr>
        <w:t>Table 13</w:t>
      </w:r>
      <w:r w:rsidRPr="00B64CA9">
        <w:rPr>
          <w:rFonts w:ascii="Arial" w:eastAsia="MS Gothic" w:hAnsi="Arial" w:cs="Arial"/>
          <w:b/>
          <w:sz w:val="20"/>
          <w:szCs w:val="20"/>
          <w:lang w:eastAsia="zh-CN"/>
        </w:rPr>
        <w:tab/>
        <w:t>Summary of clinical response in moderate to severe paediatric psoriasis at Weeks 12* (paediatric psoriasis)</w:t>
      </w:r>
      <w:bookmarkEnd w:id="9"/>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126"/>
        <w:gridCol w:w="2127"/>
      </w:tblGrid>
      <w:tr w:rsidR="005A26F4" w:rsidRPr="00B64CA9" w14:paraId="635DEB74" w14:textId="77777777" w:rsidTr="005A26F4">
        <w:trPr>
          <w:cantSplit/>
        </w:trPr>
        <w:tc>
          <w:tcPr>
            <w:tcW w:w="4673" w:type="dxa"/>
            <w:vMerge w:val="restart"/>
            <w:shd w:val="clear" w:color="auto" w:fill="auto"/>
          </w:tcPr>
          <w:p w14:paraId="715D6E6E" w14:textId="77777777" w:rsidR="005A26F4" w:rsidRPr="00B64CA9" w:rsidRDefault="005A26F4" w:rsidP="005A26F4">
            <w:pPr>
              <w:keepNext/>
              <w:keepLines/>
              <w:widowControl w:val="0"/>
              <w:spacing w:before="40" w:after="0" w:line="240" w:lineRule="auto"/>
              <w:rPr>
                <w:rFonts w:ascii="Arial" w:eastAsia="MS Mincho" w:hAnsi="Arial" w:cs="Arial"/>
                <w:b/>
                <w:sz w:val="18"/>
                <w:szCs w:val="18"/>
                <w:lang w:eastAsia="zh-CN"/>
              </w:rPr>
            </w:pPr>
          </w:p>
        </w:tc>
        <w:tc>
          <w:tcPr>
            <w:tcW w:w="4253" w:type="dxa"/>
            <w:gridSpan w:val="2"/>
            <w:shd w:val="clear" w:color="auto" w:fill="auto"/>
          </w:tcPr>
          <w:p w14:paraId="28626F8B" w14:textId="77777777" w:rsidR="005A26F4" w:rsidRPr="00B64CA9" w:rsidRDefault="005A26F4" w:rsidP="005A26F4">
            <w:pPr>
              <w:keepNext/>
              <w:keepLines/>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Week 12</w:t>
            </w:r>
          </w:p>
        </w:tc>
      </w:tr>
      <w:tr w:rsidR="005A26F4" w:rsidRPr="00B64CA9" w14:paraId="1719DC8C" w14:textId="77777777" w:rsidTr="005A26F4">
        <w:trPr>
          <w:cantSplit/>
        </w:trPr>
        <w:tc>
          <w:tcPr>
            <w:tcW w:w="4673" w:type="dxa"/>
            <w:vMerge/>
            <w:shd w:val="clear" w:color="auto" w:fill="auto"/>
          </w:tcPr>
          <w:p w14:paraId="251EB7AE" w14:textId="77777777" w:rsidR="005A26F4" w:rsidRPr="00B64CA9" w:rsidRDefault="005A26F4" w:rsidP="005A26F4">
            <w:pPr>
              <w:keepNext/>
              <w:keepLines/>
              <w:widowControl w:val="0"/>
              <w:spacing w:before="40" w:after="0" w:line="240" w:lineRule="auto"/>
              <w:rPr>
                <w:rFonts w:ascii="Arial" w:eastAsia="MS Mincho" w:hAnsi="Arial" w:cs="Arial"/>
                <w:b/>
                <w:sz w:val="18"/>
                <w:szCs w:val="18"/>
                <w:lang w:eastAsia="zh-CN"/>
              </w:rPr>
            </w:pPr>
          </w:p>
        </w:tc>
        <w:tc>
          <w:tcPr>
            <w:tcW w:w="2126" w:type="dxa"/>
            <w:shd w:val="clear" w:color="auto" w:fill="auto"/>
          </w:tcPr>
          <w:p w14:paraId="26794F53" w14:textId="77777777" w:rsidR="005A26F4" w:rsidRPr="00B64CA9" w:rsidRDefault="005A26F4" w:rsidP="005A26F4">
            <w:pPr>
              <w:keepNext/>
              <w:spacing w:before="40" w:after="0" w:line="240" w:lineRule="auto"/>
              <w:jc w:val="center"/>
              <w:rPr>
                <w:rFonts w:ascii="Arial" w:eastAsia="MS Mincho" w:hAnsi="Arial" w:cs="Arial"/>
                <w:b/>
                <w:noProof/>
                <w:sz w:val="18"/>
                <w:szCs w:val="18"/>
                <w:lang w:eastAsia="zh-CN"/>
              </w:rPr>
            </w:pPr>
            <w:r w:rsidRPr="00B64CA9">
              <w:rPr>
                <w:rFonts w:ascii="Arial" w:eastAsia="MS Mincho" w:hAnsi="Arial" w:cs="Arial"/>
                <w:b/>
                <w:noProof/>
                <w:sz w:val="18"/>
                <w:szCs w:val="18"/>
                <w:lang w:eastAsia="zh-CN"/>
              </w:rPr>
              <w:t>Secukinumab</w:t>
            </w:r>
          </w:p>
          <w:p w14:paraId="16E4F713" w14:textId="77777777" w:rsidR="005A26F4" w:rsidRPr="00B64CA9" w:rsidRDefault="005A26F4" w:rsidP="005A26F4">
            <w:pPr>
              <w:keepNext/>
              <w:keepLines/>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low dose</w:t>
            </w:r>
          </w:p>
        </w:tc>
        <w:tc>
          <w:tcPr>
            <w:tcW w:w="2127" w:type="dxa"/>
            <w:shd w:val="clear" w:color="auto" w:fill="auto"/>
          </w:tcPr>
          <w:p w14:paraId="68E75829" w14:textId="77777777" w:rsidR="005A26F4" w:rsidRPr="00B64CA9" w:rsidRDefault="005A26F4" w:rsidP="005A26F4">
            <w:pPr>
              <w:keepNext/>
              <w:spacing w:before="40" w:after="0" w:line="240" w:lineRule="auto"/>
              <w:jc w:val="center"/>
              <w:rPr>
                <w:rFonts w:ascii="Arial" w:eastAsia="MS Mincho" w:hAnsi="Arial" w:cs="Arial"/>
                <w:b/>
                <w:noProof/>
                <w:sz w:val="18"/>
                <w:szCs w:val="18"/>
                <w:lang w:eastAsia="zh-CN"/>
              </w:rPr>
            </w:pPr>
            <w:r w:rsidRPr="00B64CA9">
              <w:rPr>
                <w:rFonts w:ascii="Arial" w:eastAsia="MS Mincho" w:hAnsi="Arial" w:cs="Arial"/>
                <w:b/>
                <w:noProof/>
                <w:sz w:val="18"/>
                <w:szCs w:val="18"/>
                <w:lang w:eastAsia="zh-CN"/>
              </w:rPr>
              <w:t>Secukinumab</w:t>
            </w:r>
          </w:p>
          <w:p w14:paraId="0E2E08F2" w14:textId="77777777" w:rsidR="005A26F4" w:rsidRPr="00B64CA9" w:rsidRDefault="005A26F4" w:rsidP="005A26F4">
            <w:pPr>
              <w:keepNext/>
              <w:keepLines/>
              <w:widowControl w:val="0"/>
              <w:spacing w:before="40" w:after="0" w:line="240" w:lineRule="auto"/>
              <w:jc w:val="center"/>
              <w:rPr>
                <w:rFonts w:ascii="Arial" w:eastAsia="MS Mincho" w:hAnsi="Arial" w:cs="Arial"/>
                <w:b/>
                <w:sz w:val="18"/>
                <w:szCs w:val="18"/>
                <w:lang w:eastAsia="zh-CN"/>
              </w:rPr>
            </w:pPr>
            <w:r w:rsidRPr="00B64CA9">
              <w:rPr>
                <w:rFonts w:ascii="Arial" w:eastAsia="MS Mincho" w:hAnsi="Arial" w:cs="Arial"/>
                <w:b/>
                <w:sz w:val="18"/>
                <w:szCs w:val="18"/>
                <w:lang w:eastAsia="zh-CN"/>
              </w:rPr>
              <w:t>high dose</w:t>
            </w:r>
          </w:p>
        </w:tc>
      </w:tr>
      <w:tr w:rsidR="005A26F4" w:rsidRPr="00B64CA9" w14:paraId="67F4F351" w14:textId="77777777" w:rsidTr="005A26F4">
        <w:trPr>
          <w:cantSplit/>
        </w:trPr>
        <w:tc>
          <w:tcPr>
            <w:tcW w:w="4673" w:type="dxa"/>
            <w:shd w:val="clear" w:color="auto" w:fill="auto"/>
          </w:tcPr>
          <w:p w14:paraId="562E95EA" w14:textId="77777777" w:rsidR="005A26F4" w:rsidRPr="00B64CA9" w:rsidRDefault="005A26F4" w:rsidP="005A26F4">
            <w:pPr>
              <w:keepNext/>
              <w:keepLines/>
              <w:widowControl w:val="0"/>
              <w:spacing w:before="40" w:after="0" w:line="240" w:lineRule="auto"/>
              <w:rPr>
                <w:rFonts w:ascii="Arial" w:eastAsia="MS Mincho" w:hAnsi="Arial" w:cs="Arial"/>
                <w:sz w:val="18"/>
                <w:szCs w:val="18"/>
                <w:lang w:eastAsia="zh-CN"/>
              </w:rPr>
            </w:pPr>
            <w:r w:rsidRPr="00B64CA9">
              <w:rPr>
                <w:rFonts w:ascii="Arial" w:eastAsia="MS Mincho" w:hAnsi="Arial" w:cs="Arial"/>
                <w:sz w:val="18"/>
                <w:szCs w:val="18"/>
                <w:lang w:eastAsia="zh-CN"/>
              </w:rPr>
              <w:t>Number of patients</w:t>
            </w:r>
          </w:p>
        </w:tc>
        <w:tc>
          <w:tcPr>
            <w:tcW w:w="2126" w:type="dxa"/>
            <w:shd w:val="clear" w:color="auto" w:fill="auto"/>
          </w:tcPr>
          <w:p w14:paraId="543A0E8B"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42</w:t>
            </w:r>
          </w:p>
        </w:tc>
        <w:tc>
          <w:tcPr>
            <w:tcW w:w="2127" w:type="dxa"/>
            <w:shd w:val="clear" w:color="auto" w:fill="auto"/>
          </w:tcPr>
          <w:p w14:paraId="524CD0D9"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42</w:t>
            </w:r>
          </w:p>
        </w:tc>
      </w:tr>
      <w:tr w:rsidR="005A26F4" w:rsidRPr="00B64CA9" w14:paraId="71C68625" w14:textId="77777777" w:rsidTr="005A26F4">
        <w:trPr>
          <w:cantSplit/>
        </w:trPr>
        <w:tc>
          <w:tcPr>
            <w:tcW w:w="4673" w:type="dxa"/>
            <w:shd w:val="clear" w:color="auto" w:fill="auto"/>
          </w:tcPr>
          <w:p w14:paraId="3B274623" w14:textId="77777777" w:rsidR="005A26F4" w:rsidRPr="00B64CA9" w:rsidRDefault="005A26F4" w:rsidP="005A26F4">
            <w:pPr>
              <w:keepNext/>
              <w:keepLines/>
              <w:widowControl w:val="0"/>
              <w:spacing w:before="40" w:after="0" w:line="240" w:lineRule="auto"/>
              <w:rPr>
                <w:rFonts w:ascii="Arial" w:eastAsia="MS Mincho" w:hAnsi="Arial" w:cs="Arial"/>
                <w:sz w:val="18"/>
                <w:szCs w:val="18"/>
                <w:lang w:eastAsia="zh-CN"/>
              </w:rPr>
            </w:pPr>
            <w:r w:rsidRPr="00B64CA9">
              <w:rPr>
                <w:rFonts w:ascii="Arial" w:eastAsia="MS Mincho" w:hAnsi="Arial" w:cs="Arial"/>
                <w:sz w:val="18"/>
                <w:szCs w:val="18"/>
                <w:lang w:eastAsia="zh-CN"/>
              </w:rPr>
              <w:t>PASI 75 response n (%)</w:t>
            </w:r>
          </w:p>
        </w:tc>
        <w:tc>
          <w:tcPr>
            <w:tcW w:w="2126" w:type="dxa"/>
            <w:shd w:val="clear" w:color="auto" w:fill="auto"/>
          </w:tcPr>
          <w:p w14:paraId="6CBA9324"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39 (92.9%)</w:t>
            </w:r>
          </w:p>
        </w:tc>
        <w:tc>
          <w:tcPr>
            <w:tcW w:w="2127" w:type="dxa"/>
            <w:shd w:val="clear" w:color="auto" w:fill="auto"/>
          </w:tcPr>
          <w:p w14:paraId="4CABB188"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39 (92.9%)</w:t>
            </w:r>
          </w:p>
        </w:tc>
      </w:tr>
      <w:tr w:rsidR="005A26F4" w:rsidRPr="00B64CA9" w14:paraId="16902895" w14:textId="77777777" w:rsidTr="005A26F4">
        <w:trPr>
          <w:cantSplit/>
        </w:trPr>
        <w:tc>
          <w:tcPr>
            <w:tcW w:w="4673" w:type="dxa"/>
            <w:shd w:val="clear" w:color="auto" w:fill="auto"/>
          </w:tcPr>
          <w:p w14:paraId="68152E2D" w14:textId="77777777" w:rsidR="005A26F4" w:rsidRPr="00B64CA9" w:rsidRDefault="005A26F4" w:rsidP="005A26F4">
            <w:pPr>
              <w:keepNext/>
              <w:keepLines/>
              <w:widowControl w:val="0"/>
              <w:spacing w:before="40" w:after="0" w:line="240" w:lineRule="auto"/>
              <w:rPr>
                <w:rFonts w:ascii="Arial" w:eastAsia="MS Mincho" w:hAnsi="Arial" w:cs="Arial"/>
                <w:sz w:val="18"/>
                <w:szCs w:val="18"/>
                <w:lang w:eastAsia="zh-CN"/>
              </w:rPr>
            </w:pPr>
            <w:r w:rsidRPr="00B64CA9">
              <w:rPr>
                <w:rFonts w:ascii="Arial" w:eastAsia="MS Mincho" w:hAnsi="Arial" w:cs="Arial"/>
                <w:sz w:val="18"/>
                <w:szCs w:val="18"/>
                <w:lang w:eastAsia="zh-CN"/>
              </w:rPr>
              <w:t>IGA mod 2011 ‘clear’ or ‘almost clear’ response n (%)</w:t>
            </w:r>
          </w:p>
        </w:tc>
        <w:tc>
          <w:tcPr>
            <w:tcW w:w="2126" w:type="dxa"/>
            <w:shd w:val="clear" w:color="auto" w:fill="auto"/>
          </w:tcPr>
          <w:p w14:paraId="0F99748E"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33 (78.6%)</w:t>
            </w:r>
          </w:p>
        </w:tc>
        <w:tc>
          <w:tcPr>
            <w:tcW w:w="2127" w:type="dxa"/>
            <w:shd w:val="clear" w:color="auto" w:fill="auto"/>
          </w:tcPr>
          <w:p w14:paraId="0D1916E6"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35 (83.3%)</w:t>
            </w:r>
          </w:p>
        </w:tc>
      </w:tr>
      <w:tr w:rsidR="005A26F4" w:rsidRPr="00B64CA9" w14:paraId="49C2FA04" w14:textId="77777777" w:rsidTr="005A26F4">
        <w:trPr>
          <w:cantSplit/>
        </w:trPr>
        <w:tc>
          <w:tcPr>
            <w:tcW w:w="4673" w:type="dxa"/>
            <w:shd w:val="clear" w:color="auto" w:fill="auto"/>
          </w:tcPr>
          <w:p w14:paraId="3371AA5B" w14:textId="77777777" w:rsidR="005A26F4" w:rsidRPr="00B64CA9" w:rsidRDefault="005A26F4" w:rsidP="005A26F4">
            <w:pPr>
              <w:keepNext/>
              <w:keepLines/>
              <w:widowControl w:val="0"/>
              <w:spacing w:before="40" w:after="0" w:line="240" w:lineRule="auto"/>
              <w:rPr>
                <w:rFonts w:ascii="Arial" w:eastAsia="MS Mincho" w:hAnsi="Arial" w:cs="Arial"/>
                <w:sz w:val="18"/>
                <w:szCs w:val="18"/>
                <w:lang w:eastAsia="zh-CN"/>
              </w:rPr>
            </w:pPr>
            <w:r w:rsidRPr="00B64CA9">
              <w:rPr>
                <w:rFonts w:ascii="Arial" w:eastAsia="MS Mincho" w:hAnsi="Arial" w:cs="Arial"/>
                <w:sz w:val="18"/>
                <w:szCs w:val="18"/>
                <w:lang w:eastAsia="zh-CN"/>
              </w:rPr>
              <w:t>PASI 90 response n (%)</w:t>
            </w:r>
          </w:p>
        </w:tc>
        <w:tc>
          <w:tcPr>
            <w:tcW w:w="2126" w:type="dxa"/>
            <w:shd w:val="clear" w:color="auto" w:fill="auto"/>
          </w:tcPr>
          <w:p w14:paraId="2AA130D0"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29 (69.0%)</w:t>
            </w:r>
          </w:p>
        </w:tc>
        <w:tc>
          <w:tcPr>
            <w:tcW w:w="2127" w:type="dxa"/>
            <w:shd w:val="clear" w:color="auto" w:fill="auto"/>
          </w:tcPr>
          <w:p w14:paraId="04DA678B" w14:textId="77777777" w:rsidR="005A26F4" w:rsidRPr="00B64CA9" w:rsidRDefault="005A26F4" w:rsidP="005A26F4">
            <w:pPr>
              <w:keepNext/>
              <w:keepLines/>
              <w:widowControl w:val="0"/>
              <w:spacing w:before="40" w:after="0" w:line="240" w:lineRule="auto"/>
              <w:jc w:val="center"/>
              <w:rPr>
                <w:rFonts w:ascii="Arial" w:eastAsia="MS Mincho" w:hAnsi="Arial" w:cs="Arial"/>
                <w:sz w:val="18"/>
                <w:szCs w:val="18"/>
                <w:lang w:eastAsia="zh-CN"/>
              </w:rPr>
            </w:pPr>
            <w:r w:rsidRPr="00B64CA9">
              <w:rPr>
                <w:rFonts w:ascii="Arial" w:eastAsia="MS Mincho" w:hAnsi="Arial" w:cs="Arial"/>
                <w:sz w:val="18"/>
                <w:szCs w:val="18"/>
                <w:lang w:eastAsia="zh-CN"/>
              </w:rPr>
              <w:t>32 (76.2%)</w:t>
            </w:r>
          </w:p>
        </w:tc>
      </w:tr>
      <w:tr w:rsidR="005A26F4" w:rsidRPr="00B64CA9" w14:paraId="4FE90919" w14:textId="77777777" w:rsidTr="005A26F4">
        <w:trPr>
          <w:cantSplit/>
        </w:trPr>
        <w:tc>
          <w:tcPr>
            <w:tcW w:w="8926" w:type="dxa"/>
            <w:gridSpan w:val="3"/>
            <w:tcBorders>
              <w:left w:val="nil"/>
              <w:bottom w:val="nil"/>
              <w:right w:val="nil"/>
            </w:tcBorders>
            <w:shd w:val="clear" w:color="auto" w:fill="auto"/>
          </w:tcPr>
          <w:p w14:paraId="57FE3FF9" w14:textId="77777777" w:rsidR="005A26F4" w:rsidRPr="00B64CA9" w:rsidRDefault="005A26F4" w:rsidP="005A26F4">
            <w:pPr>
              <w:keepLines/>
              <w:tabs>
                <w:tab w:val="left" w:pos="284"/>
              </w:tabs>
              <w:spacing w:before="40" w:after="0" w:line="240" w:lineRule="auto"/>
              <w:rPr>
                <w:rFonts w:ascii="Arial" w:eastAsia="MS Mincho" w:hAnsi="Arial" w:cs="Arial"/>
                <w:i/>
                <w:sz w:val="14"/>
                <w:szCs w:val="16"/>
                <w:lang w:eastAsia="zh-CN"/>
              </w:rPr>
            </w:pPr>
            <w:r w:rsidRPr="00B64CA9">
              <w:rPr>
                <w:rFonts w:ascii="Arial" w:eastAsia="MS Mincho" w:hAnsi="Arial" w:cs="Arial"/>
                <w:i/>
                <w:sz w:val="14"/>
                <w:szCs w:val="16"/>
                <w:lang w:eastAsia="zh-CN"/>
              </w:rPr>
              <w:t>* non-responder imputation was used to handle missing values</w:t>
            </w:r>
          </w:p>
        </w:tc>
      </w:tr>
    </w:tbl>
    <w:p w14:paraId="3A0EF586" w14:textId="77777777" w:rsidR="00B83784" w:rsidRPr="00B64CA9" w:rsidRDefault="00B83784" w:rsidP="00387046">
      <w:pPr>
        <w:jc w:val="both"/>
        <w:rPr>
          <w:rFonts w:cstheme="minorHAnsi"/>
        </w:rPr>
      </w:pPr>
    </w:p>
    <w:p w14:paraId="6AEDEFAB" w14:textId="77777777" w:rsidR="00F62A4F" w:rsidRPr="00B64CA9" w:rsidRDefault="00F62A4F" w:rsidP="00290F28">
      <w:pPr>
        <w:pageBreakBefore/>
        <w:spacing w:after="120"/>
        <w:jc w:val="both"/>
        <w:rPr>
          <w:rFonts w:asciiTheme="majorHAnsi" w:eastAsiaTheme="majorEastAsia" w:hAnsiTheme="majorHAnsi" w:cstheme="minorHAnsi"/>
          <w:b/>
          <w:bCs/>
          <w:u w:val="single"/>
        </w:rPr>
      </w:pPr>
      <w:r w:rsidRPr="00B64CA9">
        <w:rPr>
          <w:rFonts w:asciiTheme="majorHAnsi" w:eastAsiaTheme="majorEastAsia" w:hAnsiTheme="majorHAnsi" w:cstheme="minorHAnsi"/>
          <w:b/>
          <w:bCs/>
          <w:u w:val="single"/>
        </w:rPr>
        <w:lastRenderedPageBreak/>
        <w:t>Psoriatic Arthritis</w:t>
      </w:r>
    </w:p>
    <w:p w14:paraId="451052BB" w14:textId="77777777" w:rsidR="00F62A4F" w:rsidRPr="00B64CA9" w:rsidRDefault="00F62A4F" w:rsidP="002D07A3">
      <w:pPr>
        <w:jc w:val="both"/>
        <w:rPr>
          <w:rFonts w:cs="Arial"/>
        </w:rPr>
      </w:pPr>
      <w:r w:rsidRPr="00B64CA9">
        <w:rPr>
          <w:rFonts w:cs="Arial"/>
        </w:rPr>
        <w:t xml:space="preserve">The safety and efficacy of COSENTYX were assessed in </w:t>
      </w:r>
      <w:r w:rsidR="001A2207" w:rsidRPr="00B64CA9">
        <w:rPr>
          <w:rFonts w:cs="Arial"/>
        </w:rPr>
        <w:t>1,999</w:t>
      </w:r>
      <w:r w:rsidRPr="00B64CA9">
        <w:rPr>
          <w:rFonts w:cs="Arial"/>
        </w:rPr>
        <w:t xml:space="preserve"> patients in </w:t>
      </w:r>
      <w:r w:rsidR="001A2207" w:rsidRPr="00B64CA9">
        <w:rPr>
          <w:rFonts w:cs="Arial"/>
        </w:rPr>
        <w:t xml:space="preserve">three </w:t>
      </w:r>
      <w:r w:rsidRPr="00B64CA9">
        <w:rPr>
          <w:rFonts w:cs="Arial"/>
        </w:rPr>
        <w:t>randomi</w:t>
      </w:r>
      <w:r w:rsidR="001A2207" w:rsidRPr="00B64CA9">
        <w:rPr>
          <w:rFonts w:cs="Arial"/>
        </w:rPr>
        <w:t>s</w:t>
      </w:r>
      <w:r w:rsidRPr="00B64CA9">
        <w:rPr>
          <w:rFonts w:cs="Arial"/>
        </w:rPr>
        <w:t>ed, double-blind, placebo-controlled phase III studies in patients with active psoriatic arthritis (</w:t>
      </w:r>
      <w:r w:rsidR="001A2207" w:rsidRPr="00B64CA9">
        <w:rPr>
          <w:rFonts w:cs="Arial"/>
        </w:rPr>
        <w:t>≥</w:t>
      </w:r>
      <w:r w:rsidRPr="00B64CA9">
        <w:rPr>
          <w:rFonts w:cs="Arial"/>
        </w:rPr>
        <w:t xml:space="preserve">3 swollen and </w:t>
      </w:r>
      <w:r w:rsidR="001A2207" w:rsidRPr="00B64CA9">
        <w:rPr>
          <w:rFonts w:cs="Arial"/>
        </w:rPr>
        <w:t>≥</w:t>
      </w:r>
      <w:r w:rsidRPr="00B64CA9">
        <w:rPr>
          <w:rFonts w:cs="Arial"/>
        </w:rPr>
        <w:t xml:space="preserve">3 tender joints) despite non-steroidal anti-inflammatory drug (NSAID), corticosteroids or disease-modifying anti-rheumatic drug (DMARD) therapy.  Patients with each subtype of </w:t>
      </w:r>
      <w:proofErr w:type="spellStart"/>
      <w:r w:rsidRPr="00B64CA9">
        <w:rPr>
          <w:rFonts w:cs="Arial"/>
        </w:rPr>
        <w:t>PsA</w:t>
      </w:r>
      <w:proofErr w:type="spellEnd"/>
      <w:r w:rsidRPr="00B64CA9">
        <w:rPr>
          <w:rFonts w:cs="Arial"/>
        </w:rPr>
        <w:t xml:space="preserve"> were enrolled in these studies, including polyarticular arthritis with no evidence of rheumatoid nodules, spondylitis with peripheral arthritis, asymmetric peripheral arthritis, distal interphalangeal </w:t>
      </w:r>
      <w:proofErr w:type="gramStart"/>
      <w:r w:rsidRPr="00B64CA9">
        <w:rPr>
          <w:rFonts w:cs="Arial"/>
        </w:rPr>
        <w:t>involvement</w:t>
      </w:r>
      <w:proofErr w:type="gramEnd"/>
      <w:r w:rsidRPr="00B64CA9">
        <w:rPr>
          <w:rFonts w:cs="Arial"/>
        </w:rPr>
        <w:t xml:space="preserve"> and arthritis </w:t>
      </w:r>
      <w:proofErr w:type="spellStart"/>
      <w:r w:rsidRPr="00B64CA9">
        <w:rPr>
          <w:rFonts w:cs="Arial"/>
        </w:rPr>
        <w:t>mutilans</w:t>
      </w:r>
      <w:proofErr w:type="spellEnd"/>
      <w:r w:rsidRPr="00B64CA9">
        <w:rPr>
          <w:rFonts w:cs="Arial"/>
        </w:rPr>
        <w:t xml:space="preserve">. Patients in these studies had a diagnosis of </w:t>
      </w:r>
      <w:proofErr w:type="spellStart"/>
      <w:r w:rsidRPr="00B64CA9">
        <w:rPr>
          <w:rFonts w:cs="Arial"/>
        </w:rPr>
        <w:t>PsA</w:t>
      </w:r>
      <w:proofErr w:type="spellEnd"/>
      <w:r w:rsidRPr="00B64CA9">
        <w:rPr>
          <w:rFonts w:cs="Arial"/>
        </w:rPr>
        <w:t xml:space="preserve"> for a median of 3.9 to 5.3 years.   Approximately half of all enrolled patients had at least 3% BSA involvement with skin psoriasis at baseline.  Over </w:t>
      </w:r>
      <w:r w:rsidR="001A2207" w:rsidRPr="00B64CA9">
        <w:rPr>
          <w:rFonts w:cs="Arial"/>
        </w:rPr>
        <w:t>61</w:t>
      </w:r>
      <w:r w:rsidRPr="00B64CA9">
        <w:rPr>
          <w:rFonts w:cs="Arial"/>
        </w:rPr>
        <w:t xml:space="preserve">% and </w:t>
      </w:r>
      <w:r w:rsidR="001A2207" w:rsidRPr="00B64CA9">
        <w:rPr>
          <w:rFonts w:cs="Arial"/>
        </w:rPr>
        <w:t>42</w:t>
      </w:r>
      <w:r w:rsidRPr="00B64CA9">
        <w:rPr>
          <w:rFonts w:cs="Arial"/>
        </w:rPr>
        <w:t xml:space="preserve">% of the </w:t>
      </w:r>
      <w:proofErr w:type="spellStart"/>
      <w:r w:rsidRPr="00B64CA9">
        <w:rPr>
          <w:rFonts w:cs="Arial"/>
        </w:rPr>
        <w:t>PsA</w:t>
      </w:r>
      <w:proofErr w:type="spellEnd"/>
      <w:r w:rsidRPr="00B64CA9">
        <w:rPr>
          <w:rFonts w:cs="Arial"/>
        </w:rPr>
        <w:t xml:space="preserve"> patients had </w:t>
      </w:r>
      <w:proofErr w:type="spellStart"/>
      <w:r w:rsidRPr="00B64CA9">
        <w:rPr>
          <w:rFonts w:cs="Arial"/>
        </w:rPr>
        <w:t>enthesitis</w:t>
      </w:r>
      <w:proofErr w:type="spellEnd"/>
      <w:r w:rsidRPr="00B64CA9">
        <w:rPr>
          <w:rFonts w:cs="Arial"/>
        </w:rPr>
        <w:t xml:space="preserve"> and dactylitis at baseline, respectively.</w:t>
      </w:r>
    </w:p>
    <w:p w14:paraId="1E42A115" w14:textId="77777777" w:rsidR="00F62A4F" w:rsidRPr="00B64CA9" w:rsidRDefault="00F62A4F" w:rsidP="002D07A3">
      <w:pPr>
        <w:jc w:val="both"/>
        <w:rPr>
          <w:rFonts w:cs="Arial"/>
        </w:rPr>
      </w:pPr>
      <w:r w:rsidRPr="00B64CA9">
        <w:rPr>
          <w:rFonts w:cs="Arial"/>
        </w:rPr>
        <w:t>In FUTURE 1 Study (PsA1 Study)</w:t>
      </w:r>
      <w:r w:rsidR="001A2207" w:rsidRPr="00B64CA9">
        <w:rPr>
          <w:rFonts w:cs="Arial"/>
        </w:rPr>
        <w:t>,</w:t>
      </w:r>
      <w:r w:rsidRPr="00B64CA9">
        <w:rPr>
          <w:rFonts w:cs="Arial"/>
        </w:rPr>
        <w:t xml:space="preserve"> FUTURE 2 Study (PsA2 Study)</w:t>
      </w:r>
      <w:r w:rsidR="001A2207" w:rsidRPr="00B64CA9">
        <w:rPr>
          <w:rFonts w:cs="Arial"/>
        </w:rPr>
        <w:t>, and FUTURE 5 Study (PsA3 Study),</w:t>
      </w:r>
      <w:r w:rsidRPr="00B64CA9">
        <w:rPr>
          <w:rFonts w:cs="Arial"/>
        </w:rPr>
        <w:t xml:space="preserve"> 29%</w:t>
      </w:r>
      <w:r w:rsidR="001A2207" w:rsidRPr="00B64CA9">
        <w:rPr>
          <w:rFonts w:cs="Arial"/>
        </w:rPr>
        <w:t>,</w:t>
      </w:r>
      <w:r w:rsidRPr="00B64CA9">
        <w:rPr>
          <w:rFonts w:cs="Arial"/>
        </w:rPr>
        <w:t xml:space="preserve"> 35%</w:t>
      </w:r>
      <w:r w:rsidR="001A2207" w:rsidRPr="00B64CA9">
        <w:rPr>
          <w:rFonts w:cs="Arial"/>
        </w:rPr>
        <w:t>, and 30%</w:t>
      </w:r>
      <w:r w:rsidRPr="00B64CA9">
        <w:rPr>
          <w:rFonts w:cs="Arial"/>
        </w:rPr>
        <w:t xml:space="preserve"> of patients, respectively, were previously treated with an anti-TNF-alpha agent and discontinued the anti-TNF-alpha agent for either lack of efficacy or intolerance (anti-TNF-alpha-IR patients).  For </w:t>
      </w:r>
      <w:r w:rsidR="001A2207" w:rsidRPr="00B64CA9">
        <w:rPr>
          <w:rFonts w:cs="Arial"/>
        </w:rPr>
        <w:t>FUTURE 1 and FUTURE 2</w:t>
      </w:r>
      <w:r w:rsidRPr="00B64CA9">
        <w:rPr>
          <w:rFonts w:cs="Arial"/>
        </w:rPr>
        <w:t xml:space="preserve">, the primary endpoint was American College of Rheumatology (ACR) 20 response at Week 24. </w:t>
      </w:r>
      <w:r w:rsidR="001A2207" w:rsidRPr="00B64CA9">
        <w:rPr>
          <w:rFonts w:cs="Arial"/>
        </w:rPr>
        <w:t>The primary endpoint for FUTURE 5 was ACR20 response at Week 16,</w:t>
      </w:r>
      <w:r w:rsidR="001A2207" w:rsidRPr="00B64CA9">
        <w:t xml:space="preserve"> and the key secondary endpoint was the change from baseline in modified Total Sharp Score (</w:t>
      </w:r>
      <w:proofErr w:type="spellStart"/>
      <w:r w:rsidR="001A2207" w:rsidRPr="00B64CA9">
        <w:t>mTSS</w:t>
      </w:r>
      <w:proofErr w:type="spellEnd"/>
      <w:r w:rsidR="001A2207" w:rsidRPr="00B64CA9">
        <w:t>) at Week 24</w:t>
      </w:r>
      <w:r w:rsidR="001A2207" w:rsidRPr="00B64CA9">
        <w:rPr>
          <w:rFonts w:cs="Arial"/>
        </w:rPr>
        <w:t>.</w:t>
      </w:r>
    </w:p>
    <w:p w14:paraId="7D2A719A" w14:textId="77777777" w:rsidR="00F62A4F" w:rsidRPr="00B64CA9" w:rsidRDefault="00F62A4F" w:rsidP="002D07A3">
      <w:pPr>
        <w:jc w:val="both"/>
        <w:rPr>
          <w:rFonts w:cs="Arial"/>
        </w:rPr>
      </w:pPr>
      <w:r w:rsidRPr="00B64CA9">
        <w:rPr>
          <w:rFonts w:cs="Arial"/>
        </w:rPr>
        <w:t xml:space="preserve">Key exclusion criteria across pivotal trials were: use of high potency opioid analgesics; ongoing use of certain psoriasis treatments, e.g. topical or systemic corticosteroids or UV therapy; previous exposure to </w:t>
      </w:r>
      <w:proofErr w:type="spellStart"/>
      <w:r w:rsidRPr="00B64CA9">
        <w:rPr>
          <w:rFonts w:cs="Arial"/>
        </w:rPr>
        <w:t>secukinumab</w:t>
      </w:r>
      <w:proofErr w:type="spellEnd"/>
      <w:r w:rsidRPr="00B64CA9">
        <w:rPr>
          <w:rFonts w:cs="Arial"/>
        </w:rPr>
        <w:t xml:space="preserve"> or any other biologic drugs for psoriasis and </w:t>
      </w:r>
      <w:proofErr w:type="spellStart"/>
      <w:r w:rsidRPr="00B64CA9">
        <w:rPr>
          <w:rFonts w:cs="Arial"/>
        </w:rPr>
        <w:t>PsA</w:t>
      </w:r>
      <w:proofErr w:type="spellEnd"/>
      <w:r w:rsidRPr="00B64CA9">
        <w:rPr>
          <w:rFonts w:cs="Arial"/>
        </w:rPr>
        <w:t xml:space="preserve"> except for those targeting TNFα, patients with active, ongoing inflammatory disease other than </w:t>
      </w:r>
      <w:proofErr w:type="spellStart"/>
      <w:r w:rsidRPr="00B64CA9">
        <w:rPr>
          <w:rFonts w:cs="Arial"/>
        </w:rPr>
        <w:t>PsA</w:t>
      </w:r>
      <w:proofErr w:type="spellEnd"/>
      <w:r w:rsidRPr="00B64CA9">
        <w:rPr>
          <w:rFonts w:cs="Arial"/>
        </w:rPr>
        <w:t xml:space="preserve">;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B64CA9">
        <w:rPr>
          <w:rFonts w:cs="Arial"/>
        </w:rPr>
        <w:t>micromol</w:t>
      </w:r>
      <w:proofErr w:type="spellEnd"/>
      <w:r w:rsidRPr="00B64CA9">
        <w:rPr>
          <w:rFonts w:cs="Arial"/>
        </w:rPr>
        <w:t>/L or with white blood cell count &lt;3,000 /</w:t>
      </w:r>
      <w:proofErr w:type="spellStart"/>
      <w:r w:rsidRPr="00B64CA9">
        <w:rPr>
          <w:rFonts w:cs="Arial"/>
        </w:rPr>
        <w:t>microL</w:t>
      </w:r>
      <w:proofErr w:type="spellEnd"/>
      <w:r w:rsidRPr="00B64CA9">
        <w:rPr>
          <w:rFonts w:cs="Arial"/>
        </w:rPr>
        <w:t>,, platelets &lt;100,000/</w:t>
      </w:r>
      <w:proofErr w:type="spellStart"/>
      <w:r w:rsidRPr="00B64CA9">
        <w:rPr>
          <w:rFonts w:cs="Arial"/>
        </w:rPr>
        <w:t>microL</w:t>
      </w:r>
      <w:proofErr w:type="spellEnd"/>
      <w:r w:rsidRPr="00B64CA9">
        <w:rPr>
          <w:rFonts w:cs="Arial"/>
        </w:rPr>
        <w:t>, neutrophils &lt;1,500/</w:t>
      </w:r>
      <w:proofErr w:type="spellStart"/>
      <w:r w:rsidRPr="00B64CA9">
        <w:rPr>
          <w:rFonts w:cs="Arial"/>
        </w:rPr>
        <w:t>microL</w:t>
      </w:r>
      <w:proofErr w:type="spellEnd"/>
      <w:r w:rsidRPr="00B64CA9">
        <w:rPr>
          <w:rFonts w:cs="Arial"/>
        </w:rPr>
        <w:t xml:space="preserve"> or haemoglobin &lt;8.5 g/dL; pregnant or nursing women; and women of child-bearing potential not using effective contraception during the study.</w:t>
      </w:r>
    </w:p>
    <w:p w14:paraId="60550C04"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FUTURE 1 Study (F2306)</w:t>
      </w:r>
    </w:p>
    <w:p w14:paraId="39BAE506" w14:textId="77777777" w:rsidR="00F62A4F" w:rsidRPr="00B64CA9" w:rsidRDefault="00F62A4F" w:rsidP="002D07A3">
      <w:pPr>
        <w:jc w:val="both"/>
        <w:rPr>
          <w:rFonts w:cs="Arial"/>
        </w:rPr>
      </w:pPr>
      <w:r w:rsidRPr="00B64CA9">
        <w:rPr>
          <w:rFonts w:cs="Arial"/>
        </w:rPr>
        <w:t>PsA1 Study evaluated 606 patients, of whom 60.7% had concomitant MTX. Patients randomi</w:t>
      </w:r>
      <w:r w:rsidR="001A2207" w:rsidRPr="00B64CA9">
        <w:rPr>
          <w:rFonts w:cs="Arial"/>
        </w:rPr>
        <w:t>s</w:t>
      </w:r>
      <w:r w:rsidRPr="00B64CA9">
        <w:rPr>
          <w:rFonts w:cs="Arial"/>
        </w:rPr>
        <w:t xml:space="preserve">ed to COSENTYX received 10 mg/kg, </w:t>
      </w:r>
      <w:proofErr w:type="spellStart"/>
      <w:r w:rsidRPr="00B64CA9">
        <w:rPr>
          <w:rFonts w:cs="Arial"/>
        </w:rPr>
        <w:t>i.v.</w:t>
      </w:r>
      <w:proofErr w:type="spellEnd"/>
      <w:r w:rsidRPr="00B64CA9">
        <w:rPr>
          <w:rFonts w:cs="Arial"/>
        </w:rPr>
        <w:t xml:space="preserve"> at Weeks 0, 2, and 4, followed by either 75 mg or 150 mg </w:t>
      </w:r>
      <w:proofErr w:type="spellStart"/>
      <w:r w:rsidRPr="00B64CA9">
        <w:rPr>
          <w:rFonts w:cs="Arial"/>
        </w:rPr>
        <w:t>s.c.</w:t>
      </w:r>
      <w:proofErr w:type="spellEnd"/>
      <w:r w:rsidRPr="00B64CA9">
        <w:rPr>
          <w:rFonts w:cs="Arial"/>
        </w:rPr>
        <w:t xml:space="preserve"> every month starting at Week 8. Patients randomi</w:t>
      </w:r>
      <w:r w:rsidR="001A2207" w:rsidRPr="00B64CA9">
        <w:rPr>
          <w:rFonts w:cs="Arial"/>
        </w:rPr>
        <w:t>s</w:t>
      </w:r>
      <w:r w:rsidRPr="00B64CA9">
        <w:rPr>
          <w:rFonts w:cs="Arial"/>
        </w:rPr>
        <w:t xml:space="preserve">ed to receive placebo who were non-responders at Week 16 (early rescue) and other placebo patients at Week 24 were crossed over to receive COSENTYX (either 75 mg or 150 mg) at Week 16 followed by the same dose every month. </w:t>
      </w:r>
    </w:p>
    <w:p w14:paraId="51F0DC6A"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FUTURE 2 Study (F2312)</w:t>
      </w:r>
    </w:p>
    <w:p w14:paraId="2044A20E" w14:textId="77777777" w:rsidR="00F62A4F" w:rsidRPr="00B64CA9" w:rsidRDefault="00F62A4F" w:rsidP="002D07A3">
      <w:pPr>
        <w:jc w:val="both"/>
        <w:rPr>
          <w:rFonts w:cs="Arial"/>
        </w:rPr>
      </w:pPr>
      <w:r w:rsidRPr="00B64CA9">
        <w:rPr>
          <w:rFonts w:cs="Arial"/>
        </w:rPr>
        <w:t>PsA2 Study evaluated 397 patients, of whom 46.6% had concomitant MTX. Patients randomi</w:t>
      </w:r>
      <w:r w:rsidR="001A2207" w:rsidRPr="00B64CA9">
        <w:rPr>
          <w:rFonts w:cs="Arial"/>
        </w:rPr>
        <w:t>s</w:t>
      </w:r>
      <w:r w:rsidRPr="00B64CA9">
        <w:rPr>
          <w:rFonts w:cs="Arial"/>
        </w:rPr>
        <w:t xml:space="preserve">ed to COSENTYX received 75 mg, 150 </w:t>
      </w:r>
      <w:proofErr w:type="gramStart"/>
      <w:r w:rsidRPr="00B64CA9">
        <w:rPr>
          <w:rFonts w:cs="Arial"/>
        </w:rPr>
        <w:t>mg</w:t>
      </w:r>
      <w:proofErr w:type="gramEnd"/>
      <w:r w:rsidRPr="00B64CA9">
        <w:rPr>
          <w:rFonts w:cs="Arial"/>
        </w:rPr>
        <w:t xml:space="preserve"> or 300 mg </w:t>
      </w:r>
      <w:proofErr w:type="spellStart"/>
      <w:r w:rsidRPr="00B64CA9">
        <w:rPr>
          <w:rFonts w:cs="Arial"/>
        </w:rPr>
        <w:t>s.c.</w:t>
      </w:r>
      <w:proofErr w:type="spellEnd"/>
      <w:r w:rsidRPr="00B64CA9">
        <w:rPr>
          <w:rFonts w:cs="Arial"/>
        </w:rPr>
        <w:t xml:space="preserve"> at Weeks 0, 1, 2, 3, and 4 followed by the same dose </w:t>
      </w:r>
      <w:r w:rsidRPr="00B64CA9">
        <w:rPr>
          <w:rFonts w:cs="Arial"/>
        </w:rPr>
        <w:lastRenderedPageBreak/>
        <w:t>every month. Patients randomi</w:t>
      </w:r>
      <w:r w:rsidR="001A2207" w:rsidRPr="00B64CA9">
        <w:rPr>
          <w:rFonts w:cs="Arial"/>
        </w:rPr>
        <w:t>s</w:t>
      </w:r>
      <w:r w:rsidRPr="00B64CA9">
        <w:rPr>
          <w:rFonts w:cs="Arial"/>
        </w:rPr>
        <w:t xml:space="preserve">ed to receive placebo who were non-responders at Week 16 (early rescue) were then crossed over to receive COSENTYX (either 150 mg or 300 mg, </w:t>
      </w:r>
      <w:proofErr w:type="spellStart"/>
      <w:r w:rsidRPr="00B64CA9">
        <w:rPr>
          <w:rFonts w:cs="Arial"/>
        </w:rPr>
        <w:t>s.c.</w:t>
      </w:r>
      <w:proofErr w:type="spellEnd"/>
      <w:r w:rsidRPr="00B64CA9">
        <w:rPr>
          <w:rFonts w:cs="Arial"/>
        </w:rPr>
        <w:t>) at Week 16 followed by the same dose every month. Patients randomi</w:t>
      </w:r>
      <w:r w:rsidR="00371153" w:rsidRPr="00B64CA9">
        <w:rPr>
          <w:rFonts w:cs="Arial"/>
        </w:rPr>
        <w:t>s</w:t>
      </w:r>
      <w:r w:rsidRPr="00B64CA9">
        <w:rPr>
          <w:rFonts w:cs="Arial"/>
        </w:rPr>
        <w:t xml:space="preserve">ed to receive placebo who were responders at Week 16 were crossed over to receive COSENTYX (either 150 mg or 300 mg) at Week 24 followed by the same dose every month. </w:t>
      </w:r>
    </w:p>
    <w:p w14:paraId="0409BADF" w14:textId="77777777" w:rsidR="001A2207" w:rsidRPr="00B64CA9" w:rsidRDefault="001A2207"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FUTURE 5 Study (F2342)</w:t>
      </w:r>
    </w:p>
    <w:p w14:paraId="0452B0F1" w14:textId="77777777" w:rsidR="001A2207" w:rsidRPr="00B64CA9" w:rsidRDefault="001A2207" w:rsidP="002D07A3">
      <w:pPr>
        <w:jc w:val="both"/>
        <w:rPr>
          <w:rFonts w:cs="Arial"/>
        </w:rPr>
      </w:pPr>
      <w:r w:rsidRPr="00B64CA9">
        <w:rPr>
          <w:rFonts w:cs="Arial"/>
        </w:rPr>
        <w:t xml:space="preserve">PsA3 Study evaluated 996 patients, of whom 50.1% had concomitant MTX treatment. Patients were randomised to receive COSENTYX 150 mg, 300 mg, or placebo </w:t>
      </w:r>
      <w:proofErr w:type="spellStart"/>
      <w:r w:rsidRPr="00B64CA9">
        <w:rPr>
          <w:rFonts w:cs="Arial"/>
        </w:rPr>
        <w:t>s.c.</w:t>
      </w:r>
      <w:proofErr w:type="spellEnd"/>
      <w:r w:rsidRPr="00B64CA9">
        <w:rPr>
          <w:rFonts w:cs="Arial"/>
        </w:rPr>
        <w:t xml:space="preserve"> at Weeks 0, 1, 2, 3 and 4 followed by the same dose every month, or a once monthly injection of COSENTYX 150 mg</w:t>
      </w:r>
      <w:r w:rsidR="00DC4A2E" w:rsidRPr="00B64CA9">
        <w:rPr>
          <w:rFonts w:cs="Arial"/>
        </w:rPr>
        <w:t xml:space="preserve"> (without loading)</w:t>
      </w:r>
      <w:r w:rsidRPr="00B64CA9">
        <w:rPr>
          <w:rFonts w:cs="Arial"/>
        </w:rPr>
        <w:t xml:space="preserve">. Patients randomised to receive placebo who were non-responders at Week 16 were then crossed over to receive COSENTYX (either 150 mg or 300 mg, </w:t>
      </w:r>
      <w:proofErr w:type="spellStart"/>
      <w:r w:rsidRPr="00B64CA9">
        <w:rPr>
          <w:rFonts w:cs="Arial"/>
        </w:rPr>
        <w:t>s.c.</w:t>
      </w:r>
      <w:proofErr w:type="spellEnd"/>
      <w:r w:rsidRPr="00B64CA9">
        <w:rPr>
          <w:rFonts w:cs="Arial"/>
        </w:rPr>
        <w:t>) at Week 16 followed by the same dose every month. Patients randomised to receive placebo who were responders at Week 16 were crossed over to receive COSENTYX (either 150 mg or 300 mg) at Week 24 followed by the same dose every month.</w:t>
      </w:r>
      <w:r w:rsidR="00B25248" w:rsidRPr="00B64CA9">
        <w:rPr>
          <w:rFonts w:cs="Arial"/>
        </w:rPr>
        <w:t xml:space="preserve"> The total combined duration of treatment for PsA3 Study is 2 years.</w:t>
      </w:r>
    </w:p>
    <w:p w14:paraId="735ABC4E"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Signs and symptoms</w:t>
      </w:r>
    </w:p>
    <w:p w14:paraId="7AF6E35C" w14:textId="77777777" w:rsidR="003418E5" w:rsidRPr="00B64CA9" w:rsidRDefault="001A2207" w:rsidP="002D07A3">
      <w:pPr>
        <w:jc w:val="both"/>
        <w:rPr>
          <w:rFonts w:cs="Arial"/>
        </w:rPr>
      </w:pPr>
      <w:r w:rsidRPr="00B64CA9">
        <w:t>Treatment with COSENTYX resulted in significant improvement in the measure of disease activity compared to placebo at Weeks 16</w:t>
      </w:r>
      <w:r w:rsidR="005C4D15" w:rsidRPr="00B64CA9">
        <w:t xml:space="preserve"> and</w:t>
      </w:r>
      <w:r w:rsidRPr="00B64CA9">
        <w:t xml:space="preserve"> 24 </w:t>
      </w:r>
      <w:r w:rsidR="0016038E" w:rsidRPr="00B64CA9">
        <w:rPr>
          <w:rFonts w:cs="Arial"/>
        </w:rPr>
        <w:t xml:space="preserve">(see Table </w:t>
      </w:r>
      <w:r w:rsidR="005A26F4" w:rsidRPr="00B64CA9">
        <w:rPr>
          <w:rFonts w:cs="Arial"/>
        </w:rPr>
        <w:t>14</w:t>
      </w:r>
      <w:r w:rsidR="00F62A4F" w:rsidRPr="00B64CA9">
        <w:rPr>
          <w:rFonts w:cs="Arial"/>
        </w:rPr>
        <w:t>).</w:t>
      </w:r>
      <w:bookmarkStart w:id="10" w:name="_Toc411604539"/>
      <w:bookmarkStart w:id="11" w:name="_Toc405968100"/>
    </w:p>
    <w:p w14:paraId="6C7D3755" w14:textId="77777777" w:rsidR="00412812" w:rsidRPr="00B64CA9" w:rsidRDefault="00412812" w:rsidP="002D07A3">
      <w:pPr>
        <w:jc w:val="both"/>
        <w:rPr>
          <w:rFonts w:ascii="Arial" w:hAnsi="Arial" w:cs="Arial"/>
          <w:b/>
          <w:sz w:val="20"/>
        </w:rPr>
      </w:pPr>
    </w:p>
    <w:p w14:paraId="1AC09BE9" w14:textId="77777777" w:rsidR="00AC3297" w:rsidRPr="00B64CA9" w:rsidRDefault="0016038E" w:rsidP="0081558E">
      <w:pPr>
        <w:spacing w:after="120"/>
        <w:ind w:left="1166" w:hanging="1166"/>
        <w:jc w:val="both"/>
        <w:rPr>
          <w:rFonts w:ascii="Arial" w:hAnsi="Arial" w:cs="Arial"/>
          <w:b/>
          <w:sz w:val="20"/>
        </w:rPr>
      </w:pPr>
      <w:r w:rsidRPr="00B64CA9">
        <w:rPr>
          <w:rFonts w:ascii="Arial" w:hAnsi="Arial" w:cs="Arial"/>
          <w:b/>
          <w:sz w:val="20"/>
        </w:rPr>
        <w:t xml:space="preserve">Table </w:t>
      </w:r>
      <w:r w:rsidR="005A26F4" w:rsidRPr="00B64CA9">
        <w:rPr>
          <w:rFonts w:ascii="Arial" w:hAnsi="Arial" w:cs="Arial"/>
          <w:b/>
          <w:sz w:val="20"/>
        </w:rPr>
        <w:t>14</w:t>
      </w:r>
      <w:r w:rsidR="00F62A4F" w:rsidRPr="00B64CA9">
        <w:rPr>
          <w:rFonts w:ascii="Arial" w:hAnsi="Arial" w:cs="Arial"/>
          <w:b/>
          <w:sz w:val="20"/>
        </w:rPr>
        <w:tab/>
      </w:r>
      <w:r w:rsidR="001A2207" w:rsidRPr="00B64CA9">
        <w:rPr>
          <w:rFonts w:ascii="Arial" w:hAnsi="Arial" w:cs="Arial"/>
          <w:b/>
          <w:sz w:val="20"/>
        </w:rPr>
        <w:t xml:space="preserve">Clinical response in PsA2 and PsA3 Studies at Week 16 </w:t>
      </w:r>
      <w:r w:rsidR="00125CBA" w:rsidRPr="00B64CA9">
        <w:rPr>
          <w:rFonts w:ascii="Arial" w:hAnsi="Arial" w:cs="Arial"/>
          <w:b/>
          <w:sz w:val="20"/>
        </w:rPr>
        <w:t xml:space="preserve">and </w:t>
      </w:r>
      <w:r w:rsidR="001A2207" w:rsidRPr="00B64CA9">
        <w:rPr>
          <w:rFonts w:ascii="Arial" w:hAnsi="Arial" w:cs="Arial"/>
          <w:b/>
          <w:sz w:val="20"/>
        </w:rPr>
        <w:t>Week 24</w:t>
      </w:r>
    </w:p>
    <w:tbl>
      <w:tblPr>
        <w:tblStyle w:val="TableGrid"/>
        <w:tblW w:w="0" w:type="auto"/>
        <w:tblLook w:val="04A0" w:firstRow="1" w:lastRow="0" w:firstColumn="1" w:lastColumn="0" w:noHBand="0" w:noVBand="1"/>
      </w:tblPr>
      <w:tblGrid>
        <w:gridCol w:w="2441"/>
        <w:gridCol w:w="1071"/>
        <w:gridCol w:w="1093"/>
        <w:gridCol w:w="1093"/>
        <w:gridCol w:w="1072"/>
        <w:gridCol w:w="1163"/>
        <w:gridCol w:w="1083"/>
      </w:tblGrid>
      <w:tr w:rsidR="001C4469" w:rsidRPr="00B64CA9" w14:paraId="4DEB084D" w14:textId="77777777" w:rsidTr="002D07A3">
        <w:trPr>
          <w:cantSplit/>
        </w:trPr>
        <w:tc>
          <w:tcPr>
            <w:tcW w:w="2515" w:type="dxa"/>
            <w:vMerge w:val="restart"/>
            <w:vAlign w:val="center"/>
          </w:tcPr>
          <w:p w14:paraId="6A2A0000" w14:textId="77777777" w:rsidR="002C3B84" w:rsidRPr="00B64CA9" w:rsidRDefault="002C3B84">
            <w:pPr>
              <w:spacing w:after="0"/>
              <w:rPr>
                <w:rFonts w:ascii="Arial" w:hAnsi="Arial" w:cs="Arial"/>
                <w:b/>
                <w:sz w:val="18"/>
                <w:szCs w:val="16"/>
              </w:rPr>
            </w:pPr>
          </w:p>
        </w:tc>
        <w:tc>
          <w:tcPr>
            <w:tcW w:w="3250" w:type="dxa"/>
            <w:gridSpan w:val="3"/>
            <w:vAlign w:val="center"/>
          </w:tcPr>
          <w:p w14:paraId="684EEF57" w14:textId="77777777" w:rsidR="002C3B84" w:rsidRPr="00B64CA9" w:rsidRDefault="002C3B84">
            <w:pPr>
              <w:spacing w:after="0"/>
              <w:jc w:val="center"/>
              <w:rPr>
                <w:rFonts w:ascii="Arial" w:hAnsi="Arial" w:cs="Arial"/>
                <w:b/>
                <w:sz w:val="18"/>
                <w:szCs w:val="16"/>
              </w:rPr>
            </w:pPr>
            <w:r w:rsidRPr="00B64CA9">
              <w:rPr>
                <w:rFonts w:ascii="Arial" w:hAnsi="Arial" w:cs="Arial"/>
                <w:b/>
                <w:sz w:val="18"/>
                <w:szCs w:val="16"/>
              </w:rPr>
              <w:t>PsA2</w:t>
            </w:r>
          </w:p>
        </w:tc>
        <w:tc>
          <w:tcPr>
            <w:tcW w:w="3251" w:type="dxa"/>
            <w:gridSpan w:val="3"/>
            <w:vAlign w:val="center"/>
          </w:tcPr>
          <w:p w14:paraId="3740D9A9" w14:textId="77777777" w:rsidR="002C3B84" w:rsidRPr="00B64CA9" w:rsidRDefault="002C3B84">
            <w:pPr>
              <w:spacing w:after="0"/>
              <w:jc w:val="center"/>
              <w:rPr>
                <w:rFonts w:ascii="Arial" w:hAnsi="Arial" w:cs="Arial"/>
                <w:b/>
                <w:sz w:val="18"/>
                <w:szCs w:val="16"/>
              </w:rPr>
            </w:pPr>
            <w:r w:rsidRPr="00B64CA9">
              <w:rPr>
                <w:rFonts w:ascii="Arial" w:hAnsi="Arial" w:cs="Arial"/>
                <w:b/>
                <w:sz w:val="18"/>
                <w:szCs w:val="16"/>
              </w:rPr>
              <w:t>PsA3</w:t>
            </w:r>
          </w:p>
        </w:tc>
      </w:tr>
      <w:tr w:rsidR="001C4469" w:rsidRPr="00B64CA9" w14:paraId="78FA81C8" w14:textId="77777777" w:rsidTr="002D07A3">
        <w:trPr>
          <w:cantSplit/>
        </w:trPr>
        <w:tc>
          <w:tcPr>
            <w:tcW w:w="2515" w:type="dxa"/>
            <w:vMerge/>
            <w:vAlign w:val="center"/>
          </w:tcPr>
          <w:p w14:paraId="4CAA5EFE" w14:textId="77777777" w:rsidR="002C3B84" w:rsidRPr="00B64CA9" w:rsidRDefault="002C3B84">
            <w:pPr>
              <w:spacing w:after="0"/>
              <w:rPr>
                <w:rFonts w:ascii="Arial" w:hAnsi="Arial" w:cs="Arial"/>
                <w:b/>
                <w:sz w:val="18"/>
                <w:szCs w:val="16"/>
              </w:rPr>
            </w:pPr>
          </w:p>
        </w:tc>
        <w:tc>
          <w:tcPr>
            <w:tcW w:w="1083" w:type="dxa"/>
            <w:vAlign w:val="center"/>
          </w:tcPr>
          <w:p w14:paraId="3F0B1B21"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Placebo</w:t>
            </w:r>
          </w:p>
        </w:tc>
        <w:tc>
          <w:tcPr>
            <w:tcW w:w="1084" w:type="dxa"/>
            <w:vAlign w:val="center"/>
          </w:tcPr>
          <w:p w14:paraId="281C8733"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150 mg</w:t>
            </w:r>
            <w:r w:rsidRPr="00B64CA9">
              <w:rPr>
                <w:rFonts w:ascii="Arial" w:hAnsi="Arial" w:cs="Arial"/>
                <w:b/>
                <w:sz w:val="18"/>
                <w:szCs w:val="16"/>
                <w:vertAlign w:val="superscript"/>
              </w:rPr>
              <w:t>1</w:t>
            </w:r>
          </w:p>
        </w:tc>
        <w:tc>
          <w:tcPr>
            <w:tcW w:w="1083" w:type="dxa"/>
            <w:vAlign w:val="center"/>
          </w:tcPr>
          <w:p w14:paraId="697B6A92"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300 mg</w:t>
            </w:r>
            <w:r w:rsidRPr="00B64CA9">
              <w:rPr>
                <w:rFonts w:ascii="Arial" w:hAnsi="Arial" w:cs="Arial"/>
                <w:b/>
                <w:sz w:val="18"/>
                <w:szCs w:val="16"/>
                <w:vertAlign w:val="superscript"/>
              </w:rPr>
              <w:t>1</w:t>
            </w:r>
          </w:p>
        </w:tc>
        <w:tc>
          <w:tcPr>
            <w:tcW w:w="1084" w:type="dxa"/>
            <w:vAlign w:val="center"/>
          </w:tcPr>
          <w:p w14:paraId="3EB441F9"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Placebo</w:t>
            </w:r>
          </w:p>
        </w:tc>
        <w:tc>
          <w:tcPr>
            <w:tcW w:w="1083" w:type="dxa"/>
            <w:vAlign w:val="center"/>
          </w:tcPr>
          <w:p w14:paraId="2453CC9E"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150 mg</w:t>
            </w:r>
            <w:r w:rsidRPr="00B64CA9">
              <w:rPr>
                <w:rFonts w:ascii="Arial" w:hAnsi="Arial" w:cs="Arial"/>
                <w:b/>
                <w:sz w:val="18"/>
                <w:szCs w:val="16"/>
                <w:vertAlign w:val="superscript"/>
              </w:rPr>
              <w:t>1</w:t>
            </w:r>
          </w:p>
        </w:tc>
        <w:tc>
          <w:tcPr>
            <w:tcW w:w="1084" w:type="dxa"/>
            <w:vAlign w:val="center"/>
          </w:tcPr>
          <w:p w14:paraId="3DDD9719" w14:textId="77777777" w:rsidR="002C3B84" w:rsidRPr="00B64CA9" w:rsidRDefault="002C3B84">
            <w:pPr>
              <w:spacing w:after="0"/>
              <w:jc w:val="center"/>
              <w:rPr>
                <w:rFonts w:ascii="Arial" w:hAnsi="Arial" w:cs="Arial"/>
                <w:b/>
                <w:sz w:val="18"/>
                <w:szCs w:val="16"/>
              </w:rPr>
            </w:pPr>
            <w:r w:rsidRPr="00B64CA9">
              <w:rPr>
                <w:rFonts w:ascii="Arial" w:hAnsi="Arial" w:cs="Arial"/>
                <w:sz w:val="18"/>
                <w:szCs w:val="16"/>
              </w:rPr>
              <w:t>300 mg</w:t>
            </w:r>
            <w:r w:rsidRPr="00B64CA9">
              <w:rPr>
                <w:rFonts w:ascii="Arial" w:hAnsi="Arial" w:cs="Arial"/>
                <w:b/>
                <w:sz w:val="18"/>
                <w:szCs w:val="16"/>
                <w:vertAlign w:val="superscript"/>
              </w:rPr>
              <w:t>1</w:t>
            </w:r>
          </w:p>
        </w:tc>
      </w:tr>
      <w:tr w:rsidR="001C4469" w:rsidRPr="00B64CA9" w14:paraId="4C9F9C99" w14:textId="77777777" w:rsidTr="002D07A3">
        <w:trPr>
          <w:cantSplit/>
          <w:trHeight w:val="340"/>
        </w:trPr>
        <w:tc>
          <w:tcPr>
            <w:tcW w:w="2515" w:type="dxa"/>
            <w:tcBorders>
              <w:bottom w:val="single" w:sz="4" w:space="0" w:color="auto"/>
            </w:tcBorders>
            <w:vAlign w:val="center"/>
          </w:tcPr>
          <w:p w14:paraId="3D51BE7B" w14:textId="77777777" w:rsidR="007858F0" w:rsidRPr="00B64CA9" w:rsidRDefault="007858F0">
            <w:pPr>
              <w:spacing w:after="0"/>
              <w:rPr>
                <w:rFonts w:ascii="Arial" w:hAnsi="Arial" w:cs="Arial"/>
                <w:b/>
                <w:sz w:val="18"/>
                <w:szCs w:val="16"/>
              </w:rPr>
            </w:pPr>
            <w:r w:rsidRPr="00B64CA9">
              <w:rPr>
                <w:rFonts w:ascii="Arial" w:hAnsi="Arial" w:cs="Arial"/>
                <w:sz w:val="18"/>
                <w:szCs w:val="16"/>
              </w:rPr>
              <w:t>Number of patients randomised</w:t>
            </w:r>
          </w:p>
        </w:tc>
        <w:tc>
          <w:tcPr>
            <w:tcW w:w="1083" w:type="dxa"/>
            <w:tcBorders>
              <w:bottom w:val="single" w:sz="4" w:space="0" w:color="auto"/>
            </w:tcBorders>
            <w:vAlign w:val="center"/>
          </w:tcPr>
          <w:p w14:paraId="04055306"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98</w:t>
            </w:r>
          </w:p>
        </w:tc>
        <w:tc>
          <w:tcPr>
            <w:tcW w:w="1084" w:type="dxa"/>
            <w:tcBorders>
              <w:bottom w:val="single" w:sz="4" w:space="0" w:color="auto"/>
            </w:tcBorders>
            <w:vAlign w:val="center"/>
          </w:tcPr>
          <w:p w14:paraId="5B4EB497"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100</w:t>
            </w:r>
          </w:p>
        </w:tc>
        <w:tc>
          <w:tcPr>
            <w:tcW w:w="1083" w:type="dxa"/>
            <w:tcBorders>
              <w:bottom w:val="single" w:sz="4" w:space="0" w:color="auto"/>
            </w:tcBorders>
            <w:vAlign w:val="center"/>
          </w:tcPr>
          <w:p w14:paraId="7572F386"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100</w:t>
            </w:r>
          </w:p>
        </w:tc>
        <w:tc>
          <w:tcPr>
            <w:tcW w:w="1084" w:type="dxa"/>
            <w:tcBorders>
              <w:bottom w:val="single" w:sz="4" w:space="0" w:color="auto"/>
            </w:tcBorders>
            <w:vAlign w:val="center"/>
          </w:tcPr>
          <w:p w14:paraId="55F54062"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332</w:t>
            </w:r>
          </w:p>
        </w:tc>
        <w:tc>
          <w:tcPr>
            <w:tcW w:w="1083" w:type="dxa"/>
            <w:tcBorders>
              <w:bottom w:val="single" w:sz="4" w:space="0" w:color="auto"/>
            </w:tcBorders>
            <w:vAlign w:val="center"/>
          </w:tcPr>
          <w:p w14:paraId="3CB3CE3D"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220</w:t>
            </w:r>
          </w:p>
        </w:tc>
        <w:tc>
          <w:tcPr>
            <w:tcW w:w="1084" w:type="dxa"/>
            <w:tcBorders>
              <w:bottom w:val="single" w:sz="4" w:space="0" w:color="auto"/>
            </w:tcBorders>
            <w:vAlign w:val="center"/>
          </w:tcPr>
          <w:p w14:paraId="58FBBD72"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222</w:t>
            </w:r>
          </w:p>
        </w:tc>
      </w:tr>
      <w:tr w:rsidR="001C4469" w:rsidRPr="00B64CA9" w14:paraId="19856D94" w14:textId="77777777" w:rsidTr="002D07A3">
        <w:trPr>
          <w:cantSplit/>
        </w:trPr>
        <w:tc>
          <w:tcPr>
            <w:tcW w:w="2515" w:type="dxa"/>
            <w:tcBorders>
              <w:bottom w:val="nil"/>
            </w:tcBorders>
            <w:vAlign w:val="center"/>
          </w:tcPr>
          <w:p w14:paraId="22477FC9" w14:textId="77777777" w:rsidR="007858F0" w:rsidRPr="00B64CA9" w:rsidRDefault="007858F0" w:rsidP="002D07A3">
            <w:pPr>
              <w:spacing w:after="0"/>
              <w:rPr>
                <w:szCs w:val="16"/>
              </w:rPr>
            </w:pPr>
            <w:r w:rsidRPr="00B64CA9">
              <w:rPr>
                <w:rFonts w:ascii="Arial" w:eastAsiaTheme="minorHAnsi" w:hAnsi="Arial" w:cs="Arial"/>
                <w:sz w:val="18"/>
                <w:szCs w:val="16"/>
              </w:rPr>
              <w:t xml:space="preserve">ACR 20 response </w:t>
            </w:r>
            <w:proofErr w:type="gramStart"/>
            <w:r w:rsidRPr="00B64CA9">
              <w:rPr>
                <w:rFonts w:ascii="Arial" w:eastAsiaTheme="minorHAnsi" w:hAnsi="Arial" w:cs="Arial"/>
                <w:sz w:val="18"/>
                <w:szCs w:val="16"/>
              </w:rPr>
              <w:t>n(</w:t>
            </w:r>
            <w:proofErr w:type="gramEnd"/>
            <w:r w:rsidRPr="00B64CA9">
              <w:rPr>
                <w:rFonts w:ascii="Arial" w:eastAsiaTheme="minorHAnsi" w:hAnsi="Arial" w:cs="Arial"/>
                <w:sz w:val="18"/>
                <w:szCs w:val="16"/>
              </w:rPr>
              <w:t>%)</w:t>
            </w:r>
          </w:p>
        </w:tc>
        <w:tc>
          <w:tcPr>
            <w:tcW w:w="1083" w:type="dxa"/>
            <w:tcBorders>
              <w:bottom w:val="nil"/>
            </w:tcBorders>
            <w:vAlign w:val="center"/>
          </w:tcPr>
          <w:p w14:paraId="2BFE1292"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4D1B28A1"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25F28E2B"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6544CDC1"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1B963F8E"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6E10E746" w14:textId="77777777" w:rsidR="007858F0" w:rsidRPr="00B64CA9" w:rsidRDefault="007858F0">
            <w:pPr>
              <w:spacing w:after="0"/>
              <w:jc w:val="center"/>
              <w:rPr>
                <w:rFonts w:ascii="Arial" w:hAnsi="Arial" w:cs="Arial"/>
                <w:sz w:val="18"/>
                <w:szCs w:val="16"/>
              </w:rPr>
            </w:pPr>
          </w:p>
        </w:tc>
      </w:tr>
      <w:tr w:rsidR="001C4469" w:rsidRPr="00B64CA9" w14:paraId="6D59EB9D" w14:textId="77777777" w:rsidTr="002D07A3">
        <w:trPr>
          <w:cantSplit/>
        </w:trPr>
        <w:tc>
          <w:tcPr>
            <w:tcW w:w="2515" w:type="dxa"/>
            <w:tcBorders>
              <w:top w:val="nil"/>
              <w:bottom w:val="nil"/>
            </w:tcBorders>
            <w:vAlign w:val="center"/>
          </w:tcPr>
          <w:p w14:paraId="2EC99810"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06DB7ABA"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2CFFEE0A"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715BBF82"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67CEE22C" w14:textId="77777777" w:rsidR="007858F0" w:rsidRPr="00B64CA9" w:rsidRDefault="007858F0" w:rsidP="002D07A3">
            <w:pPr>
              <w:pStyle w:val="Table"/>
              <w:rPr>
                <w:vertAlign w:val="superscript"/>
              </w:rPr>
            </w:pPr>
            <w:r w:rsidRPr="00B64CA9">
              <w:t>91</w:t>
            </w:r>
            <w:r w:rsidRPr="00B64CA9">
              <w:rPr>
                <w:vertAlign w:val="superscript"/>
              </w:rPr>
              <w:t>◊</w:t>
            </w:r>
          </w:p>
          <w:p w14:paraId="06C7AD3F"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(27.4%)</w:t>
            </w:r>
          </w:p>
        </w:tc>
        <w:tc>
          <w:tcPr>
            <w:tcW w:w="1083" w:type="dxa"/>
            <w:tcBorders>
              <w:top w:val="nil"/>
              <w:bottom w:val="nil"/>
            </w:tcBorders>
            <w:vAlign w:val="center"/>
          </w:tcPr>
          <w:p w14:paraId="354DF5A5" w14:textId="77777777" w:rsidR="007858F0" w:rsidRPr="00B64CA9" w:rsidRDefault="007858F0" w:rsidP="002D07A3">
            <w:pPr>
              <w:pStyle w:val="Table"/>
              <w:rPr>
                <w:vertAlign w:val="superscript"/>
              </w:rPr>
            </w:pPr>
            <w:r w:rsidRPr="00B64CA9">
              <w:t>122</w:t>
            </w:r>
            <w:r w:rsidRPr="00B64CA9">
              <w:rPr>
                <w:vertAlign w:val="superscript"/>
              </w:rPr>
              <w:t>◊</w:t>
            </w:r>
          </w:p>
          <w:p w14:paraId="0AD597C8"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(55.5%***)</w:t>
            </w:r>
          </w:p>
        </w:tc>
        <w:tc>
          <w:tcPr>
            <w:tcW w:w="1084" w:type="dxa"/>
            <w:tcBorders>
              <w:top w:val="nil"/>
              <w:bottom w:val="nil"/>
            </w:tcBorders>
            <w:vAlign w:val="center"/>
          </w:tcPr>
          <w:p w14:paraId="3F2C8928" w14:textId="77777777" w:rsidR="007858F0" w:rsidRPr="00B64CA9" w:rsidRDefault="007858F0" w:rsidP="002D07A3">
            <w:pPr>
              <w:pStyle w:val="Table"/>
              <w:rPr>
                <w:vertAlign w:val="superscript"/>
              </w:rPr>
            </w:pPr>
            <w:r w:rsidRPr="00B64CA9">
              <w:t>139</w:t>
            </w:r>
            <w:r w:rsidRPr="00B64CA9">
              <w:rPr>
                <w:vertAlign w:val="superscript"/>
              </w:rPr>
              <w:t>◊</w:t>
            </w:r>
          </w:p>
          <w:p w14:paraId="2A969189"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(62.6%***)</w:t>
            </w:r>
          </w:p>
        </w:tc>
      </w:tr>
      <w:tr w:rsidR="001C4469" w:rsidRPr="00B64CA9" w14:paraId="7DEDD30D" w14:textId="77777777" w:rsidTr="002D07A3">
        <w:trPr>
          <w:cantSplit/>
        </w:trPr>
        <w:tc>
          <w:tcPr>
            <w:tcW w:w="2515" w:type="dxa"/>
            <w:tcBorders>
              <w:top w:val="nil"/>
              <w:bottom w:val="nil"/>
            </w:tcBorders>
            <w:vAlign w:val="center"/>
          </w:tcPr>
          <w:p w14:paraId="2DB0E4BE"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7644067E" w14:textId="77777777" w:rsidR="007858F0" w:rsidRPr="00B64CA9" w:rsidRDefault="007858F0" w:rsidP="002D07A3">
            <w:pPr>
              <w:pStyle w:val="Table"/>
            </w:pPr>
            <w:r w:rsidRPr="00B64CA9">
              <w:t>15</w:t>
            </w:r>
            <w:r w:rsidRPr="00B64CA9">
              <w:rPr>
                <w:vertAlign w:val="superscript"/>
              </w:rPr>
              <w:t>◊</w:t>
            </w:r>
          </w:p>
          <w:p w14:paraId="2AB9F5D4"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(15.3%)</w:t>
            </w:r>
          </w:p>
        </w:tc>
        <w:tc>
          <w:tcPr>
            <w:tcW w:w="1084" w:type="dxa"/>
            <w:tcBorders>
              <w:top w:val="nil"/>
              <w:bottom w:val="nil"/>
            </w:tcBorders>
            <w:vAlign w:val="center"/>
          </w:tcPr>
          <w:p w14:paraId="3B1888C7" w14:textId="77777777" w:rsidR="007858F0" w:rsidRPr="00B64CA9" w:rsidRDefault="007858F0" w:rsidP="002D07A3">
            <w:pPr>
              <w:pStyle w:val="Table"/>
            </w:pPr>
            <w:r w:rsidRPr="00B64CA9">
              <w:t>51</w:t>
            </w:r>
            <w:r w:rsidRPr="00B64CA9">
              <w:rPr>
                <w:vertAlign w:val="superscript"/>
              </w:rPr>
              <w:t>◊</w:t>
            </w:r>
          </w:p>
          <w:p w14:paraId="37440E10"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(51.0%***)</w:t>
            </w:r>
          </w:p>
        </w:tc>
        <w:tc>
          <w:tcPr>
            <w:tcW w:w="1083" w:type="dxa"/>
            <w:tcBorders>
              <w:top w:val="nil"/>
              <w:bottom w:val="nil"/>
            </w:tcBorders>
            <w:vAlign w:val="center"/>
          </w:tcPr>
          <w:p w14:paraId="48DC5880" w14:textId="77777777" w:rsidR="007858F0" w:rsidRPr="00B64CA9" w:rsidRDefault="007858F0" w:rsidP="002D07A3">
            <w:pPr>
              <w:pStyle w:val="Table"/>
            </w:pPr>
            <w:r w:rsidRPr="00B64CA9">
              <w:t>54</w:t>
            </w:r>
            <w:r w:rsidRPr="00B64CA9">
              <w:rPr>
                <w:vertAlign w:val="superscript"/>
              </w:rPr>
              <w:t>◊</w:t>
            </w:r>
          </w:p>
          <w:p w14:paraId="483BF46D"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(54.0%***)</w:t>
            </w:r>
          </w:p>
        </w:tc>
        <w:tc>
          <w:tcPr>
            <w:tcW w:w="1084" w:type="dxa"/>
            <w:tcBorders>
              <w:top w:val="nil"/>
              <w:bottom w:val="nil"/>
            </w:tcBorders>
            <w:vAlign w:val="center"/>
          </w:tcPr>
          <w:p w14:paraId="3F1CCFD7"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4F5E4791"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6EEC650F" w14:textId="77777777" w:rsidR="007858F0" w:rsidRPr="00B64CA9" w:rsidRDefault="007858F0">
            <w:pPr>
              <w:spacing w:after="0"/>
              <w:jc w:val="center"/>
              <w:rPr>
                <w:rFonts w:ascii="Arial" w:hAnsi="Arial" w:cs="Arial"/>
                <w:b/>
                <w:sz w:val="18"/>
                <w:szCs w:val="16"/>
              </w:rPr>
            </w:pPr>
          </w:p>
        </w:tc>
      </w:tr>
      <w:tr w:rsidR="001C4469" w:rsidRPr="00B64CA9" w14:paraId="2A8C1356" w14:textId="77777777" w:rsidTr="002D07A3">
        <w:trPr>
          <w:cantSplit/>
        </w:trPr>
        <w:tc>
          <w:tcPr>
            <w:tcW w:w="2515" w:type="dxa"/>
            <w:tcBorders>
              <w:bottom w:val="nil"/>
            </w:tcBorders>
            <w:vAlign w:val="center"/>
          </w:tcPr>
          <w:p w14:paraId="27C69B6D" w14:textId="77777777" w:rsidR="007858F0" w:rsidRPr="00B64CA9" w:rsidRDefault="007858F0" w:rsidP="002D07A3">
            <w:pPr>
              <w:spacing w:after="0"/>
              <w:rPr>
                <w:szCs w:val="16"/>
              </w:rPr>
            </w:pPr>
            <w:r w:rsidRPr="00B64CA9">
              <w:rPr>
                <w:rFonts w:ascii="Arial" w:eastAsiaTheme="minorHAnsi" w:hAnsi="Arial" w:cs="Arial"/>
                <w:sz w:val="18"/>
                <w:szCs w:val="16"/>
              </w:rPr>
              <w:t xml:space="preserve">ACR 50 response </w:t>
            </w:r>
            <w:proofErr w:type="gramStart"/>
            <w:r w:rsidRPr="00B64CA9">
              <w:rPr>
                <w:rFonts w:ascii="Arial" w:eastAsiaTheme="minorHAnsi" w:hAnsi="Arial" w:cs="Arial"/>
                <w:sz w:val="18"/>
                <w:szCs w:val="16"/>
              </w:rPr>
              <w:t>n(</w:t>
            </w:r>
            <w:proofErr w:type="gramEnd"/>
            <w:r w:rsidRPr="00B64CA9">
              <w:rPr>
                <w:rFonts w:ascii="Arial" w:eastAsiaTheme="minorHAnsi" w:hAnsi="Arial" w:cs="Arial"/>
                <w:sz w:val="18"/>
                <w:szCs w:val="16"/>
              </w:rPr>
              <w:t>%)</w:t>
            </w:r>
          </w:p>
        </w:tc>
        <w:tc>
          <w:tcPr>
            <w:tcW w:w="1083" w:type="dxa"/>
            <w:tcBorders>
              <w:bottom w:val="nil"/>
            </w:tcBorders>
            <w:vAlign w:val="center"/>
          </w:tcPr>
          <w:p w14:paraId="09456843"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46BD86A4"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6FE3132C"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756377C4"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03F692EB"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256EE676" w14:textId="77777777" w:rsidR="007858F0" w:rsidRPr="00B64CA9" w:rsidRDefault="007858F0">
            <w:pPr>
              <w:spacing w:after="0"/>
              <w:jc w:val="center"/>
              <w:rPr>
                <w:rFonts w:ascii="Arial" w:hAnsi="Arial" w:cs="Arial"/>
                <w:b/>
                <w:sz w:val="18"/>
                <w:szCs w:val="16"/>
              </w:rPr>
            </w:pPr>
          </w:p>
        </w:tc>
      </w:tr>
      <w:tr w:rsidR="001C4469" w:rsidRPr="00B64CA9" w14:paraId="5EE88F1A" w14:textId="77777777" w:rsidTr="002D07A3">
        <w:trPr>
          <w:cantSplit/>
        </w:trPr>
        <w:tc>
          <w:tcPr>
            <w:tcW w:w="2515" w:type="dxa"/>
            <w:tcBorders>
              <w:top w:val="nil"/>
              <w:bottom w:val="nil"/>
            </w:tcBorders>
            <w:vAlign w:val="center"/>
          </w:tcPr>
          <w:p w14:paraId="5ACE953E"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424064E8"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3B6BFC03"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38AFCFDD"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4BC623C8" w14:textId="77777777" w:rsidR="007858F0" w:rsidRPr="00B64CA9" w:rsidRDefault="007858F0" w:rsidP="002D07A3">
            <w:pPr>
              <w:pStyle w:val="Table"/>
            </w:pPr>
            <w:r w:rsidRPr="00B64CA9">
              <w:t>27</w:t>
            </w:r>
          </w:p>
          <w:p w14:paraId="0B5788F9"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(8.1%)</w:t>
            </w:r>
          </w:p>
        </w:tc>
        <w:tc>
          <w:tcPr>
            <w:tcW w:w="1083" w:type="dxa"/>
            <w:tcBorders>
              <w:top w:val="nil"/>
              <w:bottom w:val="nil"/>
            </w:tcBorders>
            <w:vAlign w:val="center"/>
          </w:tcPr>
          <w:p w14:paraId="382E7FB7" w14:textId="77777777" w:rsidR="007858F0" w:rsidRPr="00B64CA9" w:rsidRDefault="007858F0" w:rsidP="002D07A3">
            <w:pPr>
              <w:pStyle w:val="Table"/>
            </w:pPr>
            <w:r w:rsidRPr="00B64CA9">
              <w:t>79</w:t>
            </w:r>
          </w:p>
          <w:p w14:paraId="6AE65F5A"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(35.9%*)</w:t>
            </w:r>
          </w:p>
        </w:tc>
        <w:tc>
          <w:tcPr>
            <w:tcW w:w="1084" w:type="dxa"/>
            <w:tcBorders>
              <w:top w:val="nil"/>
              <w:bottom w:val="nil"/>
            </w:tcBorders>
            <w:vAlign w:val="center"/>
          </w:tcPr>
          <w:p w14:paraId="22E4F1AA" w14:textId="77777777" w:rsidR="007858F0" w:rsidRPr="00B64CA9" w:rsidRDefault="007858F0" w:rsidP="002D07A3">
            <w:pPr>
              <w:pStyle w:val="Table"/>
            </w:pPr>
            <w:r w:rsidRPr="00B64CA9">
              <w:t>88</w:t>
            </w:r>
          </w:p>
          <w:p w14:paraId="4417C4E0"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(39.6%*)</w:t>
            </w:r>
          </w:p>
        </w:tc>
      </w:tr>
      <w:tr w:rsidR="001C4469" w:rsidRPr="00B64CA9" w14:paraId="1E64FEB3" w14:textId="77777777" w:rsidTr="002D07A3">
        <w:trPr>
          <w:cantSplit/>
        </w:trPr>
        <w:tc>
          <w:tcPr>
            <w:tcW w:w="2515" w:type="dxa"/>
            <w:tcBorders>
              <w:top w:val="nil"/>
              <w:bottom w:val="nil"/>
            </w:tcBorders>
            <w:vAlign w:val="center"/>
          </w:tcPr>
          <w:p w14:paraId="1AC6CE76"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57EB3B90" w14:textId="77777777" w:rsidR="007858F0" w:rsidRPr="00B64CA9" w:rsidRDefault="007858F0" w:rsidP="002D07A3">
            <w:pPr>
              <w:pStyle w:val="Table"/>
            </w:pPr>
            <w:r w:rsidRPr="00B64CA9">
              <w:t>7</w:t>
            </w:r>
          </w:p>
          <w:p w14:paraId="7658F414"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(7.1%)</w:t>
            </w:r>
          </w:p>
        </w:tc>
        <w:tc>
          <w:tcPr>
            <w:tcW w:w="1084" w:type="dxa"/>
            <w:tcBorders>
              <w:top w:val="nil"/>
              <w:bottom w:val="nil"/>
            </w:tcBorders>
            <w:vAlign w:val="center"/>
          </w:tcPr>
          <w:p w14:paraId="4D988B44" w14:textId="77777777" w:rsidR="007858F0" w:rsidRPr="00B64CA9" w:rsidRDefault="007858F0" w:rsidP="002D07A3">
            <w:pPr>
              <w:pStyle w:val="Table"/>
            </w:pPr>
            <w:r w:rsidRPr="00B64CA9">
              <w:t>35</w:t>
            </w:r>
          </w:p>
          <w:p w14:paraId="70238E09"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(35.0%)</w:t>
            </w:r>
          </w:p>
        </w:tc>
        <w:tc>
          <w:tcPr>
            <w:tcW w:w="1083" w:type="dxa"/>
            <w:tcBorders>
              <w:top w:val="nil"/>
              <w:bottom w:val="nil"/>
            </w:tcBorders>
            <w:vAlign w:val="center"/>
          </w:tcPr>
          <w:p w14:paraId="1F0CE369" w14:textId="77777777" w:rsidR="007858F0" w:rsidRPr="00B64CA9" w:rsidRDefault="007858F0" w:rsidP="002D07A3">
            <w:pPr>
              <w:pStyle w:val="Table"/>
            </w:pPr>
            <w:r w:rsidRPr="00B64CA9">
              <w:t>35</w:t>
            </w:r>
          </w:p>
          <w:p w14:paraId="4C7CFB9A"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(35.0%**)</w:t>
            </w:r>
          </w:p>
        </w:tc>
        <w:tc>
          <w:tcPr>
            <w:tcW w:w="1084" w:type="dxa"/>
            <w:tcBorders>
              <w:top w:val="nil"/>
              <w:bottom w:val="nil"/>
            </w:tcBorders>
            <w:vAlign w:val="center"/>
          </w:tcPr>
          <w:p w14:paraId="71CD0F38"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62CDD419"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0D4EAD8F" w14:textId="77777777" w:rsidR="007858F0" w:rsidRPr="00B64CA9" w:rsidRDefault="007858F0">
            <w:pPr>
              <w:spacing w:after="0"/>
              <w:jc w:val="center"/>
              <w:rPr>
                <w:rFonts w:ascii="Arial" w:hAnsi="Arial" w:cs="Arial"/>
                <w:b/>
                <w:sz w:val="18"/>
                <w:szCs w:val="16"/>
              </w:rPr>
            </w:pPr>
          </w:p>
        </w:tc>
      </w:tr>
      <w:tr w:rsidR="001C4469" w:rsidRPr="00B64CA9" w14:paraId="6E6C6573" w14:textId="77777777" w:rsidTr="002D07A3">
        <w:trPr>
          <w:cantSplit/>
        </w:trPr>
        <w:tc>
          <w:tcPr>
            <w:tcW w:w="2515" w:type="dxa"/>
            <w:tcBorders>
              <w:bottom w:val="nil"/>
            </w:tcBorders>
            <w:vAlign w:val="center"/>
          </w:tcPr>
          <w:p w14:paraId="238BD1E6" w14:textId="77777777" w:rsidR="007858F0" w:rsidRPr="00B64CA9" w:rsidRDefault="007858F0" w:rsidP="002D07A3">
            <w:pPr>
              <w:spacing w:after="0"/>
              <w:rPr>
                <w:szCs w:val="16"/>
              </w:rPr>
            </w:pPr>
            <w:r w:rsidRPr="00B64CA9">
              <w:rPr>
                <w:rFonts w:ascii="Arial" w:eastAsiaTheme="minorHAnsi" w:hAnsi="Arial" w:cs="Arial"/>
                <w:sz w:val="18"/>
                <w:szCs w:val="16"/>
              </w:rPr>
              <w:t xml:space="preserve">ACR 70 response </w:t>
            </w:r>
            <w:proofErr w:type="gramStart"/>
            <w:r w:rsidRPr="00B64CA9">
              <w:rPr>
                <w:rFonts w:ascii="Arial" w:eastAsiaTheme="minorHAnsi" w:hAnsi="Arial" w:cs="Arial"/>
                <w:sz w:val="18"/>
                <w:szCs w:val="16"/>
              </w:rPr>
              <w:t>n(</w:t>
            </w:r>
            <w:proofErr w:type="gramEnd"/>
            <w:r w:rsidRPr="00B64CA9">
              <w:rPr>
                <w:rFonts w:ascii="Arial" w:eastAsiaTheme="minorHAnsi" w:hAnsi="Arial" w:cs="Arial"/>
                <w:sz w:val="18"/>
                <w:szCs w:val="16"/>
              </w:rPr>
              <w:t>%)</w:t>
            </w:r>
          </w:p>
        </w:tc>
        <w:tc>
          <w:tcPr>
            <w:tcW w:w="1083" w:type="dxa"/>
            <w:tcBorders>
              <w:bottom w:val="nil"/>
            </w:tcBorders>
            <w:vAlign w:val="center"/>
          </w:tcPr>
          <w:p w14:paraId="46003939"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11A0234A"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477690B8"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2A9ABD95"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0D67D5B3"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637DDBF6" w14:textId="77777777" w:rsidR="007858F0" w:rsidRPr="00B64CA9" w:rsidRDefault="007858F0">
            <w:pPr>
              <w:spacing w:after="0"/>
              <w:jc w:val="center"/>
              <w:rPr>
                <w:rFonts w:ascii="Arial" w:hAnsi="Arial" w:cs="Arial"/>
                <w:b/>
                <w:sz w:val="18"/>
                <w:szCs w:val="16"/>
              </w:rPr>
            </w:pPr>
          </w:p>
        </w:tc>
      </w:tr>
      <w:tr w:rsidR="001C4469" w:rsidRPr="00B64CA9" w14:paraId="7FD983AD" w14:textId="77777777" w:rsidTr="002D07A3">
        <w:trPr>
          <w:cantSplit/>
        </w:trPr>
        <w:tc>
          <w:tcPr>
            <w:tcW w:w="2515" w:type="dxa"/>
            <w:tcBorders>
              <w:top w:val="nil"/>
              <w:bottom w:val="nil"/>
            </w:tcBorders>
            <w:vAlign w:val="center"/>
          </w:tcPr>
          <w:p w14:paraId="4F7CDAFF"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03EA49F9"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4E24870F"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6A5E2DBA"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3A0D2C43" w14:textId="77777777" w:rsidR="007858F0" w:rsidRPr="00B64CA9" w:rsidRDefault="007858F0" w:rsidP="002D07A3">
            <w:pPr>
              <w:pStyle w:val="Table"/>
            </w:pPr>
            <w:r w:rsidRPr="00B64CA9">
              <w:t>14</w:t>
            </w:r>
          </w:p>
          <w:p w14:paraId="2667CB33"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(4.2%)</w:t>
            </w:r>
          </w:p>
        </w:tc>
        <w:tc>
          <w:tcPr>
            <w:tcW w:w="1083" w:type="dxa"/>
            <w:tcBorders>
              <w:top w:val="nil"/>
              <w:bottom w:val="nil"/>
            </w:tcBorders>
            <w:vAlign w:val="center"/>
          </w:tcPr>
          <w:p w14:paraId="76EB3A97" w14:textId="77777777" w:rsidR="007858F0" w:rsidRPr="00B64CA9" w:rsidRDefault="007858F0" w:rsidP="002D07A3">
            <w:pPr>
              <w:pStyle w:val="Table"/>
            </w:pPr>
            <w:r w:rsidRPr="00B64CA9">
              <w:t>40</w:t>
            </w:r>
          </w:p>
          <w:p w14:paraId="3933B59B"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(18.2%)</w:t>
            </w:r>
          </w:p>
        </w:tc>
        <w:tc>
          <w:tcPr>
            <w:tcW w:w="1084" w:type="dxa"/>
            <w:tcBorders>
              <w:top w:val="nil"/>
              <w:bottom w:val="nil"/>
            </w:tcBorders>
            <w:vAlign w:val="center"/>
          </w:tcPr>
          <w:p w14:paraId="0FCAD3CD" w14:textId="77777777" w:rsidR="007858F0" w:rsidRPr="00B64CA9" w:rsidRDefault="007858F0" w:rsidP="002D07A3">
            <w:pPr>
              <w:pStyle w:val="Table"/>
            </w:pPr>
            <w:r w:rsidRPr="00B64CA9">
              <w:t>45</w:t>
            </w:r>
          </w:p>
          <w:p w14:paraId="732C26CD"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(20.3%)</w:t>
            </w:r>
          </w:p>
        </w:tc>
      </w:tr>
      <w:tr w:rsidR="001C4469" w:rsidRPr="00B64CA9" w14:paraId="77591C10" w14:textId="77777777" w:rsidTr="002D07A3">
        <w:trPr>
          <w:cantSplit/>
        </w:trPr>
        <w:tc>
          <w:tcPr>
            <w:tcW w:w="2515" w:type="dxa"/>
            <w:tcBorders>
              <w:top w:val="nil"/>
              <w:bottom w:val="nil"/>
            </w:tcBorders>
            <w:vAlign w:val="center"/>
          </w:tcPr>
          <w:p w14:paraId="569D71C4"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71225806" w14:textId="77777777" w:rsidR="007858F0" w:rsidRPr="00B64CA9" w:rsidRDefault="007858F0" w:rsidP="002D07A3">
            <w:pPr>
              <w:pStyle w:val="Table"/>
            </w:pPr>
            <w:r w:rsidRPr="00B64CA9">
              <w:t>1</w:t>
            </w:r>
          </w:p>
          <w:p w14:paraId="4D97C6A1"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(1.0%)</w:t>
            </w:r>
          </w:p>
        </w:tc>
        <w:tc>
          <w:tcPr>
            <w:tcW w:w="1084" w:type="dxa"/>
            <w:tcBorders>
              <w:top w:val="nil"/>
              <w:bottom w:val="nil"/>
            </w:tcBorders>
            <w:vAlign w:val="center"/>
          </w:tcPr>
          <w:p w14:paraId="52ABF06B" w14:textId="77777777" w:rsidR="007858F0" w:rsidRPr="00B64CA9" w:rsidRDefault="007858F0" w:rsidP="002D07A3">
            <w:pPr>
              <w:pStyle w:val="Table"/>
            </w:pPr>
            <w:r w:rsidRPr="00B64CA9">
              <w:t>21</w:t>
            </w:r>
          </w:p>
          <w:p w14:paraId="29332239"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(21.0%)</w:t>
            </w:r>
          </w:p>
        </w:tc>
        <w:tc>
          <w:tcPr>
            <w:tcW w:w="1083" w:type="dxa"/>
            <w:tcBorders>
              <w:top w:val="nil"/>
              <w:bottom w:val="nil"/>
            </w:tcBorders>
            <w:vAlign w:val="center"/>
          </w:tcPr>
          <w:p w14:paraId="29B4A705" w14:textId="77777777" w:rsidR="007858F0" w:rsidRPr="00B64CA9" w:rsidRDefault="007858F0" w:rsidP="002D07A3">
            <w:pPr>
              <w:pStyle w:val="Table"/>
            </w:pPr>
            <w:r w:rsidRPr="00B64CA9">
              <w:t>20</w:t>
            </w:r>
          </w:p>
          <w:p w14:paraId="12783B25"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(20.0%)</w:t>
            </w:r>
          </w:p>
        </w:tc>
        <w:tc>
          <w:tcPr>
            <w:tcW w:w="1084" w:type="dxa"/>
            <w:tcBorders>
              <w:top w:val="nil"/>
              <w:bottom w:val="nil"/>
            </w:tcBorders>
            <w:vAlign w:val="center"/>
          </w:tcPr>
          <w:p w14:paraId="2981A321"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6D5BF4AA"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7BC60920" w14:textId="77777777" w:rsidR="007858F0" w:rsidRPr="00B64CA9" w:rsidRDefault="007858F0">
            <w:pPr>
              <w:spacing w:after="0"/>
              <w:jc w:val="center"/>
              <w:rPr>
                <w:rFonts w:ascii="Arial" w:hAnsi="Arial" w:cs="Arial"/>
                <w:b/>
                <w:sz w:val="18"/>
                <w:szCs w:val="16"/>
              </w:rPr>
            </w:pPr>
          </w:p>
        </w:tc>
      </w:tr>
      <w:tr w:rsidR="00E1362D" w:rsidRPr="00B64CA9" w14:paraId="38DA5C73" w14:textId="77777777" w:rsidTr="00212FB1">
        <w:trPr>
          <w:cantSplit/>
          <w:trHeight w:val="283"/>
        </w:trPr>
        <w:tc>
          <w:tcPr>
            <w:tcW w:w="2515" w:type="dxa"/>
            <w:tcBorders>
              <w:bottom w:val="nil"/>
            </w:tcBorders>
            <w:vAlign w:val="center"/>
          </w:tcPr>
          <w:p w14:paraId="3096935D" w14:textId="77777777" w:rsidR="007858F0" w:rsidRPr="00B64CA9" w:rsidRDefault="007858F0" w:rsidP="00D45099">
            <w:pPr>
              <w:spacing w:after="0"/>
              <w:rPr>
                <w:rFonts w:ascii="Arial" w:hAnsi="Arial" w:cs="Arial"/>
                <w:sz w:val="18"/>
                <w:szCs w:val="16"/>
              </w:rPr>
            </w:pPr>
            <w:r w:rsidRPr="00B64CA9">
              <w:rPr>
                <w:rFonts w:ascii="Arial" w:hAnsi="Arial" w:cs="Arial"/>
                <w:sz w:val="18"/>
                <w:szCs w:val="16"/>
              </w:rPr>
              <w:t>DAS28-CRP</w:t>
            </w:r>
          </w:p>
        </w:tc>
        <w:tc>
          <w:tcPr>
            <w:tcW w:w="1083" w:type="dxa"/>
            <w:tcBorders>
              <w:bottom w:val="nil"/>
            </w:tcBorders>
            <w:vAlign w:val="center"/>
          </w:tcPr>
          <w:p w14:paraId="1BA032E0"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6BCC77EA"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1E214339"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7D1C94E1"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4C887E43"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2B60BA5D" w14:textId="77777777" w:rsidR="007858F0" w:rsidRPr="00B64CA9" w:rsidRDefault="007858F0">
            <w:pPr>
              <w:spacing w:after="0"/>
              <w:jc w:val="center"/>
              <w:rPr>
                <w:rFonts w:ascii="Arial" w:hAnsi="Arial" w:cs="Arial"/>
                <w:sz w:val="18"/>
                <w:szCs w:val="16"/>
              </w:rPr>
            </w:pPr>
          </w:p>
        </w:tc>
      </w:tr>
      <w:tr w:rsidR="00212FB1" w:rsidRPr="00B64CA9" w14:paraId="2191ADB8" w14:textId="77777777" w:rsidTr="00212FB1">
        <w:trPr>
          <w:cantSplit/>
          <w:trHeight w:val="283"/>
        </w:trPr>
        <w:tc>
          <w:tcPr>
            <w:tcW w:w="2515" w:type="dxa"/>
            <w:tcBorders>
              <w:top w:val="nil"/>
              <w:bottom w:val="nil"/>
            </w:tcBorders>
            <w:vAlign w:val="center"/>
          </w:tcPr>
          <w:p w14:paraId="2C197960"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68522A4B"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332D77F5" w14:textId="77777777" w:rsidR="007858F0" w:rsidRPr="00B64CA9" w:rsidRDefault="007858F0">
            <w:pPr>
              <w:spacing w:after="0"/>
              <w:jc w:val="center"/>
              <w:rPr>
                <w:rFonts w:ascii="Arial" w:hAnsi="Arial" w:cs="Arial"/>
                <w:sz w:val="18"/>
                <w:szCs w:val="16"/>
              </w:rPr>
            </w:pPr>
          </w:p>
        </w:tc>
        <w:tc>
          <w:tcPr>
            <w:tcW w:w="1083" w:type="dxa"/>
            <w:tcBorders>
              <w:top w:val="nil"/>
              <w:bottom w:val="nil"/>
            </w:tcBorders>
            <w:vAlign w:val="center"/>
          </w:tcPr>
          <w:p w14:paraId="725FBD61"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5DF12819"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-0.63</w:t>
            </w:r>
          </w:p>
        </w:tc>
        <w:tc>
          <w:tcPr>
            <w:tcW w:w="1083" w:type="dxa"/>
            <w:tcBorders>
              <w:top w:val="nil"/>
              <w:bottom w:val="nil"/>
            </w:tcBorders>
            <w:vAlign w:val="center"/>
          </w:tcPr>
          <w:p w14:paraId="079C3CA6"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-1.29*</w:t>
            </w:r>
          </w:p>
        </w:tc>
        <w:tc>
          <w:tcPr>
            <w:tcW w:w="1084" w:type="dxa"/>
            <w:tcBorders>
              <w:top w:val="nil"/>
              <w:bottom w:val="nil"/>
            </w:tcBorders>
            <w:vAlign w:val="center"/>
          </w:tcPr>
          <w:p w14:paraId="0FCF5F8F"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-1.49*</w:t>
            </w:r>
          </w:p>
        </w:tc>
      </w:tr>
      <w:tr w:rsidR="00212FB1" w:rsidRPr="00B64CA9" w14:paraId="4E5FD774" w14:textId="77777777" w:rsidTr="00212FB1">
        <w:trPr>
          <w:cantSplit/>
          <w:trHeight w:val="283"/>
        </w:trPr>
        <w:tc>
          <w:tcPr>
            <w:tcW w:w="2515" w:type="dxa"/>
            <w:tcBorders>
              <w:top w:val="nil"/>
              <w:bottom w:val="nil"/>
            </w:tcBorders>
            <w:vAlign w:val="center"/>
          </w:tcPr>
          <w:p w14:paraId="6CC22B3B"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700169E5"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-0.96</w:t>
            </w:r>
          </w:p>
        </w:tc>
        <w:tc>
          <w:tcPr>
            <w:tcW w:w="1084" w:type="dxa"/>
            <w:tcBorders>
              <w:top w:val="nil"/>
              <w:bottom w:val="nil"/>
            </w:tcBorders>
            <w:vAlign w:val="center"/>
          </w:tcPr>
          <w:p w14:paraId="014872F3"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-1.58**</w:t>
            </w:r>
          </w:p>
        </w:tc>
        <w:tc>
          <w:tcPr>
            <w:tcW w:w="1083" w:type="dxa"/>
            <w:tcBorders>
              <w:top w:val="nil"/>
              <w:bottom w:val="nil"/>
            </w:tcBorders>
            <w:vAlign w:val="center"/>
          </w:tcPr>
          <w:p w14:paraId="536E9863"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-1.61**</w:t>
            </w:r>
          </w:p>
        </w:tc>
        <w:tc>
          <w:tcPr>
            <w:tcW w:w="1084" w:type="dxa"/>
            <w:tcBorders>
              <w:top w:val="nil"/>
              <w:bottom w:val="nil"/>
            </w:tcBorders>
            <w:vAlign w:val="center"/>
          </w:tcPr>
          <w:p w14:paraId="54D8EC13" w14:textId="77777777" w:rsidR="007858F0" w:rsidRPr="00B64CA9" w:rsidRDefault="007858F0">
            <w:pPr>
              <w:spacing w:after="0"/>
              <w:jc w:val="center"/>
              <w:rPr>
                <w:rFonts w:ascii="Arial" w:hAnsi="Arial" w:cs="Arial"/>
                <w:sz w:val="18"/>
                <w:szCs w:val="16"/>
              </w:rPr>
            </w:pPr>
          </w:p>
        </w:tc>
        <w:tc>
          <w:tcPr>
            <w:tcW w:w="1083" w:type="dxa"/>
            <w:tcBorders>
              <w:top w:val="nil"/>
              <w:bottom w:val="nil"/>
            </w:tcBorders>
            <w:vAlign w:val="center"/>
          </w:tcPr>
          <w:p w14:paraId="20E57F9A"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1F5D0399" w14:textId="77777777" w:rsidR="007858F0" w:rsidRPr="00B64CA9" w:rsidRDefault="007858F0">
            <w:pPr>
              <w:spacing w:after="0"/>
              <w:jc w:val="center"/>
              <w:rPr>
                <w:rFonts w:ascii="Arial" w:hAnsi="Arial" w:cs="Arial"/>
                <w:sz w:val="18"/>
                <w:szCs w:val="16"/>
              </w:rPr>
            </w:pPr>
          </w:p>
        </w:tc>
      </w:tr>
      <w:tr w:rsidR="00212FB1" w:rsidRPr="00B64CA9" w14:paraId="637A0D44" w14:textId="77777777" w:rsidTr="00212FB1">
        <w:trPr>
          <w:cantSplit/>
          <w:trHeight w:val="794"/>
        </w:trPr>
        <w:tc>
          <w:tcPr>
            <w:tcW w:w="2515" w:type="dxa"/>
            <w:tcBorders>
              <w:bottom w:val="single" w:sz="4" w:space="0" w:color="auto"/>
            </w:tcBorders>
            <w:vAlign w:val="center"/>
          </w:tcPr>
          <w:p w14:paraId="4DD952EF" w14:textId="77777777" w:rsidR="001C4469" w:rsidRPr="00B64CA9" w:rsidRDefault="007858F0" w:rsidP="00D45099">
            <w:pPr>
              <w:spacing w:after="0"/>
              <w:rPr>
                <w:rFonts w:ascii="Arial" w:hAnsi="Arial" w:cs="Arial"/>
                <w:sz w:val="18"/>
                <w:szCs w:val="16"/>
              </w:rPr>
            </w:pPr>
            <w:r w:rsidRPr="00B64CA9">
              <w:rPr>
                <w:rFonts w:ascii="Arial" w:hAnsi="Arial" w:cs="Arial"/>
                <w:sz w:val="18"/>
                <w:szCs w:val="16"/>
              </w:rPr>
              <w:t xml:space="preserve">Number of patients with </w:t>
            </w:r>
          </w:p>
          <w:p w14:paraId="254F73D7" w14:textId="77777777" w:rsidR="007858F0" w:rsidRPr="00B64CA9" w:rsidRDefault="007858F0" w:rsidP="00D45099">
            <w:pPr>
              <w:spacing w:after="0"/>
              <w:rPr>
                <w:rFonts w:ascii="Arial" w:hAnsi="Arial" w:cs="Arial"/>
                <w:sz w:val="18"/>
                <w:szCs w:val="16"/>
              </w:rPr>
            </w:pPr>
            <w:r w:rsidRPr="00B64CA9">
              <w:rPr>
                <w:rFonts w:ascii="Arial" w:hAnsi="Arial" w:cs="Arial"/>
                <w:sz w:val="18"/>
                <w:szCs w:val="16"/>
              </w:rPr>
              <w:t>≥ 3% BSA psoriasis skin involvement at baseline</w:t>
            </w:r>
          </w:p>
        </w:tc>
        <w:tc>
          <w:tcPr>
            <w:tcW w:w="1083" w:type="dxa"/>
            <w:tcBorders>
              <w:bottom w:val="single" w:sz="4" w:space="0" w:color="auto"/>
            </w:tcBorders>
            <w:vAlign w:val="center"/>
          </w:tcPr>
          <w:p w14:paraId="741BD0D9" w14:textId="77777777" w:rsidR="007858F0" w:rsidRPr="00B64CA9" w:rsidRDefault="007858F0" w:rsidP="002D07A3">
            <w:pPr>
              <w:pStyle w:val="Table"/>
            </w:pPr>
            <w:r w:rsidRPr="00B64CA9">
              <w:t>43</w:t>
            </w:r>
          </w:p>
          <w:p w14:paraId="6A281B8D"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(43.9%)</w:t>
            </w:r>
          </w:p>
        </w:tc>
        <w:tc>
          <w:tcPr>
            <w:tcW w:w="1084" w:type="dxa"/>
            <w:tcBorders>
              <w:bottom w:val="single" w:sz="4" w:space="0" w:color="auto"/>
            </w:tcBorders>
            <w:vAlign w:val="center"/>
          </w:tcPr>
          <w:p w14:paraId="1FB5E0D8" w14:textId="77777777" w:rsidR="007858F0" w:rsidRPr="00B64CA9" w:rsidRDefault="007858F0" w:rsidP="002D07A3">
            <w:pPr>
              <w:pStyle w:val="Table"/>
            </w:pPr>
            <w:r w:rsidRPr="00B64CA9">
              <w:t>58</w:t>
            </w:r>
          </w:p>
          <w:p w14:paraId="1F7F722C" w14:textId="77777777" w:rsidR="007858F0" w:rsidRPr="00B64CA9" w:rsidRDefault="007858F0" w:rsidP="002D07A3">
            <w:pPr>
              <w:pStyle w:val="Table"/>
            </w:pPr>
            <w:r w:rsidRPr="00B64CA9">
              <w:t>(58.0%)</w:t>
            </w:r>
          </w:p>
        </w:tc>
        <w:tc>
          <w:tcPr>
            <w:tcW w:w="1083" w:type="dxa"/>
            <w:tcBorders>
              <w:bottom w:val="single" w:sz="4" w:space="0" w:color="auto"/>
            </w:tcBorders>
            <w:vAlign w:val="center"/>
          </w:tcPr>
          <w:p w14:paraId="774BC232" w14:textId="77777777" w:rsidR="007858F0" w:rsidRPr="00B64CA9" w:rsidRDefault="007858F0" w:rsidP="002D07A3">
            <w:pPr>
              <w:pStyle w:val="Table"/>
            </w:pPr>
            <w:r w:rsidRPr="00B64CA9">
              <w:t>41</w:t>
            </w:r>
          </w:p>
          <w:p w14:paraId="3065EB8E" w14:textId="77777777" w:rsidR="007858F0" w:rsidRPr="00B64CA9" w:rsidRDefault="007858F0" w:rsidP="002D07A3">
            <w:pPr>
              <w:pStyle w:val="Table"/>
            </w:pPr>
            <w:r w:rsidRPr="00B64CA9">
              <w:t>(41.0%)</w:t>
            </w:r>
          </w:p>
        </w:tc>
        <w:tc>
          <w:tcPr>
            <w:tcW w:w="1084" w:type="dxa"/>
            <w:tcBorders>
              <w:bottom w:val="single" w:sz="4" w:space="0" w:color="auto"/>
            </w:tcBorders>
            <w:vAlign w:val="center"/>
          </w:tcPr>
          <w:p w14:paraId="510A75EF" w14:textId="77777777" w:rsidR="007858F0" w:rsidRPr="00B64CA9" w:rsidRDefault="007858F0" w:rsidP="002D07A3">
            <w:pPr>
              <w:pStyle w:val="Table"/>
            </w:pPr>
            <w:r w:rsidRPr="00B64CA9">
              <w:t>162</w:t>
            </w:r>
          </w:p>
          <w:p w14:paraId="195B3961"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(48.8%)</w:t>
            </w:r>
          </w:p>
        </w:tc>
        <w:tc>
          <w:tcPr>
            <w:tcW w:w="1083" w:type="dxa"/>
            <w:tcBorders>
              <w:bottom w:val="single" w:sz="4" w:space="0" w:color="auto"/>
            </w:tcBorders>
            <w:vAlign w:val="center"/>
          </w:tcPr>
          <w:p w14:paraId="5BB4F2C3" w14:textId="77777777" w:rsidR="007858F0" w:rsidRPr="00B64CA9" w:rsidRDefault="007858F0" w:rsidP="002D07A3">
            <w:pPr>
              <w:pStyle w:val="Table"/>
            </w:pPr>
            <w:r w:rsidRPr="00B64CA9">
              <w:t>125</w:t>
            </w:r>
          </w:p>
          <w:p w14:paraId="47D20957"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(56.8%)</w:t>
            </w:r>
          </w:p>
        </w:tc>
        <w:tc>
          <w:tcPr>
            <w:tcW w:w="1084" w:type="dxa"/>
            <w:tcBorders>
              <w:bottom w:val="single" w:sz="4" w:space="0" w:color="auto"/>
            </w:tcBorders>
            <w:vAlign w:val="center"/>
          </w:tcPr>
          <w:p w14:paraId="5FBD3B06" w14:textId="77777777" w:rsidR="007858F0" w:rsidRPr="00B64CA9" w:rsidRDefault="007858F0" w:rsidP="002D07A3">
            <w:pPr>
              <w:pStyle w:val="Table"/>
            </w:pPr>
            <w:r w:rsidRPr="00B64CA9">
              <w:t>110</w:t>
            </w:r>
          </w:p>
          <w:p w14:paraId="798E4F03"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(49.5%)</w:t>
            </w:r>
          </w:p>
        </w:tc>
      </w:tr>
      <w:tr w:rsidR="001C4469" w:rsidRPr="00B64CA9" w14:paraId="751AFE1D" w14:textId="77777777" w:rsidTr="002D07A3">
        <w:trPr>
          <w:cantSplit/>
        </w:trPr>
        <w:tc>
          <w:tcPr>
            <w:tcW w:w="2515" w:type="dxa"/>
            <w:tcBorders>
              <w:bottom w:val="nil"/>
            </w:tcBorders>
            <w:vAlign w:val="center"/>
          </w:tcPr>
          <w:p w14:paraId="5C5BC830" w14:textId="77777777" w:rsidR="007858F0" w:rsidRPr="00B64CA9" w:rsidRDefault="007858F0" w:rsidP="002D07A3">
            <w:pPr>
              <w:spacing w:after="0"/>
              <w:rPr>
                <w:szCs w:val="16"/>
              </w:rPr>
            </w:pPr>
            <w:r w:rsidRPr="00B64CA9">
              <w:rPr>
                <w:rFonts w:ascii="Arial" w:eastAsiaTheme="minorHAnsi" w:hAnsi="Arial" w:cs="Arial"/>
                <w:sz w:val="18"/>
                <w:szCs w:val="16"/>
              </w:rPr>
              <w:t xml:space="preserve">PASI 75 response </w:t>
            </w:r>
            <w:proofErr w:type="gramStart"/>
            <w:r w:rsidRPr="00B64CA9">
              <w:rPr>
                <w:rFonts w:ascii="Arial" w:eastAsiaTheme="minorHAnsi" w:hAnsi="Arial" w:cs="Arial"/>
                <w:sz w:val="18"/>
                <w:szCs w:val="16"/>
              </w:rPr>
              <w:t>n(</w:t>
            </w:r>
            <w:proofErr w:type="gramEnd"/>
            <w:r w:rsidRPr="00B64CA9">
              <w:rPr>
                <w:rFonts w:ascii="Arial" w:eastAsiaTheme="minorHAnsi" w:hAnsi="Arial" w:cs="Arial"/>
                <w:sz w:val="18"/>
                <w:szCs w:val="16"/>
              </w:rPr>
              <w:t>%)</w:t>
            </w:r>
          </w:p>
        </w:tc>
        <w:tc>
          <w:tcPr>
            <w:tcW w:w="1083" w:type="dxa"/>
            <w:tcBorders>
              <w:bottom w:val="nil"/>
            </w:tcBorders>
            <w:vAlign w:val="center"/>
          </w:tcPr>
          <w:p w14:paraId="481BB526"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6A01593B"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50C911E3"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4CC0090E"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7E2844E2"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69E79A65" w14:textId="77777777" w:rsidR="007858F0" w:rsidRPr="00B64CA9" w:rsidRDefault="007858F0">
            <w:pPr>
              <w:spacing w:after="0"/>
              <w:jc w:val="center"/>
              <w:rPr>
                <w:rFonts w:ascii="Arial" w:hAnsi="Arial" w:cs="Arial"/>
                <w:b/>
                <w:sz w:val="18"/>
                <w:szCs w:val="16"/>
              </w:rPr>
            </w:pPr>
          </w:p>
        </w:tc>
      </w:tr>
      <w:tr w:rsidR="001C4469" w:rsidRPr="00B64CA9" w14:paraId="43374607" w14:textId="77777777" w:rsidTr="002D07A3">
        <w:trPr>
          <w:cantSplit/>
        </w:trPr>
        <w:tc>
          <w:tcPr>
            <w:tcW w:w="2515" w:type="dxa"/>
            <w:tcBorders>
              <w:top w:val="nil"/>
              <w:bottom w:val="nil"/>
            </w:tcBorders>
            <w:vAlign w:val="center"/>
          </w:tcPr>
          <w:p w14:paraId="27938E2E"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lastRenderedPageBreak/>
              <w:t>Week 16</w:t>
            </w:r>
          </w:p>
        </w:tc>
        <w:tc>
          <w:tcPr>
            <w:tcW w:w="1083" w:type="dxa"/>
            <w:tcBorders>
              <w:top w:val="nil"/>
              <w:bottom w:val="nil"/>
            </w:tcBorders>
            <w:vAlign w:val="center"/>
          </w:tcPr>
          <w:p w14:paraId="62C24710"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522D0E2C"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25859443"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1095A5DC" w14:textId="77777777" w:rsidR="007858F0" w:rsidRPr="00B64CA9" w:rsidRDefault="007858F0" w:rsidP="002D07A3">
            <w:pPr>
              <w:pStyle w:val="Table"/>
            </w:pPr>
            <w:r w:rsidRPr="00B64CA9">
              <w:t>20</w:t>
            </w:r>
          </w:p>
          <w:p w14:paraId="5808A264"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(12.3%)</w:t>
            </w:r>
          </w:p>
        </w:tc>
        <w:tc>
          <w:tcPr>
            <w:tcW w:w="1083" w:type="dxa"/>
            <w:tcBorders>
              <w:top w:val="nil"/>
              <w:bottom w:val="nil"/>
            </w:tcBorders>
            <w:vAlign w:val="center"/>
          </w:tcPr>
          <w:p w14:paraId="5E4ABC61" w14:textId="77777777" w:rsidR="007858F0" w:rsidRPr="00B64CA9" w:rsidRDefault="007858F0" w:rsidP="002D07A3">
            <w:pPr>
              <w:pStyle w:val="Table"/>
            </w:pPr>
            <w:r w:rsidRPr="00B64CA9">
              <w:t>75</w:t>
            </w:r>
          </w:p>
          <w:p w14:paraId="7429BE36" w14:textId="77777777" w:rsidR="007858F0" w:rsidRPr="00B64CA9" w:rsidRDefault="007858F0" w:rsidP="002D07A3">
            <w:pPr>
              <w:pStyle w:val="Table"/>
            </w:pPr>
            <w:r w:rsidRPr="00B64CA9">
              <w:t>(60.0%*)</w:t>
            </w:r>
          </w:p>
          <w:p w14:paraId="007309D1"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584C557D" w14:textId="77777777" w:rsidR="007858F0" w:rsidRPr="00B64CA9" w:rsidRDefault="007858F0" w:rsidP="002D07A3">
            <w:pPr>
              <w:pStyle w:val="Table"/>
            </w:pPr>
            <w:r w:rsidRPr="00B64CA9">
              <w:t>77</w:t>
            </w:r>
          </w:p>
          <w:p w14:paraId="03788FF4"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(70.0%*)</w:t>
            </w:r>
          </w:p>
        </w:tc>
      </w:tr>
      <w:tr w:rsidR="001C4469" w:rsidRPr="00B64CA9" w14:paraId="53331AD2" w14:textId="77777777" w:rsidTr="002D07A3">
        <w:trPr>
          <w:cantSplit/>
        </w:trPr>
        <w:tc>
          <w:tcPr>
            <w:tcW w:w="2515" w:type="dxa"/>
            <w:tcBorders>
              <w:top w:val="nil"/>
              <w:bottom w:val="nil"/>
            </w:tcBorders>
            <w:vAlign w:val="center"/>
          </w:tcPr>
          <w:p w14:paraId="3A8651D6"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4DFE49AC" w14:textId="77777777" w:rsidR="007858F0" w:rsidRPr="00B64CA9" w:rsidRDefault="007858F0" w:rsidP="002D07A3">
            <w:pPr>
              <w:pStyle w:val="Table"/>
            </w:pPr>
            <w:r w:rsidRPr="00B64CA9">
              <w:t>7</w:t>
            </w:r>
          </w:p>
          <w:p w14:paraId="2F5D178A"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(16.3%)</w:t>
            </w:r>
          </w:p>
        </w:tc>
        <w:tc>
          <w:tcPr>
            <w:tcW w:w="1084" w:type="dxa"/>
            <w:tcBorders>
              <w:top w:val="nil"/>
              <w:bottom w:val="nil"/>
            </w:tcBorders>
            <w:vAlign w:val="center"/>
          </w:tcPr>
          <w:p w14:paraId="215CCA9F" w14:textId="77777777" w:rsidR="007858F0" w:rsidRPr="00B64CA9" w:rsidRDefault="007858F0" w:rsidP="002D07A3">
            <w:pPr>
              <w:pStyle w:val="Table"/>
            </w:pPr>
            <w:r w:rsidRPr="00B64CA9">
              <w:t>28</w:t>
            </w:r>
          </w:p>
          <w:p w14:paraId="7FD60628"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(48.3%**)</w:t>
            </w:r>
          </w:p>
        </w:tc>
        <w:tc>
          <w:tcPr>
            <w:tcW w:w="1083" w:type="dxa"/>
            <w:tcBorders>
              <w:top w:val="nil"/>
              <w:bottom w:val="nil"/>
            </w:tcBorders>
            <w:vAlign w:val="center"/>
          </w:tcPr>
          <w:p w14:paraId="50B728E9" w14:textId="77777777" w:rsidR="007858F0" w:rsidRPr="00B64CA9" w:rsidRDefault="007858F0" w:rsidP="002D07A3">
            <w:pPr>
              <w:pStyle w:val="Table"/>
            </w:pPr>
            <w:r w:rsidRPr="00B64CA9">
              <w:t>26</w:t>
            </w:r>
          </w:p>
          <w:p w14:paraId="1DA96091"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(63.4%***)</w:t>
            </w:r>
          </w:p>
        </w:tc>
        <w:tc>
          <w:tcPr>
            <w:tcW w:w="1084" w:type="dxa"/>
            <w:tcBorders>
              <w:top w:val="nil"/>
              <w:bottom w:val="nil"/>
            </w:tcBorders>
            <w:vAlign w:val="center"/>
          </w:tcPr>
          <w:p w14:paraId="05EA6010"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0B7400EF"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7C54905C" w14:textId="77777777" w:rsidR="007858F0" w:rsidRPr="00B64CA9" w:rsidRDefault="007858F0">
            <w:pPr>
              <w:spacing w:after="0"/>
              <w:jc w:val="center"/>
              <w:rPr>
                <w:rFonts w:ascii="Arial" w:hAnsi="Arial" w:cs="Arial"/>
                <w:b/>
                <w:sz w:val="18"/>
                <w:szCs w:val="16"/>
              </w:rPr>
            </w:pPr>
          </w:p>
        </w:tc>
      </w:tr>
      <w:tr w:rsidR="001C4469" w:rsidRPr="00B64CA9" w14:paraId="784B02BD" w14:textId="77777777" w:rsidTr="002D07A3">
        <w:trPr>
          <w:cantSplit/>
        </w:trPr>
        <w:tc>
          <w:tcPr>
            <w:tcW w:w="2515" w:type="dxa"/>
            <w:tcBorders>
              <w:bottom w:val="nil"/>
            </w:tcBorders>
            <w:vAlign w:val="center"/>
          </w:tcPr>
          <w:p w14:paraId="6A98DECD" w14:textId="77777777" w:rsidR="007858F0" w:rsidRPr="00B64CA9" w:rsidRDefault="007858F0" w:rsidP="001C4469">
            <w:pPr>
              <w:spacing w:after="0"/>
              <w:rPr>
                <w:rFonts w:ascii="Arial" w:hAnsi="Arial" w:cs="Arial"/>
                <w:sz w:val="18"/>
                <w:szCs w:val="16"/>
              </w:rPr>
            </w:pPr>
            <w:r w:rsidRPr="00B64CA9">
              <w:rPr>
                <w:rFonts w:ascii="Arial" w:hAnsi="Arial" w:cs="Arial"/>
                <w:sz w:val="18"/>
                <w:szCs w:val="16"/>
              </w:rPr>
              <w:t xml:space="preserve">PASI 90 response </w:t>
            </w:r>
            <w:proofErr w:type="gramStart"/>
            <w:r w:rsidRPr="00B64CA9">
              <w:rPr>
                <w:rFonts w:ascii="Arial" w:hAnsi="Arial" w:cs="Arial"/>
                <w:sz w:val="18"/>
                <w:szCs w:val="16"/>
              </w:rPr>
              <w:t>n(</w:t>
            </w:r>
            <w:proofErr w:type="gramEnd"/>
            <w:r w:rsidRPr="00B64CA9">
              <w:rPr>
                <w:rFonts w:ascii="Arial" w:hAnsi="Arial" w:cs="Arial"/>
                <w:sz w:val="18"/>
                <w:szCs w:val="16"/>
              </w:rPr>
              <w:t>%)</w:t>
            </w:r>
          </w:p>
        </w:tc>
        <w:tc>
          <w:tcPr>
            <w:tcW w:w="1083" w:type="dxa"/>
            <w:tcBorders>
              <w:bottom w:val="nil"/>
            </w:tcBorders>
            <w:vAlign w:val="center"/>
          </w:tcPr>
          <w:p w14:paraId="05A849A0"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241D28DD"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0DB5606F"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02413401" w14:textId="77777777" w:rsidR="007858F0" w:rsidRPr="00B64CA9" w:rsidRDefault="007858F0">
            <w:pPr>
              <w:spacing w:after="0"/>
              <w:jc w:val="center"/>
              <w:rPr>
                <w:rFonts w:ascii="Arial" w:hAnsi="Arial" w:cs="Arial"/>
                <w:b/>
                <w:sz w:val="18"/>
                <w:szCs w:val="16"/>
              </w:rPr>
            </w:pPr>
          </w:p>
        </w:tc>
        <w:tc>
          <w:tcPr>
            <w:tcW w:w="1083" w:type="dxa"/>
            <w:tcBorders>
              <w:bottom w:val="nil"/>
            </w:tcBorders>
            <w:vAlign w:val="center"/>
          </w:tcPr>
          <w:p w14:paraId="1A74CE40" w14:textId="77777777" w:rsidR="007858F0" w:rsidRPr="00B64CA9" w:rsidRDefault="007858F0">
            <w:pPr>
              <w:spacing w:after="0"/>
              <w:jc w:val="center"/>
              <w:rPr>
                <w:rFonts w:ascii="Arial" w:hAnsi="Arial" w:cs="Arial"/>
                <w:b/>
                <w:sz w:val="18"/>
                <w:szCs w:val="16"/>
              </w:rPr>
            </w:pPr>
          </w:p>
        </w:tc>
        <w:tc>
          <w:tcPr>
            <w:tcW w:w="1084" w:type="dxa"/>
            <w:tcBorders>
              <w:bottom w:val="nil"/>
            </w:tcBorders>
            <w:vAlign w:val="center"/>
          </w:tcPr>
          <w:p w14:paraId="0E193676" w14:textId="77777777" w:rsidR="007858F0" w:rsidRPr="00B64CA9" w:rsidRDefault="007858F0">
            <w:pPr>
              <w:spacing w:after="0"/>
              <w:jc w:val="center"/>
              <w:rPr>
                <w:rFonts w:ascii="Arial" w:hAnsi="Arial" w:cs="Arial"/>
                <w:b/>
                <w:sz w:val="18"/>
                <w:szCs w:val="16"/>
              </w:rPr>
            </w:pPr>
          </w:p>
        </w:tc>
      </w:tr>
      <w:tr w:rsidR="001C4469" w:rsidRPr="00B64CA9" w14:paraId="0C4C70D8" w14:textId="77777777" w:rsidTr="002D07A3">
        <w:trPr>
          <w:cantSplit/>
        </w:trPr>
        <w:tc>
          <w:tcPr>
            <w:tcW w:w="2515" w:type="dxa"/>
            <w:tcBorders>
              <w:top w:val="nil"/>
              <w:bottom w:val="nil"/>
            </w:tcBorders>
            <w:vAlign w:val="center"/>
          </w:tcPr>
          <w:p w14:paraId="70B4FD80"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6A6E069E"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1A00C3A0"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2A5D9E01"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64834DC6" w14:textId="77777777" w:rsidR="007858F0" w:rsidRPr="00B64CA9" w:rsidRDefault="007858F0" w:rsidP="002D07A3">
            <w:pPr>
              <w:pStyle w:val="Table"/>
            </w:pPr>
            <w:r w:rsidRPr="00B64CA9">
              <w:t>15</w:t>
            </w:r>
          </w:p>
          <w:p w14:paraId="1C4B94BA"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(9.3%)</w:t>
            </w:r>
          </w:p>
        </w:tc>
        <w:tc>
          <w:tcPr>
            <w:tcW w:w="1083" w:type="dxa"/>
            <w:tcBorders>
              <w:top w:val="nil"/>
              <w:bottom w:val="nil"/>
            </w:tcBorders>
            <w:vAlign w:val="center"/>
          </w:tcPr>
          <w:p w14:paraId="1A955759" w14:textId="77777777" w:rsidR="007858F0" w:rsidRPr="00B64CA9" w:rsidRDefault="007858F0" w:rsidP="002D07A3">
            <w:pPr>
              <w:pStyle w:val="Table"/>
            </w:pPr>
            <w:r w:rsidRPr="00B64CA9">
              <w:t>46</w:t>
            </w:r>
          </w:p>
          <w:p w14:paraId="6E44B883"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(36.8%*)</w:t>
            </w:r>
          </w:p>
        </w:tc>
        <w:tc>
          <w:tcPr>
            <w:tcW w:w="1084" w:type="dxa"/>
            <w:tcBorders>
              <w:top w:val="nil"/>
              <w:bottom w:val="nil"/>
            </w:tcBorders>
            <w:vAlign w:val="center"/>
          </w:tcPr>
          <w:p w14:paraId="5D6768DB" w14:textId="77777777" w:rsidR="007858F0" w:rsidRPr="00B64CA9" w:rsidRDefault="007858F0" w:rsidP="002D07A3">
            <w:pPr>
              <w:pStyle w:val="Table"/>
            </w:pPr>
            <w:r w:rsidRPr="00B64CA9">
              <w:t>59</w:t>
            </w:r>
          </w:p>
          <w:p w14:paraId="632E8FB8"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(53.6%*)</w:t>
            </w:r>
          </w:p>
        </w:tc>
      </w:tr>
      <w:tr w:rsidR="001C4469" w:rsidRPr="00B64CA9" w14:paraId="0CCE318D" w14:textId="77777777" w:rsidTr="002D07A3">
        <w:trPr>
          <w:cantSplit/>
        </w:trPr>
        <w:tc>
          <w:tcPr>
            <w:tcW w:w="2515" w:type="dxa"/>
            <w:tcBorders>
              <w:top w:val="nil"/>
              <w:bottom w:val="nil"/>
            </w:tcBorders>
            <w:vAlign w:val="center"/>
          </w:tcPr>
          <w:p w14:paraId="6B91D0A1" w14:textId="77777777" w:rsidR="007858F0" w:rsidRPr="00B64CA9" w:rsidRDefault="007858F0" w:rsidP="00D45099">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53FD993D" w14:textId="77777777" w:rsidR="007858F0" w:rsidRPr="00B64CA9" w:rsidRDefault="007858F0" w:rsidP="002D07A3">
            <w:pPr>
              <w:pStyle w:val="Table"/>
            </w:pPr>
            <w:r w:rsidRPr="00B64CA9">
              <w:t>4</w:t>
            </w:r>
          </w:p>
          <w:p w14:paraId="42EC909A"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(9.3%)</w:t>
            </w:r>
          </w:p>
        </w:tc>
        <w:tc>
          <w:tcPr>
            <w:tcW w:w="1084" w:type="dxa"/>
            <w:tcBorders>
              <w:top w:val="nil"/>
              <w:bottom w:val="nil"/>
            </w:tcBorders>
            <w:vAlign w:val="center"/>
          </w:tcPr>
          <w:p w14:paraId="08743CD0" w14:textId="77777777" w:rsidR="007858F0" w:rsidRPr="00B64CA9" w:rsidRDefault="007858F0" w:rsidP="002D07A3">
            <w:pPr>
              <w:pStyle w:val="Table"/>
            </w:pPr>
            <w:r w:rsidRPr="00B64CA9">
              <w:t>19</w:t>
            </w:r>
          </w:p>
          <w:p w14:paraId="6E4DBB5F"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(32.8%**)</w:t>
            </w:r>
          </w:p>
        </w:tc>
        <w:tc>
          <w:tcPr>
            <w:tcW w:w="1083" w:type="dxa"/>
            <w:tcBorders>
              <w:top w:val="nil"/>
              <w:bottom w:val="nil"/>
            </w:tcBorders>
            <w:vAlign w:val="center"/>
          </w:tcPr>
          <w:p w14:paraId="371A141D" w14:textId="77777777" w:rsidR="007858F0" w:rsidRPr="00B64CA9" w:rsidRDefault="007858F0" w:rsidP="002D07A3">
            <w:pPr>
              <w:pStyle w:val="Table"/>
            </w:pPr>
            <w:r w:rsidRPr="00B64CA9">
              <w:t>20</w:t>
            </w:r>
          </w:p>
          <w:p w14:paraId="7E8265E3" w14:textId="77777777" w:rsidR="007858F0" w:rsidRPr="00B64CA9" w:rsidRDefault="007858F0">
            <w:pPr>
              <w:spacing w:after="0"/>
              <w:jc w:val="center"/>
              <w:rPr>
                <w:rFonts w:ascii="Arial" w:hAnsi="Arial" w:cs="Arial"/>
                <w:b/>
                <w:sz w:val="18"/>
                <w:szCs w:val="16"/>
              </w:rPr>
            </w:pPr>
            <w:r w:rsidRPr="00B64CA9">
              <w:rPr>
                <w:rFonts w:ascii="Arial" w:hAnsi="Arial" w:cs="Arial"/>
                <w:sz w:val="18"/>
                <w:szCs w:val="16"/>
              </w:rPr>
              <w:t>(48.8%***)</w:t>
            </w:r>
          </w:p>
        </w:tc>
        <w:tc>
          <w:tcPr>
            <w:tcW w:w="1084" w:type="dxa"/>
            <w:tcBorders>
              <w:top w:val="nil"/>
              <w:bottom w:val="nil"/>
            </w:tcBorders>
            <w:vAlign w:val="center"/>
          </w:tcPr>
          <w:p w14:paraId="6B8BAEFF" w14:textId="77777777" w:rsidR="007858F0" w:rsidRPr="00B64CA9" w:rsidRDefault="007858F0">
            <w:pPr>
              <w:spacing w:after="0"/>
              <w:jc w:val="center"/>
              <w:rPr>
                <w:rFonts w:ascii="Arial" w:hAnsi="Arial" w:cs="Arial"/>
                <w:b/>
                <w:sz w:val="18"/>
                <w:szCs w:val="16"/>
              </w:rPr>
            </w:pPr>
          </w:p>
        </w:tc>
        <w:tc>
          <w:tcPr>
            <w:tcW w:w="1083" w:type="dxa"/>
            <w:tcBorders>
              <w:top w:val="nil"/>
              <w:bottom w:val="nil"/>
            </w:tcBorders>
            <w:vAlign w:val="center"/>
          </w:tcPr>
          <w:p w14:paraId="68C55E73" w14:textId="77777777" w:rsidR="007858F0" w:rsidRPr="00B64CA9" w:rsidRDefault="007858F0">
            <w:pPr>
              <w:spacing w:after="0"/>
              <w:jc w:val="center"/>
              <w:rPr>
                <w:rFonts w:ascii="Arial" w:hAnsi="Arial" w:cs="Arial"/>
                <w:b/>
                <w:sz w:val="18"/>
                <w:szCs w:val="16"/>
              </w:rPr>
            </w:pPr>
          </w:p>
        </w:tc>
        <w:tc>
          <w:tcPr>
            <w:tcW w:w="1084" w:type="dxa"/>
            <w:tcBorders>
              <w:top w:val="nil"/>
              <w:bottom w:val="nil"/>
            </w:tcBorders>
            <w:vAlign w:val="center"/>
          </w:tcPr>
          <w:p w14:paraId="76C55EAE" w14:textId="77777777" w:rsidR="007858F0" w:rsidRPr="00B64CA9" w:rsidRDefault="007858F0">
            <w:pPr>
              <w:spacing w:after="0"/>
              <w:jc w:val="center"/>
              <w:rPr>
                <w:rFonts w:ascii="Arial" w:hAnsi="Arial" w:cs="Arial"/>
                <w:b/>
                <w:sz w:val="18"/>
                <w:szCs w:val="16"/>
              </w:rPr>
            </w:pPr>
          </w:p>
        </w:tc>
      </w:tr>
      <w:tr w:rsidR="001C4469" w:rsidRPr="00B64CA9" w14:paraId="601328E7" w14:textId="77777777" w:rsidTr="002D07A3">
        <w:trPr>
          <w:cantSplit/>
        </w:trPr>
        <w:tc>
          <w:tcPr>
            <w:tcW w:w="2515" w:type="dxa"/>
            <w:tcBorders>
              <w:bottom w:val="nil"/>
            </w:tcBorders>
          </w:tcPr>
          <w:p w14:paraId="5D4F96E8" w14:textId="77777777" w:rsidR="007858F0" w:rsidRPr="00B64CA9" w:rsidRDefault="007858F0" w:rsidP="002D07A3">
            <w:pPr>
              <w:spacing w:after="0"/>
              <w:rPr>
                <w:szCs w:val="16"/>
              </w:rPr>
            </w:pPr>
            <w:r w:rsidRPr="00B64CA9">
              <w:rPr>
                <w:rFonts w:ascii="Arial" w:eastAsiaTheme="minorHAnsi" w:hAnsi="Arial" w:cs="Arial"/>
                <w:sz w:val="18"/>
                <w:szCs w:val="16"/>
              </w:rPr>
              <w:t xml:space="preserve">Dactylitis Resolution </w:t>
            </w:r>
            <w:proofErr w:type="gramStart"/>
            <w:r w:rsidRPr="00B64CA9">
              <w:rPr>
                <w:rFonts w:ascii="Arial" w:eastAsiaTheme="minorHAnsi" w:hAnsi="Arial" w:cs="Arial"/>
                <w:sz w:val="18"/>
                <w:szCs w:val="16"/>
              </w:rPr>
              <w:t>n(</w:t>
            </w:r>
            <w:proofErr w:type="gramEnd"/>
            <w:r w:rsidRPr="00B64CA9">
              <w:rPr>
                <w:rFonts w:ascii="Arial" w:eastAsiaTheme="minorHAnsi" w:hAnsi="Arial" w:cs="Arial"/>
                <w:sz w:val="18"/>
                <w:szCs w:val="16"/>
              </w:rPr>
              <w:t xml:space="preserve">%) </w:t>
            </w:r>
            <w:r w:rsidRPr="00B64CA9">
              <w:rPr>
                <w:rFonts w:ascii="Arial" w:eastAsiaTheme="minorHAnsi" w:hAnsi="Arial" w:cs="Arial"/>
                <w:sz w:val="18"/>
                <w:szCs w:val="16"/>
                <w:vertAlign w:val="superscript"/>
              </w:rPr>
              <w:t>†</w:t>
            </w:r>
          </w:p>
        </w:tc>
        <w:tc>
          <w:tcPr>
            <w:tcW w:w="1083" w:type="dxa"/>
            <w:tcBorders>
              <w:bottom w:val="nil"/>
            </w:tcBorders>
            <w:vAlign w:val="center"/>
          </w:tcPr>
          <w:p w14:paraId="515D3452"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7FAD1928" w14:textId="77777777" w:rsidR="007858F0" w:rsidRPr="00B64CA9" w:rsidRDefault="007858F0" w:rsidP="002D07A3">
            <w:pPr>
              <w:pStyle w:val="Table"/>
            </w:pPr>
          </w:p>
        </w:tc>
        <w:tc>
          <w:tcPr>
            <w:tcW w:w="1083" w:type="dxa"/>
            <w:tcBorders>
              <w:bottom w:val="nil"/>
            </w:tcBorders>
            <w:vAlign w:val="center"/>
          </w:tcPr>
          <w:p w14:paraId="2EAB1EE6" w14:textId="77777777" w:rsidR="007858F0" w:rsidRPr="00B64CA9" w:rsidRDefault="007858F0" w:rsidP="002D07A3">
            <w:pPr>
              <w:pStyle w:val="Table"/>
            </w:pPr>
          </w:p>
        </w:tc>
        <w:tc>
          <w:tcPr>
            <w:tcW w:w="1084" w:type="dxa"/>
            <w:tcBorders>
              <w:bottom w:val="nil"/>
            </w:tcBorders>
            <w:vAlign w:val="center"/>
          </w:tcPr>
          <w:p w14:paraId="75CD31B2"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5BF87931"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664E2CA2" w14:textId="77777777" w:rsidR="007858F0" w:rsidRPr="00B64CA9" w:rsidRDefault="007858F0">
            <w:pPr>
              <w:spacing w:after="0"/>
              <w:jc w:val="center"/>
              <w:rPr>
                <w:rFonts w:ascii="Arial" w:hAnsi="Arial" w:cs="Arial"/>
                <w:sz w:val="18"/>
                <w:szCs w:val="16"/>
              </w:rPr>
            </w:pPr>
          </w:p>
        </w:tc>
      </w:tr>
      <w:tr w:rsidR="001C4469" w:rsidRPr="00B64CA9" w14:paraId="1195C563" w14:textId="77777777" w:rsidTr="002D07A3">
        <w:trPr>
          <w:cantSplit/>
        </w:trPr>
        <w:tc>
          <w:tcPr>
            <w:tcW w:w="2515" w:type="dxa"/>
            <w:tcBorders>
              <w:top w:val="nil"/>
              <w:bottom w:val="nil"/>
            </w:tcBorders>
          </w:tcPr>
          <w:p w14:paraId="5A150EE4" w14:textId="77777777" w:rsidR="007858F0" w:rsidRPr="00B64CA9" w:rsidRDefault="007858F0" w:rsidP="002D07A3">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74E92D06"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3071241C" w14:textId="77777777" w:rsidR="007858F0" w:rsidRPr="00B64CA9" w:rsidRDefault="007858F0" w:rsidP="002D07A3">
            <w:pPr>
              <w:pStyle w:val="Table"/>
            </w:pPr>
          </w:p>
        </w:tc>
        <w:tc>
          <w:tcPr>
            <w:tcW w:w="1083" w:type="dxa"/>
            <w:tcBorders>
              <w:top w:val="nil"/>
              <w:bottom w:val="nil"/>
            </w:tcBorders>
            <w:vAlign w:val="center"/>
          </w:tcPr>
          <w:p w14:paraId="7F83136B" w14:textId="77777777" w:rsidR="007858F0" w:rsidRPr="00B64CA9" w:rsidRDefault="007858F0" w:rsidP="002D07A3">
            <w:pPr>
              <w:pStyle w:val="Table"/>
            </w:pPr>
          </w:p>
        </w:tc>
        <w:tc>
          <w:tcPr>
            <w:tcW w:w="1084" w:type="dxa"/>
            <w:tcBorders>
              <w:top w:val="nil"/>
              <w:bottom w:val="nil"/>
            </w:tcBorders>
            <w:vAlign w:val="center"/>
          </w:tcPr>
          <w:p w14:paraId="628CFA7D" w14:textId="77777777" w:rsidR="007858F0" w:rsidRPr="00B64CA9" w:rsidRDefault="007858F0" w:rsidP="002D07A3">
            <w:pPr>
              <w:pStyle w:val="Table"/>
            </w:pPr>
            <w:r w:rsidRPr="00B64CA9">
              <w:t>40</w:t>
            </w:r>
          </w:p>
          <w:p w14:paraId="557268BF"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(32.3%)</w:t>
            </w:r>
          </w:p>
        </w:tc>
        <w:tc>
          <w:tcPr>
            <w:tcW w:w="1083" w:type="dxa"/>
            <w:tcBorders>
              <w:top w:val="nil"/>
              <w:bottom w:val="nil"/>
            </w:tcBorders>
            <w:vAlign w:val="center"/>
          </w:tcPr>
          <w:p w14:paraId="21295156" w14:textId="77777777" w:rsidR="007858F0" w:rsidRPr="00B64CA9" w:rsidRDefault="007858F0" w:rsidP="002D07A3">
            <w:pPr>
              <w:pStyle w:val="Table"/>
            </w:pPr>
            <w:r w:rsidRPr="00B64CA9">
              <w:t>46</w:t>
            </w:r>
          </w:p>
          <w:p w14:paraId="492223F0"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(57.5%*)</w:t>
            </w:r>
          </w:p>
        </w:tc>
        <w:tc>
          <w:tcPr>
            <w:tcW w:w="1084" w:type="dxa"/>
            <w:tcBorders>
              <w:top w:val="nil"/>
              <w:bottom w:val="nil"/>
            </w:tcBorders>
            <w:vAlign w:val="center"/>
          </w:tcPr>
          <w:p w14:paraId="3DC983E8" w14:textId="77777777" w:rsidR="007858F0" w:rsidRPr="00B64CA9" w:rsidRDefault="007858F0" w:rsidP="002D07A3">
            <w:pPr>
              <w:pStyle w:val="Table"/>
            </w:pPr>
            <w:r w:rsidRPr="00B64CA9">
              <w:t>54</w:t>
            </w:r>
          </w:p>
          <w:p w14:paraId="76D62D53"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(65.9%*)</w:t>
            </w:r>
          </w:p>
        </w:tc>
      </w:tr>
      <w:tr w:rsidR="001C4469" w:rsidRPr="00B64CA9" w14:paraId="234D7A93" w14:textId="77777777" w:rsidTr="002D07A3">
        <w:trPr>
          <w:cantSplit/>
        </w:trPr>
        <w:tc>
          <w:tcPr>
            <w:tcW w:w="2515" w:type="dxa"/>
            <w:tcBorders>
              <w:top w:val="nil"/>
              <w:bottom w:val="nil"/>
            </w:tcBorders>
          </w:tcPr>
          <w:p w14:paraId="39C220BC" w14:textId="77777777" w:rsidR="007858F0" w:rsidRPr="00B64CA9" w:rsidRDefault="007858F0" w:rsidP="002D07A3">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676EA7DB" w14:textId="77777777" w:rsidR="007858F0" w:rsidRPr="00B64CA9" w:rsidRDefault="007858F0" w:rsidP="002D07A3">
            <w:pPr>
              <w:pStyle w:val="Table"/>
            </w:pPr>
            <w:r w:rsidRPr="00B64CA9">
              <w:t>4</w:t>
            </w:r>
          </w:p>
          <w:p w14:paraId="1B2A7B6A"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(14.8%)</w:t>
            </w:r>
          </w:p>
        </w:tc>
        <w:tc>
          <w:tcPr>
            <w:tcW w:w="1084" w:type="dxa"/>
            <w:tcBorders>
              <w:top w:val="nil"/>
              <w:bottom w:val="nil"/>
            </w:tcBorders>
            <w:vAlign w:val="center"/>
          </w:tcPr>
          <w:p w14:paraId="47CD58D7" w14:textId="77777777" w:rsidR="007858F0" w:rsidRPr="00B64CA9" w:rsidRDefault="007858F0" w:rsidP="002D07A3">
            <w:pPr>
              <w:pStyle w:val="Table"/>
            </w:pPr>
            <w:r w:rsidRPr="00B64CA9">
              <w:t>16</w:t>
            </w:r>
          </w:p>
          <w:p w14:paraId="2BD606F3" w14:textId="77777777" w:rsidR="007858F0" w:rsidRPr="00B64CA9" w:rsidRDefault="007858F0" w:rsidP="002D07A3">
            <w:pPr>
              <w:pStyle w:val="Table"/>
            </w:pPr>
            <w:r w:rsidRPr="00B64CA9">
              <w:t>(50.0%)</w:t>
            </w:r>
          </w:p>
        </w:tc>
        <w:tc>
          <w:tcPr>
            <w:tcW w:w="1083" w:type="dxa"/>
            <w:tcBorders>
              <w:top w:val="nil"/>
              <w:bottom w:val="nil"/>
            </w:tcBorders>
            <w:vAlign w:val="center"/>
          </w:tcPr>
          <w:p w14:paraId="4CD55FC2" w14:textId="77777777" w:rsidR="007858F0" w:rsidRPr="00B64CA9" w:rsidRDefault="007858F0" w:rsidP="002D07A3">
            <w:pPr>
              <w:pStyle w:val="Table"/>
            </w:pPr>
            <w:r w:rsidRPr="00B64CA9">
              <w:t>26</w:t>
            </w:r>
          </w:p>
          <w:p w14:paraId="30C77A42" w14:textId="77777777" w:rsidR="007858F0" w:rsidRPr="00B64CA9" w:rsidRDefault="007858F0" w:rsidP="002D07A3">
            <w:pPr>
              <w:pStyle w:val="Table"/>
            </w:pPr>
            <w:r w:rsidRPr="00B64CA9">
              <w:t>(56.5%)</w:t>
            </w:r>
          </w:p>
        </w:tc>
        <w:tc>
          <w:tcPr>
            <w:tcW w:w="1084" w:type="dxa"/>
            <w:tcBorders>
              <w:top w:val="nil"/>
              <w:bottom w:val="nil"/>
            </w:tcBorders>
            <w:vAlign w:val="center"/>
          </w:tcPr>
          <w:p w14:paraId="6FA9F537" w14:textId="77777777" w:rsidR="007858F0" w:rsidRPr="00B64CA9" w:rsidRDefault="007858F0">
            <w:pPr>
              <w:spacing w:after="0"/>
              <w:jc w:val="center"/>
              <w:rPr>
                <w:rFonts w:ascii="Arial" w:hAnsi="Arial" w:cs="Arial"/>
                <w:sz w:val="18"/>
                <w:szCs w:val="16"/>
              </w:rPr>
            </w:pPr>
          </w:p>
        </w:tc>
        <w:tc>
          <w:tcPr>
            <w:tcW w:w="1083" w:type="dxa"/>
            <w:tcBorders>
              <w:top w:val="nil"/>
              <w:bottom w:val="nil"/>
            </w:tcBorders>
            <w:vAlign w:val="center"/>
          </w:tcPr>
          <w:p w14:paraId="66312482"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06526DDD" w14:textId="77777777" w:rsidR="007858F0" w:rsidRPr="00B64CA9" w:rsidRDefault="007858F0">
            <w:pPr>
              <w:spacing w:after="0"/>
              <w:jc w:val="center"/>
              <w:rPr>
                <w:rFonts w:ascii="Arial" w:hAnsi="Arial" w:cs="Arial"/>
                <w:sz w:val="18"/>
                <w:szCs w:val="16"/>
              </w:rPr>
            </w:pPr>
          </w:p>
        </w:tc>
      </w:tr>
      <w:tr w:rsidR="001C4469" w:rsidRPr="00B64CA9" w14:paraId="432BD867" w14:textId="77777777" w:rsidTr="002D07A3">
        <w:trPr>
          <w:cantSplit/>
        </w:trPr>
        <w:tc>
          <w:tcPr>
            <w:tcW w:w="2515" w:type="dxa"/>
            <w:tcBorders>
              <w:bottom w:val="nil"/>
            </w:tcBorders>
          </w:tcPr>
          <w:p w14:paraId="6E641139" w14:textId="77777777" w:rsidR="007858F0" w:rsidRPr="00B64CA9" w:rsidRDefault="007858F0" w:rsidP="002D07A3">
            <w:pPr>
              <w:spacing w:after="0"/>
              <w:rPr>
                <w:rFonts w:ascii="Arial" w:hAnsi="Arial" w:cs="Arial"/>
                <w:sz w:val="18"/>
                <w:szCs w:val="16"/>
              </w:rPr>
            </w:pPr>
            <w:proofErr w:type="spellStart"/>
            <w:r w:rsidRPr="00B64CA9">
              <w:rPr>
                <w:rFonts w:ascii="Arial" w:hAnsi="Arial" w:cs="Arial"/>
                <w:sz w:val="18"/>
                <w:szCs w:val="16"/>
              </w:rPr>
              <w:t>Enthesitis</w:t>
            </w:r>
            <w:proofErr w:type="spellEnd"/>
            <w:r w:rsidRPr="00B64CA9">
              <w:rPr>
                <w:rFonts w:ascii="Arial" w:hAnsi="Arial" w:cs="Arial"/>
                <w:sz w:val="18"/>
                <w:szCs w:val="16"/>
              </w:rPr>
              <w:t xml:space="preserve"> Resolution</w:t>
            </w:r>
            <w:r w:rsidR="00B43EAF" w:rsidRPr="00B64CA9">
              <w:rPr>
                <w:rFonts w:ascii="Arial" w:hAnsi="Arial" w:cs="Arial"/>
                <w:sz w:val="18"/>
                <w:szCs w:val="16"/>
              </w:rPr>
              <w:t xml:space="preserve"> </w:t>
            </w:r>
            <w:proofErr w:type="gramStart"/>
            <w:r w:rsidRPr="00B64CA9">
              <w:rPr>
                <w:rFonts w:ascii="Arial" w:hAnsi="Arial" w:cs="Arial"/>
                <w:sz w:val="18"/>
                <w:szCs w:val="16"/>
              </w:rPr>
              <w:t>n(</w:t>
            </w:r>
            <w:proofErr w:type="gramEnd"/>
            <w:r w:rsidRPr="00B64CA9">
              <w:rPr>
                <w:rFonts w:ascii="Arial" w:hAnsi="Arial" w:cs="Arial"/>
                <w:sz w:val="18"/>
                <w:szCs w:val="16"/>
              </w:rPr>
              <w:t xml:space="preserve">%) </w:t>
            </w:r>
            <w:r w:rsidRPr="00B64CA9">
              <w:rPr>
                <w:rFonts w:ascii="Arial" w:hAnsi="Arial" w:cs="Arial"/>
                <w:sz w:val="18"/>
                <w:szCs w:val="16"/>
                <w:vertAlign w:val="superscript"/>
              </w:rPr>
              <w:t>‡</w:t>
            </w:r>
          </w:p>
        </w:tc>
        <w:tc>
          <w:tcPr>
            <w:tcW w:w="1083" w:type="dxa"/>
            <w:tcBorders>
              <w:bottom w:val="nil"/>
            </w:tcBorders>
            <w:vAlign w:val="center"/>
          </w:tcPr>
          <w:p w14:paraId="0FF59DEA"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5CB7C431" w14:textId="77777777" w:rsidR="007858F0" w:rsidRPr="00B64CA9" w:rsidRDefault="007858F0" w:rsidP="002D07A3">
            <w:pPr>
              <w:pStyle w:val="Table"/>
            </w:pPr>
          </w:p>
        </w:tc>
        <w:tc>
          <w:tcPr>
            <w:tcW w:w="1083" w:type="dxa"/>
            <w:tcBorders>
              <w:bottom w:val="nil"/>
            </w:tcBorders>
            <w:vAlign w:val="center"/>
          </w:tcPr>
          <w:p w14:paraId="10EE6FC2" w14:textId="77777777" w:rsidR="007858F0" w:rsidRPr="00B64CA9" w:rsidRDefault="007858F0" w:rsidP="002D07A3">
            <w:pPr>
              <w:pStyle w:val="Table"/>
            </w:pPr>
          </w:p>
        </w:tc>
        <w:tc>
          <w:tcPr>
            <w:tcW w:w="1084" w:type="dxa"/>
            <w:tcBorders>
              <w:bottom w:val="nil"/>
            </w:tcBorders>
            <w:vAlign w:val="center"/>
          </w:tcPr>
          <w:p w14:paraId="264224CB" w14:textId="77777777" w:rsidR="007858F0" w:rsidRPr="00B64CA9" w:rsidRDefault="007858F0">
            <w:pPr>
              <w:spacing w:after="0"/>
              <w:jc w:val="center"/>
              <w:rPr>
                <w:rFonts w:ascii="Arial" w:hAnsi="Arial" w:cs="Arial"/>
                <w:sz w:val="18"/>
                <w:szCs w:val="16"/>
              </w:rPr>
            </w:pPr>
          </w:p>
        </w:tc>
        <w:tc>
          <w:tcPr>
            <w:tcW w:w="1083" w:type="dxa"/>
            <w:tcBorders>
              <w:bottom w:val="nil"/>
            </w:tcBorders>
            <w:vAlign w:val="center"/>
          </w:tcPr>
          <w:p w14:paraId="528A45E1" w14:textId="77777777" w:rsidR="007858F0" w:rsidRPr="00B64CA9" w:rsidRDefault="007858F0">
            <w:pPr>
              <w:spacing w:after="0"/>
              <w:jc w:val="center"/>
              <w:rPr>
                <w:rFonts w:ascii="Arial" w:hAnsi="Arial" w:cs="Arial"/>
                <w:sz w:val="18"/>
                <w:szCs w:val="16"/>
              </w:rPr>
            </w:pPr>
          </w:p>
        </w:tc>
        <w:tc>
          <w:tcPr>
            <w:tcW w:w="1084" w:type="dxa"/>
            <w:tcBorders>
              <w:bottom w:val="nil"/>
            </w:tcBorders>
            <w:vAlign w:val="center"/>
          </w:tcPr>
          <w:p w14:paraId="1DA7A32E" w14:textId="77777777" w:rsidR="007858F0" w:rsidRPr="00B64CA9" w:rsidRDefault="007858F0">
            <w:pPr>
              <w:spacing w:after="0"/>
              <w:jc w:val="center"/>
              <w:rPr>
                <w:rFonts w:ascii="Arial" w:hAnsi="Arial" w:cs="Arial"/>
                <w:sz w:val="18"/>
                <w:szCs w:val="16"/>
              </w:rPr>
            </w:pPr>
          </w:p>
        </w:tc>
      </w:tr>
      <w:tr w:rsidR="001C4469" w:rsidRPr="00B64CA9" w14:paraId="4C369464" w14:textId="77777777" w:rsidTr="002D07A3">
        <w:trPr>
          <w:cantSplit/>
        </w:trPr>
        <w:tc>
          <w:tcPr>
            <w:tcW w:w="2515" w:type="dxa"/>
            <w:tcBorders>
              <w:top w:val="nil"/>
              <w:bottom w:val="nil"/>
            </w:tcBorders>
          </w:tcPr>
          <w:p w14:paraId="0419C635" w14:textId="77777777" w:rsidR="007858F0" w:rsidRPr="00B64CA9" w:rsidRDefault="007858F0" w:rsidP="002D07A3">
            <w:pPr>
              <w:spacing w:after="0"/>
              <w:rPr>
                <w:rFonts w:ascii="Arial" w:hAnsi="Arial" w:cs="Arial"/>
                <w:b/>
                <w:sz w:val="18"/>
                <w:szCs w:val="16"/>
              </w:rPr>
            </w:pPr>
            <w:r w:rsidRPr="00B64CA9">
              <w:rPr>
                <w:rFonts w:ascii="Arial" w:hAnsi="Arial" w:cs="Arial"/>
                <w:b/>
                <w:sz w:val="18"/>
                <w:szCs w:val="16"/>
              </w:rPr>
              <w:t>Week 16</w:t>
            </w:r>
          </w:p>
        </w:tc>
        <w:tc>
          <w:tcPr>
            <w:tcW w:w="1083" w:type="dxa"/>
            <w:tcBorders>
              <w:top w:val="nil"/>
              <w:bottom w:val="nil"/>
            </w:tcBorders>
            <w:vAlign w:val="center"/>
          </w:tcPr>
          <w:p w14:paraId="6BD58A1C"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7A20507A" w14:textId="77777777" w:rsidR="007858F0" w:rsidRPr="00B64CA9" w:rsidRDefault="007858F0" w:rsidP="002D07A3">
            <w:pPr>
              <w:pStyle w:val="Table"/>
            </w:pPr>
          </w:p>
        </w:tc>
        <w:tc>
          <w:tcPr>
            <w:tcW w:w="1083" w:type="dxa"/>
            <w:tcBorders>
              <w:top w:val="nil"/>
              <w:bottom w:val="nil"/>
            </w:tcBorders>
            <w:vAlign w:val="center"/>
          </w:tcPr>
          <w:p w14:paraId="44BC3F59" w14:textId="77777777" w:rsidR="007858F0" w:rsidRPr="00B64CA9" w:rsidRDefault="007858F0" w:rsidP="002D07A3">
            <w:pPr>
              <w:pStyle w:val="Table"/>
            </w:pPr>
          </w:p>
        </w:tc>
        <w:tc>
          <w:tcPr>
            <w:tcW w:w="1084" w:type="dxa"/>
            <w:tcBorders>
              <w:top w:val="nil"/>
              <w:bottom w:val="nil"/>
            </w:tcBorders>
            <w:vAlign w:val="center"/>
          </w:tcPr>
          <w:p w14:paraId="04D709E2" w14:textId="77777777" w:rsidR="007858F0" w:rsidRPr="00B64CA9" w:rsidRDefault="007858F0" w:rsidP="002D07A3">
            <w:pPr>
              <w:pStyle w:val="Table"/>
            </w:pPr>
            <w:r w:rsidRPr="00B64CA9">
              <w:t>68</w:t>
            </w:r>
          </w:p>
          <w:p w14:paraId="48A2E0B1"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(35.4%)</w:t>
            </w:r>
          </w:p>
        </w:tc>
        <w:tc>
          <w:tcPr>
            <w:tcW w:w="1083" w:type="dxa"/>
            <w:tcBorders>
              <w:top w:val="nil"/>
              <w:bottom w:val="nil"/>
            </w:tcBorders>
            <w:vAlign w:val="center"/>
          </w:tcPr>
          <w:p w14:paraId="2B92CBFB" w14:textId="77777777" w:rsidR="007858F0" w:rsidRPr="00B64CA9" w:rsidRDefault="007858F0" w:rsidP="002D07A3">
            <w:pPr>
              <w:pStyle w:val="Table"/>
            </w:pPr>
            <w:r w:rsidRPr="00B64CA9">
              <w:t>77</w:t>
            </w:r>
          </w:p>
          <w:p w14:paraId="39A82251"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(54.6%*)</w:t>
            </w:r>
          </w:p>
        </w:tc>
        <w:tc>
          <w:tcPr>
            <w:tcW w:w="1084" w:type="dxa"/>
            <w:tcBorders>
              <w:top w:val="nil"/>
              <w:bottom w:val="nil"/>
            </w:tcBorders>
            <w:vAlign w:val="center"/>
          </w:tcPr>
          <w:p w14:paraId="023957DE" w14:textId="77777777" w:rsidR="007858F0" w:rsidRPr="00B64CA9" w:rsidRDefault="007858F0" w:rsidP="002D07A3">
            <w:pPr>
              <w:pStyle w:val="Table"/>
            </w:pPr>
            <w:r w:rsidRPr="00B64CA9">
              <w:t>78</w:t>
            </w:r>
          </w:p>
          <w:p w14:paraId="6CEC9C57"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(55.7%*)</w:t>
            </w:r>
          </w:p>
        </w:tc>
      </w:tr>
      <w:tr w:rsidR="001C4469" w:rsidRPr="00B64CA9" w14:paraId="440318A7" w14:textId="77777777" w:rsidTr="002D07A3">
        <w:trPr>
          <w:cantSplit/>
        </w:trPr>
        <w:tc>
          <w:tcPr>
            <w:tcW w:w="2515" w:type="dxa"/>
            <w:tcBorders>
              <w:top w:val="nil"/>
              <w:bottom w:val="nil"/>
            </w:tcBorders>
          </w:tcPr>
          <w:p w14:paraId="64E7A88D" w14:textId="77777777" w:rsidR="007858F0" w:rsidRPr="00B64CA9" w:rsidRDefault="007858F0" w:rsidP="002D07A3">
            <w:pPr>
              <w:spacing w:after="0"/>
              <w:rPr>
                <w:rFonts w:ascii="Arial" w:hAnsi="Arial" w:cs="Arial"/>
                <w:b/>
                <w:sz w:val="18"/>
                <w:szCs w:val="16"/>
              </w:rPr>
            </w:pPr>
            <w:r w:rsidRPr="00B64CA9">
              <w:rPr>
                <w:rFonts w:ascii="Arial" w:hAnsi="Arial" w:cs="Arial"/>
                <w:b/>
                <w:sz w:val="18"/>
                <w:szCs w:val="16"/>
              </w:rPr>
              <w:t>Week 24</w:t>
            </w:r>
          </w:p>
        </w:tc>
        <w:tc>
          <w:tcPr>
            <w:tcW w:w="1083" w:type="dxa"/>
            <w:tcBorders>
              <w:top w:val="nil"/>
              <w:bottom w:val="nil"/>
            </w:tcBorders>
            <w:vAlign w:val="center"/>
          </w:tcPr>
          <w:p w14:paraId="263A1C77" w14:textId="77777777" w:rsidR="007858F0" w:rsidRPr="00B64CA9" w:rsidRDefault="007858F0" w:rsidP="002D07A3">
            <w:pPr>
              <w:pStyle w:val="Table"/>
            </w:pPr>
            <w:r w:rsidRPr="00B64CA9">
              <w:t>14</w:t>
            </w:r>
          </w:p>
          <w:p w14:paraId="1E62C2A5" w14:textId="77777777" w:rsidR="007858F0" w:rsidRPr="00B64CA9" w:rsidRDefault="007858F0">
            <w:pPr>
              <w:spacing w:after="0"/>
              <w:jc w:val="center"/>
              <w:rPr>
                <w:rFonts w:ascii="Arial" w:hAnsi="Arial" w:cs="Arial"/>
                <w:sz w:val="18"/>
                <w:szCs w:val="16"/>
              </w:rPr>
            </w:pPr>
            <w:r w:rsidRPr="00B64CA9">
              <w:rPr>
                <w:rFonts w:ascii="Arial" w:hAnsi="Arial" w:cs="Arial"/>
                <w:sz w:val="18"/>
                <w:szCs w:val="16"/>
              </w:rPr>
              <w:t>(21.5%)</w:t>
            </w:r>
          </w:p>
        </w:tc>
        <w:tc>
          <w:tcPr>
            <w:tcW w:w="1084" w:type="dxa"/>
            <w:tcBorders>
              <w:top w:val="nil"/>
              <w:bottom w:val="nil"/>
            </w:tcBorders>
            <w:vAlign w:val="center"/>
          </w:tcPr>
          <w:p w14:paraId="4DD1FD5F" w14:textId="77777777" w:rsidR="007858F0" w:rsidRPr="00B64CA9" w:rsidRDefault="007858F0" w:rsidP="002D07A3">
            <w:pPr>
              <w:pStyle w:val="Table"/>
            </w:pPr>
            <w:r w:rsidRPr="00B64CA9">
              <w:t>27</w:t>
            </w:r>
          </w:p>
          <w:p w14:paraId="0BF1FFA7" w14:textId="77777777" w:rsidR="007858F0" w:rsidRPr="00B64CA9" w:rsidRDefault="007858F0" w:rsidP="002D07A3">
            <w:pPr>
              <w:pStyle w:val="Table"/>
            </w:pPr>
            <w:r w:rsidRPr="00B64CA9">
              <w:t>(42.2%)</w:t>
            </w:r>
          </w:p>
        </w:tc>
        <w:tc>
          <w:tcPr>
            <w:tcW w:w="1083" w:type="dxa"/>
            <w:tcBorders>
              <w:top w:val="nil"/>
              <w:bottom w:val="nil"/>
            </w:tcBorders>
            <w:vAlign w:val="center"/>
          </w:tcPr>
          <w:p w14:paraId="5DE970D9" w14:textId="77777777" w:rsidR="007858F0" w:rsidRPr="00B64CA9" w:rsidRDefault="007858F0" w:rsidP="002D07A3">
            <w:pPr>
              <w:pStyle w:val="Table"/>
            </w:pPr>
            <w:r w:rsidRPr="00B64CA9">
              <w:t>27</w:t>
            </w:r>
          </w:p>
          <w:p w14:paraId="5F9B2419" w14:textId="77777777" w:rsidR="007858F0" w:rsidRPr="00B64CA9" w:rsidRDefault="007858F0" w:rsidP="002D07A3">
            <w:pPr>
              <w:pStyle w:val="Table"/>
            </w:pPr>
            <w:r w:rsidRPr="00B64CA9">
              <w:t>(48.2%)</w:t>
            </w:r>
          </w:p>
        </w:tc>
        <w:tc>
          <w:tcPr>
            <w:tcW w:w="1084" w:type="dxa"/>
            <w:tcBorders>
              <w:top w:val="nil"/>
              <w:bottom w:val="nil"/>
            </w:tcBorders>
            <w:vAlign w:val="center"/>
          </w:tcPr>
          <w:p w14:paraId="5DC4C92B" w14:textId="77777777" w:rsidR="007858F0" w:rsidRPr="00B64CA9" w:rsidRDefault="007858F0">
            <w:pPr>
              <w:spacing w:after="0"/>
              <w:jc w:val="center"/>
              <w:rPr>
                <w:rFonts w:ascii="Arial" w:hAnsi="Arial" w:cs="Arial"/>
                <w:sz w:val="18"/>
                <w:szCs w:val="16"/>
              </w:rPr>
            </w:pPr>
          </w:p>
        </w:tc>
        <w:tc>
          <w:tcPr>
            <w:tcW w:w="1083" w:type="dxa"/>
            <w:tcBorders>
              <w:top w:val="nil"/>
              <w:bottom w:val="nil"/>
            </w:tcBorders>
            <w:vAlign w:val="center"/>
          </w:tcPr>
          <w:p w14:paraId="61665AA6" w14:textId="77777777" w:rsidR="007858F0" w:rsidRPr="00B64CA9" w:rsidRDefault="007858F0">
            <w:pPr>
              <w:spacing w:after="0"/>
              <w:jc w:val="center"/>
              <w:rPr>
                <w:rFonts w:ascii="Arial" w:hAnsi="Arial" w:cs="Arial"/>
                <w:sz w:val="18"/>
                <w:szCs w:val="16"/>
              </w:rPr>
            </w:pPr>
          </w:p>
        </w:tc>
        <w:tc>
          <w:tcPr>
            <w:tcW w:w="1084" w:type="dxa"/>
            <w:tcBorders>
              <w:top w:val="nil"/>
              <w:bottom w:val="nil"/>
            </w:tcBorders>
            <w:vAlign w:val="center"/>
          </w:tcPr>
          <w:p w14:paraId="2EB07EF4" w14:textId="77777777" w:rsidR="007858F0" w:rsidRPr="00B64CA9" w:rsidRDefault="007858F0">
            <w:pPr>
              <w:spacing w:after="0"/>
              <w:jc w:val="center"/>
              <w:rPr>
                <w:rFonts w:ascii="Arial" w:hAnsi="Arial" w:cs="Arial"/>
                <w:sz w:val="18"/>
                <w:szCs w:val="16"/>
              </w:rPr>
            </w:pPr>
          </w:p>
        </w:tc>
      </w:tr>
      <w:tr w:rsidR="007858F0" w:rsidRPr="00B64CA9" w14:paraId="5082AE89" w14:textId="77777777" w:rsidTr="002D07A3">
        <w:trPr>
          <w:cantSplit/>
        </w:trPr>
        <w:tc>
          <w:tcPr>
            <w:tcW w:w="9016" w:type="dxa"/>
            <w:gridSpan w:val="7"/>
            <w:tcBorders>
              <w:left w:val="nil"/>
              <w:bottom w:val="nil"/>
              <w:right w:val="nil"/>
            </w:tcBorders>
            <w:vAlign w:val="center"/>
          </w:tcPr>
          <w:p w14:paraId="45D5997B" w14:textId="77777777" w:rsidR="007858F0" w:rsidRPr="00B64CA9" w:rsidRDefault="007858F0" w:rsidP="002D07A3">
            <w:pPr>
              <w:spacing w:after="0"/>
              <w:rPr>
                <w:i/>
                <w:sz w:val="14"/>
                <w:szCs w:val="16"/>
              </w:rPr>
            </w:pPr>
            <w:r w:rsidRPr="00B64CA9">
              <w:rPr>
                <w:rFonts w:ascii="Arial" w:eastAsiaTheme="minorHAnsi" w:hAnsi="Arial" w:cs="Arial"/>
                <w:i/>
                <w:sz w:val="14"/>
                <w:szCs w:val="16"/>
              </w:rPr>
              <w:t>* p&lt;0.05, ** p&lt;0.01, *** p&lt;0.001; versus placebo</w:t>
            </w:r>
          </w:p>
          <w:p w14:paraId="2E6DE338"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All p</w:t>
            </w:r>
            <w:r w:rsidRPr="00B64CA9">
              <w:rPr>
                <w:rFonts w:ascii="Arial" w:hAnsi="Arial" w:cs="Arial"/>
                <w:i/>
                <w:sz w:val="14"/>
                <w:szCs w:val="16"/>
              </w:rPr>
              <w:noBreakHyphen/>
              <w:t xml:space="preserve">values are adjusted for multiplicity of testing based on pre-defined hierarchy at Week 24 for </w:t>
            </w:r>
            <w:proofErr w:type="spellStart"/>
            <w:r w:rsidRPr="00B64CA9">
              <w:rPr>
                <w:rFonts w:ascii="Arial" w:hAnsi="Arial" w:cs="Arial"/>
                <w:i/>
                <w:sz w:val="14"/>
                <w:szCs w:val="16"/>
              </w:rPr>
              <w:t>PsA</w:t>
            </w:r>
            <w:proofErr w:type="spellEnd"/>
            <w:r w:rsidRPr="00B64CA9">
              <w:rPr>
                <w:rFonts w:ascii="Arial" w:hAnsi="Arial" w:cs="Arial"/>
                <w:i/>
                <w:sz w:val="14"/>
                <w:szCs w:val="16"/>
              </w:rPr>
              <w:t xml:space="preserve"> Study 2, except for all endpoints at Week 16.</w:t>
            </w:r>
            <w:r w:rsidR="00BB46BA" w:rsidRPr="00B64CA9">
              <w:rPr>
                <w:rFonts w:ascii="Arial" w:hAnsi="Arial" w:cs="Arial"/>
                <w:i/>
                <w:sz w:val="14"/>
                <w:szCs w:val="16"/>
              </w:rPr>
              <w:t xml:space="preserve"> ACR70, Dactylitis and </w:t>
            </w:r>
            <w:proofErr w:type="spellStart"/>
            <w:r w:rsidR="00BB46BA" w:rsidRPr="00B64CA9">
              <w:rPr>
                <w:rFonts w:ascii="Arial" w:hAnsi="Arial" w:cs="Arial"/>
                <w:i/>
                <w:sz w:val="14"/>
                <w:szCs w:val="16"/>
              </w:rPr>
              <w:t>Enthesitis</w:t>
            </w:r>
            <w:proofErr w:type="spellEnd"/>
            <w:r w:rsidR="00BB46BA" w:rsidRPr="00B64CA9">
              <w:rPr>
                <w:rFonts w:ascii="Arial" w:hAnsi="Arial" w:cs="Arial"/>
                <w:i/>
                <w:sz w:val="14"/>
                <w:szCs w:val="16"/>
              </w:rPr>
              <w:t>, were exploratory endpoints.</w:t>
            </w:r>
          </w:p>
          <w:p w14:paraId="48B2A586"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All p</w:t>
            </w:r>
            <w:r w:rsidRPr="00B64CA9">
              <w:rPr>
                <w:rFonts w:ascii="Arial" w:hAnsi="Arial" w:cs="Arial"/>
                <w:i/>
                <w:sz w:val="14"/>
                <w:szCs w:val="16"/>
              </w:rPr>
              <w:noBreakHyphen/>
              <w:t xml:space="preserve">values are adjusted for multiplicity of testing based on pre-defined hierarchy at Week 16 for </w:t>
            </w:r>
            <w:proofErr w:type="spellStart"/>
            <w:r w:rsidRPr="00B64CA9">
              <w:rPr>
                <w:rFonts w:ascii="Arial" w:hAnsi="Arial" w:cs="Arial"/>
                <w:i/>
                <w:sz w:val="14"/>
                <w:szCs w:val="16"/>
              </w:rPr>
              <w:t>PsA</w:t>
            </w:r>
            <w:proofErr w:type="spellEnd"/>
            <w:r w:rsidRPr="00B64CA9">
              <w:rPr>
                <w:rFonts w:ascii="Arial" w:hAnsi="Arial" w:cs="Arial"/>
                <w:i/>
                <w:sz w:val="14"/>
                <w:szCs w:val="16"/>
              </w:rPr>
              <w:t xml:space="preserve"> Study 3</w:t>
            </w:r>
            <w:r w:rsidR="00BB46BA" w:rsidRPr="00B64CA9">
              <w:rPr>
                <w:rFonts w:ascii="Arial" w:hAnsi="Arial" w:cs="Arial"/>
                <w:i/>
                <w:sz w:val="14"/>
                <w:szCs w:val="16"/>
              </w:rPr>
              <w:t>.</w:t>
            </w:r>
            <w:r w:rsidRPr="00B64CA9">
              <w:rPr>
                <w:rFonts w:ascii="Arial" w:hAnsi="Arial" w:cs="Arial"/>
                <w:i/>
                <w:sz w:val="14"/>
                <w:szCs w:val="16"/>
              </w:rPr>
              <w:t xml:space="preserve"> ACR70 was an exploratory endpoint.</w:t>
            </w:r>
          </w:p>
          <w:p w14:paraId="0884D8C7" w14:textId="77777777" w:rsidR="007858F0" w:rsidRPr="00B64CA9" w:rsidRDefault="007858F0" w:rsidP="002D07A3">
            <w:pPr>
              <w:spacing w:after="0"/>
              <w:rPr>
                <w:i/>
                <w:sz w:val="14"/>
                <w:szCs w:val="16"/>
              </w:rPr>
            </w:pPr>
            <w:r w:rsidRPr="00B64CA9">
              <w:rPr>
                <w:rFonts w:ascii="Arial" w:eastAsiaTheme="minorHAnsi" w:hAnsi="Arial" w:cs="Arial"/>
                <w:i/>
                <w:sz w:val="14"/>
                <w:szCs w:val="16"/>
              </w:rPr>
              <w:t>Non-responder imputation used for missing binary endpoint.</w:t>
            </w:r>
          </w:p>
          <w:p w14:paraId="6B7D0EA0" w14:textId="77777777" w:rsidR="007858F0" w:rsidRPr="00B64CA9" w:rsidRDefault="007858F0" w:rsidP="002D07A3">
            <w:pPr>
              <w:spacing w:after="0"/>
              <w:rPr>
                <w:i/>
                <w:sz w:val="14"/>
                <w:szCs w:val="16"/>
              </w:rPr>
            </w:pPr>
            <w:r w:rsidRPr="00B64CA9">
              <w:rPr>
                <w:rFonts w:ascii="Arial" w:eastAsiaTheme="minorHAnsi" w:hAnsi="Arial" w:cs="Arial"/>
                <w:i/>
                <w:sz w:val="14"/>
                <w:szCs w:val="16"/>
              </w:rPr>
              <w:t>NA: Not Available; ACR: American College of Rheumatology; PASI: Psoriasis Area and Severity Index; DAS: Disease Activity Score; BSA: Body Surface Area</w:t>
            </w:r>
          </w:p>
          <w:p w14:paraId="37A70324"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◊Primary Endpoint</w:t>
            </w:r>
          </w:p>
          <w:p w14:paraId="1D304F07"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 xml:space="preserve">1Cosentyx 150 mg or 300 mg </w:t>
            </w:r>
            <w:proofErr w:type="spellStart"/>
            <w:r w:rsidRPr="00B64CA9">
              <w:rPr>
                <w:rFonts w:ascii="Arial" w:hAnsi="Arial" w:cs="Arial"/>
                <w:i/>
                <w:sz w:val="14"/>
                <w:szCs w:val="16"/>
              </w:rPr>
              <w:t>s.c.</w:t>
            </w:r>
            <w:proofErr w:type="spellEnd"/>
            <w:r w:rsidRPr="00B64CA9">
              <w:rPr>
                <w:rFonts w:ascii="Arial" w:hAnsi="Arial" w:cs="Arial"/>
                <w:i/>
                <w:sz w:val="14"/>
                <w:szCs w:val="16"/>
              </w:rPr>
              <w:t xml:space="preserve"> at Weeks 0, 1, 2, 3, and 4 followed by the same dose every month</w:t>
            </w:r>
          </w:p>
          <w:p w14:paraId="615475F0"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 xml:space="preserve">†In patients with dactylitis at baseline (n=27, 32, 46 respectively for PsA2 and n=124, 80, </w:t>
            </w:r>
            <w:proofErr w:type="gramStart"/>
            <w:r w:rsidRPr="00B64CA9">
              <w:rPr>
                <w:rFonts w:ascii="Arial" w:hAnsi="Arial" w:cs="Arial"/>
                <w:i/>
                <w:sz w:val="14"/>
                <w:szCs w:val="16"/>
              </w:rPr>
              <w:t>82  respectively</w:t>
            </w:r>
            <w:proofErr w:type="gramEnd"/>
            <w:r w:rsidRPr="00B64CA9">
              <w:rPr>
                <w:rFonts w:ascii="Arial" w:hAnsi="Arial" w:cs="Arial"/>
                <w:i/>
                <w:sz w:val="14"/>
                <w:szCs w:val="16"/>
              </w:rPr>
              <w:t xml:space="preserve"> for PsA3 )</w:t>
            </w:r>
          </w:p>
          <w:p w14:paraId="003D7373" w14:textId="77777777" w:rsidR="007858F0" w:rsidRPr="00B64CA9" w:rsidRDefault="007858F0" w:rsidP="002D07A3">
            <w:pPr>
              <w:spacing w:after="0"/>
              <w:rPr>
                <w:rFonts w:ascii="Arial" w:hAnsi="Arial" w:cs="Arial"/>
                <w:i/>
                <w:sz w:val="14"/>
                <w:szCs w:val="16"/>
              </w:rPr>
            </w:pPr>
            <w:r w:rsidRPr="00B64CA9">
              <w:rPr>
                <w:rFonts w:ascii="Arial" w:hAnsi="Arial" w:cs="Arial"/>
                <w:i/>
                <w:sz w:val="14"/>
                <w:szCs w:val="16"/>
              </w:rPr>
              <w:t xml:space="preserve">‡In patients with </w:t>
            </w:r>
            <w:proofErr w:type="spellStart"/>
            <w:r w:rsidRPr="00B64CA9">
              <w:rPr>
                <w:rFonts w:ascii="Arial" w:hAnsi="Arial" w:cs="Arial"/>
                <w:i/>
                <w:sz w:val="14"/>
                <w:szCs w:val="16"/>
              </w:rPr>
              <w:t>enthesitis</w:t>
            </w:r>
            <w:proofErr w:type="spellEnd"/>
            <w:r w:rsidRPr="00B64CA9">
              <w:rPr>
                <w:rFonts w:ascii="Arial" w:hAnsi="Arial" w:cs="Arial"/>
                <w:i/>
                <w:sz w:val="14"/>
                <w:szCs w:val="16"/>
              </w:rPr>
              <w:t xml:space="preserve"> at baseline (n=65, 64, 56 respectively for PsA2 and n=192, 141, 140, respectively for PsA3)</w:t>
            </w:r>
          </w:p>
        </w:tc>
      </w:tr>
      <w:bookmarkEnd w:id="10"/>
    </w:tbl>
    <w:p w14:paraId="406E9A9C" w14:textId="77777777" w:rsidR="00F62A4F" w:rsidRPr="00B64CA9" w:rsidRDefault="00F62A4F" w:rsidP="0081558E">
      <w:pPr>
        <w:spacing w:after="120"/>
        <w:ind w:left="1166" w:hanging="1166"/>
        <w:jc w:val="both"/>
        <w:rPr>
          <w:rFonts w:ascii="Arial" w:hAnsi="Arial" w:cs="Arial"/>
          <w:b/>
          <w:sz w:val="20"/>
        </w:rPr>
      </w:pPr>
    </w:p>
    <w:bookmarkEnd w:id="11"/>
    <w:p w14:paraId="6E2E168E" w14:textId="77777777" w:rsidR="00F62A4F" w:rsidRPr="00B64CA9" w:rsidRDefault="00F62A4F" w:rsidP="002D07A3">
      <w:pPr>
        <w:jc w:val="both"/>
        <w:rPr>
          <w:rFonts w:cs="Arial"/>
        </w:rPr>
      </w:pPr>
      <w:r w:rsidRPr="00B64CA9">
        <w:rPr>
          <w:rFonts w:cs="Arial"/>
        </w:rPr>
        <w:t>The onset of action of COSENTYX occurred as early as Week 2. Statistically significant difference in ACR 20 vs placebo was reached at Week 3.</w:t>
      </w:r>
      <w:r w:rsidR="00B635C0" w:rsidRPr="00B64CA9">
        <w:rPr>
          <w:rFonts w:cs="Arial"/>
        </w:rPr>
        <w:t xml:space="preserve"> In PsA2 efficacy responses were maintained up to Week 104.</w:t>
      </w:r>
      <w:r w:rsidRPr="00B64CA9">
        <w:rPr>
          <w:rFonts w:cs="Arial"/>
        </w:rPr>
        <w:t xml:space="preserve"> At Week 16, COSENTYX-treated patients demonstrated significant improvements in signs and symptoms among which significantly higher responses in ACR 20 (60.0% and 57.0% for 150 mg and 300 mg, respectively) compared to placebo (18.4%). </w:t>
      </w:r>
    </w:p>
    <w:p w14:paraId="79243527" w14:textId="77777777" w:rsidR="00E30F42" w:rsidRPr="00B64CA9" w:rsidRDefault="00F62A4F" w:rsidP="002D07A3">
      <w:pPr>
        <w:jc w:val="both"/>
        <w:rPr>
          <w:rFonts w:cs="Arial"/>
        </w:rPr>
      </w:pPr>
      <w:r w:rsidRPr="00B64CA9">
        <w:rPr>
          <w:rFonts w:cs="Arial"/>
        </w:rPr>
        <w:t xml:space="preserve">The percentage of patients achieving ACR20 response by visit is shown in Figure </w:t>
      </w:r>
      <w:r w:rsidR="00B259D2" w:rsidRPr="00B64CA9">
        <w:rPr>
          <w:rFonts w:cs="Arial"/>
        </w:rPr>
        <w:t>3</w:t>
      </w:r>
      <w:r w:rsidRPr="00B64CA9">
        <w:rPr>
          <w:rFonts w:cs="Arial"/>
        </w:rPr>
        <w:t>.</w:t>
      </w:r>
      <w:bookmarkStart w:id="12" w:name="_Toc405968172"/>
      <w:bookmarkStart w:id="13" w:name="_Toc405969198"/>
    </w:p>
    <w:p w14:paraId="7D1804D6" w14:textId="77777777" w:rsidR="00530A34" w:rsidRPr="00B64CA9" w:rsidRDefault="00530A34" w:rsidP="0081558E">
      <w:pPr>
        <w:spacing w:after="120"/>
        <w:ind w:left="1166" w:hanging="1166"/>
        <w:jc w:val="both"/>
        <w:rPr>
          <w:rFonts w:ascii="Arial" w:hAnsi="Arial" w:cs="Arial"/>
          <w:b/>
          <w:sz w:val="20"/>
        </w:rPr>
      </w:pPr>
    </w:p>
    <w:p w14:paraId="1D7E86B2" w14:textId="77777777" w:rsidR="00F62A4F" w:rsidRPr="00B64CA9" w:rsidRDefault="00F62A4F" w:rsidP="00290F28">
      <w:pPr>
        <w:pageBreakBefore/>
        <w:spacing w:after="120"/>
        <w:ind w:left="1168" w:hanging="1168"/>
        <w:jc w:val="both"/>
        <w:rPr>
          <w:rFonts w:ascii="Arial" w:hAnsi="Arial" w:cs="Arial"/>
          <w:b/>
          <w:sz w:val="20"/>
        </w:rPr>
      </w:pPr>
      <w:r w:rsidRPr="00B64CA9">
        <w:rPr>
          <w:rFonts w:ascii="Arial" w:hAnsi="Arial" w:cs="Arial"/>
          <w:b/>
          <w:sz w:val="20"/>
        </w:rPr>
        <w:lastRenderedPageBreak/>
        <w:t xml:space="preserve">Figure </w:t>
      </w:r>
      <w:r w:rsidR="006E1D7A" w:rsidRPr="00B64CA9">
        <w:rPr>
          <w:rFonts w:ascii="Arial" w:hAnsi="Arial" w:cs="Arial"/>
          <w:b/>
          <w:sz w:val="20"/>
        </w:rPr>
        <w:t>3</w:t>
      </w:r>
      <w:r w:rsidRPr="00B64CA9">
        <w:rPr>
          <w:rFonts w:ascii="Arial" w:hAnsi="Arial" w:cs="Arial"/>
          <w:b/>
          <w:sz w:val="20"/>
        </w:rPr>
        <w:tab/>
        <w:t xml:space="preserve">ACR 20 </w:t>
      </w:r>
      <w:proofErr w:type="gramStart"/>
      <w:r w:rsidRPr="00B64CA9">
        <w:rPr>
          <w:rFonts w:ascii="Arial" w:hAnsi="Arial" w:cs="Arial"/>
          <w:b/>
          <w:sz w:val="20"/>
        </w:rPr>
        <w:t>response</w:t>
      </w:r>
      <w:proofErr w:type="gramEnd"/>
      <w:r w:rsidRPr="00B64CA9">
        <w:rPr>
          <w:rFonts w:ascii="Arial" w:hAnsi="Arial" w:cs="Arial"/>
          <w:b/>
          <w:sz w:val="20"/>
        </w:rPr>
        <w:t xml:space="preserve"> in </w:t>
      </w:r>
      <w:proofErr w:type="spellStart"/>
      <w:r w:rsidRPr="00B64CA9">
        <w:rPr>
          <w:rFonts w:ascii="Arial" w:hAnsi="Arial" w:cs="Arial"/>
          <w:b/>
          <w:sz w:val="20"/>
        </w:rPr>
        <w:t>PsA</w:t>
      </w:r>
      <w:proofErr w:type="spellEnd"/>
      <w:r w:rsidRPr="00B64CA9">
        <w:rPr>
          <w:rFonts w:ascii="Arial" w:hAnsi="Arial" w:cs="Arial"/>
          <w:b/>
          <w:sz w:val="20"/>
        </w:rPr>
        <w:t xml:space="preserve"> 2 Study over time up to Week 24</w:t>
      </w:r>
      <w:bookmarkEnd w:id="12"/>
      <w:bookmarkEnd w:id="13"/>
    </w:p>
    <w:p w14:paraId="1A02255F" w14:textId="77777777" w:rsidR="00B635C0" w:rsidRPr="00B64CA9" w:rsidRDefault="00B635C0" w:rsidP="00D01761">
      <w:pPr>
        <w:jc w:val="right"/>
        <w:rPr>
          <w:rFonts w:ascii="Arial" w:hAnsi="Arial" w:cs="Arial"/>
          <w:sz w:val="20"/>
        </w:rPr>
      </w:pPr>
      <w:r w:rsidRPr="00B64CA9">
        <w:rPr>
          <w:rFonts w:ascii="Arial" w:hAnsi="Arial" w:cs="Arial"/>
          <w:noProof/>
          <w:sz w:val="20"/>
          <w:lang w:eastAsia="en-AU"/>
        </w:rPr>
        <mc:AlternateContent>
          <mc:Choice Requires="wps">
            <w:drawing>
              <wp:anchor distT="0" distB="0" distL="114300" distR="114300" simplePos="0" relativeHeight="251668480" behindDoc="0" locked="0" layoutInCell="1" allowOverlap="1" wp14:anchorId="1B149695" wp14:editId="7FE19D81">
                <wp:simplePos x="0" y="0"/>
                <wp:positionH relativeFrom="column">
                  <wp:posOffset>2518410</wp:posOffset>
                </wp:positionH>
                <wp:positionV relativeFrom="paragraph">
                  <wp:posOffset>2889250</wp:posOffset>
                </wp:positionV>
                <wp:extent cx="1100455" cy="267335"/>
                <wp:effectExtent l="0" t="0" r="444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267335"/>
                        </a:xfrm>
                        <a:prstGeom prst="rect">
                          <a:avLst/>
                        </a:prstGeom>
                        <a:solidFill>
                          <a:srgbClr val="FFFFFF"/>
                        </a:solidFill>
                        <a:ln w="9525">
                          <a:noFill/>
                          <a:miter lim="800000"/>
                          <a:headEnd/>
                          <a:tailEnd/>
                        </a:ln>
                      </wps:spPr>
                      <wps:txbx>
                        <w:txbxContent>
                          <w:p w14:paraId="3B77E43E" w14:textId="77777777" w:rsidR="00494F5C" w:rsidRPr="00AC40B4" w:rsidRDefault="00494F5C" w:rsidP="00AC40B4">
                            <w:pPr>
                              <w:jc w:val="center"/>
                              <w:rPr>
                                <w:sz w:val="18"/>
                                <w:szCs w:val="18"/>
                              </w:rPr>
                            </w:pPr>
                            <w:r w:rsidRPr="00AC40B4">
                              <w:rPr>
                                <w:sz w:val="18"/>
                                <w:szCs w:val="18"/>
                              </w:rPr>
                              <w:t>Time (weeks)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49695" id="Text Box 2" o:spid="_x0000_s1027" type="#_x0000_t202" style="position:absolute;left:0;text-align:left;margin-left:198.3pt;margin-top:227.5pt;width:86.6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" stroked="f">
                <v:textbox>
                  <w:txbxContent>
                    <w:p w14:paraId="3B77E43E" w14:textId="77777777" w:rsidR="00494F5C" w:rsidRPr="00AC40B4" w:rsidRDefault="00494F5C" w:rsidP="00AC40B4">
                      <w:pPr>
                        <w:jc w:val="center"/>
                        <w:rPr>
                          <w:sz w:val="18"/>
                          <w:szCs w:val="18"/>
                        </w:rPr>
                      </w:pPr>
                      <w:r w:rsidRPr="00AC40B4">
                        <w:rPr>
                          <w:sz w:val="18"/>
                          <w:szCs w:val="18"/>
                        </w:rPr>
                        <w:t>Time (weeks) (Weeks)</w:t>
                      </w:r>
                    </w:p>
                  </w:txbxContent>
                </v:textbox>
              </v:shape>
            </w:pict>
          </mc:Fallback>
        </mc:AlternateContent>
      </w:r>
      <w:r w:rsidRPr="00B64CA9">
        <w:rPr>
          <w:rFonts w:ascii="Arial" w:hAnsi="Arial" w:cs="Arial"/>
          <w:noProof/>
          <w:sz w:val="20"/>
          <w:lang w:eastAsia="en-AU"/>
        </w:rPr>
        <mc:AlternateContent>
          <mc:Choice Requires="wps">
            <w:drawing>
              <wp:anchor distT="0" distB="0" distL="114300" distR="114300" simplePos="0" relativeHeight="251670528" behindDoc="0" locked="0" layoutInCell="1" allowOverlap="1" wp14:anchorId="0D6453BB" wp14:editId="5CECD5C5">
                <wp:simplePos x="0" y="0"/>
                <wp:positionH relativeFrom="margin">
                  <wp:posOffset>-744538</wp:posOffset>
                </wp:positionH>
                <wp:positionV relativeFrom="paragraph">
                  <wp:posOffset>1254443</wp:posOffset>
                </wp:positionV>
                <wp:extent cx="1814195" cy="294640"/>
                <wp:effectExtent l="0" t="2222"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4195" cy="294640"/>
                        </a:xfrm>
                        <a:prstGeom prst="rect">
                          <a:avLst/>
                        </a:prstGeom>
                        <a:solidFill>
                          <a:srgbClr val="FFFFFF"/>
                        </a:solidFill>
                        <a:ln w="9525">
                          <a:noFill/>
                          <a:miter lim="800000"/>
                          <a:headEnd/>
                          <a:tailEnd/>
                        </a:ln>
                      </wps:spPr>
                      <wps:txbx>
                        <w:txbxContent>
                          <w:p w14:paraId="0D0AACEA" w14:textId="77777777" w:rsidR="00494F5C" w:rsidRPr="00AC40B4" w:rsidRDefault="00494F5C" w:rsidP="00B635C0">
                            <w:pPr>
                              <w:rPr>
                                <w:sz w:val="18"/>
                                <w:szCs w:val="18"/>
                              </w:rPr>
                            </w:pPr>
                            <w:r w:rsidRPr="00AC40B4">
                              <w:rPr>
                                <w:sz w:val="18"/>
                                <w:szCs w:val="18"/>
                              </w:rPr>
                              <w:t>Percentage of responders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453BB" id="_x0000_s1028" type="#_x0000_t202" style="position:absolute;left:0;text-align:left;margin-left:-58.65pt;margin-top:98.8pt;width:142.85pt;height:23.2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" stroked="f">
                <v:textbox>
                  <w:txbxContent>
                    <w:p w14:paraId="0D0AACEA" w14:textId="77777777" w:rsidR="00494F5C" w:rsidRPr="00AC40B4" w:rsidRDefault="00494F5C" w:rsidP="00B635C0">
                      <w:pPr>
                        <w:rPr>
                          <w:sz w:val="18"/>
                          <w:szCs w:val="18"/>
                        </w:rPr>
                      </w:pPr>
                      <w:r w:rsidRPr="00AC40B4">
                        <w:rPr>
                          <w:sz w:val="18"/>
                          <w:szCs w:val="18"/>
                        </w:rPr>
                        <w:t>Percentage of responders</w:t>
                      </w:r>
                    </w:p>
                  </w:txbxContent>
                </v:textbox>
                <w10:wrap anchorx="margin"/>
              </v:shape>
            </w:pict>
          </mc:Fallback>
        </mc:AlternateContent>
      </w:r>
      <w:r w:rsidRPr="00B64CA9">
        <w:rPr>
          <w:noProof/>
          <w:lang w:eastAsia="en-AU"/>
        </w:rPr>
        <w:drawing>
          <wp:inline distT="0" distB="0" distL="0" distR="0" wp14:anchorId="04D1C02F" wp14:editId="7DC687D6">
            <wp:extent cx="5400000" cy="2874774"/>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00" cy="2874774"/>
                    </a:xfrm>
                    <a:prstGeom prst="rect">
                      <a:avLst/>
                    </a:prstGeom>
                    <a:ln>
                      <a:noFill/>
                    </a:ln>
                    <a:effectLst/>
                  </pic:spPr>
                </pic:pic>
              </a:graphicData>
            </a:graphic>
          </wp:inline>
        </w:drawing>
      </w:r>
    </w:p>
    <w:p w14:paraId="5F6064A8" w14:textId="77777777" w:rsidR="00B635C0" w:rsidRPr="00B64CA9" w:rsidRDefault="00B635C0" w:rsidP="00D01761">
      <w:pPr>
        <w:spacing w:after="120"/>
        <w:ind w:left="1166" w:hanging="1166"/>
        <w:jc w:val="center"/>
        <w:rPr>
          <w:rFonts w:ascii="Arial" w:hAnsi="Arial" w:cs="Arial"/>
          <w:b/>
          <w:sz w:val="20"/>
        </w:rPr>
      </w:pPr>
      <w:r w:rsidRPr="00B64CA9">
        <w:rPr>
          <w:noProof/>
          <w:lang w:eastAsia="en-AU"/>
        </w:rPr>
        <w:drawing>
          <wp:inline distT="0" distB="0" distL="0" distR="0" wp14:anchorId="445628DC" wp14:editId="386A4D2C">
            <wp:extent cx="4320000" cy="318465"/>
            <wp:effectExtent l="133350" t="133350" r="137795" b="139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20000" cy="318465"/>
                    </a:xfrm>
                    <a:prstGeom prst="rect">
                      <a:avLst/>
                    </a:prstGeom>
                    <a:solidFill>
                      <a:srgbClr val="FFFFFF">
                        <a:shade val="85000"/>
                      </a:srgbClr>
                    </a:solidFill>
                    <a:ln w="88900" cap="sq">
                      <a:solidFill>
                        <a:srgbClr val="FFFFFF"/>
                      </a:solidFill>
                      <a:miter lim="800000"/>
                    </a:ln>
                    <a:effectLst/>
                    <a:scene3d>
                      <a:camera prst="orthographicFront"/>
                      <a:lightRig rig="twoPt" dir="t">
                        <a:rot lat="0" lon="0" rev="7200000"/>
                      </a:lightRig>
                    </a:scene3d>
                    <a:sp3d>
                      <a:contourClr>
                        <a:srgbClr val="FFFFFF"/>
                      </a:contourClr>
                    </a:sp3d>
                  </pic:spPr>
                </pic:pic>
              </a:graphicData>
            </a:graphic>
          </wp:inline>
        </w:drawing>
      </w:r>
    </w:p>
    <w:p w14:paraId="10027540" w14:textId="77777777" w:rsidR="00F62A4F" w:rsidRPr="00B64CA9" w:rsidRDefault="00F62A4F" w:rsidP="002D07A3">
      <w:pPr>
        <w:jc w:val="both"/>
        <w:rPr>
          <w:rFonts w:cs="Arial"/>
        </w:rPr>
      </w:pPr>
      <w:r w:rsidRPr="00B64CA9">
        <w:rPr>
          <w:rFonts w:cs="Arial"/>
        </w:rPr>
        <w:t xml:space="preserve">Similar responses for primary and key secondary endpoints were seen in </w:t>
      </w:r>
      <w:proofErr w:type="spellStart"/>
      <w:r w:rsidRPr="00B64CA9">
        <w:rPr>
          <w:rFonts w:cs="Arial"/>
        </w:rPr>
        <w:t>PsA</w:t>
      </w:r>
      <w:proofErr w:type="spellEnd"/>
      <w:r w:rsidRPr="00B64CA9">
        <w:rPr>
          <w:rFonts w:cs="Arial"/>
        </w:rPr>
        <w:t xml:space="preserve"> patients regardless of whether they were on concomitant MTX treatment or not.</w:t>
      </w:r>
    </w:p>
    <w:p w14:paraId="4958C129" w14:textId="77777777" w:rsidR="00F62A4F" w:rsidRPr="00B64CA9" w:rsidRDefault="00F62A4F" w:rsidP="002D07A3">
      <w:pPr>
        <w:jc w:val="both"/>
        <w:rPr>
          <w:rFonts w:cs="Arial"/>
        </w:rPr>
      </w:pPr>
      <w:r w:rsidRPr="00B64CA9">
        <w:rPr>
          <w:rFonts w:cs="Arial"/>
        </w:rPr>
        <w:t>Both, anti-TNF-alpha</w:t>
      </w:r>
      <w:r w:rsidRPr="00B64CA9" w:rsidDel="00B763A8">
        <w:rPr>
          <w:rFonts w:cs="Arial"/>
        </w:rPr>
        <w:t xml:space="preserve"> </w:t>
      </w:r>
      <w:r w:rsidRPr="00B64CA9">
        <w:rPr>
          <w:rFonts w:cs="Arial"/>
        </w:rPr>
        <w:t>-naïve and anti-TNF-alpha</w:t>
      </w:r>
      <w:r w:rsidRPr="00B64CA9" w:rsidDel="00B763A8">
        <w:rPr>
          <w:rFonts w:cs="Arial"/>
        </w:rPr>
        <w:t xml:space="preserve"> </w:t>
      </w:r>
      <w:r w:rsidRPr="00B64CA9">
        <w:rPr>
          <w:rFonts w:cs="Arial"/>
        </w:rPr>
        <w:t>–IR COSENTYX-treated patients, had a significantly higher ACR 20 response compared to placebo at Week</w:t>
      </w:r>
      <w:r w:rsidR="006D6F1E" w:rsidRPr="00B64CA9">
        <w:rPr>
          <w:rFonts w:cs="Arial"/>
        </w:rPr>
        <w:t xml:space="preserve"> </w:t>
      </w:r>
      <w:r w:rsidRPr="00B64CA9">
        <w:rPr>
          <w:rFonts w:cs="Arial"/>
        </w:rPr>
        <w:t>24, with a slightly higher response in the anti-TNF-alpha</w:t>
      </w:r>
      <w:r w:rsidRPr="00B64CA9" w:rsidDel="00B763A8">
        <w:rPr>
          <w:rFonts w:cs="Arial"/>
        </w:rPr>
        <w:t xml:space="preserve"> </w:t>
      </w:r>
      <w:r w:rsidRPr="00B64CA9">
        <w:rPr>
          <w:rFonts w:cs="Arial"/>
        </w:rPr>
        <w:t>- naïve group</w:t>
      </w:r>
      <w:r w:rsidR="00A108FB" w:rsidRPr="00B64CA9">
        <w:rPr>
          <w:rFonts w:cs="Arial"/>
        </w:rPr>
        <w:t xml:space="preserve"> in the PsA2 study</w:t>
      </w:r>
      <w:r w:rsidRPr="00B64CA9">
        <w:rPr>
          <w:rFonts w:cs="Arial"/>
        </w:rPr>
        <w:t xml:space="preserve"> (anti-TNF-alpha</w:t>
      </w:r>
      <w:r w:rsidRPr="00B64CA9" w:rsidDel="00B763A8">
        <w:rPr>
          <w:rFonts w:cs="Arial"/>
        </w:rPr>
        <w:t xml:space="preserve"> </w:t>
      </w:r>
      <w:r w:rsidRPr="00B64CA9">
        <w:rPr>
          <w:rFonts w:cs="Arial"/>
        </w:rPr>
        <w:t>-naïve: 64% and 58% for 150 mg and 300 mg, respectively, compared to placebo 15.9%; anti-TNF-alpha</w:t>
      </w:r>
      <w:r w:rsidRPr="00B64CA9" w:rsidDel="00B763A8">
        <w:rPr>
          <w:rFonts w:cs="Arial"/>
        </w:rPr>
        <w:t xml:space="preserve"> </w:t>
      </w:r>
      <w:r w:rsidRPr="00B64CA9">
        <w:rPr>
          <w:rFonts w:cs="Arial"/>
        </w:rPr>
        <w:t>-IR: 30% and 46% for 150 mg and 300 mg, respectively, compared to placebo 14.3%). Anti-TNF-alpha</w:t>
      </w:r>
      <w:r w:rsidRPr="00B64CA9" w:rsidDel="00B763A8">
        <w:rPr>
          <w:rFonts w:cs="Arial"/>
        </w:rPr>
        <w:t xml:space="preserve"> </w:t>
      </w:r>
      <w:r w:rsidRPr="00B64CA9">
        <w:rPr>
          <w:rFonts w:cs="Arial"/>
        </w:rPr>
        <w:t>–IR patients on 300</w:t>
      </w:r>
      <w:r w:rsidR="006D6F1E" w:rsidRPr="00B64CA9">
        <w:rPr>
          <w:rFonts w:cs="Arial"/>
        </w:rPr>
        <w:t xml:space="preserve"> </w:t>
      </w:r>
      <w:r w:rsidRPr="00B64CA9">
        <w:rPr>
          <w:rFonts w:cs="Arial"/>
        </w:rPr>
        <w:t>mg showed higher response rates on ACR20 compared to placebo patients (p&lt;0.05) and demonstrated clinical meaningful benefit over 150 mg on multiple secondary endpoints. Improvements in the PASI75 response were seen in both subgroups and the 300 mg dose showed statistically significant benefit in the anti-TNF-alpha</w:t>
      </w:r>
      <w:r w:rsidRPr="00B64CA9" w:rsidDel="00B763A8">
        <w:rPr>
          <w:rFonts w:cs="Arial"/>
        </w:rPr>
        <w:t xml:space="preserve"> </w:t>
      </w:r>
      <w:r w:rsidRPr="00B64CA9">
        <w:rPr>
          <w:rFonts w:cs="Arial"/>
        </w:rPr>
        <w:t>-IR patients.</w:t>
      </w:r>
    </w:p>
    <w:p w14:paraId="6CF7227A" w14:textId="77777777" w:rsidR="00F62A4F" w:rsidRPr="00B64CA9" w:rsidRDefault="00F62A4F" w:rsidP="002D07A3">
      <w:pPr>
        <w:jc w:val="both"/>
        <w:rPr>
          <w:rFonts w:cs="Arial"/>
        </w:rPr>
      </w:pPr>
      <w:r w:rsidRPr="00B64CA9">
        <w:rPr>
          <w:rFonts w:cs="Arial"/>
        </w:rPr>
        <w:t xml:space="preserve">Improvements were shown in all components of the ACR scores, including patient assessment of pain. The proportion of patients achieving a modified </w:t>
      </w:r>
      <w:proofErr w:type="spellStart"/>
      <w:r w:rsidRPr="00B64CA9">
        <w:rPr>
          <w:rFonts w:cs="Arial"/>
        </w:rPr>
        <w:t>PsA</w:t>
      </w:r>
      <w:proofErr w:type="spellEnd"/>
      <w:r w:rsidRPr="00B64CA9">
        <w:rPr>
          <w:rFonts w:cs="Arial"/>
        </w:rPr>
        <w:t xml:space="preserve"> Response Criteria (</w:t>
      </w:r>
      <w:proofErr w:type="spellStart"/>
      <w:r w:rsidRPr="00B64CA9">
        <w:rPr>
          <w:rFonts w:cs="Arial"/>
        </w:rPr>
        <w:t>PsARC</w:t>
      </w:r>
      <w:proofErr w:type="spellEnd"/>
      <w:r w:rsidRPr="00B64CA9">
        <w:rPr>
          <w:rFonts w:cs="Arial"/>
        </w:rPr>
        <w:t xml:space="preserve">) response was greater in the COSENTYX-treated patients (59.0% and 61.0% for 150 mg and 300 mg, respectively) compared to placebo (26.5%) at Week 24. </w:t>
      </w:r>
    </w:p>
    <w:p w14:paraId="5FF28154" w14:textId="77777777" w:rsidR="00F62A4F" w:rsidRPr="00B64CA9" w:rsidRDefault="00F62A4F" w:rsidP="002D07A3">
      <w:pPr>
        <w:jc w:val="both"/>
        <w:rPr>
          <w:rFonts w:cs="Arial"/>
        </w:rPr>
      </w:pPr>
      <w:r w:rsidRPr="00B64CA9">
        <w:rPr>
          <w:rFonts w:cs="Arial"/>
        </w:rPr>
        <w:t>In PsA</w:t>
      </w:r>
      <w:r w:rsidR="00A8009B" w:rsidRPr="00B64CA9">
        <w:rPr>
          <w:rFonts w:cs="Arial"/>
        </w:rPr>
        <w:t>1</w:t>
      </w:r>
      <w:r w:rsidRPr="00B64CA9">
        <w:rPr>
          <w:rFonts w:cs="Arial"/>
        </w:rPr>
        <w:t xml:space="preserve"> Study and PsA</w:t>
      </w:r>
      <w:r w:rsidR="00A8009B" w:rsidRPr="00B64CA9">
        <w:rPr>
          <w:rFonts w:cs="Arial"/>
        </w:rPr>
        <w:t>2</w:t>
      </w:r>
      <w:r w:rsidRPr="00B64CA9">
        <w:rPr>
          <w:rFonts w:cs="Arial"/>
        </w:rPr>
        <w:t xml:space="preserve"> Study, efficacy was maintained up to Week 52. In PsA</w:t>
      </w:r>
      <w:r w:rsidR="00A8009B" w:rsidRPr="00B64CA9">
        <w:rPr>
          <w:rFonts w:cs="Arial"/>
        </w:rPr>
        <w:t>2</w:t>
      </w:r>
      <w:r w:rsidRPr="00B64CA9">
        <w:rPr>
          <w:rFonts w:cs="Arial"/>
        </w:rPr>
        <w:t xml:space="preserve"> Study, among 200 patients initially randomised to COSENTYX 150 mg and 300 mg, 178 (89%) patients were still on treatment at Week 52. Of the 100 patients randomised to COSENTYX 150 mg, 64, 39 and 20 had an ACR 20/50/70 response, respectively. Of the 100 patients randomised to COSENTYX 300 mg, 64, 44 and 24 had an ACR 20/50/70 response, respectively. </w:t>
      </w:r>
    </w:p>
    <w:p w14:paraId="755859A4" w14:textId="77777777" w:rsidR="00530A34" w:rsidRPr="00B64CA9" w:rsidRDefault="00530A34" w:rsidP="002D07A3">
      <w:pPr>
        <w:spacing w:after="120"/>
        <w:jc w:val="both"/>
        <w:rPr>
          <w:rFonts w:asciiTheme="majorHAnsi" w:eastAsiaTheme="majorEastAsia" w:hAnsiTheme="majorHAnsi" w:cstheme="minorHAnsi"/>
          <w:b/>
          <w:bCs/>
        </w:rPr>
      </w:pPr>
    </w:p>
    <w:p w14:paraId="5973D885" w14:textId="77777777" w:rsidR="00530A34" w:rsidRPr="00B64CA9" w:rsidRDefault="00530A34" w:rsidP="002D07A3">
      <w:pPr>
        <w:spacing w:after="120"/>
        <w:jc w:val="both"/>
        <w:rPr>
          <w:rFonts w:asciiTheme="majorHAnsi" w:eastAsiaTheme="majorEastAsia" w:hAnsiTheme="majorHAnsi" w:cstheme="minorHAnsi"/>
          <w:b/>
          <w:bCs/>
        </w:rPr>
      </w:pPr>
    </w:p>
    <w:p w14:paraId="4C464E8B" w14:textId="77777777" w:rsidR="006D6F1E" w:rsidRPr="00B64CA9" w:rsidRDefault="006D6F1E"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Radiographic response</w:t>
      </w:r>
    </w:p>
    <w:p w14:paraId="403FF75F" w14:textId="77777777" w:rsidR="006D6F1E" w:rsidRPr="00B64CA9" w:rsidRDefault="006D6F1E" w:rsidP="002D07A3">
      <w:pPr>
        <w:pStyle w:val="Text"/>
        <w:jc w:val="both"/>
        <w:rPr>
          <w:rFonts w:asciiTheme="minorHAnsi" w:hAnsiTheme="minorHAnsi" w:cs="Arial"/>
          <w:sz w:val="22"/>
        </w:rPr>
      </w:pPr>
      <w:r w:rsidRPr="00B64CA9">
        <w:rPr>
          <w:rFonts w:asciiTheme="minorHAnsi" w:hAnsiTheme="minorHAnsi" w:cs="Arial"/>
          <w:sz w:val="22"/>
        </w:rPr>
        <w:t xml:space="preserve">In PsA3 Study, </w:t>
      </w:r>
      <w:r w:rsidR="006C282A" w:rsidRPr="00B64CA9">
        <w:rPr>
          <w:rFonts w:asciiTheme="minorHAnsi" w:hAnsiTheme="minorHAnsi" w:cs="Arial"/>
          <w:sz w:val="22"/>
        </w:rPr>
        <w:t xml:space="preserve">inhibition of progression of </w:t>
      </w:r>
      <w:r w:rsidRPr="00B64CA9">
        <w:rPr>
          <w:rFonts w:asciiTheme="minorHAnsi" w:hAnsiTheme="minorHAnsi" w:cs="Arial"/>
          <w:sz w:val="22"/>
        </w:rPr>
        <w:t>structural damage was assessed radiographically and expressed by the modified Total Sharp Score (</w:t>
      </w:r>
      <w:proofErr w:type="spellStart"/>
      <w:r w:rsidRPr="00B64CA9">
        <w:rPr>
          <w:rFonts w:asciiTheme="minorHAnsi" w:hAnsiTheme="minorHAnsi" w:cs="Arial"/>
          <w:sz w:val="22"/>
        </w:rPr>
        <w:t>mTSS</w:t>
      </w:r>
      <w:proofErr w:type="spellEnd"/>
      <w:r w:rsidRPr="00B64CA9">
        <w:rPr>
          <w:rFonts w:asciiTheme="minorHAnsi" w:hAnsiTheme="minorHAnsi" w:cs="Arial"/>
          <w:sz w:val="22"/>
        </w:rPr>
        <w:t xml:space="preserve">) and its components, the Erosion Score (ES) and the Joint Space Narrowing Score (JSN).  Radiographs of hands, wrists, and feet were obtained at baseline Week 16 and/or Week 24 and scored independently by at least two readers who were blinded to treatment group and visit number.  </w:t>
      </w:r>
    </w:p>
    <w:p w14:paraId="7101DF49" w14:textId="77777777" w:rsidR="006D6F1E" w:rsidRPr="00B64CA9" w:rsidRDefault="006D6F1E" w:rsidP="002D07A3">
      <w:pPr>
        <w:pStyle w:val="Text"/>
        <w:jc w:val="both"/>
        <w:rPr>
          <w:rFonts w:asciiTheme="minorHAnsi" w:hAnsiTheme="minorHAnsi" w:cs="Arial"/>
          <w:sz w:val="22"/>
        </w:rPr>
      </w:pPr>
    </w:p>
    <w:p w14:paraId="6FDFE34F" w14:textId="77777777" w:rsidR="006D6F1E" w:rsidRPr="00B64CA9" w:rsidRDefault="006D6F1E" w:rsidP="002D07A3">
      <w:pPr>
        <w:pStyle w:val="Text"/>
        <w:jc w:val="both"/>
        <w:rPr>
          <w:rFonts w:asciiTheme="minorHAnsi" w:hAnsiTheme="minorHAnsi" w:cs="Arial"/>
          <w:sz w:val="22"/>
        </w:rPr>
      </w:pPr>
      <w:r w:rsidRPr="00B64CA9">
        <w:rPr>
          <w:rFonts w:asciiTheme="minorHAnsi" w:hAnsiTheme="minorHAnsi" w:cs="Arial"/>
          <w:sz w:val="22"/>
        </w:rPr>
        <w:t xml:space="preserve">COSENTYX 150 mg and 300 mg treatment significantly inhibited the rate of progression of peripheral joint damage compared with placebo treatment as measured by change from baseline in </w:t>
      </w:r>
      <w:proofErr w:type="spellStart"/>
      <w:r w:rsidRPr="00B64CA9">
        <w:rPr>
          <w:rFonts w:asciiTheme="minorHAnsi" w:hAnsiTheme="minorHAnsi" w:cs="Arial"/>
          <w:sz w:val="22"/>
        </w:rPr>
        <w:t>mTSS</w:t>
      </w:r>
      <w:proofErr w:type="spellEnd"/>
      <w:r w:rsidRPr="00B64CA9">
        <w:rPr>
          <w:rFonts w:asciiTheme="minorHAnsi" w:hAnsiTheme="minorHAnsi" w:cs="Arial"/>
          <w:sz w:val="22"/>
        </w:rPr>
        <w:t xml:space="preserve"> at Week 24 (Table </w:t>
      </w:r>
      <w:r w:rsidR="00A22371" w:rsidRPr="00B64CA9">
        <w:rPr>
          <w:rFonts w:asciiTheme="minorHAnsi" w:hAnsiTheme="minorHAnsi" w:cs="Arial"/>
          <w:sz w:val="22"/>
        </w:rPr>
        <w:t>15</w:t>
      </w:r>
      <w:r w:rsidRPr="00B64CA9">
        <w:rPr>
          <w:rFonts w:asciiTheme="minorHAnsi" w:hAnsiTheme="minorHAnsi" w:cs="Arial"/>
          <w:sz w:val="22"/>
        </w:rPr>
        <w:t xml:space="preserve">). </w:t>
      </w:r>
    </w:p>
    <w:p w14:paraId="7B204E33" w14:textId="77777777" w:rsidR="006D6F1E" w:rsidRPr="00B64CA9" w:rsidRDefault="006D6F1E" w:rsidP="002D07A3">
      <w:pPr>
        <w:pStyle w:val="Text"/>
        <w:jc w:val="both"/>
        <w:rPr>
          <w:rFonts w:asciiTheme="minorHAnsi" w:hAnsiTheme="minorHAnsi" w:cs="Arial"/>
          <w:sz w:val="22"/>
        </w:rPr>
      </w:pPr>
    </w:p>
    <w:p w14:paraId="2164E826" w14:textId="77777777" w:rsidR="006D6F1E" w:rsidRPr="00B64CA9" w:rsidRDefault="00C40E8A" w:rsidP="002D07A3">
      <w:pPr>
        <w:pStyle w:val="Text"/>
        <w:jc w:val="both"/>
        <w:rPr>
          <w:rFonts w:asciiTheme="minorHAnsi" w:hAnsiTheme="minorHAnsi" w:cs="Arial"/>
          <w:sz w:val="22"/>
        </w:rPr>
      </w:pPr>
      <w:r w:rsidRPr="00B64CA9">
        <w:rPr>
          <w:rFonts w:asciiTheme="minorHAnsi" w:hAnsiTheme="minorHAnsi" w:cs="Arial"/>
          <w:sz w:val="22"/>
        </w:rPr>
        <w:t>T</w:t>
      </w:r>
      <w:r w:rsidR="006D6F1E" w:rsidRPr="00B64CA9">
        <w:rPr>
          <w:rFonts w:asciiTheme="minorHAnsi" w:hAnsiTheme="minorHAnsi" w:cs="Arial"/>
          <w:sz w:val="22"/>
        </w:rPr>
        <w:t xml:space="preserve">he percentage of patients with no disease progression (defined as a change from baseline in </w:t>
      </w:r>
      <w:proofErr w:type="spellStart"/>
      <w:r w:rsidR="006D6F1E" w:rsidRPr="00B64CA9">
        <w:rPr>
          <w:rFonts w:asciiTheme="minorHAnsi" w:hAnsiTheme="minorHAnsi" w:cs="Arial"/>
          <w:sz w:val="22"/>
        </w:rPr>
        <w:t>mTSS</w:t>
      </w:r>
      <w:proofErr w:type="spellEnd"/>
      <w:r w:rsidR="006D6F1E" w:rsidRPr="00B64CA9">
        <w:rPr>
          <w:rFonts w:asciiTheme="minorHAnsi" w:hAnsiTheme="minorHAnsi" w:cs="Arial"/>
          <w:sz w:val="22"/>
        </w:rPr>
        <w:t xml:space="preserve"> of ≤0.5) from randomi</w:t>
      </w:r>
      <w:r w:rsidR="00371153" w:rsidRPr="00B64CA9">
        <w:rPr>
          <w:rFonts w:asciiTheme="minorHAnsi" w:hAnsiTheme="minorHAnsi" w:cs="Arial"/>
          <w:sz w:val="22"/>
        </w:rPr>
        <w:t>s</w:t>
      </w:r>
      <w:r w:rsidR="006D6F1E" w:rsidRPr="00B64CA9">
        <w:rPr>
          <w:rFonts w:asciiTheme="minorHAnsi" w:hAnsiTheme="minorHAnsi" w:cs="Arial"/>
          <w:sz w:val="22"/>
        </w:rPr>
        <w:t xml:space="preserve">ation to Week 24 was </w:t>
      </w:r>
      <w:r w:rsidR="006C282A" w:rsidRPr="00B64CA9">
        <w:rPr>
          <w:rFonts w:asciiTheme="minorHAnsi" w:hAnsiTheme="minorHAnsi" w:cs="Arial"/>
          <w:sz w:val="22"/>
        </w:rPr>
        <w:t>80.3</w:t>
      </w:r>
      <w:r w:rsidR="006D6F1E" w:rsidRPr="00B64CA9">
        <w:rPr>
          <w:rFonts w:asciiTheme="minorHAnsi" w:hAnsiTheme="minorHAnsi" w:cs="Arial"/>
          <w:sz w:val="22"/>
        </w:rPr>
        <w:t xml:space="preserve">%, </w:t>
      </w:r>
      <w:r w:rsidR="006C282A" w:rsidRPr="00B64CA9">
        <w:rPr>
          <w:rFonts w:asciiTheme="minorHAnsi" w:hAnsiTheme="minorHAnsi" w:cs="Arial"/>
          <w:sz w:val="22"/>
        </w:rPr>
        <w:t>88.5</w:t>
      </w:r>
      <w:r w:rsidR="006D6F1E" w:rsidRPr="00B64CA9">
        <w:rPr>
          <w:rFonts w:asciiTheme="minorHAnsi" w:hAnsiTheme="minorHAnsi" w:cs="Arial"/>
          <w:sz w:val="22"/>
        </w:rPr>
        <w:t xml:space="preserve">% and 73.6% for COSENTYX 150 mg, 300 </w:t>
      </w:r>
      <w:proofErr w:type="gramStart"/>
      <w:r w:rsidR="006D6F1E" w:rsidRPr="00B64CA9">
        <w:rPr>
          <w:rFonts w:asciiTheme="minorHAnsi" w:hAnsiTheme="minorHAnsi" w:cs="Arial"/>
          <w:sz w:val="22"/>
        </w:rPr>
        <w:t>mg</w:t>
      </w:r>
      <w:proofErr w:type="gramEnd"/>
      <w:r w:rsidR="006D6F1E" w:rsidRPr="00B64CA9">
        <w:rPr>
          <w:rFonts w:asciiTheme="minorHAnsi" w:hAnsiTheme="minorHAnsi" w:cs="Arial"/>
          <w:sz w:val="22"/>
        </w:rPr>
        <w:t xml:space="preserve"> and placebo, respectively. An effect of inhibition of structural damage was observed irrespective of concomitant MTX use or TNF status. </w:t>
      </w:r>
    </w:p>
    <w:p w14:paraId="372AC9C1" w14:textId="77777777" w:rsidR="006D6F1E" w:rsidRPr="00B64CA9" w:rsidRDefault="006D6F1E" w:rsidP="002D07A3">
      <w:pPr>
        <w:pStyle w:val="Text"/>
        <w:jc w:val="both"/>
        <w:rPr>
          <w:rFonts w:asciiTheme="minorHAnsi" w:hAnsiTheme="minorHAnsi" w:cs="Arial"/>
          <w:sz w:val="22"/>
        </w:rPr>
      </w:pPr>
    </w:p>
    <w:p w14:paraId="7F8AC3AE" w14:textId="77777777" w:rsidR="006D6F1E" w:rsidRPr="00B64CA9" w:rsidRDefault="006D6F1E" w:rsidP="002D07A3">
      <w:pPr>
        <w:pStyle w:val="Text"/>
        <w:jc w:val="both"/>
        <w:rPr>
          <w:rFonts w:asciiTheme="minorHAnsi" w:hAnsiTheme="minorHAnsi" w:cs="Arial"/>
          <w:sz w:val="22"/>
        </w:rPr>
      </w:pPr>
      <w:r w:rsidRPr="00B64CA9">
        <w:rPr>
          <w:rFonts w:asciiTheme="minorHAnsi" w:hAnsiTheme="minorHAnsi" w:cs="Arial"/>
          <w:sz w:val="22"/>
        </w:rPr>
        <w:t>Structural damage was also assessed in the PsA1 Study. Radiographs of hands, wrists, and feet were obtained at baseline and Week 24 during the double-blind period when patients were on COSENTYX or placebo and at Week 52 when all patients were on open-label COSENTYX.</w:t>
      </w:r>
    </w:p>
    <w:p w14:paraId="0981F0DC" w14:textId="77777777" w:rsidR="006D6F1E" w:rsidRPr="00B64CA9" w:rsidRDefault="006D6F1E" w:rsidP="002D07A3">
      <w:pPr>
        <w:pStyle w:val="Text"/>
        <w:jc w:val="both"/>
        <w:rPr>
          <w:rFonts w:asciiTheme="minorHAnsi" w:hAnsiTheme="minorHAnsi" w:cs="Arial"/>
          <w:sz w:val="22"/>
        </w:rPr>
      </w:pPr>
    </w:p>
    <w:p w14:paraId="5901EB22" w14:textId="77777777" w:rsidR="006D6F1E" w:rsidRPr="00B64CA9" w:rsidRDefault="006D6F1E" w:rsidP="002D07A3">
      <w:pPr>
        <w:jc w:val="both"/>
        <w:rPr>
          <w:rFonts w:eastAsia="Times New Roman" w:cs="Arial"/>
          <w:szCs w:val="20"/>
          <w:lang w:bidi="th-TH"/>
        </w:rPr>
      </w:pPr>
      <w:r w:rsidRPr="00B64CA9">
        <w:rPr>
          <w:rFonts w:cs="Arial"/>
        </w:rPr>
        <w:t xml:space="preserve">By Week 24, COSENTYX 150 mg treatment significantly inhibited the rate of progression of peripheral joint damage compared with placebo treatment as measured by change from baseline in </w:t>
      </w:r>
      <w:proofErr w:type="spellStart"/>
      <w:r w:rsidRPr="00B64CA9">
        <w:rPr>
          <w:rFonts w:cs="Arial"/>
        </w:rPr>
        <w:t>mTSS</w:t>
      </w:r>
      <w:proofErr w:type="spellEnd"/>
      <w:r w:rsidRPr="00B64CA9">
        <w:rPr>
          <w:rFonts w:cs="Arial"/>
        </w:rPr>
        <w:t xml:space="preserve"> (see </w:t>
      </w:r>
      <w:r w:rsidRPr="00B64CA9">
        <w:rPr>
          <w:rFonts w:eastAsia="Times New Roman" w:cs="Arial"/>
          <w:szCs w:val="20"/>
          <w:lang w:bidi="th-TH"/>
        </w:rPr>
        <w:t>Table 9). Inhibition of structural damage was maintained with COSENTYX treatment up to Week 52.</w:t>
      </w:r>
    </w:p>
    <w:p w14:paraId="39A64E92" w14:textId="77777777" w:rsidR="00F62A4F" w:rsidRPr="00B64CA9" w:rsidRDefault="00F62A4F" w:rsidP="002D07A3">
      <w:pPr>
        <w:jc w:val="both"/>
        <w:rPr>
          <w:rFonts w:cs="Arial"/>
        </w:rPr>
      </w:pPr>
      <w:r w:rsidRPr="00B64CA9">
        <w:rPr>
          <w:rFonts w:cs="Arial"/>
        </w:rPr>
        <w:t>In PsA</w:t>
      </w:r>
      <w:r w:rsidR="00A8009B" w:rsidRPr="00B64CA9">
        <w:rPr>
          <w:rFonts w:cs="Arial"/>
        </w:rPr>
        <w:t>1</w:t>
      </w:r>
      <w:r w:rsidRPr="00B64CA9">
        <w:rPr>
          <w:rFonts w:cs="Arial"/>
        </w:rPr>
        <w:t xml:space="preserve"> Study, the inhibition of progression of structural damage was assessed radiographically and expressed as the change in modified total Sharp Score (</w:t>
      </w:r>
      <w:proofErr w:type="spellStart"/>
      <w:r w:rsidRPr="00B64CA9">
        <w:rPr>
          <w:rFonts w:cs="Arial"/>
        </w:rPr>
        <w:t>mTSS</w:t>
      </w:r>
      <w:proofErr w:type="spellEnd"/>
      <w:r w:rsidRPr="00B64CA9">
        <w:rPr>
          <w:rFonts w:cs="Arial"/>
        </w:rPr>
        <w:t xml:space="preserve">) and its components, the Erosion Score (ES) and the Joint Space Narrowing score (JSN) at Weeks 24 and 52, compared to baseline Week 24 data presented in Table </w:t>
      </w:r>
      <w:r w:rsidR="00A22371" w:rsidRPr="00B64CA9">
        <w:rPr>
          <w:rFonts w:cs="Arial"/>
        </w:rPr>
        <w:t>15</w:t>
      </w:r>
      <w:r w:rsidRPr="00B64CA9">
        <w:rPr>
          <w:rFonts w:cs="Arial"/>
        </w:rPr>
        <w:t xml:space="preserve">. </w:t>
      </w:r>
    </w:p>
    <w:p w14:paraId="3C20FB00" w14:textId="77777777" w:rsidR="004A2465" w:rsidRPr="00B64CA9" w:rsidRDefault="004A2465" w:rsidP="004A2465">
      <w:pPr>
        <w:spacing w:after="120"/>
        <w:ind w:left="1166" w:hanging="1166"/>
        <w:jc w:val="both"/>
        <w:rPr>
          <w:rFonts w:ascii="Arial" w:hAnsi="Arial" w:cs="Arial"/>
          <w:b/>
          <w:sz w:val="20"/>
        </w:rPr>
      </w:pPr>
      <w:r w:rsidRPr="00B64CA9">
        <w:rPr>
          <w:rFonts w:ascii="Arial" w:hAnsi="Arial" w:cs="Arial"/>
          <w:b/>
          <w:sz w:val="20"/>
        </w:rPr>
        <w:t xml:space="preserve">Table </w:t>
      </w:r>
      <w:r w:rsidR="00A22371" w:rsidRPr="00B64CA9">
        <w:rPr>
          <w:rFonts w:ascii="Arial" w:hAnsi="Arial" w:cs="Arial"/>
          <w:b/>
          <w:sz w:val="20"/>
        </w:rPr>
        <w:t>15</w:t>
      </w:r>
      <w:r w:rsidRPr="00B64CA9">
        <w:rPr>
          <w:rFonts w:ascii="Arial" w:hAnsi="Arial" w:cs="Arial"/>
          <w:b/>
          <w:sz w:val="20"/>
        </w:rPr>
        <w:tab/>
        <w:t>Change in modified Total Sharp Score in PsA3 and PsA1 Studies</w:t>
      </w:r>
    </w:p>
    <w:tbl>
      <w:tblPr>
        <w:tblW w:w="9067" w:type="dxa"/>
        <w:tblBorders>
          <w:top w:val="single" w:sz="4" w:space="0" w:color="auto"/>
        </w:tblBorders>
        <w:tblLayout w:type="fixed"/>
        <w:tblLook w:val="04A0" w:firstRow="1" w:lastRow="0" w:firstColumn="1" w:lastColumn="0" w:noHBand="0" w:noVBand="1"/>
      </w:tblPr>
      <w:tblGrid>
        <w:gridCol w:w="2893"/>
        <w:gridCol w:w="1234"/>
        <w:gridCol w:w="1235"/>
        <w:gridCol w:w="1226"/>
        <w:gridCol w:w="9"/>
        <w:gridCol w:w="1235"/>
        <w:gridCol w:w="1235"/>
      </w:tblGrid>
      <w:tr w:rsidR="004A2465" w:rsidRPr="00B64CA9" w14:paraId="1A47F5A5" w14:textId="77777777" w:rsidTr="009303C3">
        <w:trPr>
          <w:tblHeader/>
        </w:trPr>
        <w:tc>
          <w:tcPr>
            <w:tcW w:w="2893" w:type="dxa"/>
            <w:tcBorders>
              <w:top w:val="single" w:sz="4" w:space="0" w:color="auto"/>
              <w:left w:val="single" w:sz="4" w:space="0" w:color="auto"/>
              <w:bottom w:val="nil"/>
              <w:right w:val="single" w:sz="4" w:space="0" w:color="auto"/>
            </w:tcBorders>
          </w:tcPr>
          <w:p w14:paraId="5849FF2C" w14:textId="77777777" w:rsidR="004A2465" w:rsidRPr="00B64CA9" w:rsidRDefault="004A2465" w:rsidP="002D07A3">
            <w:pPr>
              <w:spacing w:before="20" w:after="20" w:line="240" w:lineRule="auto"/>
              <w:rPr>
                <w:szCs w:val="18"/>
              </w:rPr>
            </w:pPr>
          </w:p>
        </w:tc>
        <w:tc>
          <w:tcPr>
            <w:tcW w:w="3695" w:type="dxa"/>
            <w:gridSpan w:val="3"/>
            <w:tcBorders>
              <w:top w:val="single" w:sz="4" w:space="0" w:color="auto"/>
              <w:left w:val="single" w:sz="4" w:space="0" w:color="auto"/>
              <w:bottom w:val="single" w:sz="4" w:space="0" w:color="auto"/>
              <w:right w:val="single" w:sz="4" w:space="0" w:color="auto"/>
            </w:tcBorders>
            <w:hideMark/>
          </w:tcPr>
          <w:p w14:paraId="29CF2276"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PsA3</w:t>
            </w:r>
          </w:p>
        </w:tc>
        <w:tc>
          <w:tcPr>
            <w:tcW w:w="2479" w:type="dxa"/>
            <w:gridSpan w:val="3"/>
            <w:tcBorders>
              <w:top w:val="single" w:sz="4" w:space="0" w:color="auto"/>
              <w:left w:val="single" w:sz="4" w:space="0" w:color="auto"/>
              <w:bottom w:val="single" w:sz="4" w:space="0" w:color="auto"/>
              <w:right w:val="single" w:sz="4" w:space="0" w:color="auto"/>
            </w:tcBorders>
            <w:hideMark/>
          </w:tcPr>
          <w:p w14:paraId="0A69DCCA"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PsA1</w:t>
            </w:r>
          </w:p>
        </w:tc>
      </w:tr>
      <w:tr w:rsidR="004A2465" w:rsidRPr="00B64CA9" w14:paraId="5D92B655" w14:textId="77777777" w:rsidTr="009303C3">
        <w:trPr>
          <w:tblHeader/>
        </w:trPr>
        <w:tc>
          <w:tcPr>
            <w:tcW w:w="2893" w:type="dxa"/>
            <w:tcBorders>
              <w:top w:val="nil"/>
              <w:left w:val="single" w:sz="4" w:space="0" w:color="auto"/>
              <w:bottom w:val="single" w:sz="4" w:space="0" w:color="auto"/>
              <w:right w:val="single" w:sz="4" w:space="0" w:color="auto"/>
            </w:tcBorders>
          </w:tcPr>
          <w:p w14:paraId="55A780A0" w14:textId="77777777" w:rsidR="004A2465" w:rsidRPr="00B64CA9" w:rsidRDefault="004A2465" w:rsidP="002D07A3">
            <w:pPr>
              <w:spacing w:before="20" w:after="20" w:line="240" w:lineRule="auto"/>
              <w:rPr>
                <w:szCs w:val="18"/>
              </w:rP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5FE511F"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Placebo</w:t>
            </w:r>
          </w:p>
          <w:p w14:paraId="587AC151"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n=296</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8571CF6"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150 mg</w:t>
            </w:r>
            <w:r w:rsidRPr="00B64CA9">
              <w:rPr>
                <w:rFonts w:ascii="Arial" w:hAnsi="Arial" w:cs="Arial"/>
                <w:b/>
                <w:sz w:val="18"/>
                <w:szCs w:val="18"/>
                <w:vertAlign w:val="superscript"/>
              </w:rPr>
              <w:t>1</w:t>
            </w:r>
          </w:p>
          <w:p w14:paraId="40FEEFB8"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n=213</w:t>
            </w:r>
          </w:p>
        </w:tc>
        <w:tc>
          <w:tcPr>
            <w:tcW w:w="1235" w:type="dxa"/>
            <w:gridSpan w:val="2"/>
            <w:tcBorders>
              <w:top w:val="single" w:sz="4" w:space="0" w:color="auto"/>
              <w:left w:val="single" w:sz="4" w:space="0" w:color="auto"/>
              <w:bottom w:val="single" w:sz="4" w:space="0" w:color="auto"/>
              <w:right w:val="single" w:sz="4" w:space="0" w:color="auto"/>
            </w:tcBorders>
            <w:vAlign w:val="center"/>
            <w:hideMark/>
          </w:tcPr>
          <w:p w14:paraId="0F3F447B"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300 mg</w:t>
            </w:r>
            <w:r w:rsidRPr="00B64CA9">
              <w:rPr>
                <w:rFonts w:ascii="Arial" w:hAnsi="Arial" w:cs="Arial"/>
                <w:b/>
                <w:sz w:val="18"/>
                <w:szCs w:val="18"/>
                <w:vertAlign w:val="superscript"/>
              </w:rPr>
              <w:t>1</w:t>
            </w:r>
          </w:p>
          <w:p w14:paraId="0932E5F9"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n=217</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0AD3948"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Placebo</w:t>
            </w:r>
          </w:p>
          <w:p w14:paraId="107B3F00" w14:textId="77777777" w:rsidR="004A2465" w:rsidRPr="00B64CA9" w:rsidRDefault="004A2465" w:rsidP="002D07A3">
            <w:pPr>
              <w:spacing w:before="20" w:after="20" w:line="240" w:lineRule="auto"/>
              <w:jc w:val="center"/>
              <w:rPr>
                <w:szCs w:val="18"/>
              </w:rPr>
            </w:pPr>
            <w:r w:rsidRPr="00B64CA9">
              <w:rPr>
                <w:rFonts w:ascii="Arial" w:hAnsi="Arial" w:cs="Arial"/>
                <w:b/>
                <w:sz w:val="18"/>
                <w:szCs w:val="18"/>
              </w:rPr>
              <w:t>n= 179</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32C8D2F" w14:textId="77777777" w:rsidR="002F5D9E" w:rsidRPr="00B64CA9" w:rsidRDefault="004A2465" w:rsidP="002D07A3">
            <w:pPr>
              <w:spacing w:before="20" w:after="20" w:line="240" w:lineRule="auto"/>
              <w:jc w:val="center"/>
              <w:rPr>
                <w:rFonts w:ascii="Arial" w:hAnsi="Arial" w:cs="Arial"/>
                <w:b/>
                <w:sz w:val="18"/>
                <w:szCs w:val="18"/>
              </w:rPr>
            </w:pPr>
            <w:r w:rsidRPr="00B64CA9">
              <w:rPr>
                <w:rFonts w:ascii="Arial" w:hAnsi="Arial" w:cs="Arial"/>
                <w:b/>
                <w:sz w:val="18"/>
                <w:szCs w:val="18"/>
              </w:rPr>
              <w:t>150 mg</w:t>
            </w:r>
            <w:r w:rsidRPr="00B64CA9">
              <w:rPr>
                <w:rFonts w:ascii="Arial" w:hAnsi="Arial" w:cs="Arial"/>
                <w:b/>
                <w:sz w:val="18"/>
                <w:szCs w:val="18"/>
                <w:vertAlign w:val="superscript"/>
              </w:rPr>
              <w:t>2</w:t>
            </w:r>
          </w:p>
          <w:p w14:paraId="3F313388" w14:textId="77777777" w:rsidR="004A2465" w:rsidRPr="00B64CA9" w:rsidRDefault="004A2465" w:rsidP="002D07A3">
            <w:pPr>
              <w:spacing w:before="20" w:after="20" w:line="240" w:lineRule="auto"/>
              <w:jc w:val="center"/>
              <w:rPr>
                <w:rFonts w:ascii="Arial" w:hAnsi="Arial" w:cs="Arial"/>
                <w:b/>
                <w:sz w:val="18"/>
                <w:szCs w:val="18"/>
              </w:rPr>
            </w:pPr>
            <w:r w:rsidRPr="00B64CA9">
              <w:rPr>
                <w:rFonts w:ascii="Arial" w:hAnsi="Arial" w:cs="Arial"/>
                <w:b/>
                <w:sz w:val="18"/>
                <w:szCs w:val="18"/>
              </w:rPr>
              <w:t>n= 185</w:t>
            </w:r>
          </w:p>
        </w:tc>
      </w:tr>
      <w:tr w:rsidR="004A2465" w:rsidRPr="00B64CA9" w14:paraId="68AF26CC" w14:textId="77777777" w:rsidTr="009303C3">
        <w:tc>
          <w:tcPr>
            <w:tcW w:w="2893" w:type="dxa"/>
            <w:tcBorders>
              <w:top w:val="single" w:sz="4" w:space="0" w:color="auto"/>
              <w:left w:val="single" w:sz="4" w:space="0" w:color="auto"/>
              <w:bottom w:val="nil"/>
              <w:right w:val="single" w:sz="4" w:space="0" w:color="auto"/>
            </w:tcBorders>
            <w:hideMark/>
          </w:tcPr>
          <w:p w14:paraId="6069B11F" w14:textId="77777777" w:rsidR="004A2465" w:rsidRPr="00B64CA9" w:rsidRDefault="004A2465" w:rsidP="002D07A3">
            <w:pPr>
              <w:spacing w:before="20" w:after="20" w:line="240" w:lineRule="auto"/>
              <w:rPr>
                <w:szCs w:val="18"/>
              </w:rPr>
            </w:pPr>
            <w:r w:rsidRPr="00B64CA9">
              <w:rPr>
                <w:rFonts w:ascii="Arial" w:hAnsi="Arial" w:cs="Arial"/>
                <w:b/>
                <w:sz w:val="18"/>
                <w:szCs w:val="18"/>
              </w:rPr>
              <w:t>Total Score</w:t>
            </w:r>
          </w:p>
        </w:tc>
        <w:tc>
          <w:tcPr>
            <w:tcW w:w="1234" w:type="dxa"/>
            <w:tcBorders>
              <w:top w:val="single" w:sz="4" w:space="0" w:color="auto"/>
              <w:left w:val="single" w:sz="4" w:space="0" w:color="auto"/>
              <w:bottom w:val="nil"/>
              <w:right w:val="single" w:sz="4" w:space="0" w:color="auto"/>
            </w:tcBorders>
            <w:vAlign w:val="center"/>
          </w:tcPr>
          <w:p w14:paraId="51BCCEB9" w14:textId="77777777" w:rsidR="004A2465" w:rsidRPr="00B64CA9" w:rsidRDefault="004A2465" w:rsidP="002D07A3">
            <w:pPr>
              <w:spacing w:before="20" w:after="20" w:line="240" w:lineRule="auto"/>
              <w:jc w:val="center"/>
              <w:rPr>
                <w:szCs w:val="18"/>
              </w:rPr>
            </w:pPr>
          </w:p>
        </w:tc>
        <w:tc>
          <w:tcPr>
            <w:tcW w:w="1235" w:type="dxa"/>
            <w:tcBorders>
              <w:top w:val="single" w:sz="4" w:space="0" w:color="auto"/>
              <w:left w:val="single" w:sz="4" w:space="0" w:color="auto"/>
              <w:bottom w:val="nil"/>
              <w:right w:val="single" w:sz="4" w:space="0" w:color="auto"/>
            </w:tcBorders>
            <w:vAlign w:val="center"/>
          </w:tcPr>
          <w:p w14:paraId="53536E97" w14:textId="77777777" w:rsidR="004A2465" w:rsidRPr="00B64CA9" w:rsidRDefault="004A2465" w:rsidP="002D07A3">
            <w:pPr>
              <w:spacing w:before="20" w:after="20" w:line="240" w:lineRule="auto"/>
              <w:jc w:val="center"/>
              <w:rPr>
                <w:szCs w:val="18"/>
              </w:rPr>
            </w:pPr>
          </w:p>
        </w:tc>
        <w:tc>
          <w:tcPr>
            <w:tcW w:w="1235" w:type="dxa"/>
            <w:gridSpan w:val="2"/>
            <w:tcBorders>
              <w:top w:val="single" w:sz="4" w:space="0" w:color="auto"/>
              <w:left w:val="single" w:sz="4" w:space="0" w:color="auto"/>
              <w:bottom w:val="nil"/>
              <w:right w:val="single" w:sz="4" w:space="0" w:color="auto"/>
            </w:tcBorders>
            <w:vAlign w:val="center"/>
          </w:tcPr>
          <w:p w14:paraId="42C67976" w14:textId="77777777" w:rsidR="004A2465" w:rsidRPr="00B64CA9" w:rsidRDefault="004A2465" w:rsidP="002D07A3">
            <w:pPr>
              <w:spacing w:before="20" w:after="20" w:line="240" w:lineRule="auto"/>
              <w:jc w:val="center"/>
              <w:rPr>
                <w:szCs w:val="18"/>
              </w:rPr>
            </w:pPr>
          </w:p>
        </w:tc>
        <w:tc>
          <w:tcPr>
            <w:tcW w:w="1235" w:type="dxa"/>
            <w:tcBorders>
              <w:top w:val="single" w:sz="4" w:space="0" w:color="auto"/>
              <w:left w:val="single" w:sz="4" w:space="0" w:color="auto"/>
              <w:bottom w:val="nil"/>
              <w:right w:val="single" w:sz="4" w:space="0" w:color="auto"/>
            </w:tcBorders>
            <w:vAlign w:val="center"/>
          </w:tcPr>
          <w:p w14:paraId="532E7F34" w14:textId="77777777" w:rsidR="004A2465" w:rsidRPr="00B64CA9" w:rsidRDefault="004A2465" w:rsidP="002D07A3">
            <w:pPr>
              <w:spacing w:before="20" w:after="20" w:line="240" w:lineRule="auto"/>
              <w:jc w:val="center"/>
              <w:rPr>
                <w:szCs w:val="18"/>
              </w:rPr>
            </w:pPr>
          </w:p>
        </w:tc>
        <w:tc>
          <w:tcPr>
            <w:tcW w:w="1235" w:type="dxa"/>
            <w:tcBorders>
              <w:top w:val="single" w:sz="4" w:space="0" w:color="auto"/>
              <w:left w:val="single" w:sz="4" w:space="0" w:color="auto"/>
              <w:bottom w:val="nil"/>
              <w:right w:val="single" w:sz="4" w:space="0" w:color="auto"/>
            </w:tcBorders>
            <w:vAlign w:val="center"/>
          </w:tcPr>
          <w:p w14:paraId="39D2D7D7" w14:textId="77777777" w:rsidR="004A2465" w:rsidRPr="00B64CA9" w:rsidRDefault="004A2465" w:rsidP="002D07A3">
            <w:pPr>
              <w:spacing w:before="20" w:after="20" w:line="240" w:lineRule="auto"/>
              <w:jc w:val="center"/>
              <w:rPr>
                <w:szCs w:val="18"/>
              </w:rPr>
            </w:pPr>
          </w:p>
        </w:tc>
      </w:tr>
      <w:tr w:rsidR="004A2465" w:rsidRPr="00B64CA9" w14:paraId="5E9D04DF" w14:textId="77777777" w:rsidTr="009303C3">
        <w:tc>
          <w:tcPr>
            <w:tcW w:w="2893" w:type="dxa"/>
            <w:tcBorders>
              <w:top w:val="nil"/>
              <w:left w:val="single" w:sz="4" w:space="0" w:color="auto"/>
              <w:bottom w:val="nil"/>
              <w:right w:val="single" w:sz="4" w:space="0" w:color="auto"/>
            </w:tcBorders>
            <w:hideMark/>
          </w:tcPr>
          <w:p w14:paraId="22705C31" w14:textId="77777777" w:rsidR="004A2465" w:rsidRPr="00B64CA9" w:rsidRDefault="004A2465" w:rsidP="002D07A3">
            <w:pPr>
              <w:spacing w:before="20" w:after="20" w:line="240" w:lineRule="auto"/>
              <w:rPr>
                <w:szCs w:val="18"/>
              </w:rPr>
            </w:pPr>
            <w:r w:rsidRPr="00B64CA9">
              <w:rPr>
                <w:rFonts w:ascii="Arial" w:hAnsi="Arial" w:cs="Arial"/>
                <w:sz w:val="18"/>
                <w:szCs w:val="18"/>
              </w:rPr>
              <w:t xml:space="preserve">Baseline </w:t>
            </w:r>
          </w:p>
          <w:p w14:paraId="4B8D95D9" w14:textId="77777777" w:rsidR="004A2465" w:rsidRPr="00B64CA9" w:rsidRDefault="004A2465" w:rsidP="002D07A3">
            <w:pPr>
              <w:spacing w:before="20" w:after="20" w:line="240" w:lineRule="auto"/>
              <w:rPr>
                <w:szCs w:val="18"/>
              </w:rPr>
            </w:pPr>
            <w:r w:rsidRPr="00B64CA9">
              <w:rPr>
                <w:rFonts w:ascii="Arial" w:hAnsi="Arial" w:cs="Arial"/>
                <w:sz w:val="18"/>
                <w:szCs w:val="18"/>
              </w:rPr>
              <w:t>(SD)</w:t>
            </w:r>
          </w:p>
        </w:tc>
        <w:tc>
          <w:tcPr>
            <w:tcW w:w="1234" w:type="dxa"/>
            <w:tcBorders>
              <w:top w:val="nil"/>
              <w:left w:val="single" w:sz="4" w:space="0" w:color="auto"/>
              <w:bottom w:val="nil"/>
              <w:right w:val="single" w:sz="4" w:space="0" w:color="auto"/>
            </w:tcBorders>
            <w:vAlign w:val="center"/>
            <w:hideMark/>
          </w:tcPr>
          <w:p w14:paraId="11BA7BB4"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15.0</w:t>
            </w:r>
          </w:p>
          <w:p w14:paraId="3A286203"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(38.2)</w:t>
            </w:r>
          </w:p>
        </w:tc>
        <w:tc>
          <w:tcPr>
            <w:tcW w:w="1235" w:type="dxa"/>
            <w:tcBorders>
              <w:top w:val="nil"/>
              <w:left w:val="single" w:sz="4" w:space="0" w:color="auto"/>
              <w:bottom w:val="nil"/>
              <w:right w:val="single" w:sz="4" w:space="0" w:color="auto"/>
            </w:tcBorders>
            <w:vAlign w:val="center"/>
            <w:hideMark/>
          </w:tcPr>
          <w:p w14:paraId="3A44DAB7"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13.</w:t>
            </w:r>
            <w:r w:rsidR="009B727A" w:rsidRPr="00B64CA9">
              <w:rPr>
                <w:rFonts w:ascii="Arial" w:hAnsi="Arial" w:cs="Arial"/>
                <w:sz w:val="18"/>
                <w:szCs w:val="18"/>
              </w:rPr>
              <w:t>6</w:t>
            </w:r>
          </w:p>
          <w:p w14:paraId="7E877F36"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(25.6)</w:t>
            </w:r>
          </w:p>
        </w:tc>
        <w:tc>
          <w:tcPr>
            <w:tcW w:w="1235" w:type="dxa"/>
            <w:gridSpan w:val="2"/>
            <w:tcBorders>
              <w:top w:val="nil"/>
              <w:left w:val="single" w:sz="4" w:space="0" w:color="auto"/>
              <w:bottom w:val="nil"/>
              <w:right w:val="single" w:sz="4" w:space="0" w:color="auto"/>
            </w:tcBorders>
            <w:vAlign w:val="center"/>
            <w:hideMark/>
          </w:tcPr>
          <w:p w14:paraId="2F282790"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12.9</w:t>
            </w:r>
          </w:p>
          <w:p w14:paraId="32829D59"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(23.8)</w:t>
            </w:r>
          </w:p>
        </w:tc>
        <w:tc>
          <w:tcPr>
            <w:tcW w:w="1235" w:type="dxa"/>
            <w:tcBorders>
              <w:top w:val="nil"/>
              <w:left w:val="single" w:sz="4" w:space="0" w:color="auto"/>
              <w:bottom w:val="nil"/>
              <w:right w:val="single" w:sz="4" w:space="0" w:color="auto"/>
            </w:tcBorders>
            <w:vAlign w:val="center"/>
            <w:hideMark/>
          </w:tcPr>
          <w:p w14:paraId="57DB3799"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28.4</w:t>
            </w:r>
          </w:p>
          <w:p w14:paraId="0FF0C160"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(63.5)</w:t>
            </w:r>
          </w:p>
        </w:tc>
        <w:tc>
          <w:tcPr>
            <w:tcW w:w="1235" w:type="dxa"/>
            <w:tcBorders>
              <w:top w:val="nil"/>
              <w:left w:val="single" w:sz="4" w:space="0" w:color="auto"/>
              <w:bottom w:val="nil"/>
              <w:right w:val="single" w:sz="4" w:space="0" w:color="auto"/>
            </w:tcBorders>
            <w:vAlign w:val="center"/>
            <w:hideMark/>
          </w:tcPr>
          <w:p w14:paraId="22373CB8"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22.3</w:t>
            </w:r>
          </w:p>
          <w:p w14:paraId="3C212534"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(48.0)</w:t>
            </w:r>
          </w:p>
        </w:tc>
      </w:tr>
      <w:tr w:rsidR="004A2465" w:rsidRPr="00B64CA9" w14:paraId="6E40AF0C" w14:textId="77777777" w:rsidTr="009303C3">
        <w:tc>
          <w:tcPr>
            <w:tcW w:w="2893" w:type="dxa"/>
            <w:tcBorders>
              <w:top w:val="nil"/>
              <w:left w:val="single" w:sz="4" w:space="0" w:color="auto"/>
              <w:bottom w:val="single" w:sz="4" w:space="0" w:color="auto"/>
              <w:right w:val="single" w:sz="4" w:space="0" w:color="auto"/>
            </w:tcBorders>
            <w:hideMark/>
          </w:tcPr>
          <w:p w14:paraId="48D0B5B4" w14:textId="77777777" w:rsidR="004A2465" w:rsidRPr="00B64CA9" w:rsidRDefault="004A2465" w:rsidP="002D07A3">
            <w:pPr>
              <w:spacing w:before="20" w:after="20" w:line="240" w:lineRule="auto"/>
              <w:rPr>
                <w:szCs w:val="18"/>
              </w:rPr>
            </w:pPr>
            <w:r w:rsidRPr="00B64CA9">
              <w:rPr>
                <w:rFonts w:ascii="Arial" w:hAnsi="Arial" w:cs="Arial"/>
                <w:sz w:val="18"/>
                <w:szCs w:val="18"/>
              </w:rPr>
              <w:t>Mean Change at Week 24</w:t>
            </w:r>
          </w:p>
        </w:tc>
        <w:tc>
          <w:tcPr>
            <w:tcW w:w="1234" w:type="dxa"/>
            <w:tcBorders>
              <w:top w:val="nil"/>
              <w:left w:val="single" w:sz="4" w:space="0" w:color="auto"/>
              <w:bottom w:val="single" w:sz="4" w:space="0" w:color="auto"/>
              <w:right w:val="single" w:sz="4" w:space="0" w:color="auto"/>
            </w:tcBorders>
            <w:vAlign w:val="center"/>
            <w:hideMark/>
          </w:tcPr>
          <w:p w14:paraId="09D79A4D"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0.5</w:t>
            </w:r>
            <w:r w:rsidR="008E247E" w:rsidRPr="00B64CA9">
              <w:rPr>
                <w:rFonts w:ascii="Arial" w:hAnsi="Arial" w:cs="Arial"/>
                <w:sz w:val="18"/>
                <w:szCs w:val="18"/>
              </w:rPr>
              <w:t>0</w:t>
            </w:r>
          </w:p>
        </w:tc>
        <w:tc>
          <w:tcPr>
            <w:tcW w:w="1235" w:type="dxa"/>
            <w:tcBorders>
              <w:top w:val="nil"/>
              <w:left w:val="single" w:sz="4" w:space="0" w:color="auto"/>
              <w:bottom w:val="single" w:sz="4" w:space="0" w:color="auto"/>
              <w:right w:val="single" w:sz="4" w:space="0" w:color="auto"/>
            </w:tcBorders>
            <w:vAlign w:val="center"/>
            <w:hideMark/>
          </w:tcPr>
          <w:p w14:paraId="2F4742A2"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0.13*</w:t>
            </w:r>
          </w:p>
        </w:tc>
        <w:tc>
          <w:tcPr>
            <w:tcW w:w="1235" w:type="dxa"/>
            <w:gridSpan w:val="2"/>
            <w:tcBorders>
              <w:top w:val="nil"/>
              <w:left w:val="single" w:sz="4" w:space="0" w:color="auto"/>
              <w:bottom w:val="single" w:sz="4" w:space="0" w:color="auto"/>
              <w:right w:val="single" w:sz="4" w:space="0" w:color="auto"/>
            </w:tcBorders>
            <w:vAlign w:val="center"/>
            <w:hideMark/>
          </w:tcPr>
          <w:p w14:paraId="5BD3FF57"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0.02*</w:t>
            </w:r>
          </w:p>
        </w:tc>
        <w:tc>
          <w:tcPr>
            <w:tcW w:w="1235" w:type="dxa"/>
            <w:tcBorders>
              <w:top w:val="nil"/>
              <w:left w:val="single" w:sz="4" w:space="0" w:color="auto"/>
              <w:bottom w:val="single" w:sz="4" w:space="0" w:color="auto"/>
              <w:right w:val="single" w:sz="4" w:space="0" w:color="auto"/>
            </w:tcBorders>
            <w:vAlign w:val="center"/>
            <w:hideMark/>
          </w:tcPr>
          <w:p w14:paraId="6EF7992D"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0.57</w:t>
            </w:r>
          </w:p>
        </w:tc>
        <w:tc>
          <w:tcPr>
            <w:tcW w:w="1235" w:type="dxa"/>
            <w:tcBorders>
              <w:top w:val="nil"/>
              <w:left w:val="single" w:sz="4" w:space="0" w:color="auto"/>
              <w:bottom w:val="single" w:sz="4" w:space="0" w:color="auto"/>
              <w:right w:val="single" w:sz="4" w:space="0" w:color="auto"/>
            </w:tcBorders>
            <w:vAlign w:val="center"/>
            <w:hideMark/>
          </w:tcPr>
          <w:p w14:paraId="2BBC34C2" w14:textId="77777777" w:rsidR="004A2465" w:rsidRPr="00B64CA9" w:rsidRDefault="004A2465" w:rsidP="002D07A3">
            <w:pPr>
              <w:spacing w:before="20" w:after="20" w:line="240" w:lineRule="auto"/>
              <w:jc w:val="center"/>
              <w:rPr>
                <w:szCs w:val="18"/>
              </w:rPr>
            </w:pPr>
            <w:r w:rsidRPr="00B64CA9">
              <w:rPr>
                <w:rFonts w:ascii="Arial" w:hAnsi="Arial" w:cs="Arial"/>
                <w:sz w:val="18"/>
                <w:szCs w:val="18"/>
              </w:rPr>
              <w:t>0.13*</w:t>
            </w:r>
          </w:p>
        </w:tc>
      </w:tr>
      <w:tr w:rsidR="004A2465" w:rsidRPr="00B64CA9" w14:paraId="5F4643EC" w14:textId="77777777" w:rsidTr="009303C3">
        <w:tc>
          <w:tcPr>
            <w:tcW w:w="9067" w:type="dxa"/>
            <w:gridSpan w:val="7"/>
            <w:tcBorders>
              <w:top w:val="single" w:sz="4" w:space="0" w:color="auto"/>
              <w:left w:val="nil"/>
              <w:bottom w:val="nil"/>
              <w:right w:val="nil"/>
            </w:tcBorders>
          </w:tcPr>
          <w:p w14:paraId="42883E85" w14:textId="77777777" w:rsidR="004A2465" w:rsidRPr="00B64CA9" w:rsidRDefault="004A2465" w:rsidP="002D07A3">
            <w:pPr>
              <w:spacing w:before="20" w:after="20" w:line="240" w:lineRule="auto"/>
              <w:rPr>
                <w:rFonts w:ascii="Arial" w:hAnsi="Arial" w:cs="Arial"/>
                <w:i/>
                <w:sz w:val="16"/>
                <w:szCs w:val="16"/>
              </w:rPr>
            </w:pPr>
            <w:r w:rsidRPr="00B64CA9">
              <w:rPr>
                <w:rFonts w:ascii="Arial" w:hAnsi="Arial" w:cs="Arial"/>
                <w:i/>
                <w:sz w:val="16"/>
                <w:szCs w:val="16"/>
              </w:rPr>
              <w:t>* p&lt;0.05 based on nominal, but not adjusted, p-value</w:t>
            </w:r>
          </w:p>
          <w:p w14:paraId="7FD3422A" w14:textId="77777777" w:rsidR="004A2465" w:rsidRPr="00B64CA9" w:rsidRDefault="004A2465" w:rsidP="002D07A3">
            <w:pPr>
              <w:spacing w:before="20" w:after="20" w:line="240" w:lineRule="auto"/>
              <w:rPr>
                <w:i/>
                <w:sz w:val="16"/>
                <w:szCs w:val="16"/>
              </w:rPr>
            </w:pPr>
            <w:r w:rsidRPr="00B64CA9">
              <w:rPr>
                <w:rFonts w:ascii="Arial" w:hAnsi="Arial" w:cs="Arial"/>
                <w:i/>
                <w:sz w:val="16"/>
                <w:szCs w:val="16"/>
              </w:rPr>
              <w:t xml:space="preserve">1 Cosentyx 150 mg or 300 mg </w:t>
            </w:r>
            <w:proofErr w:type="spellStart"/>
            <w:r w:rsidRPr="00B64CA9">
              <w:rPr>
                <w:rFonts w:ascii="Arial" w:hAnsi="Arial" w:cs="Arial"/>
                <w:i/>
                <w:sz w:val="16"/>
                <w:szCs w:val="16"/>
              </w:rPr>
              <w:t>s.c.</w:t>
            </w:r>
            <w:proofErr w:type="spellEnd"/>
            <w:r w:rsidRPr="00B64CA9">
              <w:rPr>
                <w:rFonts w:ascii="Arial" w:hAnsi="Arial" w:cs="Arial"/>
                <w:i/>
                <w:sz w:val="16"/>
                <w:szCs w:val="16"/>
              </w:rPr>
              <w:t xml:space="preserve"> at Weeks 0, 1, 2, 3, and 4 followed by the same dose every month</w:t>
            </w:r>
          </w:p>
          <w:p w14:paraId="669E3AE5" w14:textId="77777777" w:rsidR="004A2465" w:rsidRPr="00B64CA9" w:rsidRDefault="004A2465" w:rsidP="002D07A3">
            <w:pPr>
              <w:spacing w:before="20" w:after="20" w:line="240" w:lineRule="auto"/>
              <w:rPr>
                <w:i/>
                <w:sz w:val="16"/>
                <w:szCs w:val="16"/>
              </w:rPr>
            </w:pPr>
            <w:r w:rsidRPr="00B64CA9">
              <w:rPr>
                <w:rFonts w:ascii="Arial" w:hAnsi="Arial" w:cs="Arial"/>
                <w:i/>
                <w:sz w:val="16"/>
                <w:szCs w:val="16"/>
              </w:rPr>
              <w:t xml:space="preserve">210 mg/kg at Weeks 0, 2 and 4 followed </w:t>
            </w:r>
            <w:proofErr w:type="spellStart"/>
            <w:r w:rsidRPr="00B64CA9">
              <w:rPr>
                <w:rFonts w:ascii="Arial" w:hAnsi="Arial" w:cs="Arial"/>
                <w:i/>
                <w:sz w:val="16"/>
                <w:szCs w:val="16"/>
              </w:rPr>
              <w:t>s.c.</w:t>
            </w:r>
            <w:proofErr w:type="spellEnd"/>
            <w:r w:rsidRPr="00B64CA9">
              <w:rPr>
                <w:rFonts w:ascii="Arial" w:hAnsi="Arial" w:cs="Arial"/>
                <w:i/>
                <w:sz w:val="16"/>
                <w:szCs w:val="16"/>
              </w:rPr>
              <w:t xml:space="preserve"> </w:t>
            </w:r>
            <w:proofErr w:type="spellStart"/>
            <w:r w:rsidRPr="00B64CA9">
              <w:rPr>
                <w:rFonts w:ascii="Arial" w:hAnsi="Arial" w:cs="Arial"/>
                <w:i/>
                <w:sz w:val="16"/>
                <w:szCs w:val="16"/>
              </w:rPr>
              <w:t>pdoses</w:t>
            </w:r>
            <w:proofErr w:type="spellEnd"/>
            <w:r w:rsidRPr="00B64CA9">
              <w:rPr>
                <w:rFonts w:ascii="Arial" w:hAnsi="Arial" w:cs="Arial"/>
                <w:i/>
                <w:sz w:val="16"/>
                <w:szCs w:val="16"/>
              </w:rPr>
              <w:t xml:space="preserve"> of 75 mg or 150 mg</w:t>
            </w:r>
          </w:p>
        </w:tc>
      </w:tr>
    </w:tbl>
    <w:p w14:paraId="25A8A1AF" w14:textId="77777777" w:rsidR="00DD3737" w:rsidRPr="00B64CA9" w:rsidRDefault="00DD3737">
      <w:pPr>
        <w:jc w:val="both"/>
        <w:rPr>
          <w:rFonts w:ascii="Arial" w:hAnsi="Arial" w:cs="Arial"/>
          <w:sz w:val="20"/>
        </w:rPr>
      </w:pPr>
    </w:p>
    <w:p w14:paraId="514F6E18" w14:textId="77777777" w:rsidR="00F62A4F" w:rsidRPr="00B64CA9" w:rsidRDefault="00F62A4F" w:rsidP="002D07A3">
      <w:pPr>
        <w:jc w:val="both"/>
        <w:rPr>
          <w:rFonts w:cs="Arial"/>
        </w:rPr>
      </w:pPr>
      <w:r w:rsidRPr="00B64CA9">
        <w:rPr>
          <w:rFonts w:cs="Arial"/>
        </w:rPr>
        <w:t xml:space="preserve">Inhibition of structural damage was maintained with COSENTYX </w:t>
      </w:r>
      <w:r w:rsidR="00C10956" w:rsidRPr="00B64CA9">
        <w:rPr>
          <w:rFonts w:cs="Arial"/>
        </w:rPr>
        <w:t xml:space="preserve">150 mg </w:t>
      </w:r>
      <w:r w:rsidRPr="00B64CA9">
        <w:rPr>
          <w:rFonts w:cs="Arial"/>
        </w:rPr>
        <w:t xml:space="preserve">treatment up to Week </w:t>
      </w:r>
      <w:r w:rsidR="006D6F1E" w:rsidRPr="00B64CA9">
        <w:rPr>
          <w:rFonts w:cs="Arial"/>
        </w:rPr>
        <w:t>104</w:t>
      </w:r>
      <w:r w:rsidR="00B25248" w:rsidRPr="00B64CA9">
        <w:rPr>
          <w:rFonts w:cs="Arial"/>
        </w:rPr>
        <w:t xml:space="preserve"> in PsA</w:t>
      </w:r>
      <w:r w:rsidR="00A8009B" w:rsidRPr="00B64CA9">
        <w:rPr>
          <w:rFonts w:cs="Arial"/>
        </w:rPr>
        <w:t>2</w:t>
      </w:r>
      <w:r w:rsidR="00B25248" w:rsidRPr="00B64CA9">
        <w:rPr>
          <w:rFonts w:cs="Arial"/>
        </w:rPr>
        <w:t xml:space="preserve"> Study</w:t>
      </w:r>
      <w:r w:rsidR="00C10956" w:rsidRPr="00B64CA9">
        <w:rPr>
          <w:rFonts w:cs="Arial"/>
        </w:rPr>
        <w:t xml:space="preserve"> and with COSENTYX 300 mg treatment up to week 52</w:t>
      </w:r>
      <w:r w:rsidR="00B25248" w:rsidRPr="00B64CA9">
        <w:rPr>
          <w:rFonts w:cs="Arial"/>
        </w:rPr>
        <w:t xml:space="preserve"> in PsA</w:t>
      </w:r>
      <w:r w:rsidR="00A8009B" w:rsidRPr="00B64CA9">
        <w:rPr>
          <w:rFonts w:cs="Arial"/>
        </w:rPr>
        <w:t>3</w:t>
      </w:r>
      <w:r w:rsidR="00B25248" w:rsidRPr="00B64CA9">
        <w:rPr>
          <w:rFonts w:cs="Arial"/>
        </w:rPr>
        <w:t xml:space="preserve"> Study</w:t>
      </w:r>
      <w:r w:rsidRPr="00B64CA9">
        <w:rPr>
          <w:rFonts w:cs="Arial"/>
        </w:rPr>
        <w:t>.</w:t>
      </w:r>
    </w:p>
    <w:p w14:paraId="6F3F7F69" w14:textId="77777777" w:rsidR="00B83E25" w:rsidRPr="00B64CA9" w:rsidRDefault="00F62A4F" w:rsidP="002D07A3">
      <w:pPr>
        <w:jc w:val="both"/>
        <w:rPr>
          <w:rFonts w:cs="Arial"/>
        </w:rPr>
      </w:pPr>
      <w:r w:rsidRPr="00B64CA9">
        <w:rPr>
          <w:rFonts w:cs="Arial"/>
        </w:rPr>
        <w:lastRenderedPageBreak/>
        <w:t xml:space="preserve">The percentage of patients with no-disease progression (defined as a change from baseline in </w:t>
      </w:r>
      <w:proofErr w:type="spellStart"/>
      <w:r w:rsidR="006D6F1E" w:rsidRPr="00B64CA9">
        <w:rPr>
          <w:rFonts w:cs="Arial"/>
        </w:rPr>
        <w:t>mTSS</w:t>
      </w:r>
      <w:proofErr w:type="spellEnd"/>
      <w:r w:rsidRPr="00B64CA9">
        <w:rPr>
          <w:rFonts w:cs="Arial"/>
        </w:rPr>
        <w:t xml:space="preserve"> of ≤0.5) from randomi</w:t>
      </w:r>
      <w:r w:rsidR="006D6F1E" w:rsidRPr="00B64CA9">
        <w:rPr>
          <w:rFonts w:cs="Arial"/>
        </w:rPr>
        <w:t>s</w:t>
      </w:r>
      <w:r w:rsidRPr="00B64CA9">
        <w:rPr>
          <w:rFonts w:cs="Arial"/>
        </w:rPr>
        <w:t xml:space="preserve">ation to Week 24 was, 82.3% in </w:t>
      </w:r>
      <w:proofErr w:type="spellStart"/>
      <w:r w:rsidRPr="00B64CA9">
        <w:rPr>
          <w:rFonts w:cs="Arial"/>
        </w:rPr>
        <w:t>secukinumab</w:t>
      </w:r>
      <w:proofErr w:type="spellEnd"/>
      <w:r w:rsidRPr="00B64CA9">
        <w:rPr>
          <w:rFonts w:cs="Arial"/>
        </w:rPr>
        <w:t xml:space="preserve"> 10 mg/kg </w:t>
      </w:r>
      <w:proofErr w:type="spellStart"/>
      <w:r w:rsidRPr="00B64CA9">
        <w:rPr>
          <w:rFonts w:cs="Arial"/>
        </w:rPr>
        <w:t>i.v.</w:t>
      </w:r>
      <w:proofErr w:type="spellEnd"/>
      <w:r w:rsidRPr="00B64CA9">
        <w:rPr>
          <w:rFonts w:cs="Arial"/>
        </w:rPr>
        <w:t xml:space="preserve"> load – 150 mg </w:t>
      </w:r>
      <w:proofErr w:type="spellStart"/>
      <w:r w:rsidRPr="00B64CA9">
        <w:rPr>
          <w:rFonts w:cs="Arial"/>
        </w:rPr>
        <w:t>s.c.</w:t>
      </w:r>
      <w:proofErr w:type="spellEnd"/>
      <w:r w:rsidRPr="00B64CA9">
        <w:rPr>
          <w:rFonts w:cs="Arial"/>
        </w:rPr>
        <w:t xml:space="preserve"> maintenance and 75.7% in placebo. The percentage of patients with no-disease progression, from Week 24 to Week 52, for the same </w:t>
      </w:r>
      <w:proofErr w:type="gramStart"/>
      <w:r w:rsidRPr="00B64CA9">
        <w:rPr>
          <w:rFonts w:cs="Arial"/>
        </w:rPr>
        <w:t>above described</w:t>
      </w:r>
      <w:proofErr w:type="gramEnd"/>
      <w:r w:rsidRPr="00B64CA9">
        <w:rPr>
          <w:rFonts w:cs="Arial"/>
        </w:rPr>
        <w:t xml:space="preserve"> regimen, was 85.7% and 86.8%, respectively.</w:t>
      </w:r>
    </w:p>
    <w:p w14:paraId="7207C02D" w14:textId="77777777" w:rsidR="00A22371" w:rsidRPr="00B64CA9" w:rsidRDefault="00A22371" w:rsidP="00A22371">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 xml:space="preserve">Axial manifestations in </w:t>
      </w:r>
      <w:proofErr w:type="spellStart"/>
      <w:r w:rsidRPr="00B64CA9">
        <w:rPr>
          <w:rFonts w:asciiTheme="majorHAnsi" w:eastAsiaTheme="majorEastAsia" w:hAnsiTheme="majorHAnsi" w:cstheme="minorHAnsi"/>
          <w:b/>
          <w:bCs/>
        </w:rPr>
        <w:t>PsA</w:t>
      </w:r>
      <w:proofErr w:type="spellEnd"/>
      <w:r w:rsidRPr="00B64CA9">
        <w:rPr>
          <w:rFonts w:asciiTheme="majorHAnsi" w:eastAsiaTheme="majorEastAsia" w:hAnsiTheme="majorHAnsi" w:cstheme="minorHAnsi"/>
          <w:b/>
          <w:bCs/>
        </w:rPr>
        <w:t xml:space="preserve"> </w:t>
      </w:r>
    </w:p>
    <w:p w14:paraId="2E6460E1" w14:textId="77777777" w:rsidR="00A22371" w:rsidRPr="00B64CA9" w:rsidRDefault="00A22371" w:rsidP="00A22371">
      <w:pPr>
        <w:jc w:val="both"/>
        <w:rPr>
          <w:rFonts w:cs="Arial"/>
        </w:rPr>
      </w:pPr>
      <w:r w:rsidRPr="00B64CA9">
        <w:rPr>
          <w:rFonts w:cs="Arial"/>
        </w:rPr>
        <w:t xml:space="preserve">A randomised, double-blind, placebo-controlled study (MAXIMISE) assessed the efficacy of </w:t>
      </w:r>
      <w:proofErr w:type="spellStart"/>
      <w:r w:rsidRPr="00B64CA9">
        <w:rPr>
          <w:rFonts w:cs="Arial"/>
        </w:rPr>
        <w:t>secukinumab</w:t>
      </w:r>
      <w:proofErr w:type="spellEnd"/>
      <w:r w:rsidRPr="00B64CA9">
        <w:rPr>
          <w:rFonts w:cs="Arial"/>
        </w:rPr>
        <w:t xml:space="preserve"> in 485 </w:t>
      </w:r>
      <w:proofErr w:type="spellStart"/>
      <w:r w:rsidRPr="00B64CA9">
        <w:rPr>
          <w:rFonts w:cs="Arial"/>
        </w:rPr>
        <w:t>PsA</w:t>
      </w:r>
      <w:proofErr w:type="spellEnd"/>
      <w:r w:rsidRPr="00B64CA9">
        <w:rPr>
          <w:rFonts w:cs="Arial"/>
        </w:rPr>
        <w:t xml:space="preserve"> patients with axial manifestations who were naive to biologic treatment and responded inadequately to NSAIDs. The primary variable of at least a 20% improvement in Assessment of </w:t>
      </w:r>
      <w:proofErr w:type="spellStart"/>
      <w:r w:rsidRPr="00B64CA9">
        <w:rPr>
          <w:rFonts w:cs="Arial"/>
        </w:rPr>
        <w:t>Spondyloarthritis</w:t>
      </w:r>
      <w:proofErr w:type="spellEnd"/>
      <w:r w:rsidRPr="00B64CA9">
        <w:rPr>
          <w:rFonts w:cs="Arial"/>
        </w:rPr>
        <w:t xml:space="preserve"> International Society (ASAS 20) criteria at Week 12 was met (see Table 16). </w:t>
      </w:r>
    </w:p>
    <w:p w14:paraId="5BE56C2E" w14:textId="77777777" w:rsidR="00A22371" w:rsidRPr="00B64CA9" w:rsidRDefault="00A22371" w:rsidP="00A22371">
      <w:pPr>
        <w:jc w:val="both"/>
        <w:rPr>
          <w:rFonts w:ascii="Arial" w:eastAsia="MS Gothic" w:hAnsi="Arial" w:cs="Arial"/>
          <w:b/>
          <w:sz w:val="20"/>
          <w:szCs w:val="20"/>
          <w:lang w:eastAsia="zh-CN"/>
        </w:rPr>
      </w:pPr>
      <w:r w:rsidRPr="00B64CA9">
        <w:rPr>
          <w:rFonts w:ascii="Arial" w:eastAsia="MS Gothic" w:hAnsi="Arial" w:cs="Arial"/>
          <w:b/>
          <w:sz w:val="20"/>
          <w:szCs w:val="20"/>
          <w:lang w:eastAsia="zh-CN"/>
        </w:rPr>
        <w:t xml:space="preserve">Table 16 </w:t>
      </w:r>
      <w:r w:rsidRPr="00B64CA9">
        <w:rPr>
          <w:rFonts w:ascii="Arial" w:eastAsia="MS Gothic" w:hAnsi="Arial" w:cs="Arial"/>
          <w:b/>
          <w:sz w:val="20"/>
          <w:szCs w:val="20"/>
          <w:lang w:eastAsia="zh-CN"/>
        </w:rPr>
        <w:tab/>
        <w:t>Clinical response at week 12: primary and key secondary endpoints</w:t>
      </w:r>
    </w:p>
    <w:tbl>
      <w:tblPr>
        <w:tblStyle w:val="TableGrid"/>
        <w:tblW w:w="5000" w:type="pct"/>
        <w:tblLook w:val="04A0" w:firstRow="1" w:lastRow="0" w:firstColumn="1" w:lastColumn="0" w:noHBand="0" w:noVBand="1"/>
      </w:tblPr>
      <w:tblGrid>
        <w:gridCol w:w="2258"/>
        <w:gridCol w:w="2254"/>
        <w:gridCol w:w="2254"/>
        <w:gridCol w:w="2250"/>
      </w:tblGrid>
      <w:tr w:rsidR="00A22371" w:rsidRPr="00B64CA9" w14:paraId="0C36D763" w14:textId="77777777" w:rsidTr="00B83784">
        <w:trPr>
          <w:cantSplit/>
        </w:trPr>
        <w:tc>
          <w:tcPr>
            <w:tcW w:w="1252" w:type="pct"/>
            <w:tcBorders>
              <w:top w:val="single" w:sz="4" w:space="0" w:color="auto"/>
              <w:left w:val="single" w:sz="4" w:space="0" w:color="auto"/>
              <w:bottom w:val="single" w:sz="4" w:space="0" w:color="auto"/>
              <w:right w:val="single" w:sz="4" w:space="0" w:color="auto"/>
            </w:tcBorders>
          </w:tcPr>
          <w:p w14:paraId="0B7415C1" w14:textId="77777777" w:rsidR="00A22371" w:rsidRPr="00B64CA9" w:rsidRDefault="00A22371" w:rsidP="00B83784">
            <w:pPr>
              <w:pStyle w:val="Text"/>
              <w:keepNext/>
              <w:rPr>
                <w:rFonts w:ascii="Arial" w:hAnsi="Arial" w:cs="Arial"/>
                <w:color w:val="000000"/>
                <w:sz w:val="18"/>
                <w:lang w:val="en-GB"/>
              </w:rPr>
            </w:pPr>
          </w:p>
        </w:tc>
        <w:tc>
          <w:tcPr>
            <w:tcW w:w="1250" w:type="pct"/>
            <w:tcBorders>
              <w:top w:val="single" w:sz="4" w:space="0" w:color="auto"/>
              <w:left w:val="single" w:sz="4" w:space="0" w:color="auto"/>
              <w:bottom w:val="single" w:sz="4" w:space="0" w:color="auto"/>
              <w:right w:val="single" w:sz="4" w:space="0" w:color="auto"/>
            </w:tcBorders>
            <w:hideMark/>
          </w:tcPr>
          <w:p w14:paraId="7F7335F2"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Placebo</w:t>
            </w:r>
          </w:p>
          <w:p w14:paraId="01E984E5"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(n=164)</w:t>
            </w:r>
          </w:p>
        </w:tc>
        <w:tc>
          <w:tcPr>
            <w:tcW w:w="1250" w:type="pct"/>
            <w:tcBorders>
              <w:top w:val="single" w:sz="4" w:space="0" w:color="auto"/>
              <w:left w:val="single" w:sz="4" w:space="0" w:color="auto"/>
              <w:bottom w:val="single" w:sz="4" w:space="0" w:color="auto"/>
              <w:right w:val="single" w:sz="4" w:space="0" w:color="auto"/>
            </w:tcBorders>
            <w:hideMark/>
          </w:tcPr>
          <w:p w14:paraId="769C01F5"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150 mg</w:t>
            </w:r>
          </w:p>
          <w:p w14:paraId="5A03F9C2"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(n=157)</w:t>
            </w:r>
          </w:p>
        </w:tc>
        <w:tc>
          <w:tcPr>
            <w:tcW w:w="1248" w:type="pct"/>
            <w:tcBorders>
              <w:top w:val="single" w:sz="4" w:space="0" w:color="auto"/>
              <w:left w:val="single" w:sz="4" w:space="0" w:color="auto"/>
              <w:bottom w:val="single" w:sz="4" w:space="0" w:color="auto"/>
              <w:right w:val="single" w:sz="4" w:space="0" w:color="auto"/>
            </w:tcBorders>
            <w:hideMark/>
          </w:tcPr>
          <w:p w14:paraId="65916BA7"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300 mg</w:t>
            </w:r>
          </w:p>
          <w:p w14:paraId="16DBE041"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(n=164)</w:t>
            </w:r>
          </w:p>
        </w:tc>
      </w:tr>
      <w:tr w:rsidR="00A22371" w:rsidRPr="00B64CA9" w14:paraId="3ED23077" w14:textId="77777777" w:rsidTr="00B83784">
        <w:trPr>
          <w:cantSplit/>
        </w:trPr>
        <w:tc>
          <w:tcPr>
            <w:tcW w:w="1252" w:type="pct"/>
            <w:tcBorders>
              <w:top w:val="single" w:sz="4" w:space="0" w:color="auto"/>
              <w:left w:val="single" w:sz="4" w:space="0" w:color="auto"/>
              <w:bottom w:val="single" w:sz="4" w:space="0" w:color="auto"/>
              <w:right w:val="single" w:sz="4" w:space="0" w:color="auto"/>
            </w:tcBorders>
            <w:vAlign w:val="bottom"/>
            <w:hideMark/>
          </w:tcPr>
          <w:p w14:paraId="2EF1A62A" w14:textId="77777777" w:rsidR="00A22371" w:rsidRPr="00B64CA9" w:rsidRDefault="00A22371" w:rsidP="00B83784">
            <w:pPr>
              <w:pStyle w:val="Text"/>
              <w:keepNext/>
              <w:rPr>
                <w:rFonts w:ascii="Arial" w:hAnsi="Arial" w:cs="Arial"/>
                <w:sz w:val="18"/>
              </w:rPr>
            </w:pPr>
            <w:r w:rsidRPr="00B64CA9">
              <w:rPr>
                <w:rFonts w:ascii="Arial" w:hAnsi="Arial" w:cs="Arial"/>
                <w:sz w:val="18"/>
              </w:rPr>
              <w:t>ASAS 20 response, %</w:t>
            </w:r>
          </w:p>
          <w:p w14:paraId="078071C0" w14:textId="77777777" w:rsidR="00A22371" w:rsidRPr="00B64CA9" w:rsidRDefault="00A22371" w:rsidP="00B83784">
            <w:pPr>
              <w:pStyle w:val="Text"/>
              <w:keepNext/>
              <w:rPr>
                <w:rFonts w:ascii="Arial" w:hAnsi="Arial" w:cs="Arial"/>
                <w:i/>
                <w:color w:val="000000"/>
                <w:sz w:val="18"/>
                <w:lang w:val="en-GB"/>
              </w:rPr>
            </w:pPr>
            <w:r w:rsidRPr="00B64CA9">
              <w:rPr>
                <w:rFonts w:ascii="Arial" w:hAnsi="Arial" w:cs="Arial"/>
                <w:i/>
                <w:sz w:val="18"/>
              </w:rPr>
              <w:t>(95% CI)</w:t>
            </w:r>
          </w:p>
        </w:tc>
        <w:tc>
          <w:tcPr>
            <w:tcW w:w="1250" w:type="pct"/>
            <w:tcBorders>
              <w:top w:val="single" w:sz="4" w:space="0" w:color="auto"/>
              <w:left w:val="single" w:sz="4" w:space="0" w:color="auto"/>
              <w:bottom w:val="single" w:sz="4" w:space="0" w:color="auto"/>
              <w:right w:val="single" w:sz="4" w:space="0" w:color="auto"/>
            </w:tcBorders>
            <w:hideMark/>
          </w:tcPr>
          <w:p w14:paraId="65989A14"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sz w:val="18"/>
                <w:lang w:val="en-GB"/>
              </w:rPr>
              <w:t xml:space="preserve">31.2 </w:t>
            </w:r>
            <w:r w:rsidRPr="00B64CA9">
              <w:rPr>
                <w:rFonts w:ascii="Arial" w:hAnsi="Arial" w:cs="Arial"/>
                <w:i/>
                <w:color w:val="000000"/>
                <w:sz w:val="18"/>
                <w:lang w:val="en-GB"/>
              </w:rPr>
              <w:t>(24.6, 38.7)</w:t>
            </w:r>
          </w:p>
        </w:tc>
        <w:tc>
          <w:tcPr>
            <w:tcW w:w="1250" w:type="pct"/>
            <w:tcBorders>
              <w:top w:val="single" w:sz="4" w:space="0" w:color="auto"/>
              <w:left w:val="single" w:sz="4" w:space="0" w:color="auto"/>
              <w:bottom w:val="single" w:sz="4" w:space="0" w:color="auto"/>
              <w:right w:val="single" w:sz="4" w:space="0" w:color="auto"/>
            </w:tcBorders>
            <w:hideMark/>
          </w:tcPr>
          <w:p w14:paraId="2A5BEE79"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themeColor="text1"/>
                <w:sz w:val="18"/>
                <w:lang w:val="en-GB"/>
              </w:rPr>
              <w:t xml:space="preserve">66.3 </w:t>
            </w:r>
            <w:r w:rsidRPr="00B64CA9">
              <w:rPr>
                <w:rFonts w:ascii="Arial" w:hAnsi="Arial" w:cs="Arial"/>
                <w:i/>
                <w:color w:val="000000" w:themeColor="text1"/>
                <w:sz w:val="18"/>
                <w:lang w:val="en-GB"/>
              </w:rPr>
              <w:t xml:space="preserve">(58.4, </w:t>
            </w:r>
            <w:proofErr w:type="gramStart"/>
            <w:r w:rsidRPr="00B64CA9">
              <w:rPr>
                <w:rFonts w:ascii="Arial" w:hAnsi="Arial" w:cs="Arial"/>
                <w:i/>
                <w:color w:val="000000" w:themeColor="text1"/>
                <w:sz w:val="18"/>
                <w:lang w:val="en-GB"/>
              </w:rPr>
              <w:t>73.3</w:t>
            </w:r>
            <w:r w:rsidRPr="00B64CA9">
              <w:rPr>
                <w:rFonts w:ascii="Arial" w:hAnsi="Arial" w:cs="Arial"/>
                <w:bCs/>
                <w:i/>
                <w:iCs/>
                <w:color w:val="000000" w:themeColor="text1"/>
                <w:sz w:val="18"/>
                <w:lang w:val="en-GB"/>
              </w:rPr>
              <w:t>)*</w:t>
            </w:r>
            <w:proofErr w:type="gramEnd"/>
          </w:p>
        </w:tc>
        <w:tc>
          <w:tcPr>
            <w:tcW w:w="1248" w:type="pct"/>
            <w:tcBorders>
              <w:top w:val="single" w:sz="4" w:space="0" w:color="auto"/>
              <w:left w:val="single" w:sz="4" w:space="0" w:color="auto"/>
              <w:bottom w:val="single" w:sz="4" w:space="0" w:color="auto"/>
              <w:right w:val="single" w:sz="4" w:space="0" w:color="auto"/>
            </w:tcBorders>
            <w:hideMark/>
          </w:tcPr>
          <w:p w14:paraId="23D85F71" w14:textId="77777777" w:rsidR="00A22371" w:rsidRPr="00B64CA9" w:rsidRDefault="00A22371" w:rsidP="00B83784">
            <w:pPr>
              <w:pStyle w:val="Text"/>
              <w:keepNext/>
              <w:jc w:val="center"/>
              <w:rPr>
                <w:rFonts w:ascii="Arial" w:hAnsi="Arial" w:cs="Arial"/>
                <w:color w:val="000000"/>
                <w:sz w:val="18"/>
                <w:lang w:val="en-GB"/>
              </w:rPr>
            </w:pPr>
            <w:r w:rsidRPr="00B64CA9">
              <w:rPr>
                <w:rFonts w:ascii="Arial" w:hAnsi="Arial" w:cs="Arial"/>
                <w:color w:val="000000" w:themeColor="text1"/>
                <w:sz w:val="18"/>
                <w:lang w:val="en-GB"/>
              </w:rPr>
              <w:t xml:space="preserve">62.9 </w:t>
            </w:r>
            <w:r w:rsidRPr="00B64CA9">
              <w:rPr>
                <w:rFonts w:ascii="Arial" w:hAnsi="Arial" w:cs="Arial"/>
                <w:i/>
                <w:color w:val="000000" w:themeColor="text1"/>
                <w:sz w:val="18"/>
                <w:lang w:val="en-GB"/>
              </w:rPr>
              <w:t xml:space="preserve">(55.2, </w:t>
            </w:r>
            <w:proofErr w:type="gramStart"/>
            <w:r w:rsidRPr="00B64CA9">
              <w:rPr>
                <w:rFonts w:ascii="Arial" w:hAnsi="Arial" w:cs="Arial"/>
                <w:i/>
                <w:color w:val="000000" w:themeColor="text1"/>
                <w:sz w:val="18"/>
                <w:lang w:val="en-GB"/>
              </w:rPr>
              <w:t>70.0</w:t>
            </w:r>
            <w:r w:rsidRPr="00B64CA9">
              <w:rPr>
                <w:rFonts w:ascii="Arial" w:hAnsi="Arial" w:cs="Arial"/>
                <w:bCs/>
                <w:i/>
                <w:iCs/>
                <w:color w:val="000000" w:themeColor="text1"/>
                <w:sz w:val="18"/>
                <w:lang w:val="en-GB"/>
              </w:rPr>
              <w:t>)*</w:t>
            </w:r>
            <w:proofErr w:type="gramEnd"/>
          </w:p>
        </w:tc>
      </w:tr>
      <w:tr w:rsidR="00A22371" w:rsidRPr="00B64CA9" w14:paraId="61642CD7" w14:textId="77777777" w:rsidTr="00B83784">
        <w:trPr>
          <w:cantSplit/>
        </w:trPr>
        <w:tc>
          <w:tcPr>
            <w:tcW w:w="5000" w:type="pct"/>
            <w:gridSpan w:val="4"/>
            <w:tcBorders>
              <w:top w:val="single" w:sz="4" w:space="0" w:color="auto"/>
              <w:left w:val="nil"/>
              <w:bottom w:val="nil"/>
              <w:right w:val="nil"/>
            </w:tcBorders>
            <w:hideMark/>
          </w:tcPr>
          <w:p w14:paraId="209A2AD6" w14:textId="77777777" w:rsidR="00A22371" w:rsidRPr="00B64CA9" w:rsidRDefault="00A22371" w:rsidP="00B83784">
            <w:pPr>
              <w:spacing w:before="20" w:after="20"/>
              <w:rPr>
                <w:rFonts w:ascii="Arial" w:eastAsiaTheme="minorEastAsia" w:hAnsi="Arial" w:cs="Arial"/>
                <w:i/>
                <w:iCs/>
                <w:sz w:val="16"/>
                <w:szCs w:val="16"/>
              </w:rPr>
            </w:pPr>
            <w:r w:rsidRPr="00B64CA9">
              <w:rPr>
                <w:rFonts w:ascii="Arial" w:eastAsiaTheme="minorEastAsia" w:hAnsi="Arial" w:cs="Arial"/>
                <w:i/>
                <w:iCs/>
                <w:sz w:val="16"/>
                <w:szCs w:val="16"/>
              </w:rPr>
              <w:t xml:space="preserve">* p&lt;0.0001; versus placebo </w:t>
            </w:r>
            <w:r w:rsidRPr="00B64CA9">
              <w:rPr>
                <w:rFonts w:ascii="Arial" w:eastAsiaTheme="minorEastAsia" w:hAnsi="Arial" w:cs="Arial"/>
                <w:bCs/>
                <w:i/>
                <w:iCs/>
                <w:sz w:val="16"/>
                <w:szCs w:val="16"/>
              </w:rPr>
              <w:t>using multiple imputation</w:t>
            </w:r>
          </w:p>
          <w:p w14:paraId="556A12E8" w14:textId="77777777" w:rsidR="00A22371" w:rsidRPr="00B64CA9" w:rsidRDefault="00A22371" w:rsidP="00B83784">
            <w:pPr>
              <w:pStyle w:val="Text"/>
            </w:pPr>
            <w:r w:rsidRPr="00B64CA9">
              <w:rPr>
                <w:rFonts w:ascii="Arial" w:eastAsiaTheme="minorHAnsi" w:hAnsi="Arial" w:cs="Arial"/>
                <w:i/>
                <w:sz w:val="16"/>
                <w:szCs w:val="16"/>
              </w:rPr>
              <w:t xml:space="preserve">ASAS: Assessment of </w:t>
            </w:r>
            <w:proofErr w:type="spellStart"/>
            <w:r w:rsidRPr="00B64CA9">
              <w:rPr>
                <w:rFonts w:ascii="Arial" w:eastAsiaTheme="minorHAnsi" w:hAnsi="Arial" w:cs="Arial"/>
                <w:i/>
                <w:sz w:val="16"/>
                <w:szCs w:val="16"/>
              </w:rPr>
              <w:t>SpondyloArthritis</w:t>
            </w:r>
            <w:proofErr w:type="spellEnd"/>
            <w:r w:rsidRPr="00B64CA9">
              <w:rPr>
                <w:rFonts w:ascii="Arial" w:eastAsiaTheme="minorHAnsi" w:hAnsi="Arial" w:cs="Arial"/>
                <w:i/>
                <w:sz w:val="16"/>
                <w:szCs w:val="16"/>
              </w:rPr>
              <w:t xml:space="preserve"> International Society Criteria</w:t>
            </w:r>
          </w:p>
        </w:tc>
      </w:tr>
    </w:tbl>
    <w:p w14:paraId="5B1916C9" w14:textId="77777777" w:rsidR="00A22371" w:rsidRPr="00B64CA9" w:rsidRDefault="00A22371" w:rsidP="00A22371">
      <w:pPr>
        <w:jc w:val="both"/>
        <w:rPr>
          <w:rFonts w:ascii="Arial" w:eastAsia="MS Gothic" w:hAnsi="Arial" w:cs="Arial"/>
          <w:b/>
          <w:sz w:val="20"/>
          <w:szCs w:val="20"/>
          <w:lang w:eastAsia="zh-CN"/>
        </w:rPr>
      </w:pPr>
    </w:p>
    <w:p w14:paraId="6C8BFF53" w14:textId="77777777" w:rsidR="00A22371" w:rsidRPr="00B64CA9" w:rsidRDefault="00A22371" w:rsidP="00A22371">
      <w:pPr>
        <w:jc w:val="both"/>
        <w:rPr>
          <w:rFonts w:cs="Arial"/>
        </w:rPr>
      </w:pPr>
      <w:r w:rsidRPr="00B64CA9">
        <w:rPr>
          <w:rFonts w:cs="Arial"/>
        </w:rPr>
        <w:t xml:space="preserve">Improvement in ASAS 20 for both </w:t>
      </w:r>
      <w:proofErr w:type="spellStart"/>
      <w:r w:rsidRPr="00B64CA9">
        <w:rPr>
          <w:rFonts w:cs="Arial"/>
        </w:rPr>
        <w:t>secukinumab</w:t>
      </w:r>
      <w:proofErr w:type="spellEnd"/>
      <w:r w:rsidRPr="00B64CA9">
        <w:rPr>
          <w:rFonts w:cs="Arial"/>
        </w:rPr>
        <w:t xml:space="preserve"> doses were observed by Week 4 and were maintained up to 52 weeks. </w:t>
      </w:r>
    </w:p>
    <w:p w14:paraId="51CEF8FB" w14:textId="77777777" w:rsidR="00A22371" w:rsidRPr="00B64CA9" w:rsidRDefault="00A22371" w:rsidP="00A22371">
      <w:pPr>
        <w:jc w:val="both"/>
        <w:rPr>
          <w:rFonts w:cs="Arial"/>
        </w:rPr>
      </w:pPr>
      <w:r w:rsidRPr="00B64CA9">
        <w:rPr>
          <w:rFonts w:cs="Arial"/>
        </w:rPr>
        <w:t xml:space="preserve">In addition, treatment with </w:t>
      </w:r>
      <w:proofErr w:type="spellStart"/>
      <w:r w:rsidRPr="00B64CA9">
        <w:rPr>
          <w:rFonts w:cs="Arial"/>
        </w:rPr>
        <w:t>secukinumab</w:t>
      </w:r>
      <w:proofErr w:type="spellEnd"/>
      <w:r w:rsidRPr="00B64CA9">
        <w:rPr>
          <w:rFonts w:cs="Arial"/>
        </w:rPr>
        <w:t xml:space="preserve"> 300 mg and 150 mg compared to placebo also resulted in greater improvement in signs and symptoms (including decreases from baseline in spinal pain and improvement in physical function) as seen in Table 17. </w:t>
      </w:r>
      <w:bookmarkStart w:id="14" w:name="_Toc42673201"/>
      <w:bookmarkStart w:id="15" w:name="_Toc56495553"/>
    </w:p>
    <w:p w14:paraId="0C328955" w14:textId="77777777" w:rsidR="00A22371" w:rsidRPr="00B64CA9" w:rsidRDefault="00A22371" w:rsidP="00A22371">
      <w:pPr>
        <w:jc w:val="both"/>
        <w:rPr>
          <w:rFonts w:ascii="Arial" w:eastAsia="MS Gothic" w:hAnsi="Arial" w:cs="Arial"/>
          <w:b/>
          <w:sz w:val="20"/>
          <w:szCs w:val="20"/>
          <w:lang w:eastAsia="zh-CN"/>
        </w:rPr>
      </w:pPr>
      <w:r w:rsidRPr="00B64CA9">
        <w:rPr>
          <w:rFonts w:ascii="Arial" w:eastAsia="MS Gothic" w:hAnsi="Arial" w:cs="Arial"/>
          <w:b/>
          <w:sz w:val="20"/>
          <w:szCs w:val="20"/>
          <w:lang w:eastAsia="zh-CN"/>
        </w:rPr>
        <w:t>Table 17</w:t>
      </w:r>
      <w:r w:rsidRPr="00B64CA9">
        <w:rPr>
          <w:rFonts w:ascii="Arial" w:eastAsia="MS Gothic" w:hAnsi="Arial" w:cs="Arial"/>
          <w:b/>
          <w:sz w:val="20"/>
          <w:szCs w:val="20"/>
          <w:lang w:eastAsia="zh-CN"/>
        </w:rPr>
        <w:tab/>
        <w:t>Clinical response at week 12: secondary endpoints</w:t>
      </w:r>
    </w:p>
    <w:tbl>
      <w:tblPr>
        <w:tblStyle w:val="TableGrid"/>
        <w:tblW w:w="5000" w:type="pct"/>
        <w:tblLook w:val="04A0" w:firstRow="1" w:lastRow="0" w:firstColumn="1" w:lastColumn="0" w:noHBand="0" w:noVBand="1"/>
      </w:tblPr>
      <w:tblGrid>
        <w:gridCol w:w="2258"/>
        <w:gridCol w:w="2254"/>
        <w:gridCol w:w="2254"/>
        <w:gridCol w:w="2250"/>
      </w:tblGrid>
      <w:tr w:rsidR="00A22371" w:rsidRPr="00B64CA9" w14:paraId="7A058E8F" w14:textId="77777777" w:rsidTr="00B83784">
        <w:trPr>
          <w:cantSplit/>
        </w:trPr>
        <w:tc>
          <w:tcPr>
            <w:tcW w:w="1252" w:type="pct"/>
            <w:tcBorders>
              <w:top w:val="single" w:sz="4" w:space="0" w:color="auto"/>
              <w:left w:val="single" w:sz="4" w:space="0" w:color="auto"/>
              <w:bottom w:val="single" w:sz="4" w:space="0" w:color="auto"/>
              <w:right w:val="single" w:sz="4" w:space="0" w:color="auto"/>
            </w:tcBorders>
          </w:tcPr>
          <w:p w14:paraId="09CB34AF" w14:textId="77777777" w:rsidR="00A22371" w:rsidRPr="00B64CA9" w:rsidRDefault="00A22371" w:rsidP="00B83784">
            <w:pPr>
              <w:pStyle w:val="Text"/>
              <w:keepNext/>
              <w:rPr>
                <w:rFonts w:ascii="Arial" w:hAnsi="Arial" w:cs="Arial"/>
                <w:color w:val="000000"/>
                <w:sz w:val="18"/>
                <w:szCs w:val="18"/>
              </w:rPr>
            </w:pPr>
          </w:p>
        </w:tc>
        <w:tc>
          <w:tcPr>
            <w:tcW w:w="1250" w:type="pct"/>
            <w:tcBorders>
              <w:top w:val="single" w:sz="4" w:space="0" w:color="auto"/>
              <w:left w:val="single" w:sz="4" w:space="0" w:color="auto"/>
              <w:bottom w:val="single" w:sz="4" w:space="0" w:color="auto"/>
              <w:right w:val="single" w:sz="4" w:space="0" w:color="auto"/>
            </w:tcBorders>
            <w:hideMark/>
          </w:tcPr>
          <w:p w14:paraId="53B0D6E5"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Placebo</w:t>
            </w:r>
          </w:p>
          <w:p w14:paraId="4230E74F"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(n=164)</w:t>
            </w:r>
          </w:p>
        </w:tc>
        <w:tc>
          <w:tcPr>
            <w:tcW w:w="1250" w:type="pct"/>
            <w:tcBorders>
              <w:top w:val="single" w:sz="4" w:space="0" w:color="auto"/>
              <w:left w:val="single" w:sz="4" w:space="0" w:color="auto"/>
              <w:bottom w:val="single" w:sz="4" w:space="0" w:color="auto"/>
              <w:right w:val="single" w:sz="4" w:space="0" w:color="auto"/>
            </w:tcBorders>
            <w:hideMark/>
          </w:tcPr>
          <w:p w14:paraId="69268C8D"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150 mg</w:t>
            </w:r>
          </w:p>
          <w:p w14:paraId="06EAE8AC"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(n=157)</w:t>
            </w:r>
          </w:p>
        </w:tc>
        <w:tc>
          <w:tcPr>
            <w:tcW w:w="1248" w:type="pct"/>
            <w:tcBorders>
              <w:top w:val="single" w:sz="4" w:space="0" w:color="auto"/>
              <w:left w:val="single" w:sz="4" w:space="0" w:color="auto"/>
              <w:bottom w:val="single" w:sz="4" w:space="0" w:color="auto"/>
              <w:right w:val="single" w:sz="4" w:space="0" w:color="auto"/>
            </w:tcBorders>
            <w:hideMark/>
          </w:tcPr>
          <w:p w14:paraId="7CECD417"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300 mg</w:t>
            </w:r>
          </w:p>
          <w:p w14:paraId="24916CBF"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(n=164)</w:t>
            </w:r>
          </w:p>
        </w:tc>
      </w:tr>
      <w:tr w:rsidR="00A22371" w:rsidRPr="00B64CA9" w14:paraId="6CBE0DBA" w14:textId="77777777" w:rsidTr="00B83784">
        <w:trPr>
          <w:cantSplit/>
        </w:trPr>
        <w:tc>
          <w:tcPr>
            <w:tcW w:w="1252" w:type="pct"/>
            <w:tcBorders>
              <w:top w:val="single" w:sz="4" w:space="0" w:color="auto"/>
              <w:left w:val="single" w:sz="4" w:space="0" w:color="auto"/>
              <w:bottom w:val="single" w:sz="4" w:space="0" w:color="auto"/>
              <w:right w:val="single" w:sz="4" w:space="0" w:color="auto"/>
            </w:tcBorders>
            <w:vAlign w:val="bottom"/>
            <w:hideMark/>
          </w:tcPr>
          <w:p w14:paraId="423B0679" w14:textId="77777777" w:rsidR="00A22371" w:rsidRPr="00B64CA9" w:rsidRDefault="00A22371" w:rsidP="00B83784">
            <w:pPr>
              <w:pStyle w:val="Text"/>
              <w:keepNext/>
              <w:rPr>
                <w:rFonts w:ascii="Arial" w:hAnsi="Arial" w:cs="Arial"/>
                <w:sz w:val="18"/>
                <w:szCs w:val="18"/>
              </w:rPr>
            </w:pPr>
            <w:r w:rsidRPr="00B64CA9">
              <w:rPr>
                <w:rFonts w:ascii="Arial" w:hAnsi="Arial" w:cs="Arial"/>
                <w:sz w:val="18"/>
                <w:szCs w:val="18"/>
              </w:rPr>
              <w:t>ASAS 40 response, %</w:t>
            </w:r>
          </w:p>
          <w:p w14:paraId="6D7439FA" w14:textId="77777777" w:rsidR="00A22371" w:rsidRPr="00B64CA9" w:rsidRDefault="00A22371" w:rsidP="00B83784">
            <w:pPr>
              <w:pStyle w:val="Text"/>
              <w:keepNext/>
              <w:rPr>
                <w:rFonts w:ascii="Arial" w:hAnsi="Arial" w:cs="Arial"/>
                <w:i/>
                <w:color w:val="000000"/>
                <w:sz w:val="18"/>
                <w:szCs w:val="18"/>
              </w:rPr>
            </w:pPr>
            <w:r w:rsidRPr="00B64CA9">
              <w:rPr>
                <w:rFonts w:ascii="Arial" w:hAnsi="Arial" w:cs="Arial"/>
                <w:i/>
                <w:sz w:val="18"/>
                <w:szCs w:val="18"/>
              </w:rPr>
              <w:t>(95% CI)</w:t>
            </w:r>
          </w:p>
        </w:tc>
        <w:tc>
          <w:tcPr>
            <w:tcW w:w="1250" w:type="pct"/>
            <w:tcBorders>
              <w:top w:val="single" w:sz="4" w:space="0" w:color="auto"/>
              <w:left w:val="single" w:sz="4" w:space="0" w:color="auto"/>
              <w:bottom w:val="single" w:sz="4" w:space="0" w:color="auto"/>
              <w:right w:val="single" w:sz="4" w:space="0" w:color="auto"/>
            </w:tcBorders>
            <w:hideMark/>
          </w:tcPr>
          <w:p w14:paraId="1EE12CD9"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12.2 </w:t>
            </w:r>
            <w:r w:rsidRPr="00B64CA9">
              <w:rPr>
                <w:rFonts w:ascii="Arial" w:hAnsi="Arial" w:cs="Arial"/>
                <w:i/>
                <w:color w:val="000000"/>
                <w:sz w:val="18"/>
                <w:szCs w:val="18"/>
              </w:rPr>
              <w:t>(7.8, 18.4)</w:t>
            </w:r>
          </w:p>
        </w:tc>
        <w:tc>
          <w:tcPr>
            <w:tcW w:w="1250" w:type="pct"/>
            <w:tcBorders>
              <w:top w:val="single" w:sz="4" w:space="0" w:color="auto"/>
              <w:left w:val="single" w:sz="4" w:space="0" w:color="auto"/>
              <w:bottom w:val="single" w:sz="4" w:space="0" w:color="auto"/>
              <w:right w:val="single" w:sz="4" w:space="0" w:color="auto"/>
            </w:tcBorders>
            <w:hideMark/>
          </w:tcPr>
          <w:p w14:paraId="3F825294"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39.5 </w:t>
            </w:r>
            <w:r w:rsidRPr="00B64CA9">
              <w:rPr>
                <w:rFonts w:ascii="Arial" w:hAnsi="Arial" w:cs="Arial"/>
                <w:bCs/>
                <w:i/>
                <w:color w:val="000000"/>
                <w:sz w:val="18"/>
                <w:szCs w:val="18"/>
              </w:rPr>
              <w:t xml:space="preserve">(32.1, </w:t>
            </w:r>
            <w:proofErr w:type="gramStart"/>
            <w:r w:rsidRPr="00B64CA9">
              <w:rPr>
                <w:rFonts w:ascii="Arial" w:hAnsi="Arial" w:cs="Arial"/>
                <w:bCs/>
                <w:i/>
                <w:color w:val="000000"/>
                <w:sz w:val="18"/>
                <w:szCs w:val="18"/>
              </w:rPr>
              <w:t>47.4)*</w:t>
            </w:r>
            <w:proofErr w:type="gramEnd"/>
            <w:r w:rsidRPr="00B64CA9">
              <w:rPr>
                <w:rFonts w:ascii="Arial" w:hAnsi="Arial" w:cs="Arial"/>
                <w:bCs/>
                <w:i/>
                <w:color w:val="000000"/>
                <w:sz w:val="18"/>
                <w:szCs w:val="18"/>
              </w:rPr>
              <w:t>*</w:t>
            </w:r>
            <w:r w:rsidRPr="00B64CA9">
              <w:rPr>
                <w:rFonts w:ascii="Arial" w:hAnsi="Arial" w:cs="Arial"/>
                <w:color w:val="000000"/>
                <w:sz w:val="18"/>
                <w:szCs w:val="18"/>
              </w:rPr>
              <w:t xml:space="preserve"> </w:t>
            </w:r>
          </w:p>
        </w:tc>
        <w:tc>
          <w:tcPr>
            <w:tcW w:w="1248" w:type="pct"/>
            <w:tcBorders>
              <w:top w:val="single" w:sz="4" w:space="0" w:color="auto"/>
              <w:left w:val="single" w:sz="4" w:space="0" w:color="auto"/>
              <w:bottom w:val="single" w:sz="4" w:space="0" w:color="auto"/>
              <w:right w:val="single" w:sz="4" w:space="0" w:color="auto"/>
            </w:tcBorders>
            <w:hideMark/>
          </w:tcPr>
          <w:p w14:paraId="05A6D821"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43.6 </w:t>
            </w:r>
            <w:r w:rsidRPr="00B64CA9">
              <w:rPr>
                <w:rFonts w:ascii="Arial" w:hAnsi="Arial" w:cs="Arial"/>
                <w:bCs/>
                <w:i/>
                <w:color w:val="000000"/>
                <w:sz w:val="18"/>
                <w:szCs w:val="18"/>
              </w:rPr>
              <w:t xml:space="preserve">(36.2, </w:t>
            </w:r>
            <w:proofErr w:type="gramStart"/>
            <w:r w:rsidRPr="00B64CA9">
              <w:rPr>
                <w:rFonts w:ascii="Arial" w:hAnsi="Arial" w:cs="Arial"/>
                <w:bCs/>
                <w:i/>
                <w:color w:val="000000"/>
                <w:sz w:val="18"/>
                <w:szCs w:val="18"/>
              </w:rPr>
              <w:t>51.3)*</w:t>
            </w:r>
            <w:proofErr w:type="gramEnd"/>
            <w:r w:rsidRPr="00B64CA9">
              <w:rPr>
                <w:rFonts w:ascii="Arial" w:hAnsi="Arial" w:cs="Arial"/>
                <w:bCs/>
                <w:i/>
                <w:color w:val="000000"/>
                <w:sz w:val="18"/>
                <w:szCs w:val="18"/>
              </w:rPr>
              <w:t>*</w:t>
            </w:r>
          </w:p>
        </w:tc>
      </w:tr>
      <w:tr w:rsidR="00A22371" w:rsidRPr="00B64CA9" w14:paraId="4AAECC36" w14:textId="77777777" w:rsidTr="00B83784">
        <w:trPr>
          <w:cantSplit/>
        </w:trPr>
        <w:tc>
          <w:tcPr>
            <w:tcW w:w="1252" w:type="pct"/>
            <w:tcBorders>
              <w:top w:val="single" w:sz="4" w:space="0" w:color="auto"/>
              <w:left w:val="single" w:sz="4" w:space="0" w:color="auto"/>
              <w:bottom w:val="single" w:sz="4" w:space="0" w:color="auto"/>
              <w:right w:val="single" w:sz="4" w:space="0" w:color="auto"/>
            </w:tcBorders>
            <w:vAlign w:val="bottom"/>
            <w:hideMark/>
          </w:tcPr>
          <w:p w14:paraId="52218B0F" w14:textId="77777777" w:rsidR="00A22371" w:rsidRPr="00B64CA9" w:rsidRDefault="00A22371" w:rsidP="00B83784">
            <w:pPr>
              <w:pStyle w:val="Text"/>
              <w:keepNext/>
              <w:rPr>
                <w:rFonts w:ascii="Arial" w:hAnsi="Arial" w:cs="Arial"/>
                <w:sz w:val="18"/>
                <w:szCs w:val="18"/>
              </w:rPr>
            </w:pPr>
            <w:r w:rsidRPr="00B64CA9">
              <w:rPr>
                <w:rFonts w:ascii="Arial" w:hAnsi="Arial" w:cs="Arial"/>
                <w:sz w:val="18"/>
                <w:szCs w:val="18"/>
              </w:rPr>
              <w:t>BASDAI 50, %</w:t>
            </w:r>
          </w:p>
          <w:p w14:paraId="6BE0AD44" w14:textId="77777777" w:rsidR="00A22371" w:rsidRPr="00B64CA9" w:rsidRDefault="00A22371" w:rsidP="00B83784">
            <w:pPr>
              <w:pStyle w:val="Text"/>
              <w:keepNext/>
              <w:rPr>
                <w:rFonts w:ascii="Arial" w:hAnsi="Arial" w:cs="Arial"/>
                <w:i/>
                <w:sz w:val="18"/>
                <w:szCs w:val="18"/>
              </w:rPr>
            </w:pPr>
            <w:r w:rsidRPr="00B64CA9">
              <w:rPr>
                <w:rFonts w:ascii="Arial" w:hAnsi="Arial" w:cs="Arial"/>
                <w:i/>
                <w:sz w:val="18"/>
                <w:szCs w:val="18"/>
              </w:rPr>
              <w:t>(95% CI)</w:t>
            </w:r>
          </w:p>
        </w:tc>
        <w:tc>
          <w:tcPr>
            <w:tcW w:w="1250" w:type="pct"/>
            <w:tcBorders>
              <w:top w:val="single" w:sz="4" w:space="0" w:color="auto"/>
              <w:left w:val="single" w:sz="4" w:space="0" w:color="auto"/>
              <w:bottom w:val="single" w:sz="4" w:space="0" w:color="auto"/>
              <w:right w:val="single" w:sz="4" w:space="0" w:color="auto"/>
            </w:tcBorders>
            <w:hideMark/>
          </w:tcPr>
          <w:p w14:paraId="2563FC58"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9.8 </w:t>
            </w:r>
            <w:r w:rsidRPr="00B64CA9">
              <w:rPr>
                <w:rFonts w:ascii="Arial" w:hAnsi="Arial" w:cs="Arial"/>
                <w:i/>
                <w:color w:val="000000"/>
                <w:sz w:val="18"/>
                <w:szCs w:val="18"/>
              </w:rPr>
              <w:t>(5.9, 15.6)</w:t>
            </w:r>
            <w:r w:rsidRPr="00B64CA9">
              <w:rPr>
                <w:rFonts w:ascii="Arial" w:hAnsi="Arial" w:cs="Arial"/>
                <w:color w:val="000000"/>
                <w:sz w:val="18"/>
                <w:szCs w:val="18"/>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07D49284"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32.7 </w:t>
            </w:r>
            <w:r w:rsidRPr="00B64CA9">
              <w:rPr>
                <w:rFonts w:ascii="Arial" w:hAnsi="Arial" w:cs="Arial"/>
                <w:bCs/>
                <w:i/>
                <w:color w:val="000000"/>
                <w:sz w:val="18"/>
                <w:szCs w:val="18"/>
              </w:rPr>
              <w:t xml:space="preserve">(25.8, </w:t>
            </w:r>
            <w:proofErr w:type="gramStart"/>
            <w:r w:rsidRPr="00B64CA9">
              <w:rPr>
                <w:rFonts w:ascii="Arial" w:hAnsi="Arial" w:cs="Arial"/>
                <w:bCs/>
                <w:i/>
                <w:color w:val="000000"/>
                <w:sz w:val="18"/>
                <w:szCs w:val="18"/>
              </w:rPr>
              <w:t>40.5)*</w:t>
            </w:r>
            <w:proofErr w:type="gramEnd"/>
            <w:r w:rsidRPr="00B64CA9">
              <w:rPr>
                <w:rFonts w:ascii="Arial" w:hAnsi="Arial" w:cs="Arial"/>
                <w:bCs/>
                <w:i/>
                <w:color w:val="000000"/>
                <w:sz w:val="18"/>
                <w:szCs w:val="18"/>
              </w:rPr>
              <w:t>*</w:t>
            </w:r>
          </w:p>
        </w:tc>
        <w:tc>
          <w:tcPr>
            <w:tcW w:w="1248" w:type="pct"/>
            <w:tcBorders>
              <w:top w:val="single" w:sz="4" w:space="0" w:color="auto"/>
              <w:left w:val="single" w:sz="4" w:space="0" w:color="auto"/>
              <w:bottom w:val="single" w:sz="4" w:space="0" w:color="auto"/>
              <w:right w:val="single" w:sz="4" w:space="0" w:color="auto"/>
            </w:tcBorders>
            <w:hideMark/>
          </w:tcPr>
          <w:p w14:paraId="01057D91"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37.4 </w:t>
            </w:r>
            <w:r w:rsidRPr="00B64CA9">
              <w:rPr>
                <w:rFonts w:ascii="Arial" w:hAnsi="Arial" w:cs="Arial"/>
                <w:bCs/>
                <w:i/>
                <w:color w:val="000000"/>
                <w:sz w:val="18"/>
                <w:szCs w:val="18"/>
              </w:rPr>
              <w:t xml:space="preserve">(30.1, </w:t>
            </w:r>
            <w:proofErr w:type="gramStart"/>
            <w:r w:rsidRPr="00B64CA9">
              <w:rPr>
                <w:rFonts w:ascii="Arial" w:hAnsi="Arial" w:cs="Arial"/>
                <w:bCs/>
                <w:i/>
                <w:color w:val="000000"/>
                <w:sz w:val="18"/>
                <w:szCs w:val="18"/>
              </w:rPr>
              <w:t>45.4)*</w:t>
            </w:r>
            <w:proofErr w:type="gramEnd"/>
            <w:r w:rsidRPr="00B64CA9">
              <w:rPr>
                <w:rFonts w:ascii="Arial" w:hAnsi="Arial" w:cs="Arial"/>
                <w:bCs/>
                <w:i/>
                <w:color w:val="000000"/>
                <w:sz w:val="18"/>
                <w:szCs w:val="18"/>
              </w:rPr>
              <w:t>*</w:t>
            </w:r>
          </w:p>
        </w:tc>
      </w:tr>
      <w:tr w:rsidR="00A22371" w:rsidRPr="00B64CA9" w14:paraId="138A45DA" w14:textId="77777777" w:rsidTr="00B83784">
        <w:trPr>
          <w:cantSplit/>
        </w:trPr>
        <w:tc>
          <w:tcPr>
            <w:tcW w:w="1252" w:type="pct"/>
            <w:tcBorders>
              <w:top w:val="single" w:sz="4" w:space="0" w:color="auto"/>
              <w:left w:val="single" w:sz="4" w:space="0" w:color="auto"/>
              <w:bottom w:val="single" w:sz="4" w:space="0" w:color="auto"/>
              <w:right w:val="single" w:sz="4" w:space="0" w:color="auto"/>
            </w:tcBorders>
            <w:hideMark/>
          </w:tcPr>
          <w:p w14:paraId="2EDD17B9" w14:textId="77777777" w:rsidR="00A22371" w:rsidRPr="00B64CA9" w:rsidRDefault="00A22371" w:rsidP="00B83784">
            <w:pPr>
              <w:pStyle w:val="Text"/>
              <w:keepNext/>
              <w:rPr>
                <w:rFonts w:ascii="Arial" w:hAnsi="Arial" w:cs="Arial"/>
                <w:color w:val="000000"/>
                <w:sz w:val="18"/>
                <w:szCs w:val="18"/>
              </w:rPr>
            </w:pPr>
            <w:r w:rsidRPr="00B64CA9">
              <w:rPr>
                <w:rFonts w:ascii="Arial" w:hAnsi="Arial" w:cs="Arial"/>
                <w:color w:val="000000"/>
                <w:sz w:val="18"/>
                <w:szCs w:val="18"/>
              </w:rPr>
              <w:t>Spinal pain, VAS</w:t>
            </w:r>
          </w:p>
          <w:p w14:paraId="72E3ECEB" w14:textId="77777777" w:rsidR="00A22371" w:rsidRPr="00B64CA9" w:rsidRDefault="00A22371" w:rsidP="00B83784">
            <w:pPr>
              <w:pStyle w:val="Text"/>
              <w:keepNext/>
              <w:rPr>
                <w:rFonts w:ascii="Arial" w:hAnsi="Arial" w:cs="Arial"/>
                <w:i/>
                <w:color w:val="000000"/>
                <w:sz w:val="18"/>
                <w:szCs w:val="18"/>
              </w:rPr>
            </w:pPr>
            <w:r w:rsidRPr="00B64CA9">
              <w:rPr>
                <w:rFonts w:ascii="Arial" w:hAnsi="Arial" w:cs="Arial"/>
                <w:i/>
                <w:sz w:val="18"/>
                <w:szCs w:val="18"/>
              </w:rPr>
              <w:t>(95% CI)</w:t>
            </w:r>
          </w:p>
        </w:tc>
        <w:tc>
          <w:tcPr>
            <w:tcW w:w="1250" w:type="pct"/>
            <w:tcBorders>
              <w:top w:val="single" w:sz="4" w:space="0" w:color="auto"/>
              <w:left w:val="single" w:sz="4" w:space="0" w:color="auto"/>
              <w:bottom w:val="single" w:sz="4" w:space="0" w:color="auto"/>
              <w:right w:val="single" w:sz="4" w:space="0" w:color="auto"/>
            </w:tcBorders>
            <w:hideMark/>
          </w:tcPr>
          <w:p w14:paraId="2D04F5F9"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-13.6 </w:t>
            </w:r>
            <w:r w:rsidRPr="00B64CA9">
              <w:rPr>
                <w:rFonts w:ascii="Arial" w:hAnsi="Arial" w:cs="Arial"/>
                <w:i/>
                <w:color w:val="000000"/>
                <w:sz w:val="18"/>
                <w:szCs w:val="18"/>
              </w:rPr>
              <w:t>(-17.2, -10.0)</w:t>
            </w:r>
          </w:p>
        </w:tc>
        <w:tc>
          <w:tcPr>
            <w:tcW w:w="1250" w:type="pct"/>
            <w:tcBorders>
              <w:top w:val="single" w:sz="4" w:space="0" w:color="auto"/>
              <w:left w:val="single" w:sz="4" w:space="0" w:color="auto"/>
              <w:bottom w:val="single" w:sz="4" w:space="0" w:color="auto"/>
              <w:right w:val="single" w:sz="4" w:space="0" w:color="auto"/>
            </w:tcBorders>
            <w:hideMark/>
          </w:tcPr>
          <w:p w14:paraId="325D1C03"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-28.5 </w:t>
            </w:r>
            <w:r w:rsidRPr="00B64CA9">
              <w:rPr>
                <w:rFonts w:ascii="Arial" w:hAnsi="Arial" w:cs="Arial"/>
                <w:bCs/>
                <w:i/>
                <w:color w:val="000000"/>
                <w:sz w:val="18"/>
                <w:szCs w:val="18"/>
              </w:rPr>
              <w:t xml:space="preserve">(-32.2, </w:t>
            </w:r>
            <w:r w:rsidRPr="00B64CA9">
              <w:rPr>
                <w:rFonts w:ascii="Arial" w:hAnsi="Arial" w:cs="Arial"/>
                <w:bCs/>
                <w:i/>
                <w:color w:val="000000"/>
                <w:sz w:val="18"/>
                <w:szCs w:val="18"/>
              </w:rPr>
              <w:br/>
              <w:t>-24.</w:t>
            </w:r>
            <w:proofErr w:type="gramStart"/>
            <w:r w:rsidRPr="00B64CA9">
              <w:rPr>
                <w:rFonts w:ascii="Arial" w:hAnsi="Arial" w:cs="Arial"/>
                <w:bCs/>
                <w:i/>
                <w:color w:val="000000"/>
                <w:sz w:val="18"/>
                <w:szCs w:val="18"/>
              </w:rPr>
              <w:t>8)*</w:t>
            </w:r>
            <w:proofErr w:type="gramEnd"/>
            <w:r w:rsidRPr="00B64CA9">
              <w:rPr>
                <w:rFonts w:ascii="Arial" w:hAnsi="Arial" w:cs="Arial"/>
                <w:bCs/>
                <w:i/>
                <w:color w:val="000000"/>
                <w:sz w:val="18"/>
                <w:szCs w:val="18"/>
              </w:rPr>
              <w:t>*</w:t>
            </w:r>
          </w:p>
        </w:tc>
        <w:tc>
          <w:tcPr>
            <w:tcW w:w="1248" w:type="pct"/>
            <w:tcBorders>
              <w:top w:val="single" w:sz="4" w:space="0" w:color="auto"/>
              <w:left w:val="single" w:sz="4" w:space="0" w:color="auto"/>
              <w:bottom w:val="single" w:sz="4" w:space="0" w:color="auto"/>
              <w:right w:val="single" w:sz="4" w:space="0" w:color="auto"/>
            </w:tcBorders>
            <w:hideMark/>
          </w:tcPr>
          <w:p w14:paraId="39086EAA"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-26.5 </w:t>
            </w:r>
            <w:r w:rsidRPr="00B64CA9">
              <w:rPr>
                <w:rFonts w:ascii="Arial" w:hAnsi="Arial" w:cs="Arial"/>
                <w:bCs/>
                <w:i/>
                <w:color w:val="000000"/>
                <w:sz w:val="18"/>
                <w:szCs w:val="18"/>
              </w:rPr>
              <w:t xml:space="preserve">(-30.1, </w:t>
            </w:r>
            <w:r w:rsidRPr="00B64CA9">
              <w:rPr>
                <w:rFonts w:ascii="Arial" w:hAnsi="Arial" w:cs="Arial"/>
                <w:bCs/>
                <w:i/>
                <w:color w:val="000000"/>
                <w:sz w:val="18"/>
                <w:szCs w:val="18"/>
              </w:rPr>
              <w:br/>
              <w:t>-22.</w:t>
            </w:r>
            <w:proofErr w:type="gramStart"/>
            <w:r w:rsidRPr="00B64CA9">
              <w:rPr>
                <w:rFonts w:ascii="Arial" w:hAnsi="Arial" w:cs="Arial"/>
                <w:bCs/>
                <w:i/>
                <w:color w:val="000000"/>
                <w:sz w:val="18"/>
                <w:szCs w:val="18"/>
              </w:rPr>
              <w:t>9)*</w:t>
            </w:r>
            <w:proofErr w:type="gramEnd"/>
            <w:r w:rsidRPr="00B64CA9">
              <w:rPr>
                <w:rFonts w:ascii="Arial" w:hAnsi="Arial" w:cs="Arial"/>
                <w:bCs/>
                <w:i/>
                <w:color w:val="000000"/>
                <w:sz w:val="18"/>
                <w:szCs w:val="18"/>
              </w:rPr>
              <w:t>*</w:t>
            </w:r>
          </w:p>
        </w:tc>
      </w:tr>
      <w:tr w:rsidR="00A22371" w:rsidRPr="00B64CA9" w14:paraId="0E92E057" w14:textId="77777777" w:rsidTr="00B83784">
        <w:trPr>
          <w:cantSplit/>
        </w:trPr>
        <w:tc>
          <w:tcPr>
            <w:tcW w:w="1252" w:type="pct"/>
            <w:tcBorders>
              <w:top w:val="single" w:sz="4" w:space="0" w:color="auto"/>
              <w:left w:val="single" w:sz="4" w:space="0" w:color="auto"/>
              <w:bottom w:val="single" w:sz="4" w:space="0" w:color="auto"/>
              <w:right w:val="single" w:sz="4" w:space="0" w:color="auto"/>
            </w:tcBorders>
            <w:hideMark/>
          </w:tcPr>
          <w:p w14:paraId="3AA68AB9" w14:textId="77777777" w:rsidR="00A22371" w:rsidRPr="00B64CA9" w:rsidRDefault="00A22371" w:rsidP="00B83784">
            <w:pPr>
              <w:pStyle w:val="Text"/>
              <w:keepNext/>
              <w:rPr>
                <w:rFonts w:ascii="Arial" w:hAnsi="Arial" w:cs="Arial"/>
                <w:color w:val="000000"/>
                <w:sz w:val="18"/>
                <w:szCs w:val="18"/>
              </w:rPr>
            </w:pPr>
            <w:r w:rsidRPr="00B64CA9">
              <w:rPr>
                <w:rFonts w:ascii="Arial" w:hAnsi="Arial" w:cs="Arial"/>
                <w:color w:val="000000"/>
                <w:sz w:val="18"/>
                <w:szCs w:val="18"/>
              </w:rPr>
              <w:t>Physical function, HAQDI</w:t>
            </w:r>
          </w:p>
          <w:p w14:paraId="22249C79" w14:textId="77777777" w:rsidR="00A22371" w:rsidRPr="00B64CA9" w:rsidRDefault="00A22371" w:rsidP="00B83784">
            <w:pPr>
              <w:pStyle w:val="Text"/>
              <w:keepNext/>
              <w:rPr>
                <w:rFonts w:ascii="Arial" w:hAnsi="Arial" w:cs="Arial"/>
                <w:i/>
                <w:color w:val="000000"/>
                <w:sz w:val="18"/>
                <w:szCs w:val="18"/>
              </w:rPr>
            </w:pPr>
            <w:r w:rsidRPr="00B64CA9">
              <w:rPr>
                <w:rFonts w:ascii="Arial" w:hAnsi="Arial" w:cs="Arial"/>
                <w:i/>
                <w:sz w:val="18"/>
                <w:szCs w:val="18"/>
              </w:rPr>
              <w:t>(95% CI)</w:t>
            </w:r>
          </w:p>
        </w:tc>
        <w:tc>
          <w:tcPr>
            <w:tcW w:w="1250" w:type="pct"/>
            <w:tcBorders>
              <w:top w:val="single" w:sz="4" w:space="0" w:color="auto"/>
              <w:left w:val="single" w:sz="4" w:space="0" w:color="auto"/>
              <w:bottom w:val="single" w:sz="4" w:space="0" w:color="auto"/>
              <w:right w:val="single" w:sz="4" w:space="0" w:color="auto"/>
            </w:tcBorders>
            <w:hideMark/>
          </w:tcPr>
          <w:p w14:paraId="71938973"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-0.155 </w:t>
            </w:r>
            <w:r w:rsidRPr="00B64CA9">
              <w:rPr>
                <w:rFonts w:ascii="Arial" w:hAnsi="Arial" w:cs="Arial"/>
                <w:i/>
                <w:color w:val="000000"/>
                <w:sz w:val="18"/>
                <w:szCs w:val="18"/>
              </w:rPr>
              <w:t xml:space="preserve">(-0.224, </w:t>
            </w:r>
            <w:r w:rsidRPr="00B64CA9">
              <w:rPr>
                <w:rFonts w:ascii="Arial" w:hAnsi="Arial" w:cs="Arial"/>
                <w:i/>
                <w:color w:val="000000"/>
                <w:sz w:val="18"/>
                <w:szCs w:val="18"/>
              </w:rPr>
              <w:br/>
              <w:t>-0.086)</w:t>
            </w:r>
          </w:p>
        </w:tc>
        <w:tc>
          <w:tcPr>
            <w:tcW w:w="1250" w:type="pct"/>
            <w:tcBorders>
              <w:top w:val="single" w:sz="4" w:space="0" w:color="auto"/>
              <w:left w:val="single" w:sz="4" w:space="0" w:color="auto"/>
              <w:bottom w:val="single" w:sz="4" w:space="0" w:color="auto"/>
              <w:right w:val="single" w:sz="4" w:space="0" w:color="auto"/>
            </w:tcBorders>
            <w:hideMark/>
          </w:tcPr>
          <w:p w14:paraId="440CE329"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-0.330 </w:t>
            </w:r>
            <w:r w:rsidRPr="00B64CA9">
              <w:rPr>
                <w:rFonts w:ascii="Arial" w:hAnsi="Arial" w:cs="Arial"/>
                <w:bCs/>
                <w:i/>
                <w:color w:val="000000"/>
                <w:sz w:val="18"/>
                <w:szCs w:val="18"/>
              </w:rPr>
              <w:t xml:space="preserve">(-0.401, </w:t>
            </w:r>
            <w:r w:rsidRPr="00B64CA9">
              <w:rPr>
                <w:rFonts w:ascii="Arial" w:hAnsi="Arial" w:cs="Arial"/>
                <w:sz w:val="18"/>
                <w:szCs w:val="18"/>
              </w:rPr>
              <w:br w:type="textWrapping" w:clear="all"/>
            </w:r>
            <w:r w:rsidRPr="00B64CA9">
              <w:rPr>
                <w:rFonts w:ascii="Arial" w:hAnsi="Arial" w:cs="Arial"/>
                <w:bCs/>
                <w:i/>
                <w:color w:val="000000"/>
                <w:sz w:val="18"/>
                <w:szCs w:val="18"/>
              </w:rPr>
              <w:t>-0.</w:t>
            </w:r>
            <w:proofErr w:type="gramStart"/>
            <w:r w:rsidRPr="00B64CA9">
              <w:rPr>
                <w:rFonts w:ascii="Arial" w:hAnsi="Arial" w:cs="Arial"/>
                <w:bCs/>
                <w:i/>
                <w:color w:val="000000"/>
                <w:sz w:val="18"/>
                <w:szCs w:val="18"/>
              </w:rPr>
              <w:t>259)*</w:t>
            </w:r>
            <w:proofErr w:type="gramEnd"/>
            <w:r w:rsidRPr="00B64CA9">
              <w:rPr>
                <w:rFonts w:ascii="Arial" w:hAnsi="Arial" w:cs="Arial"/>
                <w:bCs/>
                <w:i/>
                <w:color w:val="000000"/>
                <w:sz w:val="18"/>
                <w:szCs w:val="18"/>
              </w:rPr>
              <w:t>*</w:t>
            </w:r>
          </w:p>
        </w:tc>
        <w:tc>
          <w:tcPr>
            <w:tcW w:w="1248" w:type="pct"/>
            <w:tcBorders>
              <w:top w:val="single" w:sz="4" w:space="0" w:color="auto"/>
              <w:left w:val="single" w:sz="4" w:space="0" w:color="auto"/>
              <w:bottom w:val="single" w:sz="4" w:space="0" w:color="auto"/>
              <w:right w:val="single" w:sz="4" w:space="0" w:color="auto"/>
            </w:tcBorders>
            <w:hideMark/>
          </w:tcPr>
          <w:p w14:paraId="3D736267" w14:textId="77777777" w:rsidR="00A22371" w:rsidRPr="00B64CA9" w:rsidRDefault="00A22371" w:rsidP="00B83784">
            <w:pPr>
              <w:pStyle w:val="Text"/>
              <w:keepNext/>
              <w:jc w:val="center"/>
              <w:rPr>
                <w:rFonts w:ascii="Arial" w:hAnsi="Arial" w:cs="Arial"/>
                <w:color w:val="000000"/>
                <w:sz w:val="18"/>
                <w:szCs w:val="18"/>
              </w:rPr>
            </w:pPr>
            <w:r w:rsidRPr="00B64CA9">
              <w:rPr>
                <w:rFonts w:ascii="Arial" w:hAnsi="Arial" w:cs="Arial"/>
                <w:color w:val="000000"/>
                <w:sz w:val="18"/>
                <w:szCs w:val="18"/>
              </w:rPr>
              <w:t xml:space="preserve">-0.389 </w:t>
            </w:r>
            <w:r w:rsidRPr="00B64CA9">
              <w:rPr>
                <w:rFonts w:ascii="Arial" w:hAnsi="Arial" w:cs="Arial"/>
                <w:bCs/>
                <w:i/>
                <w:color w:val="000000"/>
                <w:sz w:val="18"/>
                <w:szCs w:val="18"/>
              </w:rPr>
              <w:t xml:space="preserve">(-0.458, </w:t>
            </w:r>
            <w:r w:rsidRPr="00B64CA9">
              <w:rPr>
                <w:rFonts w:ascii="Arial" w:hAnsi="Arial" w:cs="Arial"/>
                <w:sz w:val="18"/>
                <w:szCs w:val="18"/>
              </w:rPr>
              <w:br w:type="textWrapping" w:clear="all"/>
            </w:r>
            <w:r w:rsidRPr="00B64CA9">
              <w:rPr>
                <w:rFonts w:ascii="Arial" w:hAnsi="Arial" w:cs="Arial"/>
                <w:bCs/>
                <w:i/>
                <w:color w:val="000000"/>
                <w:sz w:val="18"/>
                <w:szCs w:val="18"/>
              </w:rPr>
              <w:t>-0.</w:t>
            </w:r>
            <w:proofErr w:type="gramStart"/>
            <w:r w:rsidRPr="00B64CA9">
              <w:rPr>
                <w:rFonts w:ascii="Arial" w:hAnsi="Arial" w:cs="Arial"/>
                <w:bCs/>
                <w:i/>
                <w:color w:val="000000"/>
                <w:sz w:val="18"/>
                <w:szCs w:val="18"/>
              </w:rPr>
              <w:t>320)*</w:t>
            </w:r>
            <w:proofErr w:type="gramEnd"/>
            <w:r w:rsidRPr="00B64CA9">
              <w:rPr>
                <w:rFonts w:ascii="Arial" w:hAnsi="Arial" w:cs="Arial"/>
                <w:bCs/>
                <w:i/>
                <w:color w:val="000000"/>
                <w:sz w:val="18"/>
                <w:szCs w:val="18"/>
              </w:rPr>
              <w:t>*</w:t>
            </w:r>
          </w:p>
        </w:tc>
      </w:tr>
      <w:tr w:rsidR="00A22371" w:rsidRPr="00B64CA9" w14:paraId="475D03FB" w14:textId="77777777" w:rsidTr="00B83784">
        <w:trPr>
          <w:cantSplit/>
        </w:trPr>
        <w:tc>
          <w:tcPr>
            <w:tcW w:w="5000" w:type="pct"/>
            <w:gridSpan w:val="4"/>
            <w:tcBorders>
              <w:top w:val="single" w:sz="4" w:space="0" w:color="auto"/>
              <w:left w:val="nil"/>
              <w:bottom w:val="nil"/>
              <w:right w:val="nil"/>
            </w:tcBorders>
            <w:hideMark/>
          </w:tcPr>
          <w:p w14:paraId="33B511B1" w14:textId="77777777" w:rsidR="00A22371" w:rsidRPr="00B64CA9" w:rsidRDefault="00A22371" w:rsidP="00B83784">
            <w:pPr>
              <w:pStyle w:val="Text"/>
              <w:rPr>
                <w:rFonts w:ascii="Arial" w:hAnsi="Arial" w:cs="Arial"/>
                <w:bCs/>
                <w:i/>
                <w:sz w:val="16"/>
                <w:szCs w:val="16"/>
              </w:rPr>
            </w:pPr>
            <w:r w:rsidRPr="00B64CA9">
              <w:rPr>
                <w:rFonts w:ascii="Arial" w:hAnsi="Arial" w:cs="Arial"/>
                <w:bCs/>
                <w:i/>
                <w:sz w:val="16"/>
                <w:szCs w:val="16"/>
              </w:rPr>
              <w:t>** Comparison versus placebo was not adjusted for multiplicity.</w:t>
            </w:r>
          </w:p>
          <w:p w14:paraId="447493F5" w14:textId="77777777" w:rsidR="00A22371" w:rsidRPr="00B64CA9" w:rsidRDefault="00A22371" w:rsidP="00B83784">
            <w:pPr>
              <w:pStyle w:val="Text"/>
              <w:rPr>
                <w:rFonts w:ascii="Arial" w:hAnsi="Arial" w:cs="Arial"/>
                <w:sz w:val="18"/>
                <w:szCs w:val="18"/>
              </w:rPr>
            </w:pPr>
            <w:r w:rsidRPr="00B64CA9">
              <w:rPr>
                <w:rFonts w:ascii="Arial" w:hAnsi="Arial" w:cs="Arial"/>
                <w:i/>
                <w:sz w:val="16"/>
                <w:szCs w:val="16"/>
              </w:rPr>
              <w:t xml:space="preserve">ASAS: Assessment of </w:t>
            </w:r>
            <w:proofErr w:type="spellStart"/>
            <w:r w:rsidRPr="00B64CA9">
              <w:rPr>
                <w:rFonts w:ascii="Arial" w:hAnsi="Arial" w:cs="Arial"/>
                <w:i/>
                <w:sz w:val="16"/>
                <w:szCs w:val="16"/>
              </w:rPr>
              <w:t>SpondyloArthritis</w:t>
            </w:r>
            <w:proofErr w:type="spellEnd"/>
            <w:r w:rsidRPr="00B64CA9">
              <w:rPr>
                <w:rFonts w:ascii="Arial" w:hAnsi="Arial" w:cs="Arial"/>
                <w:i/>
                <w:sz w:val="16"/>
                <w:szCs w:val="16"/>
              </w:rPr>
              <w:t xml:space="preserve"> International Society Criteria; BASDAI: Bath Ankylosing Spondylitis Disease Activity Index; VAS: Visual Analog Scale; HAQDI: Health Assessment Questionnaire – Disability Index.</w:t>
            </w:r>
          </w:p>
        </w:tc>
      </w:tr>
      <w:bookmarkEnd w:id="14"/>
      <w:bookmarkEnd w:id="15"/>
    </w:tbl>
    <w:p w14:paraId="566E9630" w14:textId="77777777" w:rsidR="00530A34" w:rsidRPr="00B64CA9" w:rsidRDefault="00530A34" w:rsidP="002D07A3">
      <w:pPr>
        <w:spacing w:after="120"/>
        <w:jc w:val="both"/>
        <w:rPr>
          <w:rFonts w:asciiTheme="majorHAnsi" w:eastAsiaTheme="majorEastAsia" w:hAnsiTheme="majorHAnsi" w:cstheme="minorHAnsi"/>
          <w:b/>
          <w:bCs/>
        </w:rPr>
      </w:pPr>
    </w:p>
    <w:p w14:paraId="6B849FC1"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Physical function and health related quality of life</w:t>
      </w:r>
    </w:p>
    <w:p w14:paraId="59F193AA" w14:textId="77777777" w:rsidR="00F62A4F" w:rsidRPr="00B64CA9" w:rsidRDefault="00F62A4F" w:rsidP="002D07A3">
      <w:pPr>
        <w:jc w:val="both"/>
        <w:rPr>
          <w:rFonts w:cs="Arial"/>
        </w:rPr>
      </w:pPr>
      <w:r w:rsidRPr="00B64CA9">
        <w:rPr>
          <w:rFonts w:cs="Arial"/>
        </w:rPr>
        <w:t>In PsA</w:t>
      </w:r>
      <w:r w:rsidR="006D6F1E" w:rsidRPr="00B64CA9">
        <w:rPr>
          <w:rFonts w:cs="Arial"/>
        </w:rPr>
        <w:t>2 and PsA3</w:t>
      </w:r>
      <w:r w:rsidRPr="00B64CA9">
        <w:rPr>
          <w:rFonts w:cs="Arial"/>
        </w:rPr>
        <w:t xml:space="preserve"> Stud</w:t>
      </w:r>
      <w:r w:rsidR="006D6F1E" w:rsidRPr="00B64CA9">
        <w:rPr>
          <w:rFonts w:cs="Arial"/>
        </w:rPr>
        <w:t>ies</w:t>
      </w:r>
      <w:r w:rsidRPr="00B64CA9">
        <w:rPr>
          <w:rFonts w:cs="Arial"/>
        </w:rPr>
        <w:t xml:space="preserve">, patients treated with COSENTYX 150 mg and 300 mg showed improvement in physical function compared to patients treated with placebo as assessed by </w:t>
      </w:r>
      <w:r w:rsidR="00CE20CB" w:rsidRPr="00B64CA9">
        <w:rPr>
          <w:rFonts w:cs="Arial"/>
        </w:rPr>
        <w:t xml:space="preserve">change from baseline in </w:t>
      </w:r>
      <w:r w:rsidRPr="00B64CA9">
        <w:rPr>
          <w:rFonts w:cs="Arial"/>
        </w:rPr>
        <w:t>Heath Assessment Questionnaire-Disability Index (HAQ-DI) at Week 24</w:t>
      </w:r>
      <w:r w:rsidR="00CE20CB" w:rsidRPr="00B64CA9">
        <w:rPr>
          <w:rFonts w:cs="Arial"/>
        </w:rPr>
        <w:t xml:space="preserve"> and Week 16</w:t>
      </w:r>
      <w:r w:rsidR="006D6F1E" w:rsidRPr="00B64CA9">
        <w:rPr>
          <w:rFonts w:cs="Arial"/>
        </w:rPr>
        <w:t>, respectively</w:t>
      </w:r>
      <w:r w:rsidRPr="00B64CA9">
        <w:rPr>
          <w:rFonts w:cs="Arial"/>
        </w:rPr>
        <w:t>.</w:t>
      </w:r>
      <w:r w:rsidR="00F52032" w:rsidRPr="00B64CA9">
        <w:rPr>
          <w:rFonts w:cs="Arial"/>
        </w:rPr>
        <w:t xml:space="preserve"> </w:t>
      </w:r>
      <w:r w:rsidR="00CE20CB" w:rsidRPr="00B64CA9">
        <w:rPr>
          <w:rFonts w:cs="Arial"/>
        </w:rPr>
        <w:t>In PsA3 study, the change from baseline in HAQ-DI was -0.44 and -0.55 for COSENTYX 150 mg and 300 mg, respectively, versus -0.21 for placebo (&lt;0.0001).</w:t>
      </w:r>
      <w:r w:rsidRPr="00B64CA9">
        <w:rPr>
          <w:rFonts w:cs="Arial"/>
        </w:rPr>
        <w:t xml:space="preserve"> Improvements in HAQ-DI scores were seen regardless of previous anti-TNF-alpha exposure. </w:t>
      </w:r>
    </w:p>
    <w:p w14:paraId="23BAD7F9" w14:textId="77777777" w:rsidR="00F62A4F" w:rsidRPr="00B64CA9" w:rsidRDefault="00F62A4F" w:rsidP="002D07A3">
      <w:pPr>
        <w:jc w:val="both"/>
        <w:rPr>
          <w:rFonts w:cs="Arial"/>
        </w:rPr>
      </w:pPr>
      <w:r w:rsidRPr="00B64CA9">
        <w:rPr>
          <w:rFonts w:cs="Arial"/>
        </w:rPr>
        <w:lastRenderedPageBreak/>
        <w:t>COSENTYX-treated patients reported significant improvements in health-related quality of life as measured by the Short Form (36) Health Survey Physical Component Summary (SF 36 PCS) score (p&lt;0.001)</w:t>
      </w:r>
      <w:r w:rsidR="00F52032" w:rsidRPr="00B64CA9">
        <w:rPr>
          <w:rFonts w:cs="Arial"/>
        </w:rPr>
        <w:t xml:space="preserve"> and these improvements were maintained up to Week 104 in PsA2</w:t>
      </w:r>
      <w:r w:rsidRPr="00B64CA9">
        <w:rPr>
          <w:rFonts w:cs="Arial"/>
        </w:rPr>
        <w:t>.</w:t>
      </w:r>
    </w:p>
    <w:p w14:paraId="51FC1E8F" w14:textId="77777777" w:rsidR="001603B3" w:rsidRPr="00B64CA9" w:rsidRDefault="001603B3" w:rsidP="002D07A3">
      <w:pPr>
        <w:spacing w:after="120"/>
        <w:jc w:val="both"/>
        <w:rPr>
          <w:rFonts w:asciiTheme="majorHAnsi" w:eastAsiaTheme="majorEastAsia" w:hAnsiTheme="majorHAnsi" w:cstheme="minorHAnsi"/>
          <w:b/>
          <w:bCs/>
          <w:u w:val="single"/>
        </w:rPr>
      </w:pPr>
      <w:r w:rsidRPr="00B64CA9">
        <w:rPr>
          <w:rFonts w:asciiTheme="majorHAnsi" w:eastAsiaTheme="majorEastAsia" w:hAnsiTheme="majorHAnsi" w:cstheme="minorHAnsi"/>
          <w:b/>
          <w:bCs/>
          <w:u w:val="single"/>
        </w:rPr>
        <w:t xml:space="preserve">Axial </w:t>
      </w:r>
      <w:proofErr w:type="spellStart"/>
      <w:r w:rsidRPr="00B64CA9">
        <w:rPr>
          <w:rFonts w:asciiTheme="majorHAnsi" w:eastAsiaTheme="majorEastAsia" w:hAnsiTheme="majorHAnsi" w:cstheme="minorHAnsi"/>
          <w:b/>
          <w:bCs/>
          <w:u w:val="single"/>
        </w:rPr>
        <w:t>spondyloarthritis</w:t>
      </w:r>
      <w:proofErr w:type="spellEnd"/>
      <w:r w:rsidRPr="00B64CA9">
        <w:rPr>
          <w:rFonts w:asciiTheme="majorHAnsi" w:eastAsiaTheme="majorEastAsia" w:hAnsiTheme="majorHAnsi" w:cstheme="minorHAnsi"/>
          <w:b/>
          <w:bCs/>
          <w:u w:val="single"/>
        </w:rPr>
        <w:t xml:space="preserve"> (</w:t>
      </w:r>
      <w:proofErr w:type="spellStart"/>
      <w:r w:rsidRPr="00B64CA9">
        <w:rPr>
          <w:rFonts w:asciiTheme="majorHAnsi" w:eastAsiaTheme="majorEastAsia" w:hAnsiTheme="majorHAnsi" w:cstheme="minorHAnsi"/>
          <w:b/>
          <w:bCs/>
          <w:u w:val="single"/>
        </w:rPr>
        <w:t>axSpA</w:t>
      </w:r>
      <w:proofErr w:type="spellEnd"/>
      <w:r w:rsidRPr="00B64CA9">
        <w:rPr>
          <w:rFonts w:asciiTheme="majorHAnsi" w:eastAsiaTheme="majorEastAsia" w:hAnsiTheme="majorHAnsi" w:cstheme="minorHAnsi"/>
          <w:b/>
          <w:bCs/>
          <w:u w:val="single"/>
        </w:rPr>
        <w:t>) with or without radiographic damage</w:t>
      </w:r>
    </w:p>
    <w:p w14:paraId="502D2924" w14:textId="77777777" w:rsidR="00F62A4F" w:rsidRPr="00B64CA9" w:rsidRDefault="00F62A4F" w:rsidP="002D07A3">
      <w:pPr>
        <w:spacing w:after="120"/>
        <w:jc w:val="both"/>
        <w:rPr>
          <w:rFonts w:asciiTheme="majorHAnsi" w:eastAsiaTheme="majorEastAsia" w:hAnsiTheme="majorHAnsi" w:cstheme="minorHAnsi"/>
          <w:b/>
          <w:bCs/>
          <w:u w:val="single"/>
        </w:rPr>
      </w:pPr>
      <w:r w:rsidRPr="00B64CA9">
        <w:rPr>
          <w:rFonts w:asciiTheme="majorHAnsi" w:eastAsiaTheme="majorEastAsia" w:hAnsiTheme="majorHAnsi" w:cstheme="minorHAnsi"/>
          <w:b/>
          <w:bCs/>
          <w:u w:val="single"/>
        </w:rPr>
        <w:t>Ankylosing spondylitis</w:t>
      </w:r>
      <w:r w:rsidR="001603B3" w:rsidRPr="00B64CA9">
        <w:rPr>
          <w:rFonts w:asciiTheme="majorHAnsi" w:eastAsiaTheme="majorEastAsia" w:hAnsiTheme="majorHAnsi" w:cstheme="minorHAnsi"/>
          <w:b/>
          <w:bCs/>
          <w:u w:val="single"/>
        </w:rPr>
        <w:t xml:space="preserve"> (</w:t>
      </w:r>
      <w:proofErr w:type="spellStart"/>
      <w:r w:rsidR="001603B3" w:rsidRPr="00B64CA9">
        <w:rPr>
          <w:rFonts w:asciiTheme="majorHAnsi" w:eastAsiaTheme="majorEastAsia" w:hAnsiTheme="majorHAnsi" w:cstheme="minorHAnsi"/>
          <w:b/>
          <w:bCs/>
          <w:u w:val="single"/>
        </w:rPr>
        <w:t>axSpA</w:t>
      </w:r>
      <w:proofErr w:type="spellEnd"/>
      <w:r w:rsidR="001603B3" w:rsidRPr="00B64CA9">
        <w:rPr>
          <w:rFonts w:asciiTheme="majorHAnsi" w:eastAsiaTheme="majorEastAsia" w:hAnsiTheme="majorHAnsi" w:cstheme="minorHAnsi"/>
          <w:b/>
          <w:bCs/>
          <w:u w:val="single"/>
        </w:rPr>
        <w:t xml:space="preserve"> with radiographic damage)</w:t>
      </w:r>
    </w:p>
    <w:p w14:paraId="6F903812" w14:textId="77777777" w:rsidR="00F62A4F" w:rsidRPr="00B64CA9" w:rsidRDefault="00F62A4F" w:rsidP="002D07A3">
      <w:pPr>
        <w:jc w:val="both"/>
        <w:rPr>
          <w:rFonts w:cs="Arial"/>
        </w:rPr>
      </w:pPr>
      <w:r w:rsidRPr="00B64CA9">
        <w:rPr>
          <w:rFonts w:cs="Arial"/>
        </w:rPr>
        <w:t xml:space="preserve">The safety and efficacy of COSENTYX were assessed in </w:t>
      </w:r>
      <w:r w:rsidR="00FC0980" w:rsidRPr="00B64CA9">
        <w:rPr>
          <w:rFonts w:cs="Arial"/>
        </w:rPr>
        <w:t>816</w:t>
      </w:r>
      <w:r w:rsidRPr="00B64CA9">
        <w:rPr>
          <w:rFonts w:cs="Arial"/>
        </w:rPr>
        <w:t xml:space="preserve"> patients in </w:t>
      </w:r>
      <w:r w:rsidR="00FC1C14" w:rsidRPr="00B64CA9">
        <w:rPr>
          <w:rFonts w:cs="Arial"/>
        </w:rPr>
        <w:t>three</w:t>
      </w:r>
      <w:r w:rsidRPr="00B64CA9">
        <w:rPr>
          <w:rFonts w:cs="Arial"/>
        </w:rPr>
        <w:t xml:space="preserve"> randomised, double-blind, placebo-controlled phase III studies in patients with active ankylosing spondylitis (AS) with a Bath Ankylosing Spondylitis Disease Activity Index (BASDAI) ≥4 despite non-steroidal anti-inflammatory drug (NSAID), corticosteroid or disease-modifying anti-rheumatic drug (DMARD) therapy. Patients in </w:t>
      </w:r>
      <w:r w:rsidR="00FC1C14" w:rsidRPr="00B64CA9">
        <w:rPr>
          <w:rFonts w:cs="Arial"/>
        </w:rPr>
        <w:t>the AS1 Study and AS2 Study</w:t>
      </w:r>
      <w:r w:rsidRPr="00B64CA9">
        <w:rPr>
          <w:rFonts w:cs="Arial"/>
        </w:rPr>
        <w:t xml:space="preserve"> had a diagnosis of AS for a median of 2.7 to 5.8 years.</w:t>
      </w:r>
    </w:p>
    <w:p w14:paraId="0AC3FD42" w14:textId="77777777" w:rsidR="00F62A4F" w:rsidRPr="00B64CA9" w:rsidRDefault="00F62A4F" w:rsidP="002D07A3">
      <w:pPr>
        <w:jc w:val="both"/>
        <w:rPr>
          <w:rFonts w:cs="Arial"/>
        </w:rPr>
      </w:pPr>
      <w:r w:rsidRPr="00B64CA9">
        <w:rPr>
          <w:rFonts w:cs="Arial"/>
        </w:rPr>
        <w:t>In MEASURE 1 Study (AS1 Study)</w:t>
      </w:r>
      <w:r w:rsidR="00FC1C14" w:rsidRPr="00B64CA9">
        <w:rPr>
          <w:rFonts w:cs="Arial"/>
        </w:rPr>
        <w:t>,</w:t>
      </w:r>
      <w:r w:rsidRPr="00B64CA9">
        <w:rPr>
          <w:rFonts w:cs="Arial"/>
        </w:rPr>
        <w:t xml:space="preserve"> MEASURE 2 Study (AS2 Study)</w:t>
      </w:r>
      <w:r w:rsidR="00FC1C14" w:rsidRPr="00B64CA9">
        <w:rPr>
          <w:rFonts w:cs="Arial"/>
        </w:rPr>
        <w:t>, and MEASURE 3 Study (AS3 Study),</w:t>
      </w:r>
      <w:r w:rsidRPr="00B64CA9">
        <w:rPr>
          <w:rFonts w:cs="Arial"/>
        </w:rPr>
        <w:t xml:space="preserve"> 27.0%</w:t>
      </w:r>
      <w:r w:rsidR="00FC1C14" w:rsidRPr="00B64CA9">
        <w:rPr>
          <w:rFonts w:cs="Arial"/>
        </w:rPr>
        <w:t>,</w:t>
      </w:r>
      <w:r w:rsidRPr="00B64CA9">
        <w:rPr>
          <w:rFonts w:cs="Arial"/>
        </w:rPr>
        <w:t xml:space="preserve"> 38.8%</w:t>
      </w:r>
      <w:r w:rsidR="00FC1C14" w:rsidRPr="00B64CA9">
        <w:rPr>
          <w:rFonts w:cs="Arial"/>
        </w:rPr>
        <w:t>, and 23.5%</w:t>
      </w:r>
      <w:r w:rsidRPr="00B64CA9">
        <w:rPr>
          <w:rFonts w:cs="Arial"/>
        </w:rPr>
        <w:t xml:space="preserve"> of patients, respectively, were previously treated with an anti-TNF-alpha agent and discontinued the anti-TNFα agent for either lack of efficacy or intolerance (anti-TNF-alpha</w:t>
      </w:r>
      <w:r w:rsidRPr="00B64CA9" w:rsidDel="00971F69">
        <w:rPr>
          <w:rFonts w:cs="Arial"/>
        </w:rPr>
        <w:t xml:space="preserve"> </w:t>
      </w:r>
      <w:r w:rsidRPr="00B64CA9">
        <w:rPr>
          <w:rFonts w:cs="Arial"/>
        </w:rPr>
        <w:t>-IR patients).</w:t>
      </w:r>
    </w:p>
    <w:p w14:paraId="1BD7840D" w14:textId="77777777" w:rsidR="00F62A4F" w:rsidRPr="00B64CA9" w:rsidRDefault="00F62A4F" w:rsidP="002D07A3">
      <w:pPr>
        <w:jc w:val="both"/>
        <w:rPr>
          <w:rFonts w:cs="Arial"/>
        </w:rPr>
      </w:pPr>
      <w:r w:rsidRPr="00B64CA9">
        <w:rPr>
          <w:rFonts w:cs="Arial"/>
        </w:rPr>
        <w:t xml:space="preserve">Key exclusion criteria across pivotal trials were: patients with total ankylosis of the spine; use of high potency opioid analgesics; previous exposure to </w:t>
      </w:r>
      <w:proofErr w:type="spellStart"/>
      <w:r w:rsidRPr="00B64CA9">
        <w:rPr>
          <w:rFonts w:cs="Arial"/>
        </w:rPr>
        <w:t>secukinumab</w:t>
      </w:r>
      <w:proofErr w:type="spellEnd"/>
      <w:r w:rsidRPr="00B64CA9">
        <w:rPr>
          <w:rFonts w:cs="Arial"/>
        </w:rPr>
        <w:t xml:space="preserve"> or any other biologic drugs except for those targeting TNF-alpha, patients with active, ongoing inflammatory disease, other than AS;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B64CA9">
        <w:rPr>
          <w:rFonts w:cs="Arial"/>
        </w:rPr>
        <w:t>micromol</w:t>
      </w:r>
      <w:proofErr w:type="spellEnd"/>
      <w:r w:rsidRPr="00B64CA9">
        <w:rPr>
          <w:rFonts w:cs="Arial"/>
        </w:rPr>
        <w:t>/L or with white blood cell count &lt;3,000 /</w:t>
      </w:r>
      <w:proofErr w:type="spellStart"/>
      <w:r w:rsidRPr="00B64CA9">
        <w:rPr>
          <w:rFonts w:cs="Arial"/>
        </w:rPr>
        <w:t>microL</w:t>
      </w:r>
      <w:proofErr w:type="spellEnd"/>
      <w:r w:rsidRPr="00B64CA9">
        <w:rPr>
          <w:rFonts w:cs="Arial"/>
        </w:rPr>
        <w:t>, platelets &lt;100,000/</w:t>
      </w:r>
      <w:proofErr w:type="spellStart"/>
      <w:r w:rsidRPr="00B64CA9">
        <w:rPr>
          <w:rFonts w:cs="Arial"/>
        </w:rPr>
        <w:t>microL</w:t>
      </w:r>
      <w:proofErr w:type="spellEnd"/>
      <w:r w:rsidRPr="00B64CA9">
        <w:rPr>
          <w:rFonts w:cs="Arial"/>
        </w:rPr>
        <w:t>, neutrophils &lt;1,500/</w:t>
      </w:r>
      <w:proofErr w:type="spellStart"/>
      <w:r w:rsidRPr="00B64CA9">
        <w:rPr>
          <w:rFonts w:cs="Arial"/>
        </w:rPr>
        <w:t>microL</w:t>
      </w:r>
      <w:proofErr w:type="spellEnd"/>
      <w:r w:rsidRPr="00B64CA9">
        <w:rPr>
          <w:rFonts w:cs="Arial"/>
        </w:rPr>
        <w:t xml:space="preserve"> or haemoglobin &lt;8.5 g/dL; pregnant or nursing women; and women of child-bearing potential not using effective contraception during the study. </w:t>
      </w:r>
    </w:p>
    <w:p w14:paraId="35F1AD9B" w14:textId="77777777" w:rsidR="00F62A4F" w:rsidRPr="00B64CA9" w:rsidRDefault="00F62A4F" w:rsidP="002D07A3">
      <w:pPr>
        <w:jc w:val="both"/>
        <w:rPr>
          <w:rFonts w:cs="Arial"/>
        </w:rPr>
      </w:pPr>
      <w:r w:rsidRPr="00B64CA9">
        <w:rPr>
          <w:rFonts w:cs="Arial"/>
        </w:rPr>
        <w:t xml:space="preserve">AS1 Study evaluated 371 patients, of whom 14.8% and 33.4% used concomitant MTX or sulfasalazine, respectively. Patients randomised to COSENTYX received 10 mg/kg, </w:t>
      </w:r>
      <w:proofErr w:type="spellStart"/>
      <w:r w:rsidRPr="00B64CA9">
        <w:rPr>
          <w:rFonts w:cs="Arial"/>
        </w:rPr>
        <w:t>i.v.</w:t>
      </w:r>
      <w:proofErr w:type="spellEnd"/>
      <w:r w:rsidRPr="00B64CA9">
        <w:rPr>
          <w:rFonts w:cs="Arial"/>
        </w:rPr>
        <w:t xml:space="preserve"> at Weeks 0, 2, and 4, followed by either 75 mg or 150 mg </w:t>
      </w:r>
      <w:proofErr w:type="spellStart"/>
      <w:r w:rsidRPr="00B64CA9">
        <w:rPr>
          <w:rFonts w:cs="Arial"/>
        </w:rPr>
        <w:t>s.c.</w:t>
      </w:r>
      <w:proofErr w:type="spellEnd"/>
      <w:r w:rsidRPr="00B64CA9">
        <w:rPr>
          <w:rFonts w:cs="Arial"/>
        </w:rPr>
        <w:t xml:space="preserve"> every month starting at week 8. Patients randomised to placebo who were non-responders at Week 16 (early rescue) and all other placebo patients at Week 24 were crossed over to receive COSENTYX (either 75 mg or 150 mg </w:t>
      </w:r>
      <w:proofErr w:type="spellStart"/>
      <w:r w:rsidRPr="00B64CA9">
        <w:rPr>
          <w:rFonts w:cs="Arial"/>
        </w:rPr>
        <w:t>s.c.</w:t>
      </w:r>
      <w:proofErr w:type="spellEnd"/>
      <w:r w:rsidRPr="00B64CA9">
        <w:rPr>
          <w:rFonts w:cs="Arial"/>
        </w:rPr>
        <w:t>), followed by the same dose every month.</w:t>
      </w:r>
      <w:r w:rsidR="00742C11" w:rsidRPr="00B64CA9">
        <w:rPr>
          <w:rFonts w:cs="Arial"/>
        </w:rPr>
        <w:t xml:space="preserve"> The primary endpoint was at least a 20% improvement in Assessment of </w:t>
      </w:r>
      <w:proofErr w:type="spellStart"/>
      <w:r w:rsidR="00742C11" w:rsidRPr="00B64CA9">
        <w:rPr>
          <w:rFonts w:cs="Arial"/>
        </w:rPr>
        <w:t>Spondyloarthritis</w:t>
      </w:r>
      <w:proofErr w:type="spellEnd"/>
      <w:r w:rsidR="00742C11" w:rsidRPr="00B64CA9">
        <w:rPr>
          <w:rFonts w:cs="Arial"/>
        </w:rPr>
        <w:t xml:space="preserve"> International Society (ASAS 20) criteria at Week 16.</w:t>
      </w:r>
    </w:p>
    <w:p w14:paraId="139DE6B5" w14:textId="77777777" w:rsidR="00F62A4F" w:rsidRPr="00B64CA9" w:rsidRDefault="00F62A4F" w:rsidP="002D07A3">
      <w:pPr>
        <w:jc w:val="both"/>
        <w:rPr>
          <w:rFonts w:cs="Arial"/>
        </w:rPr>
      </w:pPr>
      <w:r w:rsidRPr="00B64CA9">
        <w:rPr>
          <w:rFonts w:cs="Arial"/>
        </w:rPr>
        <w:t xml:space="preserve">AS2 Study evaluated 219 patients, of whom 11.9% and 14.2% used concomitant MTX or sulfasalazine, respectively.  Patients randomised to COSENTYX received 75 mg or 150 mg </w:t>
      </w:r>
      <w:proofErr w:type="spellStart"/>
      <w:r w:rsidRPr="00B64CA9">
        <w:rPr>
          <w:rFonts w:cs="Arial"/>
        </w:rPr>
        <w:t>s.c.</w:t>
      </w:r>
      <w:proofErr w:type="spellEnd"/>
      <w:r w:rsidRPr="00B64CA9">
        <w:rPr>
          <w:rFonts w:cs="Arial"/>
        </w:rPr>
        <w:t xml:space="preserve"> at Weeks 0, 1, 2, 3, and 4 followed by the same dose every month. At Week 16, patients who were randomised to placebo at baseline were re-randomised to receive COSENTYX (either 75 mg or 150 mg) </w:t>
      </w:r>
      <w:proofErr w:type="spellStart"/>
      <w:r w:rsidRPr="00B64CA9">
        <w:rPr>
          <w:rFonts w:cs="Arial"/>
        </w:rPr>
        <w:t>s.c.</w:t>
      </w:r>
      <w:proofErr w:type="spellEnd"/>
      <w:r w:rsidRPr="00B64CA9">
        <w:rPr>
          <w:rFonts w:cs="Arial"/>
        </w:rPr>
        <w:t xml:space="preserve"> every month. </w:t>
      </w:r>
      <w:r w:rsidR="00742C11" w:rsidRPr="00B64CA9">
        <w:rPr>
          <w:rFonts w:cs="Arial"/>
        </w:rPr>
        <w:t xml:space="preserve"> The primary endpoint was ASAS 20 at Week 16.</w:t>
      </w:r>
    </w:p>
    <w:p w14:paraId="2BA8679A" w14:textId="77777777" w:rsidR="00742C11" w:rsidRPr="00B64CA9" w:rsidRDefault="00742C11" w:rsidP="002D07A3">
      <w:pPr>
        <w:jc w:val="both"/>
        <w:rPr>
          <w:rFonts w:cs="Arial"/>
        </w:rPr>
      </w:pPr>
      <w:r w:rsidRPr="00B64CA9">
        <w:rPr>
          <w:rFonts w:cs="Arial"/>
          <w:color w:val="000000" w:themeColor="text1"/>
        </w:rPr>
        <w:lastRenderedPageBreak/>
        <w:t xml:space="preserve">AS3 Study evaluated 226 patients, of whom 13.3% and 23.5% used concomitant MTX or sulfasalazine, respectively. Patients randomised to COSENTYX received 10 mg/kg, </w:t>
      </w:r>
      <w:proofErr w:type="spellStart"/>
      <w:r w:rsidRPr="00B64CA9">
        <w:rPr>
          <w:rFonts w:cs="Arial"/>
          <w:color w:val="000000" w:themeColor="text1"/>
        </w:rPr>
        <w:t>i.v.</w:t>
      </w:r>
      <w:proofErr w:type="spellEnd"/>
      <w:r w:rsidRPr="00B64CA9">
        <w:rPr>
          <w:rFonts w:cs="Arial"/>
          <w:color w:val="000000" w:themeColor="text1"/>
        </w:rPr>
        <w:t xml:space="preserve"> at Weeks 0, 2, and 4, followed by either 150 mg or 300 mg </w:t>
      </w:r>
      <w:proofErr w:type="spellStart"/>
      <w:r w:rsidRPr="00B64CA9">
        <w:rPr>
          <w:rFonts w:cs="Arial"/>
          <w:color w:val="000000" w:themeColor="text1"/>
        </w:rPr>
        <w:t>s.c.</w:t>
      </w:r>
      <w:proofErr w:type="spellEnd"/>
      <w:r w:rsidRPr="00B64CA9">
        <w:rPr>
          <w:rFonts w:cs="Arial"/>
          <w:color w:val="000000" w:themeColor="text1"/>
        </w:rPr>
        <w:t xml:space="preserve"> every month. At Week 16, patients who were randomised to placebo at baseline were re-randomised to receive Cosentyx (either 150 mg or 300 mg) </w:t>
      </w:r>
      <w:proofErr w:type="spellStart"/>
      <w:r w:rsidRPr="00B64CA9">
        <w:rPr>
          <w:rFonts w:cs="Arial"/>
          <w:color w:val="000000" w:themeColor="text1"/>
        </w:rPr>
        <w:t>s.c.</w:t>
      </w:r>
      <w:proofErr w:type="spellEnd"/>
      <w:r w:rsidRPr="00B64CA9">
        <w:rPr>
          <w:rFonts w:cs="Arial"/>
          <w:color w:val="000000" w:themeColor="text1"/>
        </w:rPr>
        <w:t xml:space="preserve"> every month. The primary end point was ASAS20 at Week 16. Patients were blinded to the treatment regimen up to Week 52, and the study continued to Week 156.</w:t>
      </w:r>
    </w:p>
    <w:p w14:paraId="769B3B1C"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Signs and symptoms</w:t>
      </w:r>
    </w:p>
    <w:p w14:paraId="3C379BE8" w14:textId="77777777" w:rsidR="00F62A4F" w:rsidRPr="00B64CA9" w:rsidRDefault="00F62A4F" w:rsidP="002D07A3">
      <w:pPr>
        <w:jc w:val="both"/>
        <w:rPr>
          <w:rFonts w:cs="Arial"/>
        </w:rPr>
      </w:pPr>
      <w:r w:rsidRPr="00B64CA9">
        <w:rPr>
          <w:rFonts w:cs="Arial"/>
        </w:rPr>
        <w:t xml:space="preserve">In AS2 Study, treatment with COSENTYX 150 mg resulted in greater improvement in measures of disease activity compared with placebo at Week 16 (see Table </w:t>
      </w:r>
      <w:r w:rsidR="00A22371" w:rsidRPr="00B64CA9">
        <w:rPr>
          <w:rFonts w:cs="Arial"/>
        </w:rPr>
        <w:t>18</w:t>
      </w:r>
      <w:r w:rsidRPr="00B64CA9">
        <w:rPr>
          <w:rFonts w:cs="Arial"/>
        </w:rPr>
        <w:t>).</w:t>
      </w:r>
      <w:bookmarkStart w:id="16" w:name="_Toc411604542"/>
    </w:p>
    <w:bookmarkEnd w:id="16"/>
    <w:p w14:paraId="3C64DB23" w14:textId="77777777" w:rsidR="00F62A4F" w:rsidRPr="00B64CA9" w:rsidRDefault="00F62A4F" w:rsidP="0081558E">
      <w:pPr>
        <w:spacing w:after="120"/>
        <w:ind w:left="1166" w:hanging="1166"/>
        <w:jc w:val="both"/>
        <w:rPr>
          <w:rFonts w:ascii="Arial" w:hAnsi="Arial" w:cs="Arial"/>
          <w:b/>
          <w:sz w:val="20"/>
        </w:rPr>
      </w:pPr>
      <w:r w:rsidRPr="00B64CA9">
        <w:rPr>
          <w:rFonts w:ascii="Arial" w:hAnsi="Arial" w:cs="Arial"/>
          <w:b/>
          <w:sz w:val="20"/>
        </w:rPr>
        <w:t xml:space="preserve">Table </w:t>
      </w:r>
      <w:r w:rsidR="00A22371" w:rsidRPr="00B64CA9">
        <w:rPr>
          <w:rFonts w:ascii="Arial" w:hAnsi="Arial" w:cs="Arial"/>
          <w:b/>
          <w:sz w:val="20"/>
        </w:rPr>
        <w:t>18</w:t>
      </w:r>
      <w:r w:rsidR="003028BF" w:rsidRPr="00B64CA9">
        <w:rPr>
          <w:rFonts w:ascii="Arial" w:hAnsi="Arial" w:cs="Arial"/>
          <w:b/>
          <w:sz w:val="20"/>
        </w:rPr>
        <w:t xml:space="preserve"> </w:t>
      </w:r>
      <w:r w:rsidRPr="00B64CA9">
        <w:rPr>
          <w:rFonts w:ascii="Arial" w:hAnsi="Arial" w:cs="Arial"/>
          <w:b/>
          <w:sz w:val="20"/>
        </w:rPr>
        <w:tab/>
        <w:t>Clinical response in AS2 Study at Week 16</w:t>
      </w:r>
    </w:p>
    <w:tbl>
      <w:tblPr>
        <w:tblStyle w:val="TableGrid4"/>
        <w:tblW w:w="8500" w:type="dxa"/>
        <w:tblLayout w:type="fixed"/>
        <w:tblCellMar>
          <w:top w:w="57" w:type="dxa"/>
          <w:bottom w:w="57" w:type="dxa"/>
        </w:tblCellMar>
        <w:tblLook w:val="04A0" w:firstRow="1" w:lastRow="0" w:firstColumn="1" w:lastColumn="0" w:noHBand="0" w:noVBand="1"/>
      </w:tblPr>
      <w:tblGrid>
        <w:gridCol w:w="3681"/>
        <w:gridCol w:w="1701"/>
        <w:gridCol w:w="1417"/>
        <w:gridCol w:w="1701"/>
      </w:tblGrid>
      <w:tr w:rsidR="00F62A4F" w:rsidRPr="00B64CA9" w14:paraId="47D27139" w14:textId="77777777" w:rsidTr="002D07A3">
        <w:trPr>
          <w:trHeight w:val="28"/>
          <w:tblHeader/>
        </w:trPr>
        <w:tc>
          <w:tcPr>
            <w:tcW w:w="3681" w:type="dxa"/>
            <w:vAlign w:val="center"/>
          </w:tcPr>
          <w:p w14:paraId="0437AEFA" w14:textId="77777777" w:rsidR="00F62A4F" w:rsidRPr="00B64CA9" w:rsidRDefault="00F62A4F" w:rsidP="0081558E">
            <w:pPr>
              <w:jc w:val="both"/>
              <w:rPr>
                <w:rFonts w:ascii="Arial" w:hAnsi="Arial" w:cs="Arial"/>
                <w:b/>
                <w:sz w:val="18"/>
                <w:szCs w:val="18"/>
                <w:lang w:val="en-AU"/>
              </w:rPr>
            </w:pPr>
            <w:r w:rsidRPr="00B64CA9">
              <w:rPr>
                <w:rFonts w:ascii="Arial" w:hAnsi="Arial" w:cs="Arial"/>
                <w:b/>
                <w:sz w:val="18"/>
                <w:szCs w:val="18"/>
              </w:rPr>
              <w:t>Outcome (p-value vs placebo)</w:t>
            </w:r>
          </w:p>
        </w:tc>
        <w:tc>
          <w:tcPr>
            <w:tcW w:w="1701" w:type="dxa"/>
            <w:vAlign w:val="center"/>
          </w:tcPr>
          <w:p w14:paraId="67405774"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Placebo</w:t>
            </w:r>
          </w:p>
          <w:p w14:paraId="2A67E48B"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(n = 74)</w:t>
            </w:r>
          </w:p>
        </w:tc>
        <w:tc>
          <w:tcPr>
            <w:tcW w:w="1417" w:type="dxa"/>
            <w:vAlign w:val="center"/>
          </w:tcPr>
          <w:p w14:paraId="6EB77572"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75 mg</w:t>
            </w:r>
          </w:p>
          <w:p w14:paraId="0F218529"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(n = 73)</w:t>
            </w:r>
          </w:p>
        </w:tc>
        <w:tc>
          <w:tcPr>
            <w:tcW w:w="1701" w:type="dxa"/>
            <w:vAlign w:val="center"/>
          </w:tcPr>
          <w:p w14:paraId="13FE3B5B"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150 mg</w:t>
            </w:r>
          </w:p>
          <w:p w14:paraId="1B37D426" w14:textId="77777777" w:rsidR="00F62A4F" w:rsidRPr="00B64CA9" w:rsidRDefault="00F62A4F" w:rsidP="00253D7C">
            <w:pPr>
              <w:jc w:val="center"/>
              <w:rPr>
                <w:rFonts w:ascii="Arial" w:hAnsi="Arial" w:cs="Arial"/>
                <w:b/>
                <w:sz w:val="18"/>
                <w:szCs w:val="18"/>
                <w:lang w:val="en-AU"/>
              </w:rPr>
            </w:pPr>
            <w:r w:rsidRPr="00B64CA9">
              <w:rPr>
                <w:rFonts w:ascii="Arial" w:hAnsi="Arial" w:cs="Arial"/>
                <w:b/>
                <w:sz w:val="18"/>
                <w:szCs w:val="18"/>
              </w:rPr>
              <w:t>(n = 72)</w:t>
            </w:r>
          </w:p>
        </w:tc>
      </w:tr>
      <w:tr w:rsidR="00F62A4F" w:rsidRPr="00B64CA9" w14:paraId="20066AA3" w14:textId="77777777" w:rsidTr="002D07A3">
        <w:trPr>
          <w:trHeight w:val="28"/>
          <w:tblHeader/>
        </w:trPr>
        <w:tc>
          <w:tcPr>
            <w:tcW w:w="3681" w:type="dxa"/>
            <w:vAlign w:val="center"/>
          </w:tcPr>
          <w:p w14:paraId="6F4E731E"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Efficacy at Week 16</w:t>
            </w:r>
          </w:p>
        </w:tc>
        <w:tc>
          <w:tcPr>
            <w:tcW w:w="1701" w:type="dxa"/>
            <w:vAlign w:val="center"/>
          </w:tcPr>
          <w:p w14:paraId="2FA336D1" w14:textId="77777777" w:rsidR="00F62A4F" w:rsidRPr="00B64CA9" w:rsidRDefault="00F62A4F" w:rsidP="0081558E">
            <w:pPr>
              <w:jc w:val="both"/>
              <w:rPr>
                <w:rFonts w:ascii="Arial" w:hAnsi="Arial" w:cs="Arial"/>
                <w:sz w:val="18"/>
                <w:szCs w:val="18"/>
                <w:lang w:val="en-AU"/>
              </w:rPr>
            </w:pPr>
          </w:p>
        </w:tc>
        <w:tc>
          <w:tcPr>
            <w:tcW w:w="1417" w:type="dxa"/>
            <w:vAlign w:val="center"/>
          </w:tcPr>
          <w:p w14:paraId="237ABF94" w14:textId="77777777" w:rsidR="00F62A4F" w:rsidRPr="00B64CA9" w:rsidRDefault="00F62A4F" w:rsidP="0081558E">
            <w:pPr>
              <w:jc w:val="both"/>
              <w:rPr>
                <w:rFonts w:ascii="Arial" w:hAnsi="Arial" w:cs="Arial"/>
                <w:sz w:val="18"/>
                <w:szCs w:val="18"/>
                <w:lang w:val="en-AU"/>
              </w:rPr>
            </w:pPr>
          </w:p>
        </w:tc>
        <w:tc>
          <w:tcPr>
            <w:tcW w:w="1701" w:type="dxa"/>
            <w:vAlign w:val="center"/>
          </w:tcPr>
          <w:p w14:paraId="37144777" w14:textId="77777777" w:rsidR="00F62A4F" w:rsidRPr="00B64CA9" w:rsidRDefault="00F62A4F" w:rsidP="0081558E">
            <w:pPr>
              <w:jc w:val="both"/>
              <w:rPr>
                <w:rFonts w:ascii="Arial" w:hAnsi="Arial" w:cs="Arial"/>
                <w:sz w:val="18"/>
                <w:szCs w:val="18"/>
                <w:lang w:val="en-AU"/>
              </w:rPr>
            </w:pPr>
          </w:p>
        </w:tc>
      </w:tr>
      <w:tr w:rsidR="00F62A4F" w:rsidRPr="00B64CA9" w14:paraId="0CF818B0" w14:textId="77777777" w:rsidTr="002D07A3">
        <w:trPr>
          <w:trHeight w:val="28"/>
          <w:tblHeader/>
        </w:trPr>
        <w:tc>
          <w:tcPr>
            <w:tcW w:w="3681" w:type="dxa"/>
            <w:vAlign w:val="center"/>
          </w:tcPr>
          <w:p w14:paraId="3135B0DA"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ASAS20 response, %</w:t>
            </w:r>
          </w:p>
        </w:tc>
        <w:tc>
          <w:tcPr>
            <w:tcW w:w="1701" w:type="dxa"/>
            <w:vAlign w:val="center"/>
          </w:tcPr>
          <w:p w14:paraId="73CE7987"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28.4</w:t>
            </w:r>
          </w:p>
        </w:tc>
        <w:tc>
          <w:tcPr>
            <w:tcW w:w="1417" w:type="dxa"/>
            <w:vAlign w:val="center"/>
          </w:tcPr>
          <w:p w14:paraId="5319242E"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41.1</w:t>
            </w:r>
          </w:p>
        </w:tc>
        <w:tc>
          <w:tcPr>
            <w:tcW w:w="1701" w:type="dxa"/>
            <w:vAlign w:val="center"/>
          </w:tcPr>
          <w:p w14:paraId="068DE789"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61.1***</w:t>
            </w:r>
          </w:p>
        </w:tc>
      </w:tr>
      <w:tr w:rsidR="00F62A4F" w:rsidRPr="00B64CA9" w14:paraId="68B25343" w14:textId="77777777" w:rsidTr="002D07A3">
        <w:trPr>
          <w:trHeight w:val="273"/>
          <w:tblHeader/>
        </w:trPr>
        <w:tc>
          <w:tcPr>
            <w:tcW w:w="3681" w:type="dxa"/>
            <w:vAlign w:val="center"/>
          </w:tcPr>
          <w:p w14:paraId="24D7C7F8"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lang w:val="en-AU"/>
              </w:rPr>
              <w:t>ASAS40 response, %</w:t>
            </w:r>
          </w:p>
        </w:tc>
        <w:tc>
          <w:tcPr>
            <w:tcW w:w="1701" w:type="dxa"/>
            <w:vAlign w:val="center"/>
          </w:tcPr>
          <w:p w14:paraId="051F3922"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10.8</w:t>
            </w:r>
          </w:p>
        </w:tc>
        <w:tc>
          <w:tcPr>
            <w:tcW w:w="1417" w:type="dxa"/>
            <w:vAlign w:val="center"/>
          </w:tcPr>
          <w:p w14:paraId="19DF7E22"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26.0</w:t>
            </w:r>
          </w:p>
        </w:tc>
        <w:tc>
          <w:tcPr>
            <w:tcW w:w="1701" w:type="dxa"/>
            <w:vAlign w:val="center"/>
          </w:tcPr>
          <w:p w14:paraId="2DF69B58"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36.1***</w:t>
            </w:r>
          </w:p>
        </w:tc>
      </w:tr>
      <w:tr w:rsidR="00F62A4F" w:rsidRPr="00B64CA9" w14:paraId="41D2D991" w14:textId="77777777" w:rsidTr="002D07A3">
        <w:trPr>
          <w:trHeight w:val="273"/>
          <w:tblHeader/>
        </w:trPr>
        <w:tc>
          <w:tcPr>
            <w:tcW w:w="3681" w:type="dxa"/>
            <w:vAlign w:val="center"/>
          </w:tcPr>
          <w:p w14:paraId="1C311872" w14:textId="77777777" w:rsidR="00F62A4F" w:rsidRPr="00B64CA9" w:rsidRDefault="00F62A4F" w:rsidP="0081558E">
            <w:pPr>
              <w:jc w:val="both"/>
              <w:rPr>
                <w:rFonts w:ascii="Arial" w:hAnsi="Arial" w:cs="Arial"/>
                <w:sz w:val="18"/>
                <w:szCs w:val="18"/>
                <w:lang w:val="en-AU"/>
              </w:rPr>
            </w:pPr>
            <w:proofErr w:type="spellStart"/>
            <w:r w:rsidRPr="00B64CA9">
              <w:rPr>
                <w:rFonts w:ascii="Arial" w:hAnsi="Arial" w:cs="Arial"/>
                <w:sz w:val="18"/>
                <w:szCs w:val="18"/>
              </w:rPr>
              <w:t>hsCRP</w:t>
            </w:r>
            <w:proofErr w:type="spellEnd"/>
            <w:r w:rsidRPr="00B64CA9">
              <w:rPr>
                <w:rFonts w:ascii="Arial" w:hAnsi="Arial" w:cs="Arial"/>
                <w:sz w:val="18"/>
                <w:szCs w:val="18"/>
              </w:rPr>
              <w:t>, (post-BSL/BSL ratio)</w:t>
            </w:r>
          </w:p>
        </w:tc>
        <w:tc>
          <w:tcPr>
            <w:tcW w:w="1701" w:type="dxa"/>
            <w:vAlign w:val="center"/>
          </w:tcPr>
          <w:p w14:paraId="22837E7F"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1.13</w:t>
            </w:r>
          </w:p>
        </w:tc>
        <w:tc>
          <w:tcPr>
            <w:tcW w:w="1417" w:type="dxa"/>
            <w:vAlign w:val="center"/>
          </w:tcPr>
          <w:p w14:paraId="299880A4"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0.61</w:t>
            </w:r>
          </w:p>
        </w:tc>
        <w:tc>
          <w:tcPr>
            <w:tcW w:w="1701" w:type="dxa"/>
            <w:vAlign w:val="center"/>
          </w:tcPr>
          <w:p w14:paraId="5A8BD763"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0.55***</w:t>
            </w:r>
          </w:p>
        </w:tc>
      </w:tr>
      <w:tr w:rsidR="00F62A4F" w:rsidRPr="00B64CA9" w14:paraId="77267A48" w14:textId="77777777" w:rsidTr="002D07A3">
        <w:trPr>
          <w:trHeight w:val="28"/>
          <w:tblHeader/>
        </w:trPr>
        <w:tc>
          <w:tcPr>
            <w:tcW w:w="3681" w:type="dxa"/>
            <w:vAlign w:val="center"/>
          </w:tcPr>
          <w:p w14:paraId="50F15908"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ASAS5/6, %</w:t>
            </w:r>
          </w:p>
        </w:tc>
        <w:tc>
          <w:tcPr>
            <w:tcW w:w="1701" w:type="dxa"/>
            <w:vAlign w:val="center"/>
          </w:tcPr>
          <w:p w14:paraId="55F15B13"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8.1</w:t>
            </w:r>
          </w:p>
        </w:tc>
        <w:tc>
          <w:tcPr>
            <w:tcW w:w="1417" w:type="dxa"/>
            <w:vAlign w:val="center"/>
          </w:tcPr>
          <w:p w14:paraId="273FD992"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34.2</w:t>
            </w:r>
          </w:p>
        </w:tc>
        <w:tc>
          <w:tcPr>
            <w:tcW w:w="1701" w:type="dxa"/>
            <w:vAlign w:val="center"/>
          </w:tcPr>
          <w:p w14:paraId="578A7E92"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43.1***</w:t>
            </w:r>
          </w:p>
        </w:tc>
      </w:tr>
      <w:tr w:rsidR="00F62A4F" w:rsidRPr="00B64CA9" w14:paraId="500BE1AF" w14:textId="77777777" w:rsidTr="002D07A3">
        <w:trPr>
          <w:trHeight w:val="28"/>
          <w:tblHeader/>
        </w:trPr>
        <w:tc>
          <w:tcPr>
            <w:tcW w:w="3681" w:type="dxa"/>
            <w:vAlign w:val="center"/>
          </w:tcPr>
          <w:p w14:paraId="1A2E14CB"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ASAS partial remission, %</w:t>
            </w:r>
          </w:p>
        </w:tc>
        <w:tc>
          <w:tcPr>
            <w:tcW w:w="1701" w:type="dxa"/>
            <w:vAlign w:val="center"/>
          </w:tcPr>
          <w:p w14:paraId="74E0744D"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4.1</w:t>
            </w:r>
          </w:p>
        </w:tc>
        <w:tc>
          <w:tcPr>
            <w:tcW w:w="1417" w:type="dxa"/>
            <w:vAlign w:val="center"/>
          </w:tcPr>
          <w:p w14:paraId="61DAB5E4"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15.1</w:t>
            </w:r>
          </w:p>
        </w:tc>
        <w:tc>
          <w:tcPr>
            <w:tcW w:w="1701" w:type="dxa"/>
            <w:vAlign w:val="center"/>
          </w:tcPr>
          <w:p w14:paraId="1E80D8DA"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13.9</w:t>
            </w:r>
          </w:p>
        </w:tc>
      </w:tr>
      <w:tr w:rsidR="00F62A4F" w:rsidRPr="00B64CA9" w14:paraId="51986D7C" w14:textId="77777777" w:rsidTr="002D07A3">
        <w:trPr>
          <w:trHeight w:val="28"/>
          <w:tblHeader/>
        </w:trPr>
        <w:tc>
          <w:tcPr>
            <w:tcW w:w="3681" w:type="dxa"/>
            <w:vAlign w:val="center"/>
          </w:tcPr>
          <w:p w14:paraId="72DDE324"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BASDAI50, %</w:t>
            </w:r>
          </w:p>
        </w:tc>
        <w:tc>
          <w:tcPr>
            <w:tcW w:w="1701" w:type="dxa"/>
            <w:vAlign w:val="center"/>
          </w:tcPr>
          <w:p w14:paraId="455FE3D9"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10.8</w:t>
            </w:r>
          </w:p>
        </w:tc>
        <w:tc>
          <w:tcPr>
            <w:tcW w:w="1417" w:type="dxa"/>
            <w:vAlign w:val="center"/>
          </w:tcPr>
          <w:p w14:paraId="0AB4DAC5"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24.7*</w:t>
            </w:r>
          </w:p>
        </w:tc>
        <w:tc>
          <w:tcPr>
            <w:tcW w:w="1701" w:type="dxa"/>
            <w:vAlign w:val="center"/>
          </w:tcPr>
          <w:p w14:paraId="5739705C"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30.6**</w:t>
            </w:r>
          </w:p>
        </w:tc>
      </w:tr>
      <w:tr w:rsidR="00F62A4F" w:rsidRPr="00B64CA9" w14:paraId="5ADFB749" w14:textId="77777777" w:rsidTr="002D07A3">
        <w:trPr>
          <w:trHeight w:val="28"/>
          <w:tblHeader/>
        </w:trPr>
        <w:tc>
          <w:tcPr>
            <w:tcW w:w="3681" w:type="dxa"/>
            <w:tcBorders>
              <w:bottom w:val="single" w:sz="4" w:space="0" w:color="auto"/>
            </w:tcBorders>
            <w:vAlign w:val="center"/>
          </w:tcPr>
          <w:p w14:paraId="5FAD15BF"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 xml:space="preserve">ASDAS-CRP major improvement </w:t>
            </w:r>
          </w:p>
        </w:tc>
        <w:tc>
          <w:tcPr>
            <w:tcW w:w="1701" w:type="dxa"/>
            <w:tcBorders>
              <w:bottom w:val="single" w:sz="4" w:space="0" w:color="auto"/>
            </w:tcBorders>
            <w:vAlign w:val="center"/>
          </w:tcPr>
          <w:p w14:paraId="0E282937"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4.1</w:t>
            </w:r>
          </w:p>
        </w:tc>
        <w:tc>
          <w:tcPr>
            <w:tcW w:w="1417" w:type="dxa"/>
            <w:tcBorders>
              <w:bottom w:val="single" w:sz="4" w:space="0" w:color="auto"/>
            </w:tcBorders>
            <w:vAlign w:val="center"/>
          </w:tcPr>
          <w:p w14:paraId="35C1DAE1"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15.1</w:t>
            </w:r>
            <w:r w:rsidRPr="00B64CA9">
              <w:rPr>
                <w:rFonts w:ascii="Arial" w:hAnsi="Arial" w:cs="Arial"/>
                <w:sz w:val="18"/>
                <w:szCs w:val="18"/>
                <w:lang w:val="en-AU"/>
              </w:rPr>
              <w:t>*</w:t>
            </w:r>
          </w:p>
        </w:tc>
        <w:tc>
          <w:tcPr>
            <w:tcW w:w="1701" w:type="dxa"/>
            <w:tcBorders>
              <w:bottom w:val="single" w:sz="4" w:space="0" w:color="auto"/>
            </w:tcBorders>
            <w:vAlign w:val="center"/>
          </w:tcPr>
          <w:p w14:paraId="68F6B08B" w14:textId="77777777" w:rsidR="00F62A4F" w:rsidRPr="00B64CA9" w:rsidRDefault="00F62A4F" w:rsidP="0081558E">
            <w:pPr>
              <w:jc w:val="both"/>
              <w:rPr>
                <w:rFonts w:ascii="Arial" w:hAnsi="Arial" w:cs="Arial"/>
                <w:sz w:val="18"/>
                <w:szCs w:val="18"/>
                <w:lang w:val="en-AU"/>
              </w:rPr>
            </w:pPr>
            <w:r w:rsidRPr="00B64CA9">
              <w:rPr>
                <w:rFonts w:ascii="Arial" w:hAnsi="Arial" w:cs="Arial"/>
                <w:sz w:val="18"/>
                <w:szCs w:val="18"/>
              </w:rPr>
              <w:t>25.0***</w:t>
            </w:r>
          </w:p>
        </w:tc>
      </w:tr>
      <w:tr w:rsidR="00F62A4F" w:rsidRPr="00B64CA9" w14:paraId="5821BA77" w14:textId="77777777" w:rsidTr="002D07A3">
        <w:trPr>
          <w:trHeight w:val="420"/>
          <w:tblHeader/>
        </w:trPr>
        <w:tc>
          <w:tcPr>
            <w:tcW w:w="8500" w:type="dxa"/>
            <w:gridSpan w:val="4"/>
            <w:tcBorders>
              <w:left w:val="nil"/>
              <w:bottom w:val="nil"/>
              <w:right w:val="nil"/>
            </w:tcBorders>
            <w:vAlign w:val="center"/>
          </w:tcPr>
          <w:p w14:paraId="53874FD9" w14:textId="77777777" w:rsidR="00F62A4F" w:rsidRPr="00B64CA9" w:rsidRDefault="00F62A4F" w:rsidP="0081558E">
            <w:pPr>
              <w:jc w:val="both"/>
              <w:rPr>
                <w:rFonts w:ascii="Arial" w:hAnsi="Arial" w:cs="Arial"/>
                <w:i/>
                <w:sz w:val="16"/>
                <w:szCs w:val="18"/>
                <w:lang w:val="en-AU"/>
              </w:rPr>
            </w:pPr>
            <w:r w:rsidRPr="00B64CA9">
              <w:rPr>
                <w:rFonts w:ascii="Arial" w:hAnsi="Arial" w:cs="Arial"/>
                <w:i/>
                <w:sz w:val="16"/>
                <w:szCs w:val="18"/>
              </w:rPr>
              <w:t>*p&lt;0.05</w:t>
            </w:r>
            <w:proofErr w:type="gramStart"/>
            <w:r w:rsidRPr="00B64CA9">
              <w:rPr>
                <w:rFonts w:ascii="Arial" w:hAnsi="Arial" w:cs="Arial"/>
                <w:i/>
                <w:sz w:val="16"/>
                <w:szCs w:val="18"/>
              </w:rPr>
              <w:t>;  *</w:t>
            </w:r>
            <w:proofErr w:type="gramEnd"/>
            <w:r w:rsidRPr="00B64CA9">
              <w:rPr>
                <w:rFonts w:ascii="Arial" w:hAnsi="Arial" w:cs="Arial"/>
                <w:i/>
                <w:sz w:val="16"/>
                <w:szCs w:val="18"/>
              </w:rPr>
              <w:t>*p&lt;0.01; ***p&lt; 0.001 vs. placebo</w:t>
            </w:r>
          </w:p>
          <w:p w14:paraId="090F19FE" w14:textId="77777777" w:rsidR="00F62A4F" w:rsidRPr="00B64CA9" w:rsidRDefault="00F62A4F" w:rsidP="0081558E">
            <w:pPr>
              <w:jc w:val="both"/>
              <w:rPr>
                <w:rFonts w:ascii="Arial" w:hAnsi="Arial" w:cs="Arial"/>
                <w:i/>
                <w:sz w:val="16"/>
                <w:szCs w:val="18"/>
                <w:lang w:val="en-AU"/>
              </w:rPr>
            </w:pPr>
            <w:r w:rsidRPr="00B64CA9">
              <w:rPr>
                <w:rFonts w:ascii="Arial" w:hAnsi="Arial" w:cs="Arial"/>
                <w:i/>
                <w:sz w:val="16"/>
                <w:szCs w:val="18"/>
              </w:rPr>
              <w:t>All p-values adjusted for multiplicity of testing based on pre-defined hierarchy, except BASDAI50 and ASDAS-CRP</w:t>
            </w:r>
          </w:p>
          <w:p w14:paraId="2364D6CE" w14:textId="77777777" w:rsidR="00F62A4F" w:rsidRPr="00B64CA9" w:rsidRDefault="00F62A4F" w:rsidP="0081558E">
            <w:pPr>
              <w:jc w:val="both"/>
              <w:rPr>
                <w:rFonts w:ascii="Arial" w:hAnsi="Arial" w:cs="Arial"/>
                <w:i/>
                <w:sz w:val="16"/>
                <w:szCs w:val="18"/>
                <w:lang w:val="en-AU"/>
              </w:rPr>
            </w:pPr>
            <w:r w:rsidRPr="00B64CA9">
              <w:rPr>
                <w:rFonts w:ascii="Arial" w:hAnsi="Arial" w:cs="Arial"/>
                <w:i/>
                <w:sz w:val="16"/>
                <w:szCs w:val="18"/>
              </w:rPr>
              <w:t>Non-responder imputation used for missing binary endpoint</w:t>
            </w:r>
          </w:p>
          <w:p w14:paraId="6E9152C8" w14:textId="77777777" w:rsidR="00F62A4F" w:rsidRPr="00B64CA9" w:rsidRDefault="00F62A4F" w:rsidP="0081558E">
            <w:pPr>
              <w:jc w:val="both"/>
              <w:rPr>
                <w:rFonts w:ascii="Arial" w:hAnsi="Arial" w:cs="Arial"/>
                <w:i/>
                <w:sz w:val="16"/>
                <w:szCs w:val="18"/>
                <w:lang w:val="en-AU"/>
              </w:rPr>
            </w:pPr>
            <w:r w:rsidRPr="00B64CA9">
              <w:rPr>
                <w:rFonts w:ascii="Arial" w:hAnsi="Arial" w:cs="Arial"/>
                <w:i/>
                <w:sz w:val="16"/>
                <w:szCs w:val="18"/>
              </w:rPr>
              <w:t xml:space="preserve">ASAS: Assessment of </w:t>
            </w:r>
            <w:proofErr w:type="spellStart"/>
            <w:r w:rsidRPr="00B64CA9">
              <w:rPr>
                <w:rFonts w:ascii="Arial" w:hAnsi="Arial" w:cs="Arial"/>
                <w:i/>
                <w:sz w:val="16"/>
                <w:szCs w:val="18"/>
              </w:rPr>
              <w:t>SpondyloArthritis</w:t>
            </w:r>
            <w:proofErr w:type="spellEnd"/>
            <w:r w:rsidRPr="00B64CA9">
              <w:rPr>
                <w:rFonts w:ascii="Arial" w:hAnsi="Arial" w:cs="Arial"/>
                <w:i/>
                <w:sz w:val="16"/>
                <w:szCs w:val="18"/>
              </w:rPr>
              <w:t xml:space="preserve"> International Society Criteria; BASDAI: Bath Ankylosing Spondylitis Disease Activity Index; </w:t>
            </w:r>
            <w:proofErr w:type="spellStart"/>
            <w:r w:rsidRPr="00B64CA9">
              <w:rPr>
                <w:rFonts w:ascii="Arial" w:hAnsi="Arial" w:cs="Arial"/>
                <w:i/>
                <w:sz w:val="16"/>
                <w:szCs w:val="18"/>
              </w:rPr>
              <w:t>hsCRP</w:t>
            </w:r>
            <w:proofErr w:type="spellEnd"/>
            <w:r w:rsidRPr="00B64CA9">
              <w:rPr>
                <w:rFonts w:ascii="Arial" w:hAnsi="Arial" w:cs="Arial"/>
                <w:i/>
                <w:sz w:val="16"/>
                <w:szCs w:val="18"/>
              </w:rPr>
              <w:t xml:space="preserve">: high-sensitivity C-reactive protein; ASDAS: Ankylosing Spondylitis Disease Activity Score; BSL: baseline; LS: least square </w:t>
            </w:r>
          </w:p>
        </w:tc>
      </w:tr>
    </w:tbl>
    <w:p w14:paraId="20FB5228" w14:textId="77777777" w:rsidR="00F62A4F" w:rsidRPr="00B64CA9" w:rsidRDefault="00F62A4F" w:rsidP="002D07A3">
      <w:pPr>
        <w:jc w:val="both"/>
        <w:rPr>
          <w:rFonts w:cs="Arial"/>
        </w:rPr>
      </w:pPr>
      <w:r w:rsidRPr="00B64CA9">
        <w:rPr>
          <w:rFonts w:cs="Arial"/>
        </w:rPr>
        <w:t xml:space="preserve">The onset of action of COSENTYX 150 mg occurred as early as Week 1 for ASAS20 and Week 2 for ASAS40 (superior to placebo) in AS2 Study.  </w:t>
      </w:r>
    </w:p>
    <w:p w14:paraId="648B83B9" w14:textId="77777777" w:rsidR="00F62A4F" w:rsidRPr="00B64CA9" w:rsidRDefault="00F62A4F" w:rsidP="00290F28">
      <w:pPr>
        <w:pageBreakBefore/>
        <w:spacing w:after="120"/>
        <w:jc w:val="both"/>
        <w:rPr>
          <w:rFonts w:ascii="Arial" w:hAnsi="Arial" w:cs="Arial"/>
          <w:b/>
          <w:sz w:val="20"/>
        </w:rPr>
      </w:pPr>
      <w:r w:rsidRPr="00B64CA9">
        <w:rPr>
          <w:rFonts w:ascii="Arial" w:hAnsi="Arial" w:cs="Arial"/>
          <w:b/>
          <w:sz w:val="20"/>
        </w:rPr>
        <w:lastRenderedPageBreak/>
        <w:t xml:space="preserve">Figure </w:t>
      </w:r>
      <w:r w:rsidR="006E1D7A" w:rsidRPr="00B64CA9">
        <w:rPr>
          <w:rFonts w:ascii="Arial" w:hAnsi="Arial" w:cs="Arial"/>
          <w:b/>
          <w:sz w:val="20"/>
        </w:rPr>
        <w:t xml:space="preserve">4 </w:t>
      </w:r>
      <w:r w:rsidRPr="00B64CA9">
        <w:rPr>
          <w:rFonts w:ascii="Arial" w:hAnsi="Arial" w:cs="Arial"/>
          <w:b/>
          <w:sz w:val="20"/>
        </w:rPr>
        <w:tab/>
        <w:t>ASAS20 responses in AS 2 Study over time up to Week 16</w:t>
      </w:r>
    </w:p>
    <w:p w14:paraId="57493D14" w14:textId="77777777" w:rsidR="00F62A4F" w:rsidRPr="00B64CA9" w:rsidRDefault="00F62A4F" w:rsidP="002D07A3">
      <w:pPr>
        <w:ind w:left="720"/>
        <w:rPr>
          <w:rFonts w:ascii="Arial" w:hAnsi="Arial" w:cs="Arial"/>
          <w:sz w:val="20"/>
        </w:rPr>
      </w:pPr>
      <w:r w:rsidRPr="00B64CA9">
        <w:rPr>
          <w:rFonts w:ascii="Arial" w:hAnsi="Arial" w:cs="Arial"/>
          <w:noProof/>
          <w:sz w:val="20"/>
          <w:lang w:eastAsia="en-AU"/>
        </w:rPr>
        <mc:AlternateContent>
          <mc:Choice Requires="wps">
            <w:drawing>
              <wp:anchor distT="0" distB="0" distL="114300" distR="114300" simplePos="0" relativeHeight="251661312" behindDoc="0" locked="0" layoutInCell="1" allowOverlap="1" wp14:anchorId="611F753D" wp14:editId="0EE1805A">
                <wp:simplePos x="0" y="0"/>
                <wp:positionH relativeFrom="margin">
                  <wp:align>left</wp:align>
                </wp:positionH>
                <wp:positionV relativeFrom="paragraph">
                  <wp:posOffset>1058921</wp:posOffset>
                </wp:positionV>
                <wp:extent cx="2073910" cy="292735"/>
                <wp:effectExtent l="0" t="4763"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73910" cy="292735"/>
                        </a:xfrm>
                        <a:prstGeom prst="rect">
                          <a:avLst/>
                        </a:prstGeom>
                        <a:solidFill>
                          <a:srgbClr val="FFFFFF"/>
                        </a:solidFill>
                        <a:ln w="9525">
                          <a:noFill/>
                          <a:miter lim="800000"/>
                          <a:headEnd/>
                          <a:tailEnd/>
                        </a:ln>
                      </wps:spPr>
                      <wps:txbx>
                        <w:txbxContent>
                          <w:p w14:paraId="08332C97" w14:textId="77777777" w:rsidR="00494F5C" w:rsidRPr="00551677" w:rsidRDefault="00494F5C" w:rsidP="00F62A4F">
                            <w:r w:rsidRPr="00551677">
                              <w:t xml:space="preserve">Percentage of responders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F753D" id="_x0000_s1029" type="#_x0000_t202" style="position:absolute;left:0;text-align:left;margin-left:0;margin-top:83.4pt;width:163.3pt;height:23.05pt;rotation:-9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" stroked="f">
                <v:textbox>
                  <w:txbxContent>
                    <w:p w14:paraId="08332C97" w14:textId="77777777" w:rsidR="00494F5C" w:rsidRPr="00551677" w:rsidRDefault="00494F5C" w:rsidP="00F62A4F">
                      <w:r w:rsidRPr="00551677">
                        <w:t xml:space="preserve">Percentage of responders </w:t>
                      </w:r>
                    </w:p>
                  </w:txbxContent>
                </v:textbox>
                <w10:wrap anchorx="margin"/>
              </v:shape>
            </w:pict>
          </mc:Fallback>
        </mc:AlternateContent>
      </w:r>
      <w:r w:rsidRPr="00B64CA9">
        <w:rPr>
          <w:rFonts w:ascii="Arial" w:hAnsi="Arial" w:cs="Arial"/>
          <w:noProof/>
          <w:sz w:val="20"/>
          <w:lang w:eastAsia="en-AU"/>
        </w:rPr>
        <w:drawing>
          <wp:inline distT="0" distB="0" distL="0" distR="0" wp14:anchorId="7C05B257" wp14:editId="0197B5E9">
            <wp:extent cx="5541590" cy="2544418"/>
            <wp:effectExtent l="0" t="0" r="2540" b="8890"/>
            <wp:docPr id="2051" name="Picture 2051" descr="C:\Users\lenhaca1\AppData\Local\Temp\SNAGHTMLf61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haca1\AppData\Local\Temp\SNAGHTMLf614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2327" cy="2544756"/>
                    </a:xfrm>
                    <a:prstGeom prst="rect">
                      <a:avLst/>
                    </a:prstGeom>
                    <a:noFill/>
                    <a:ln>
                      <a:noFill/>
                    </a:ln>
                  </pic:spPr>
                </pic:pic>
              </a:graphicData>
            </a:graphic>
          </wp:inline>
        </w:drawing>
      </w:r>
    </w:p>
    <w:p w14:paraId="2FB8FF2F" w14:textId="77777777" w:rsidR="00F62A4F" w:rsidRPr="00B64CA9" w:rsidRDefault="00F62A4F" w:rsidP="0081558E">
      <w:pPr>
        <w:jc w:val="both"/>
        <w:rPr>
          <w:rFonts w:ascii="Arial" w:hAnsi="Arial" w:cs="Arial"/>
          <w:sz w:val="20"/>
        </w:rPr>
      </w:pPr>
      <w:r w:rsidRPr="00B64CA9">
        <w:rPr>
          <w:rFonts w:ascii="Arial" w:hAnsi="Arial" w:cs="Arial"/>
          <w:noProof/>
          <w:sz w:val="20"/>
          <w:lang w:eastAsia="en-AU"/>
        </w:rPr>
        <mc:AlternateContent>
          <mc:Choice Requires="wps">
            <w:drawing>
              <wp:anchor distT="0" distB="0" distL="114300" distR="114300" simplePos="0" relativeHeight="251659264" behindDoc="0" locked="0" layoutInCell="1" allowOverlap="1" wp14:anchorId="342A5A53" wp14:editId="57D80236">
                <wp:simplePos x="0" y="0"/>
                <wp:positionH relativeFrom="column">
                  <wp:posOffset>2130094</wp:posOffset>
                </wp:positionH>
                <wp:positionV relativeFrom="paragraph">
                  <wp:posOffset>29210</wp:posOffset>
                </wp:positionV>
                <wp:extent cx="1430020" cy="253365"/>
                <wp:effectExtent l="0" t="0" r="0" b="0"/>
                <wp:wrapNone/>
                <wp:docPr id="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53365"/>
                        </a:xfrm>
                        <a:prstGeom prst="rect">
                          <a:avLst/>
                        </a:prstGeom>
                        <a:solidFill>
                          <a:srgbClr val="FFFFFF"/>
                        </a:solidFill>
                        <a:ln w="9525">
                          <a:noFill/>
                          <a:miter lim="800000"/>
                          <a:headEnd/>
                          <a:tailEnd/>
                        </a:ln>
                      </wps:spPr>
                      <wps:txbx>
                        <w:txbxContent>
                          <w:p w14:paraId="41B7570D" w14:textId="77777777" w:rsidR="00494F5C" w:rsidRPr="00E75D57" w:rsidRDefault="00494F5C" w:rsidP="00F62A4F">
                            <w:pPr>
                              <w:jc w:val="center"/>
                            </w:pPr>
                            <w:r w:rsidRPr="00E548AE">
                              <w:rPr>
                                <w:color w:val="000000" w:themeColor="text1"/>
                              </w:rPr>
                              <w:t xml:space="preserve">Time </w:t>
                            </w:r>
                            <w:r w:rsidRPr="00E75D57">
                              <w:t>(Weeks)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A5A53" id="_x0000_s1030" type="#_x0000_t202" style="position:absolute;left:0;text-align:left;margin-left:167.7pt;margin-top:2.3pt;width:112.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" stroked="f">
                <v:textbox>
                  <w:txbxContent>
                    <w:p w14:paraId="41B7570D" w14:textId="77777777" w:rsidR="00494F5C" w:rsidRPr="00E75D57" w:rsidRDefault="00494F5C" w:rsidP="00F62A4F">
                      <w:pPr>
                        <w:jc w:val="center"/>
                      </w:pPr>
                      <w:r w:rsidRPr="00E548AE">
                        <w:rPr>
                          <w:color w:val="000000" w:themeColor="text1"/>
                        </w:rPr>
                        <w:t xml:space="preserve">Time </w:t>
                      </w:r>
                      <w:r w:rsidRPr="00E75D57">
                        <w:t>(Weeks)</w:t>
                      </w:r>
                    </w:p>
                  </w:txbxContent>
                </v:textbox>
              </v:shape>
            </w:pict>
          </mc:Fallback>
        </mc:AlternateContent>
      </w:r>
      <w:r w:rsidRPr="00B64CA9">
        <w:rPr>
          <w:rFonts w:ascii="Arial" w:hAnsi="Arial" w:cs="Arial"/>
          <w:noProof/>
          <w:sz w:val="20"/>
          <w:lang w:eastAsia="en-AU"/>
        </w:rPr>
        <mc:AlternateContent>
          <mc:Choice Requires="wps">
            <w:drawing>
              <wp:anchor distT="0" distB="0" distL="114300" distR="114300" simplePos="0" relativeHeight="251660288" behindDoc="1" locked="0" layoutInCell="1" allowOverlap="1" wp14:anchorId="14D9B1B7" wp14:editId="7E837E69">
                <wp:simplePos x="0" y="0"/>
                <wp:positionH relativeFrom="column">
                  <wp:posOffset>861695</wp:posOffset>
                </wp:positionH>
                <wp:positionV relativeFrom="paragraph">
                  <wp:posOffset>135566</wp:posOffset>
                </wp:positionV>
                <wp:extent cx="4011235" cy="373769"/>
                <wp:effectExtent l="0" t="0" r="8890" b="7620"/>
                <wp:wrapNone/>
                <wp:docPr id="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35" cy="373769"/>
                        </a:xfrm>
                        <a:prstGeom prst="rect">
                          <a:avLst/>
                        </a:prstGeom>
                        <a:solidFill>
                          <a:srgbClr val="FFFFFF"/>
                        </a:solidFill>
                        <a:ln w="9525">
                          <a:noFill/>
                          <a:miter lim="800000"/>
                          <a:headEnd/>
                          <a:tailEnd/>
                        </a:ln>
                      </wps:spPr>
                      <wps:txbx>
                        <w:txbxContent>
                          <w:p w14:paraId="7D946104" w14:textId="77777777" w:rsidR="00494F5C" w:rsidRDefault="00494F5C" w:rsidP="00F62A4F">
                            <w:r>
                              <w:rPr>
                                <w:noProof/>
                                <w:lang w:eastAsia="en-AU"/>
                              </w:rPr>
                              <w:drawing>
                                <wp:inline distT="0" distB="0" distL="0" distR="0" wp14:anchorId="5FBABC4C" wp14:editId="19D6AA6B">
                                  <wp:extent cx="3704321" cy="3003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707551" cy="3006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9B1B7" id="_x0000_s1031" type="#_x0000_t202" style="position:absolute;left:0;text-align:left;margin-left:67.85pt;margin-top:10.65pt;width:315.85pt;height: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" stroked="f">
                <v:textbox>
                  <w:txbxContent>
                    <w:p w14:paraId="7D946104" w14:textId="77777777" w:rsidR="00494F5C" w:rsidRDefault="00494F5C" w:rsidP="00F62A4F">
                      <w:r>
                        <w:rPr>
                          <w:noProof/>
                          <w:lang w:eastAsia="en-AU"/>
                        </w:rPr>
                        <w:drawing>
                          <wp:inline distT="0" distB="0" distL="0" distR="0" wp14:anchorId="5FBABC4C" wp14:editId="19D6AA6B">
                            <wp:extent cx="3704321" cy="3003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707551" cy="300613"/>
                                    </a:xfrm>
                                    <a:prstGeom prst="rect">
                                      <a:avLst/>
                                    </a:prstGeom>
                                  </pic:spPr>
                                </pic:pic>
                              </a:graphicData>
                            </a:graphic>
                          </wp:inline>
                        </w:drawing>
                      </w:r>
                    </w:p>
                  </w:txbxContent>
                </v:textbox>
              </v:shape>
            </w:pict>
          </mc:Fallback>
        </mc:AlternateContent>
      </w:r>
    </w:p>
    <w:p w14:paraId="67227C86" w14:textId="77777777" w:rsidR="00F62A4F" w:rsidRPr="00B64CA9" w:rsidRDefault="00F62A4F" w:rsidP="0081558E">
      <w:pPr>
        <w:spacing w:after="120"/>
        <w:ind w:left="1166" w:hanging="1166"/>
        <w:jc w:val="both"/>
        <w:rPr>
          <w:rFonts w:ascii="Arial" w:hAnsi="Arial" w:cs="Arial"/>
          <w:b/>
          <w:sz w:val="20"/>
        </w:rPr>
      </w:pPr>
      <w:bookmarkStart w:id="17" w:name="_Toc405968174"/>
      <w:bookmarkStart w:id="18" w:name="_Toc476122934"/>
      <w:r w:rsidRPr="00B64CA9">
        <w:rPr>
          <w:rFonts w:ascii="Arial" w:hAnsi="Arial" w:cs="Arial"/>
          <w:b/>
          <w:sz w:val="20"/>
        </w:rPr>
        <w:t xml:space="preserve">Figure </w:t>
      </w:r>
      <w:r w:rsidR="006E1D7A" w:rsidRPr="00B64CA9">
        <w:rPr>
          <w:rFonts w:ascii="Arial" w:hAnsi="Arial" w:cs="Arial"/>
          <w:b/>
          <w:sz w:val="20"/>
        </w:rPr>
        <w:t>5</w:t>
      </w:r>
      <w:r w:rsidRPr="00B64CA9">
        <w:rPr>
          <w:rFonts w:ascii="Arial" w:hAnsi="Arial" w:cs="Arial"/>
          <w:b/>
          <w:sz w:val="20"/>
        </w:rPr>
        <w:tab/>
        <w:t>ASAS40 responses in AS 2 Study over time up to Week 16</w:t>
      </w:r>
      <w:bookmarkEnd w:id="17"/>
      <w:bookmarkEnd w:id="18"/>
    </w:p>
    <w:p w14:paraId="31100157" w14:textId="77777777" w:rsidR="00F62A4F" w:rsidRPr="00B64CA9" w:rsidRDefault="00F62A4F" w:rsidP="0081558E">
      <w:pPr>
        <w:pStyle w:val="Text"/>
        <w:tabs>
          <w:tab w:val="left" w:pos="567"/>
          <w:tab w:val="left" w:pos="709"/>
        </w:tabs>
        <w:ind w:firstLine="426"/>
        <w:jc w:val="both"/>
      </w:pPr>
      <w:r w:rsidRPr="00B64CA9">
        <w:rPr>
          <w:noProof/>
          <w:szCs w:val="24"/>
          <w:lang w:eastAsia="en-AU" w:bidi="ar-SA"/>
        </w:rPr>
        <mc:AlternateContent>
          <mc:Choice Requires="wps">
            <w:drawing>
              <wp:anchor distT="0" distB="0" distL="114300" distR="114300" simplePos="0" relativeHeight="251666432" behindDoc="0" locked="0" layoutInCell="1" allowOverlap="1" wp14:anchorId="1595868C" wp14:editId="24575AD7">
                <wp:simplePos x="0" y="0"/>
                <wp:positionH relativeFrom="column">
                  <wp:posOffset>2572385</wp:posOffset>
                </wp:positionH>
                <wp:positionV relativeFrom="paragraph">
                  <wp:posOffset>2587301</wp:posOffset>
                </wp:positionV>
                <wp:extent cx="922020" cy="294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94005"/>
                        </a:xfrm>
                        <a:prstGeom prst="rect">
                          <a:avLst/>
                        </a:prstGeom>
                        <a:solidFill>
                          <a:srgbClr val="FFFFFF"/>
                        </a:solidFill>
                        <a:ln w="9525">
                          <a:noFill/>
                          <a:miter lim="800000"/>
                          <a:headEnd/>
                          <a:tailEnd/>
                        </a:ln>
                      </wps:spPr>
                      <wps:txbx>
                        <w:txbxContent>
                          <w:p w14:paraId="79AFE857" w14:textId="77777777" w:rsidR="00494F5C" w:rsidRPr="00E548AE" w:rsidRDefault="00494F5C" w:rsidP="00F62A4F">
                            <w:pPr>
                              <w:jc w:val="center"/>
                              <w:rPr>
                                <w:color w:val="000000" w:themeColor="text1"/>
                                <w:sz w:val="20"/>
                              </w:rPr>
                            </w:pPr>
                            <w:r w:rsidRPr="00E548AE">
                              <w:rPr>
                                <w:color w:val="000000" w:themeColor="text1"/>
                                <w:sz w:val="20"/>
                              </w:rPr>
                              <w:t>Time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5868C" id="_x0000_s1032" type="#_x0000_t202" style="position:absolute;left:0;text-align:left;margin-left:202.55pt;margin-top:203.7pt;width:72.6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" stroked="f">
                <v:textbox>
                  <w:txbxContent>
                    <w:p w14:paraId="79AFE857" w14:textId="77777777" w:rsidR="00494F5C" w:rsidRPr="00E548AE" w:rsidRDefault="00494F5C" w:rsidP="00F62A4F">
                      <w:pPr>
                        <w:jc w:val="center"/>
                        <w:rPr>
                          <w:color w:val="000000" w:themeColor="text1"/>
                          <w:sz w:val="20"/>
                        </w:rPr>
                      </w:pPr>
                      <w:r w:rsidRPr="00E548AE">
                        <w:rPr>
                          <w:color w:val="000000" w:themeColor="text1"/>
                          <w:sz w:val="20"/>
                        </w:rPr>
                        <w:t>Time (Weeks)</w:t>
                      </w:r>
                    </w:p>
                  </w:txbxContent>
                </v:textbox>
              </v:shape>
            </w:pict>
          </mc:Fallback>
        </mc:AlternateContent>
      </w:r>
      <w:r w:rsidRPr="00B64CA9">
        <w:rPr>
          <w:noProof/>
          <w:lang w:eastAsia="en-AU" w:bidi="ar-SA"/>
        </w:rPr>
        <w:drawing>
          <wp:inline distT="0" distB="0" distL="0" distR="0" wp14:anchorId="4644A380" wp14:editId="52414495">
            <wp:extent cx="5533626" cy="2542966"/>
            <wp:effectExtent l="0" t="0" r="0" b="0"/>
            <wp:docPr id="2" name="Picture 2" descr="C:\Users\lenhaca1\AppData\Local\Temp\SNAGHTML135e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haca1\AppData\Local\Temp\SNAGHTML135ea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564" cy="2543397"/>
                    </a:xfrm>
                    <a:prstGeom prst="rect">
                      <a:avLst/>
                    </a:prstGeom>
                    <a:noFill/>
                    <a:ln>
                      <a:noFill/>
                    </a:ln>
                  </pic:spPr>
                </pic:pic>
              </a:graphicData>
            </a:graphic>
          </wp:inline>
        </w:drawing>
      </w:r>
      <w:r w:rsidRPr="00B64CA9">
        <w:rPr>
          <w:noProof/>
          <w:szCs w:val="24"/>
          <w:lang w:eastAsia="en-AU" w:bidi="ar-SA"/>
        </w:rPr>
        <mc:AlternateContent>
          <mc:Choice Requires="wps">
            <w:drawing>
              <wp:anchor distT="0" distB="0" distL="114300" distR="114300" simplePos="0" relativeHeight="251664384" behindDoc="0" locked="0" layoutInCell="1" allowOverlap="1" wp14:anchorId="2CF0F53A" wp14:editId="32FC7788">
                <wp:simplePos x="0" y="0"/>
                <wp:positionH relativeFrom="column">
                  <wp:posOffset>-914082</wp:posOffset>
                </wp:positionH>
                <wp:positionV relativeFrom="paragraph">
                  <wp:posOffset>921702</wp:posOffset>
                </wp:positionV>
                <wp:extent cx="2074230" cy="292735"/>
                <wp:effectExtent l="0" t="4763" r="0" b="0"/>
                <wp:wrapNone/>
                <wp:docPr id="2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74230" cy="292735"/>
                        </a:xfrm>
                        <a:prstGeom prst="rect">
                          <a:avLst/>
                        </a:prstGeom>
                        <a:solidFill>
                          <a:srgbClr val="FFFFFF"/>
                        </a:solidFill>
                        <a:ln w="9525">
                          <a:noFill/>
                          <a:miter lim="800000"/>
                          <a:headEnd/>
                          <a:tailEnd/>
                        </a:ln>
                      </wps:spPr>
                      <wps:txbx>
                        <w:txbxContent>
                          <w:p w14:paraId="537E96CF" w14:textId="77777777" w:rsidR="00494F5C" w:rsidRPr="00E548AE" w:rsidRDefault="00494F5C" w:rsidP="00F62A4F">
                            <w:pPr>
                              <w:jc w:val="center"/>
                              <w:rPr>
                                <w:color w:val="000000" w:themeColor="text1"/>
                                <w:sz w:val="20"/>
                              </w:rPr>
                            </w:pPr>
                            <w:r w:rsidRPr="00E548AE">
                              <w:rPr>
                                <w:color w:val="000000" w:themeColor="text1"/>
                                <w:sz w:val="20"/>
                              </w:rPr>
                              <w:t xml:space="preserve">Percentage of responders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0F53A" id="_x0000_s1033" type="#_x0000_t202" style="position:absolute;left:0;text-align:left;margin-left:-71.95pt;margin-top:72.55pt;width:163.35pt;height:23.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" stroked="f">
                <v:textbox>
                  <w:txbxContent>
                    <w:p w14:paraId="537E96CF" w14:textId="77777777" w:rsidR="00494F5C" w:rsidRPr="00E548AE" w:rsidRDefault="00494F5C" w:rsidP="00F62A4F">
                      <w:pPr>
                        <w:jc w:val="center"/>
                        <w:rPr>
                          <w:color w:val="000000" w:themeColor="text1"/>
                          <w:sz w:val="20"/>
                        </w:rPr>
                      </w:pPr>
                      <w:r w:rsidRPr="00E548AE">
                        <w:rPr>
                          <w:color w:val="000000" w:themeColor="text1"/>
                          <w:sz w:val="20"/>
                        </w:rPr>
                        <w:t xml:space="preserve">Percentage of responders </w:t>
                      </w:r>
                    </w:p>
                  </w:txbxContent>
                </v:textbox>
              </v:shape>
            </w:pict>
          </mc:Fallback>
        </mc:AlternateContent>
      </w:r>
    </w:p>
    <w:p w14:paraId="4E102638" w14:textId="77777777" w:rsidR="00F62A4F" w:rsidRPr="00B64CA9" w:rsidRDefault="00F62A4F" w:rsidP="0081558E">
      <w:pPr>
        <w:pStyle w:val="Text"/>
        <w:jc w:val="both"/>
      </w:pPr>
    </w:p>
    <w:p w14:paraId="5C971459" w14:textId="77777777" w:rsidR="00F62A4F" w:rsidRPr="00B64CA9" w:rsidRDefault="00F62A4F" w:rsidP="0081558E">
      <w:pPr>
        <w:pStyle w:val="Text"/>
        <w:jc w:val="both"/>
      </w:pPr>
      <w:r w:rsidRPr="00B64CA9">
        <w:rPr>
          <w:noProof/>
          <w:lang w:eastAsia="en-AU" w:bidi="ar-SA"/>
        </w:rPr>
        <mc:AlternateContent>
          <mc:Choice Requires="wps">
            <w:drawing>
              <wp:anchor distT="0" distB="0" distL="114300" distR="114300" simplePos="0" relativeHeight="251665408" behindDoc="0" locked="0" layoutInCell="1" allowOverlap="1" wp14:anchorId="1A825E7F" wp14:editId="166FE98F">
                <wp:simplePos x="0" y="0"/>
                <wp:positionH relativeFrom="column">
                  <wp:posOffset>1176020</wp:posOffset>
                </wp:positionH>
                <wp:positionV relativeFrom="paragraph">
                  <wp:posOffset>96209</wp:posOffset>
                </wp:positionV>
                <wp:extent cx="3357226" cy="407142"/>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26" cy="407142"/>
                        </a:xfrm>
                        <a:prstGeom prst="rect">
                          <a:avLst/>
                        </a:prstGeom>
                        <a:solidFill>
                          <a:srgbClr val="FFFFFF"/>
                        </a:solidFill>
                        <a:ln w="9525">
                          <a:noFill/>
                          <a:miter lim="800000"/>
                          <a:headEnd/>
                          <a:tailEnd/>
                        </a:ln>
                      </wps:spPr>
                      <wps:txbx>
                        <w:txbxContent>
                          <w:p w14:paraId="6B0910FE" w14:textId="77777777" w:rsidR="00494F5C" w:rsidRDefault="00494F5C" w:rsidP="00F62A4F">
                            <w:pPr>
                              <w:jc w:val="center"/>
                            </w:pPr>
                            <w:r>
                              <w:rPr>
                                <w:noProof/>
                                <w:lang w:eastAsia="en-AU"/>
                              </w:rPr>
                              <w:drawing>
                                <wp:inline distT="0" distB="0" distL="0" distR="0" wp14:anchorId="5B54998B" wp14:editId="57935F0F">
                                  <wp:extent cx="3236272" cy="30035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38259" cy="3005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25E7F" id="_x0000_s1034" type="#_x0000_t202" style="position:absolute;left:0;text-align:left;margin-left:92.6pt;margin-top:7.6pt;width:264.35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" stroked="f">
                <v:textbox>
                  <w:txbxContent>
                    <w:p w14:paraId="6B0910FE" w14:textId="77777777" w:rsidR="00494F5C" w:rsidRDefault="00494F5C" w:rsidP="00F62A4F">
                      <w:pPr>
                        <w:jc w:val="center"/>
                      </w:pPr>
                      <w:r>
                        <w:rPr>
                          <w:noProof/>
                          <w:lang w:eastAsia="en-AU"/>
                        </w:rPr>
                        <w:drawing>
                          <wp:inline distT="0" distB="0" distL="0" distR="0" wp14:anchorId="5B54998B" wp14:editId="57935F0F">
                            <wp:extent cx="3236272" cy="30035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38259" cy="300534"/>
                                    </a:xfrm>
                                    <a:prstGeom prst="rect">
                                      <a:avLst/>
                                    </a:prstGeom>
                                  </pic:spPr>
                                </pic:pic>
                              </a:graphicData>
                            </a:graphic>
                          </wp:inline>
                        </w:drawing>
                      </w:r>
                    </w:p>
                  </w:txbxContent>
                </v:textbox>
              </v:shape>
            </w:pict>
          </mc:Fallback>
        </mc:AlternateContent>
      </w:r>
    </w:p>
    <w:p w14:paraId="2AF48AA7" w14:textId="77777777" w:rsidR="00F62A4F" w:rsidRPr="00B64CA9" w:rsidRDefault="00F62A4F" w:rsidP="0081558E">
      <w:pPr>
        <w:jc w:val="both"/>
        <w:rPr>
          <w:rFonts w:ascii="Arial" w:hAnsi="Arial" w:cs="Arial"/>
          <w:sz w:val="20"/>
        </w:rPr>
      </w:pPr>
    </w:p>
    <w:p w14:paraId="0277E6DD" w14:textId="77777777" w:rsidR="00F62A4F" w:rsidRPr="00B64CA9" w:rsidRDefault="00F62A4F">
      <w:pPr>
        <w:jc w:val="both"/>
        <w:rPr>
          <w:rFonts w:ascii="Arial" w:hAnsi="Arial" w:cs="Arial"/>
          <w:sz w:val="20"/>
        </w:rPr>
      </w:pPr>
    </w:p>
    <w:p w14:paraId="4CE0569F" w14:textId="77777777" w:rsidR="00F62A4F" w:rsidRPr="00B64CA9" w:rsidRDefault="00F62A4F" w:rsidP="002D07A3">
      <w:pPr>
        <w:jc w:val="both"/>
        <w:rPr>
          <w:rFonts w:cs="Arial"/>
        </w:rPr>
      </w:pPr>
      <w:r w:rsidRPr="00B64CA9">
        <w:rPr>
          <w:rFonts w:cs="Arial"/>
        </w:rPr>
        <w:t xml:space="preserve">ASAS20 responses were improved at Week 16 in both </w:t>
      </w:r>
      <w:proofErr w:type="spellStart"/>
      <w:r w:rsidRPr="00B64CA9">
        <w:rPr>
          <w:rFonts w:cs="Arial"/>
        </w:rPr>
        <w:t>antiTNF</w:t>
      </w:r>
      <w:proofErr w:type="spellEnd"/>
      <w:r w:rsidRPr="00B64CA9">
        <w:rPr>
          <w:rFonts w:cs="Arial"/>
        </w:rPr>
        <w:t>α-naïve patients (68.2% vs. 31.1%; p&lt;0.05) and anti-TNFα-IR patients (50.0% vs. 24.1%; p&lt;0.05) for COSENTYX 150 mg compared with placebo, respectively.</w:t>
      </w:r>
    </w:p>
    <w:p w14:paraId="5567DD4A" w14:textId="77777777" w:rsidR="00F62A4F" w:rsidRPr="00B64CA9" w:rsidRDefault="00F62A4F" w:rsidP="002D07A3">
      <w:pPr>
        <w:jc w:val="both"/>
        <w:rPr>
          <w:rFonts w:cs="Arial"/>
        </w:rPr>
      </w:pPr>
      <w:r w:rsidRPr="00B64CA9">
        <w:rPr>
          <w:rFonts w:cs="Arial"/>
        </w:rPr>
        <w:t xml:space="preserve">In </w:t>
      </w:r>
      <w:r w:rsidR="00C6319D" w:rsidRPr="00B64CA9">
        <w:rPr>
          <w:rFonts w:cs="Arial"/>
        </w:rPr>
        <w:t>AS1 Study and AS2 Study</w:t>
      </w:r>
      <w:r w:rsidRPr="00B64CA9">
        <w:rPr>
          <w:rFonts w:cs="Arial"/>
        </w:rPr>
        <w:t xml:space="preserve">, COSENTYX -treated patients (150 mg in AS2 Study and both regimens in AS1 Study) demonstrated significantly improved signs and symptoms at Week 16, with comparable magnitude of response and efficacy was maintained up to Week 52 in both anti TNF-alpha-naïve and </w:t>
      </w:r>
      <w:r w:rsidRPr="00B64CA9">
        <w:rPr>
          <w:rFonts w:cs="Arial"/>
        </w:rPr>
        <w:lastRenderedPageBreak/>
        <w:t>anti-TNF-alpha-IR patients.  In AS Study 2, among 72 patients initially randomised to COSENTYX 150 mg, 61 (84.7%) patients were still on treatment at Week 52.  Of the 72 patients randomised to COSENTYX 150 mg, 45 and 35 had ASAS</w:t>
      </w:r>
      <w:r w:rsidR="00B02EC3" w:rsidRPr="00B64CA9">
        <w:rPr>
          <w:rFonts w:cs="Arial"/>
        </w:rPr>
        <w:t xml:space="preserve"> 20/40 response, respectively.</w:t>
      </w:r>
    </w:p>
    <w:p w14:paraId="0CA15453" w14:textId="77777777" w:rsidR="00C6319D" w:rsidRPr="00B64CA9" w:rsidRDefault="00C6319D" w:rsidP="002D07A3">
      <w:pPr>
        <w:jc w:val="both"/>
        <w:rPr>
          <w:rFonts w:cs="Arial"/>
        </w:rPr>
      </w:pPr>
      <w:r w:rsidRPr="00B64CA9">
        <w:rPr>
          <w:rFonts w:cs="Arial"/>
          <w:color w:val="000000" w:themeColor="text1"/>
        </w:rPr>
        <w:t xml:space="preserve">In AS3 Study, COSENTYX treated patients (150 mg and 300 mg) demonstrated improved signs and </w:t>
      </w:r>
      <w:proofErr w:type="gramStart"/>
      <w:r w:rsidRPr="00B64CA9">
        <w:rPr>
          <w:rFonts w:cs="Arial"/>
          <w:color w:val="000000" w:themeColor="text1"/>
        </w:rPr>
        <w:t>symptoms, and</w:t>
      </w:r>
      <w:proofErr w:type="gramEnd"/>
      <w:r w:rsidRPr="00B64CA9">
        <w:rPr>
          <w:rFonts w:cs="Arial"/>
          <w:color w:val="000000" w:themeColor="text1"/>
        </w:rPr>
        <w:t xml:space="preserve"> had comparable efficacy responses regardless of dose that were superior to placebo at Week 16 for the primary endpoint (ASAS20). Greater response rates favouring 300 mg were also observed for ASAS partial remission (ASAS PR) response at week 16. During the blinded period, the ASAS20 and ASAS40 responses were 69.7% and 47.6% for 150 mg and 74.3% and 57.4% for 300 mg at Week 52, respectively. The ASAS20 and ASAS40 responses were maintained through Week 156 (69.5% and 47.6% for 150 mg vs. 74.8% and 55.6% for 300 mg). The ASAS partial remission (ASAS PR) responses were 9.5% and 21.1% for 150 mg and 300 mg respectively, compared to 1.3% for placebo at Week 16. The ASAS PR responses were 18.1% and 24.3% for 150 mg and 300 mg at Week 52, respectively. These responses were maintained through Week 156 (15.1% for 150 mg and 27.2% for 300 mg).</w:t>
      </w:r>
    </w:p>
    <w:p w14:paraId="242CB1F8"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Spinal mobility</w:t>
      </w:r>
    </w:p>
    <w:p w14:paraId="61B44B50" w14:textId="77777777" w:rsidR="00F62A4F" w:rsidRPr="00B64CA9" w:rsidRDefault="00F62A4F" w:rsidP="002D07A3">
      <w:pPr>
        <w:jc w:val="both"/>
        <w:rPr>
          <w:rFonts w:cs="Arial"/>
        </w:rPr>
      </w:pPr>
      <w:r w:rsidRPr="00B64CA9">
        <w:rPr>
          <w:rFonts w:cs="Arial"/>
        </w:rPr>
        <w:t>Patients treated with COSENTYX 150 mg showed impr</w:t>
      </w:r>
      <w:r w:rsidR="00B02EC3" w:rsidRPr="00B64CA9">
        <w:rPr>
          <w:rFonts w:cs="Arial"/>
        </w:rPr>
        <w:t>o</w:t>
      </w:r>
      <w:r w:rsidRPr="00B64CA9">
        <w:rPr>
          <w:rFonts w:cs="Arial"/>
        </w:rPr>
        <w:t>vements in spinal mobility as measu</w:t>
      </w:r>
      <w:r w:rsidR="00B02EC3" w:rsidRPr="00B64CA9">
        <w:rPr>
          <w:rFonts w:cs="Arial"/>
        </w:rPr>
        <w:t>red by change from baseline in B</w:t>
      </w:r>
      <w:r w:rsidRPr="00B64CA9">
        <w:rPr>
          <w:rFonts w:cs="Arial"/>
        </w:rPr>
        <w:t>ASMI at Week 16 for both AS Study 1 (0.40 versus 0.12 for placebo; p=0.0114) and AS Study 2 (0.51 versus 0.22 for placebo; p=0.0533).  These improvements were sustained up to Week 52.</w:t>
      </w:r>
    </w:p>
    <w:p w14:paraId="5CBA1C32" w14:textId="77777777" w:rsidR="00F62A4F" w:rsidRPr="00B64CA9" w:rsidRDefault="00F62A4F" w:rsidP="002D07A3">
      <w:pPr>
        <w:spacing w:after="120"/>
        <w:jc w:val="both"/>
        <w:rPr>
          <w:rFonts w:asciiTheme="majorHAnsi" w:eastAsiaTheme="majorEastAsia" w:hAnsiTheme="majorHAnsi" w:cstheme="minorHAnsi"/>
          <w:b/>
          <w:bCs/>
        </w:rPr>
      </w:pPr>
      <w:r w:rsidRPr="00B64CA9">
        <w:rPr>
          <w:rFonts w:asciiTheme="majorHAnsi" w:eastAsiaTheme="majorEastAsia" w:hAnsiTheme="majorHAnsi" w:cstheme="minorHAnsi"/>
          <w:b/>
          <w:bCs/>
        </w:rPr>
        <w:t>Physical function and health-related quality of life</w:t>
      </w:r>
    </w:p>
    <w:p w14:paraId="6AD885B9" w14:textId="77777777" w:rsidR="00F62A4F" w:rsidRPr="00B64CA9" w:rsidRDefault="00F62A4F" w:rsidP="002D07A3">
      <w:pPr>
        <w:jc w:val="both"/>
        <w:rPr>
          <w:rFonts w:cs="Arial"/>
        </w:rPr>
      </w:pPr>
      <w:r w:rsidRPr="00B64CA9">
        <w:rPr>
          <w:rFonts w:cs="Arial"/>
        </w:rPr>
        <w:t xml:space="preserve">In AS Study 1 and 2, patients treated with COSENTYX 150 mg showed improvements in health-related quality of life as measured by </w:t>
      </w:r>
      <w:proofErr w:type="spellStart"/>
      <w:r w:rsidRPr="00B64CA9">
        <w:rPr>
          <w:rFonts w:cs="Arial"/>
        </w:rPr>
        <w:t>ASQoL</w:t>
      </w:r>
      <w:proofErr w:type="spellEnd"/>
      <w:r w:rsidRPr="00B64CA9">
        <w:rPr>
          <w:rFonts w:cs="Arial"/>
        </w:rPr>
        <w:t xml:space="preserve"> (p = 0.001) and SF-36 PCS (p&lt; 0.001).</w:t>
      </w:r>
      <w:r w:rsidRPr="00B64CA9" w:rsidDel="001629A6">
        <w:rPr>
          <w:rFonts w:cs="Arial"/>
        </w:rPr>
        <w:t xml:space="preserve"> </w:t>
      </w:r>
      <w:r w:rsidRPr="00B64CA9">
        <w:rPr>
          <w:rFonts w:cs="Arial"/>
        </w:rPr>
        <w:t>These improvements were sustained up to Week 52.</w:t>
      </w:r>
    </w:p>
    <w:p w14:paraId="0F8F0910" w14:textId="77777777" w:rsidR="0013166A" w:rsidRPr="00B64CA9" w:rsidRDefault="00F62A4F" w:rsidP="002D07A3">
      <w:pPr>
        <w:jc w:val="both"/>
        <w:rPr>
          <w:rFonts w:cs="Arial"/>
        </w:rPr>
      </w:pPr>
      <w:r w:rsidRPr="00B64CA9">
        <w:rPr>
          <w:rFonts w:cs="Arial"/>
        </w:rPr>
        <w:t>Patients treated with COSENTYX 150 mg also showed improvements on exploratory endpoints in physical function as assessed by the Bath Ankylosing Spondylitis Functional Index (BASFI) compared to placebo (-2.15 versus -0.68).</w:t>
      </w:r>
    </w:p>
    <w:p w14:paraId="7D5B7237" w14:textId="77777777" w:rsidR="001603B3" w:rsidRPr="00B64CA9" w:rsidRDefault="001603B3" w:rsidP="002D07A3">
      <w:pPr>
        <w:pStyle w:val="Text"/>
        <w:spacing w:after="200" w:line="276" w:lineRule="auto"/>
        <w:rPr>
          <w:rFonts w:asciiTheme="majorHAnsi" w:eastAsiaTheme="majorEastAsia" w:hAnsiTheme="majorHAnsi" w:cstheme="minorHAnsi"/>
          <w:b/>
          <w:bCs/>
          <w:sz w:val="22"/>
          <w:szCs w:val="22"/>
          <w:u w:val="single"/>
          <w:lang w:bidi="ar-SA"/>
        </w:rPr>
      </w:pPr>
      <w:r w:rsidRPr="00B64CA9">
        <w:rPr>
          <w:rFonts w:asciiTheme="majorHAnsi" w:eastAsiaTheme="majorEastAsia" w:hAnsiTheme="majorHAnsi" w:cstheme="minorHAnsi"/>
          <w:b/>
          <w:bCs/>
          <w:sz w:val="22"/>
          <w:szCs w:val="22"/>
          <w:u w:val="single"/>
          <w:lang w:bidi="ar-SA"/>
        </w:rPr>
        <w:t xml:space="preserve">Non-radiographic axial </w:t>
      </w:r>
      <w:proofErr w:type="spellStart"/>
      <w:r w:rsidRPr="00B64CA9">
        <w:rPr>
          <w:rFonts w:asciiTheme="majorHAnsi" w:eastAsiaTheme="majorEastAsia" w:hAnsiTheme="majorHAnsi" w:cstheme="minorHAnsi"/>
          <w:b/>
          <w:bCs/>
          <w:sz w:val="22"/>
          <w:szCs w:val="22"/>
          <w:u w:val="single"/>
          <w:lang w:bidi="ar-SA"/>
        </w:rPr>
        <w:t>spondyloarthritis</w:t>
      </w:r>
      <w:proofErr w:type="spellEnd"/>
      <w:r w:rsidRPr="00B64CA9">
        <w:rPr>
          <w:rFonts w:asciiTheme="majorHAnsi" w:eastAsiaTheme="majorEastAsia" w:hAnsiTheme="majorHAnsi" w:cstheme="minorHAnsi"/>
          <w:b/>
          <w:bCs/>
          <w:sz w:val="22"/>
          <w:szCs w:val="22"/>
          <w:u w:val="single"/>
          <w:lang w:bidi="ar-SA"/>
        </w:rPr>
        <w:t xml:space="preserve"> (</w:t>
      </w:r>
      <w:proofErr w:type="spellStart"/>
      <w:r w:rsidRPr="00B64CA9">
        <w:rPr>
          <w:rFonts w:asciiTheme="majorHAnsi" w:eastAsiaTheme="majorEastAsia" w:hAnsiTheme="majorHAnsi" w:cstheme="minorHAnsi"/>
          <w:b/>
          <w:bCs/>
          <w:sz w:val="22"/>
          <w:szCs w:val="22"/>
          <w:u w:val="single"/>
          <w:lang w:bidi="ar-SA"/>
        </w:rPr>
        <w:t>axSpA</w:t>
      </w:r>
      <w:proofErr w:type="spellEnd"/>
      <w:r w:rsidRPr="00B64CA9">
        <w:rPr>
          <w:rFonts w:asciiTheme="majorHAnsi" w:eastAsiaTheme="majorEastAsia" w:hAnsiTheme="majorHAnsi" w:cstheme="minorHAnsi"/>
          <w:b/>
          <w:bCs/>
          <w:sz w:val="22"/>
          <w:szCs w:val="22"/>
          <w:u w:val="single"/>
          <w:lang w:bidi="ar-SA"/>
        </w:rPr>
        <w:t xml:space="preserve"> without radiographic damage)</w:t>
      </w:r>
    </w:p>
    <w:p w14:paraId="3839AC28" w14:textId="77777777" w:rsidR="001603B3" w:rsidRPr="00B64CA9" w:rsidRDefault="001603B3" w:rsidP="002D07A3">
      <w:pPr>
        <w:pStyle w:val="Text"/>
        <w:spacing w:after="200" w:line="276" w:lineRule="auto"/>
        <w:jc w:val="both"/>
        <w:rPr>
          <w:rFonts w:asciiTheme="minorHAnsi" w:eastAsiaTheme="minorHAnsi" w:hAnsiTheme="minorHAnsi" w:cs="Arial"/>
          <w:sz w:val="22"/>
          <w:szCs w:val="22"/>
          <w:lang w:bidi="ar-SA"/>
        </w:rPr>
      </w:pPr>
      <w:r w:rsidRPr="00B64CA9">
        <w:rPr>
          <w:rFonts w:asciiTheme="minorHAnsi" w:eastAsiaTheme="minorHAnsi" w:hAnsiTheme="minorHAnsi" w:cs="Arial"/>
          <w:sz w:val="22"/>
          <w:szCs w:val="22"/>
          <w:lang w:bidi="ar-SA"/>
        </w:rPr>
        <w:t xml:space="preserve">The safety and efficacy of </w:t>
      </w:r>
      <w:r w:rsidR="00733D88" w:rsidRPr="00B64CA9">
        <w:rPr>
          <w:rFonts w:asciiTheme="minorHAnsi" w:eastAsiaTheme="minorHAnsi" w:hAnsiTheme="minorHAnsi" w:cs="Arial"/>
          <w:sz w:val="22"/>
          <w:szCs w:val="22"/>
          <w:lang w:bidi="ar-SA"/>
        </w:rPr>
        <w:t>COSENTYX</w:t>
      </w:r>
      <w:r w:rsidRPr="00B64CA9">
        <w:rPr>
          <w:rFonts w:asciiTheme="minorHAnsi" w:eastAsiaTheme="minorHAnsi" w:hAnsiTheme="minorHAnsi" w:cs="Arial"/>
          <w:sz w:val="22"/>
          <w:szCs w:val="22"/>
          <w:lang w:bidi="ar-SA"/>
        </w:rPr>
        <w:t xml:space="preserve"> were assessed</w:t>
      </w:r>
      <w:r w:rsidR="00733D88" w:rsidRPr="00B64CA9">
        <w:rPr>
          <w:rFonts w:asciiTheme="minorHAnsi" w:eastAsiaTheme="minorHAnsi" w:hAnsiTheme="minorHAnsi" w:cs="Arial"/>
          <w:sz w:val="22"/>
          <w:szCs w:val="22"/>
          <w:lang w:bidi="ar-SA"/>
        </w:rPr>
        <w:t xml:space="preserve"> in 555 patients in one randomis</w:t>
      </w:r>
      <w:r w:rsidRPr="00B64CA9">
        <w:rPr>
          <w:rFonts w:asciiTheme="minorHAnsi" w:eastAsiaTheme="minorHAnsi" w:hAnsiTheme="minorHAnsi" w:cs="Arial"/>
          <w:sz w:val="22"/>
          <w:szCs w:val="22"/>
          <w:lang w:bidi="ar-SA"/>
        </w:rPr>
        <w:t xml:space="preserve">ed, double-blind, placebo-controlled phase III study in patients with active non-radiographic axial </w:t>
      </w:r>
      <w:proofErr w:type="spellStart"/>
      <w:r w:rsidRPr="00B64CA9">
        <w:rPr>
          <w:rFonts w:asciiTheme="minorHAnsi" w:eastAsiaTheme="minorHAnsi" w:hAnsiTheme="minorHAnsi" w:cs="Arial"/>
          <w:sz w:val="22"/>
          <w:szCs w:val="22"/>
          <w:lang w:bidi="ar-SA"/>
        </w:rPr>
        <w:t>spondyloarthritis</w:t>
      </w:r>
      <w:proofErr w:type="spellEnd"/>
      <w:r w:rsidRPr="00B64CA9">
        <w:rPr>
          <w:rFonts w:asciiTheme="minorHAnsi" w:eastAsiaTheme="minorHAnsi" w:hAnsiTheme="minorHAnsi" w:cs="Arial"/>
          <w:sz w:val="22"/>
          <w:szCs w:val="22"/>
          <w:lang w:bidi="ar-SA"/>
        </w:rPr>
        <w:t xml:space="preserve"> (nr-</w:t>
      </w:r>
      <w:proofErr w:type="spellStart"/>
      <w:r w:rsidRPr="00B64CA9">
        <w:rPr>
          <w:rFonts w:asciiTheme="minorHAnsi" w:eastAsiaTheme="minorHAnsi" w:hAnsiTheme="minorHAnsi" w:cs="Arial"/>
          <w:sz w:val="22"/>
          <w:szCs w:val="22"/>
          <w:lang w:bidi="ar-SA"/>
        </w:rPr>
        <w:t>axSpA</w:t>
      </w:r>
      <w:proofErr w:type="spellEnd"/>
      <w:r w:rsidRPr="00B64CA9">
        <w:rPr>
          <w:rFonts w:asciiTheme="minorHAnsi" w:eastAsiaTheme="minorHAnsi" w:hAnsiTheme="minorHAnsi" w:cs="Arial"/>
          <w:sz w:val="22"/>
          <w:szCs w:val="22"/>
          <w:lang w:bidi="ar-SA"/>
        </w:rPr>
        <w:t xml:space="preserve">) fulfilling the Assessment of </w:t>
      </w:r>
      <w:proofErr w:type="spellStart"/>
      <w:r w:rsidRPr="00B64CA9">
        <w:rPr>
          <w:rFonts w:asciiTheme="minorHAnsi" w:eastAsiaTheme="minorHAnsi" w:hAnsiTheme="minorHAnsi" w:cs="Arial"/>
          <w:sz w:val="22"/>
          <w:szCs w:val="22"/>
          <w:lang w:bidi="ar-SA"/>
        </w:rPr>
        <w:t>Spondyloarthritis</w:t>
      </w:r>
      <w:proofErr w:type="spellEnd"/>
      <w:r w:rsidRPr="00B64CA9">
        <w:rPr>
          <w:rFonts w:asciiTheme="minorHAnsi" w:eastAsiaTheme="minorHAnsi" w:hAnsiTheme="minorHAnsi" w:cs="Arial"/>
          <w:sz w:val="22"/>
          <w:szCs w:val="22"/>
          <w:lang w:bidi="ar-SA"/>
        </w:rPr>
        <w:t xml:space="preserve"> International Society (ASAS) classification criteria for axial </w:t>
      </w:r>
      <w:proofErr w:type="spellStart"/>
      <w:r w:rsidRPr="00B64CA9">
        <w:rPr>
          <w:rFonts w:asciiTheme="minorHAnsi" w:eastAsiaTheme="minorHAnsi" w:hAnsiTheme="minorHAnsi" w:cs="Arial"/>
          <w:sz w:val="22"/>
          <w:szCs w:val="22"/>
          <w:lang w:bidi="ar-SA"/>
        </w:rPr>
        <w:t>spondyloarthritis</w:t>
      </w:r>
      <w:proofErr w:type="spellEnd"/>
      <w:r w:rsidRPr="00B64CA9">
        <w:rPr>
          <w:rFonts w:asciiTheme="minorHAnsi" w:eastAsiaTheme="minorHAnsi" w:hAnsiTheme="minorHAnsi" w:cs="Arial"/>
          <w:sz w:val="22"/>
          <w:szCs w:val="22"/>
          <w:lang w:bidi="ar-SA"/>
        </w:rPr>
        <w:t xml:space="preserve"> (</w:t>
      </w:r>
      <w:proofErr w:type="spellStart"/>
      <w:r w:rsidRPr="00B64CA9">
        <w:rPr>
          <w:rFonts w:asciiTheme="minorHAnsi" w:eastAsiaTheme="minorHAnsi" w:hAnsiTheme="minorHAnsi" w:cs="Arial"/>
          <w:sz w:val="22"/>
          <w:szCs w:val="22"/>
          <w:lang w:bidi="ar-SA"/>
        </w:rPr>
        <w:t>axSpA</w:t>
      </w:r>
      <w:proofErr w:type="spellEnd"/>
      <w:r w:rsidRPr="00B64CA9">
        <w:rPr>
          <w:rFonts w:asciiTheme="minorHAnsi" w:eastAsiaTheme="minorHAnsi" w:hAnsiTheme="minorHAnsi" w:cs="Arial"/>
          <w:sz w:val="22"/>
          <w:szCs w:val="22"/>
          <w:lang w:bidi="ar-SA"/>
        </w:rPr>
        <w:t xml:space="preserve">) with no radiographic evidence of changes in the sacroiliac joints that would meet the modified New York criteria for ankylosing spondylitis (AS). Patients enrolled had active disease, defined as a Bath Ankylosing Spondylitis Disease Activity Index (BASDAI) ≥4, a Visual Analogue Scale (VAS) for total back pain of ≥40 (on a scale of 0-100 mm), despite current or previous non-steroidal anti-inflammatory drug (NSAID) therapy and increased C-reactive protein (CRP) and/or evidence of sacroiliitis on Magnetic Resonance Imaging (MRI). Patients in this study had a diagnosis of </w:t>
      </w:r>
      <w:proofErr w:type="spellStart"/>
      <w:r w:rsidRPr="00B64CA9">
        <w:rPr>
          <w:rFonts w:asciiTheme="minorHAnsi" w:eastAsiaTheme="minorHAnsi" w:hAnsiTheme="minorHAnsi" w:cs="Arial"/>
          <w:sz w:val="22"/>
          <w:szCs w:val="22"/>
          <w:lang w:bidi="ar-SA"/>
        </w:rPr>
        <w:t>axSpA</w:t>
      </w:r>
      <w:proofErr w:type="spellEnd"/>
      <w:r w:rsidRPr="00B64CA9">
        <w:rPr>
          <w:rFonts w:asciiTheme="minorHAnsi" w:eastAsiaTheme="minorHAnsi" w:hAnsiTheme="minorHAnsi" w:cs="Arial"/>
          <w:sz w:val="22"/>
          <w:szCs w:val="22"/>
          <w:lang w:bidi="ar-SA"/>
        </w:rPr>
        <w:t xml:space="preserve"> for a </w:t>
      </w:r>
      <w:r w:rsidR="00A93A76" w:rsidRPr="00B64CA9">
        <w:rPr>
          <w:rFonts w:asciiTheme="minorHAnsi" w:eastAsiaTheme="minorHAnsi" w:hAnsiTheme="minorHAnsi" w:cs="Arial"/>
          <w:sz w:val="22"/>
          <w:szCs w:val="22"/>
          <w:lang w:bidi="ar-SA"/>
        </w:rPr>
        <w:t>mean</w:t>
      </w:r>
      <w:r w:rsidRPr="00B64CA9">
        <w:rPr>
          <w:rFonts w:asciiTheme="minorHAnsi" w:eastAsiaTheme="minorHAnsi" w:hAnsiTheme="minorHAnsi" w:cs="Arial"/>
          <w:sz w:val="22"/>
          <w:szCs w:val="22"/>
          <w:lang w:bidi="ar-SA"/>
        </w:rPr>
        <w:t xml:space="preserve"> of 2.1 to 3.0 years and 54% of the study participants were female.</w:t>
      </w:r>
    </w:p>
    <w:p w14:paraId="178E3DE5" w14:textId="77777777" w:rsidR="001603B3" w:rsidRPr="00B64CA9" w:rsidRDefault="001603B3" w:rsidP="002D07A3">
      <w:pPr>
        <w:pStyle w:val="Text"/>
        <w:spacing w:after="200" w:line="276" w:lineRule="auto"/>
        <w:jc w:val="both"/>
        <w:rPr>
          <w:rFonts w:asciiTheme="minorHAnsi" w:eastAsiaTheme="minorHAnsi" w:hAnsiTheme="minorHAnsi" w:cs="Arial"/>
          <w:sz w:val="22"/>
          <w:szCs w:val="22"/>
          <w:lang w:bidi="ar-SA"/>
        </w:rPr>
      </w:pPr>
      <w:r w:rsidRPr="00B64CA9">
        <w:rPr>
          <w:rFonts w:asciiTheme="minorHAnsi" w:eastAsiaTheme="minorHAnsi" w:hAnsiTheme="minorHAnsi" w:cs="Arial"/>
          <w:sz w:val="22"/>
          <w:szCs w:val="22"/>
          <w:lang w:bidi="ar-SA"/>
        </w:rPr>
        <w:lastRenderedPageBreak/>
        <w:t>In nr-</w:t>
      </w:r>
      <w:proofErr w:type="spellStart"/>
      <w:r w:rsidRPr="00B64CA9">
        <w:rPr>
          <w:rFonts w:asciiTheme="minorHAnsi" w:eastAsiaTheme="minorHAnsi" w:hAnsiTheme="minorHAnsi" w:cs="Arial"/>
          <w:sz w:val="22"/>
          <w:szCs w:val="22"/>
          <w:lang w:bidi="ar-SA"/>
        </w:rPr>
        <w:t>axSpA</w:t>
      </w:r>
      <w:proofErr w:type="spellEnd"/>
      <w:r w:rsidRPr="00B64CA9">
        <w:rPr>
          <w:rFonts w:asciiTheme="minorHAnsi" w:eastAsiaTheme="minorHAnsi" w:hAnsiTheme="minorHAnsi" w:cs="Arial"/>
          <w:sz w:val="22"/>
          <w:szCs w:val="22"/>
          <w:lang w:bidi="ar-SA"/>
        </w:rPr>
        <w:t xml:space="preserve"> 1 Study, 57.6% of patients had increased CRP, 72.2% had evidence of sacroiliitis on MRI and 29.9% had both increased CRP and evidence of sacroiliitis on MRI. In addition, 9.7% of patients were previously treated with an anti-TNF-alpha agent and discontinued the anti-TNF-alpha agent for either lack of efficacy or intolerance (anti-TNF-alpha-IR patients).</w:t>
      </w:r>
    </w:p>
    <w:p w14:paraId="46E938FB" w14:textId="77777777" w:rsidR="001603B3" w:rsidRPr="00B64CA9" w:rsidRDefault="001603B3" w:rsidP="002D07A3">
      <w:pPr>
        <w:pStyle w:val="Text"/>
        <w:spacing w:after="200" w:line="276" w:lineRule="auto"/>
        <w:jc w:val="both"/>
      </w:pPr>
      <w:r w:rsidRPr="00B64CA9">
        <w:rPr>
          <w:rFonts w:asciiTheme="minorHAnsi" w:eastAsiaTheme="minorHAnsi" w:hAnsiTheme="minorHAnsi" w:cs="Arial"/>
          <w:sz w:val="22"/>
          <w:szCs w:val="22"/>
          <w:lang w:bidi="ar-SA"/>
        </w:rPr>
        <w:t>Nr-</w:t>
      </w:r>
      <w:proofErr w:type="spellStart"/>
      <w:r w:rsidRPr="00B64CA9">
        <w:rPr>
          <w:rFonts w:asciiTheme="minorHAnsi" w:eastAsiaTheme="minorHAnsi" w:hAnsiTheme="minorHAnsi" w:cs="Arial"/>
          <w:sz w:val="22"/>
          <w:szCs w:val="22"/>
          <w:lang w:bidi="ar-SA"/>
        </w:rPr>
        <w:t>axSpA</w:t>
      </w:r>
      <w:proofErr w:type="spellEnd"/>
      <w:r w:rsidRPr="00B64CA9">
        <w:rPr>
          <w:rFonts w:asciiTheme="minorHAnsi" w:eastAsiaTheme="minorHAnsi" w:hAnsiTheme="minorHAnsi" w:cs="Arial"/>
          <w:sz w:val="22"/>
          <w:szCs w:val="22"/>
          <w:lang w:bidi="ar-SA"/>
        </w:rPr>
        <w:t xml:space="preserve"> 1 Study (PREVENT) evaluated 555 patients, of whom 9.9% and 14.8% used concomitant MTX or sulfasalazine, respectively. In the double-blind period, patients received either placebo or </w:t>
      </w:r>
      <w:r w:rsidR="001076F7" w:rsidRPr="00B64CA9">
        <w:rPr>
          <w:rFonts w:asciiTheme="minorHAnsi" w:eastAsiaTheme="minorHAnsi" w:hAnsiTheme="minorHAnsi" w:cs="Arial"/>
          <w:sz w:val="22"/>
          <w:szCs w:val="22"/>
          <w:lang w:bidi="ar-SA"/>
        </w:rPr>
        <w:t>COSENTYX</w:t>
      </w:r>
      <w:r w:rsidRPr="00B64CA9">
        <w:rPr>
          <w:rFonts w:asciiTheme="minorHAnsi" w:eastAsiaTheme="minorHAnsi" w:hAnsiTheme="minorHAnsi" w:cs="Arial"/>
          <w:sz w:val="22"/>
          <w:szCs w:val="22"/>
          <w:lang w:bidi="ar-SA"/>
        </w:rPr>
        <w:t xml:space="preserve"> for 52 weeks. Patients randomi</w:t>
      </w:r>
      <w:r w:rsidR="001076F7" w:rsidRPr="00B64CA9">
        <w:rPr>
          <w:rFonts w:asciiTheme="minorHAnsi" w:eastAsiaTheme="minorHAnsi" w:hAnsiTheme="minorHAnsi" w:cs="Arial"/>
          <w:sz w:val="22"/>
          <w:szCs w:val="22"/>
          <w:lang w:bidi="ar-SA"/>
        </w:rPr>
        <w:t>s</w:t>
      </w:r>
      <w:r w:rsidRPr="00B64CA9">
        <w:rPr>
          <w:rFonts w:asciiTheme="minorHAnsi" w:eastAsiaTheme="minorHAnsi" w:hAnsiTheme="minorHAnsi" w:cs="Arial"/>
          <w:sz w:val="22"/>
          <w:szCs w:val="22"/>
          <w:lang w:bidi="ar-SA"/>
        </w:rPr>
        <w:t xml:space="preserve">ed to </w:t>
      </w:r>
      <w:r w:rsidR="001076F7" w:rsidRPr="00B64CA9">
        <w:rPr>
          <w:rFonts w:asciiTheme="minorHAnsi" w:eastAsiaTheme="minorHAnsi" w:hAnsiTheme="minorHAnsi" w:cs="Arial"/>
          <w:sz w:val="22"/>
          <w:szCs w:val="22"/>
          <w:lang w:bidi="ar-SA"/>
        </w:rPr>
        <w:t xml:space="preserve">COSENTYX </w:t>
      </w:r>
      <w:r w:rsidRPr="00B64CA9">
        <w:rPr>
          <w:rFonts w:asciiTheme="minorHAnsi" w:eastAsiaTheme="minorHAnsi" w:hAnsiTheme="minorHAnsi" w:cs="Arial"/>
          <w:sz w:val="22"/>
          <w:szCs w:val="22"/>
          <w:lang w:bidi="ar-SA"/>
        </w:rPr>
        <w:t xml:space="preserve">received 150 mg </w:t>
      </w:r>
      <w:proofErr w:type="spellStart"/>
      <w:r w:rsidRPr="00B64CA9">
        <w:rPr>
          <w:rFonts w:asciiTheme="minorHAnsi" w:eastAsiaTheme="minorHAnsi" w:hAnsiTheme="minorHAnsi" w:cs="Arial"/>
          <w:sz w:val="22"/>
          <w:szCs w:val="22"/>
          <w:lang w:bidi="ar-SA"/>
        </w:rPr>
        <w:t>s.c.</w:t>
      </w:r>
      <w:proofErr w:type="spellEnd"/>
      <w:r w:rsidRPr="00B64CA9">
        <w:rPr>
          <w:rFonts w:asciiTheme="minorHAnsi" w:eastAsiaTheme="minorHAnsi" w:hAnsiTheme="minorHAnsi" w:cs="Arial"/>
          <w:sz w:val="22"/>
          <w:szCs w:val="22"/>
          <w:lang w:bidi="ar-SA"/>
        </w:rPr>
        <w:t xml:space="preserve"> at Weeks 0, 1, 2, 3 and 4 followed by the same dose every </w:t>
      </w:r>
      <w:r w:rsidR="00C12690" w:rsidRPr="00B64CA9">
        <w:rPr>
          <w:rFonts w:asciiTheme="minorHAnsi" w:eastAsiaTheme="minorHAnsi" w:hAnsiTheme="minorHAnsi" w:cs="Arial"/>
          <w:sz w:val="22"/>
          <w:szCs w:val="22"/>
          <w:lang w:bidi="ar-SA"/>
        </w:rPr>
        <w:t>four weeks</w:t>
      </w:r>
      <w:r w:rsidRPr="00B64CA9">
        <w:rPr>
          <w:rFonts w:asciiTheme="minorHAnsi" w:eastAsiaTheme="minorHAnsi" w:hAnsiTheme="minorHAnsi" w:cs="Arial"/>
          <w:sz w:val="22"/>
          <w:szCs w:val="22"/>
          <w:lang w:bidi="ar-SA"/>
        </w:rPr>
        <w:t xml:space="preserve">, or </w:t>
      </w:r>
      <w:r w:rsidR="001076F7" w:rsidRPr="00B64CA9">
        <w:rPr>
          <w:rFonts w:asciiTheme="minorHAnsi" w:eastAsiaTheme="minorHAnsi" w:hAnsiTheme="minorHAnsi" w:cs="Arial"/>
          <w:sz w:val="22"/>
          <w:szCs w:val="22"/>
          <w:lang w:bidi="ar-SA"/>
        </w:rPr>
        <w:t>COSENTYX</w:t>
      </w:r>
      <w:r w:rsidRPr="00B64CA9">
        <w:rPr>
          <w:rFonts w:asciiTheme="minorHAnsi" w:eastAsiaTheme="minorHAnsi" w:hAnsiTheme="minorHAnsi" w:cs="Arial"/>
          <w:sz w:val="22"/>
          <w:szCs w:val="22"/>
          <w:lang w:bidi="ar-SA"/>
        </w:rPr>
        <w:t xml:space="preserve"> 150 mg</w:t>
      </w:r>
      <w:r w:rsidR="00C12690" w:rsidRPr="00B64CA9">
        <w:rPr>
          <w:rFonts w:asciiTheme="minorHAnsi" w:eastAsiaTheme="minorHAnsi" w:hAnsiTheme="minorHAnsi" w:cs="Arial"/>
          <w:sz w:val="22"/>
          <w:szCs w:val="22"/>
          <w:lang w:bidi="ar-SA"/>
        </w:rPr>
        <w:t xml:space="preserve"> </w:t>
      </w:r>
      <w:proofErr w:type="spellStart"/>
      <w:r w:rsidR="00C12690" w:rsidRPr="00B64CA9">
        <w:rPr>
          <w:rFonts w:asciiTheme="minorHAnsi" w:eastAsiaTheme="minorHAnsi" w:hAnsiTheme="minorHAnsi" w:cs="Arial"/>
          <w:sz w:val="22"/>
          <w:szCs w:val="22"/>
          <w:lang w:bidi="ar-SA"/>
        </w:rPr>
        <w:t>s.c.</w:t>
      </w:r>
      <w:proofErr w:type="spellEnd"/>
      <w:r w:rsidR="00C12690" w:rsidRPr="00B64CA9">
        <w:rPr>
          <w:rFonts w:asciiTheme="minorHAnsi" w:eastAsiaTheme="minorHAnsi" w:hAnsiTheme="minorHAnsi" w:cs="Arial"/>
          <w:sz w:val="22"/>
          <w:szCs w:val="22"/>
          <w:lang w:bidi="ar-SA"/>
        </w:rPr>
        <w:t xml:space="preserve"> every four weeks without a loading dose</w:t>
      </w:r>
      <w:r w:rsidRPr="00B64CA9">
        <w:rPr>
          <w:rFonts w:asciiTheme="minorHAnsi" w:eastAsiaTheme="minorHAnsi" w:hAnsiTheme="minorHAnsi" w:cs="Arial"/>
          <w:sz w:val="22"/>
          <w:szCs w:val="22"/>
          <w:lang w:bidi="ar-SA"/>
        </w:rPr>
        <w:t>. The primary endpoint was at least 40% improvement in ASAS 40 at Week 16 in TNF-naive patients.</w:t>
      </w:r>
      <w:r w:rsidRPr="00B64CA9">
        <w:t xml:space="preserve"> </w:t>
      </w:r>
    </w:p>
    <w:p w14:paraId="7C3BD743" w14:textId="77777777" w:rsidR="001603B3" w:rsidRPr="00B64CA9" w:rsidRDefault="001603B3" w:rsidP="002D07A3">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Clinical response</w:t>
      </w:r>
    </w:p>
    <w:p w14:paraId="1EBE1CA1" w14:textId="77777777" w:rsidR="001603B3" w:rsidRPr="00B64CA9" w:rsidRDefault="001603B3" w:rsidP="002D07A3">
      <w:pPr>
        <w:jc w:val="both"/>
        <w:rPr>
          <w:rFonts w:asciiTheme="majorHAnsi" w:eastAsiaTheme="majorEastAsia" w:hAnsiTheme="majorHAnsi" w:cstheme="minorHAnsi"/>
          <w:b/>
          <w:bCs/>
        </w:rPr>
      </w:pPr>
      <w:r w:rsidRPr="00B64CA9">
        <w:rPr>
          <w:rFonts w:asciiTheme="majorHAnsi" w:eastAsiaTheme="majorEastAsia" w:hAnsiTheme="majorHAnsi" w:cstheme="minorHAnsi"/>
          <w:b/>
          <w:bCs/>
        </w:rPr>
        <w:t>Signs and symptoms</w:t>
      </w:r>
    </w:p>
    <w:p w14:paraId="7E5D068E" w14:textId="77777777" w:rsidR="001603B3" w:rsidRDefault="001603B3" w:rsidP="002D07A3">
      <w:pPr>
        <w:pStyle w:val="Text"/>
        <w:spacing w:after="200" w:line="276" w:lineRule="auto"/>
        <w:jc w:val="both"/>
        <w:rPr>
          <w:rFonts w:asciiTheme="minorHAnsi" w:eastAsiaTheme="minorHAnsi" w:hAnsiTheme="minorHAnsi" w:cs="Arial"/>
          <w:sz w:val="22"/>
          <w:szCs w:val="22"/>
          <w:lang w:bidi="ar-SA"/>
        </w:rPr>
      </w:pPr>
      <w:r w:rsidRPr="00B64CA9">
        <w:rPr>
          <w:rFonts w:asciiTheme="minorHAnsi" w:eastAsiaTheme="minorHAnsi" w:hAnsiTheme="minorHAnsi" w:cs="Arial"/>
          <w:sz w:val="22"/>
          <w:szCs w:val="22"/>
          <w:lang w:bidi="ar-SA"/>
        </w:rPr>
        <w:t>In nr-axSpA1 Study, treatment with COSENTYX 150 mg resulted in significant improvements in the measures of disease activity compared to placebo at Week 16. These measures include ASAS 40, ASAS 5/6, BASDAI score, BASDAI 50, high-sensitivity CRP (</w:t>
      </w:r>
      <w:proofErr w:type="spellStart"/>
      <w:r w:rsidRPr="00B64CA9">
        <w:rPr>
          <w:rFonts w:asciiTheme="minorHAnsi" w:eastAsiaTheme="minorHAnsi" w:hAnsiTheme="minorHAnsi" w:cs="Arial"/>
          <w:sz w:val="22"/>
          <w:szCs w:val="22"/>
          <w:lang w:bidi="ar-SA"/>
        </w:rPr>
        <w:t>hsCRP</w:t>
      </w:r>
      <w:proofErr w:type="spellEnd"/>
      <w:r w:rsidRPr="00B64CA9">
        <w:rPr>
          <w:rFonts w:asciiTheme="minorHAnsi" w:eastAsiaTheme="minorHAnsi" w:hAnsiTheme="minorHAnsi" w:cs="Arial"/>
          <w:sz w:val="22"/>
          <w:szCs w:val="22"/>
          <w:lang w:bidi="ar-SA"/>
        </w:rPr>
        <w:t xml:space="preserve">), ASAS 20 and ASAS partial remission response compared to placebo at Week 16 (Table </w:t>
      </w:r>
      <w:r w:rsidR="00A22371" w:rsidRPr="00B64CA9">
        <w:rPr>
          <w:rFonts w:asciiTheme="minorHAnsi" w:eastAsiaTheme="minorHAnsi" w:hAnsiTheme="minorHAnsi" w:cs="Arial"/>
          <w:sz w:val="22"/>
          <w:szCs w:val="22"/>
          <w:lang w:bidi="ar-SA"/>
        </w:rPr>
        <w:t>19</w:t>
      </w:r>
      <w:r w:rsidRPr="00B64CA9">
        <w:rPr>
          <w:rFonts w:asciiTheme="minorHAnsi" w:eastAsiaTheme="minorHAnsi" w:hAnsiTheme="minorHAnsi" w:cs="Arial"/>
          <w:sz w:val="22"/>
          <w:szCs w:val="22"/>
          <w:lang w:bidi="ar-SA"/>
        </w:rPr>
        <w:t>).</w:t>
      </w:r>
    </w:p>
    <w:p w14:paraId="51D16D05" w14:textId="77777777" w:rsidR="00494F5C" w:rsidRDefault="00494F5C" w:rsidP="002D07A3">
      <w:pPr>
        <w:pStyle w:val="Text"/>
        <w:spacing w:after="200" w:line="276" w:lineRule="auto"/>
        <w:jc w:val="both"/>
        <w:rPr>
          <w:rFonts w:asciiTheme="minorHAnsi" w:eastAsiaTheme="minorHAnsi" w:hAnsiTheme="minorHAnsi" w:cs="Arial"/>
          <w:sz w:val="22"/>
          <w:szCs w:val="22"/>
          <w:lang w:bidi="ar-SA"/>
        </w:rPr>
      </w:pPr>
    </w:p>
    <w:p w14:paraId="6A504755" w14:textId="77777777" w:rsidR="00494F5C" w:rsidRPr="00B64CA9" w:rsidRDefault="00494F5C" w:rsidP="002D07A3">
      <w:pPr>
        <w:pStyle w:val="Text"/>
        <w:spacing w:after="200" w:line="276" w:lineRule="auto"/>
        <w:jc w:val="both"/>
        <w:rPr>
          <w:rFonts w:asciiTheme="minorHAnsi" w:eastAsiaTheme="minorHAnsi" w:hAnsiTheme="minorHAnsi" w:cs="Arial"/>
          <w:sz w:val="22"/>
          <w:szCs w:val="22"/>
          <w:lang w:bidi="ar-SA"/>
        </w:rPr>
      </w:pPr>
    </w:p>
    <w:p w14:paraId="24CD8503" w14:textId="77777777" w:rsidR="001603B3" w:rsidRPr="00B64CA9" w:rsidRDefault="001603B3" w:rsidP="002D07A3">
      <w:pPr>
        <w:spacing w:after="120"/>
        <w:jc w:val="both"/>
        <w:rPr>
          <w:rFonts w:ascii="Arial" w:hAnsi="Arial" w:cs="Arial"/>
          <w:b/>
          <w:sz w:val="20"/>
        </w:rPr>
      </w:pPr>
      <w:r w:rsidRPr="00B64CA9">
        <w:rPr>
          <w:rFonts w:ascii="Arial" w:hAnsi="Arial" w:cs="Arial"/>
          <w:b/>
          <w:sz w:val="20"/>
        </w:rPr>
        <w:t xml:space="preserve">Table </w:t>
      </w:r>
      <w:r w:rsidR="00A22371" w:rsidRPr="00B64CA9">
        <w:rPr>
          <w:rFonts w:ascii="Arial" w:hAnsi="Arial" w:cs="Arial"/>
          <w:b/>
          <w:sz w:val="20"/>
        </w:rPr>
        <w:t>19</w:t>
      </w:r>
      <w:r w:rsidRPr="00B64CA9">
        <w:rPr>
          <w:rFonts w:ascii="Arial" w:hAnsi="Arial" w:cs="Arial"/>
          <w:b/>
          <w:sz w:val="20"/>
        </w:rPr>
        <w:tab/>
        <w:t>Clinical response in nr-axSpA1 Study at Week 16</w:t>
      </w:r>
    </w:p>
    <w:tbl>
      <w:tblPr>
        <w:tblStyle w:val="TableGrid"/>
        <w:tblW w:w="10207" w:type="dxa"/>
        <w:tblInd w:w="-5" w:type="dxa"/>
        <w:tblLayout w:type="fixed"/>
        <w:tblLook w:val="04A0" w:firstRow="1" w:lastRow="0" w:firstColumn="1" w:lastColumn="0" w:noHBand="0" w:noVBand="1"/>
      </w:tblPr>
      <w:tblGrid>
        <w:gridCol w:w="4501"/>
        <w:gridCol w:w="1736"/>
        <w:gridCol w:w="1985"/>
        <w:gridCol w:w="1985"/>
      </w:tblGrid>
      <w:tr w:rsidR="006B5C41" w:rsidRPr="00B64CA9" w14:paraId="1A77A549" w14:textId="77777777" w:rsidTr="002D07A3">
        <w:trPr>
          <w:trHeight w:val="283"/>
        </w:trPr>
        <w:tc>
          <w:tcPr>
            <w:tcW w:w="4501" w:type="dxa"/>
            <w:vAlign w:val="center"/>
          </w:tcPr>
          <w:p w14:paraId="7B74849A" w14:textId="77777777" w:rsidR="006B5C41" w:rsidRPr="00B64CA9" w:rsidRDefault="006B5C41" w:rsidP="002D07A3">
            <w:pPr>
              <w:spacing w:before="20" w:after="20"/>
              <w:rPr>
                <w:szCs w:val="18"/>
              </w:rPr>
            </w:pPr>
            <w:r w:rsidRPr="00B64CA9">
              <w:rPr>
                <w:rFonts w:ascii="Arial" w:eastAsiaTheme="minorHAnsi" w:hAnsi="Arial" w:cs="Arial"/>
                <w:b/>
                <w:sz w:val="18"/>
                <w:szCs w:val="18"/>
              </w:rPr>
              <w:t>Outcome (p-value vs placebo)</w:t>
            </w:r>
          </w:p>
        </w:tc>
        <w:tc>
          <w:tcPr>
            <w:tcW w:w="1736" w:type="dxa"/>
            <w:vAlign w:val="center"/>
          </w:tcPr>
          <w:p w14:paraId="400FF0D8" w14:textId="77777777" w:rsidR="006B5C41" w:rsidRPr="00B64CA9" w:rsidRDefault="006B5C41">
            <w:pPr>
              <w:pStyle w:val="Table"/>
              <w:jc w:val="center"/>
            </w:pPr>
            <w:r w:rsidRPr="00B64CA9">
              <w:t>Placebo</w:t>
            </w:r>
          </w:p>
        </w:tc>
        <w:tc>
          <w:tcPr>
            <w:tcW w:w="1985" w:type="dxa"/>
            <w:vAlign w:val="center"/>
          </w:tcPr>
          <w:p w14:paraId="3E9773B3" w14:textId="77777777" w:rsidR="006B5C41" w:rsidRPr="00B64CA9" w:rsidRDefault="006B5C41">
            <w:pPr>
              <w:pStyle w:val="Table"/>
              <w:jc w:val="center"/>
            </w:pPr>
            <w:r w:rsidRPr="00B64CA9">
              <w:t>150 mg with load</w:t>
            </w:r>
            <w:r w:rsidRPr="00B64CA9">
              <w:rPr>
                <w:vertAlign w:val="superscript"/>
              </w:rPr>
              <w:t>1</w:t>
            </w:r>
          </w:p>
        </w:tc>
        <w:tc>
          <w:tcPr>
            <w:tcW w:w="1985" w:type="dxa"/>
          </w:tcPr>
          <w:p w14:paraId="533E5CB6" w14:textId="77777777" w:rsidR="006B5C41" w:rsidRPr="00B64CA9" w:rsidRDefault="006B5C41">
            <w:pPr>
              <w:pStyle w:val="Table"/>
              <w:jc w:val="center"/>
            </w:pPr>
            <w:r w:rsidRPr="00B64CA9">
              <w:t>150 mg without load</w:t>
            </w:r>
          </w:p>
        </w:tc>
      </w:tr>
      <w:tr w:rsidR="006B5C41" w:rsidRPr="00B64CA9" w14:paraId="03A1333E" w14:textId="77777777" w:rsidTr="002D07A3">
        <w:trPr>
          <w:trHeight w:val="283"/>
        </w:trPr>
        <w:tc>
          <w:tcPr>
            <w:tcW w:w="4501" w:type="dxa"/>
            <w:vAlign w:val="center"/>
          </w:tcPr>
          <w:p w14:paraId="7B0C9BF6" w14:textId="77777777" w:rsidR="006B5C41" w:rsidRPr="00B64CA9" w:rsidRDefault="006B5C41" w:rsidP="002D07A3">
            <w:pPr>
              <w:spacing w:before="20" w:after="20"/>
              <w:rPr>
                <w:szCs w:val="18"/>
              </w:rPr>
            </w:pPr>
            <w:r w:rsidRPr="00B64CA9">
              <w:rPr>
                <w:rFonts w:ascii="Arial" w:eastAsiaTheme="minorHAnsi" w:hAnsi="Arial" w:cs="Arial"/>
                <w:b/>
                <w:sz w:val="18"/>
                <w:szCs w:val="18"/>
              </w:rPr>
              <w:t>Number of TNF-naive patients randomi</w:t>
            </w:r>
            <w:r w:rsidRPr="00B64CA9">
              <w:rPr>
                <w:rFonts w:ascii="Arial" w:hAnsi="Arial" w:cs="Arial"/>
                <w:b/>
                <w:sz w:val="18"/>
                <w:szCs w:val="18"/>
              </w:rPr>
              <w:t>s</w:t>
            </w:r>
            <w:r w:rsidRPr="00B64CA9">
              <w:rPr>
                <w:rFonts w:ascii="Arial" w:eastAsiaTheme="minorHAnsi" w:hAnsi="Arial" w:cs="Arial"/>
                <w:b/>
                <w:sz w:val="18"/>
                <w:szCs w:val="18"/>
              </w:rPr>
              <w:t>ed</w:t>
            </w:r>
          </w:p>
        </w:tc>
        <w:tc>
          <w:tcPr>
            <w:tcW w:w="1736" w:type="dxa"/>
            <w:vAlign w:val="center"/>
          </w:tcPr>
          <w:p w14:paraId="2DC82048" w14:textId="77777777" w:rsidR="006B5C41" w:rsidRPr="00B64CA9" w:rsidRDefault="006B5C41">
            <w:pPr>
              <w:pStyle w:val="Table"/>
              <w:jc w:val="center"/>
            </w:pPr>
            <w:r w:rsidRPr="00B64CA9">
              <w:t>171</w:t>
            </w:r>
          </w:p>
        </w:tc>
        <w:tc>
          <w:tcPr>
            <w:tcW w:w="1985" w:type="dxa"/>
            <w:vAlign w:val="center"/>
          </w:tcPr>
          <w:p w14:paraId="718B43FE" w14:textId="77777777" w:rsidR="006B5C41" w:rsidRPr="00B64CA9" w:rsidRDefault="006B5C41">
            <w:pPr>
              <w:pStyle w:val="Table"/>
              <w:jc w:val="center"/>
            </w:pPr>
            <w:r w:rsidRPr="00B64CA9">
              <w:t>164</w:t>
            </w:r>
          </w:p>
        </w:tc>
        <w:tc>
          <w:tcPr>
            <w:tcW w:w="1985" w:type="dxa"/>
          </w:tcPr>
          <w:p w14:paraId="06BC5F50" w14:textId="77777777" w:rsidR="006B5C41" w:rsidRPr="00B64CA9" w:rsidRDefault="00C5093D">
            <w:pPr>
              <w:pStyle w:val="Table"/>
              <w:jc w:val="center"/>
            </w:pPr>
            <w:r w:rsidRPr="00B64CA9">
              <w:t>166</w:t>
            </w:r>
          </w:p>
        </w:tc>
      </w:tr>
      <w:tr w:rsidR="006B5C41" w:rsidRPr="00B64CA9" w14:paraId="0BA4F824" w14:textId="77777777" w:rsidTr="002D07A3">
        <w:trPr>
          <w:trHeight w:val="283"/>
        </w:trPr>
        <w:tc>
          <w:tcPr>
            <w:tcW w:w="4501" w:type="dxa"/>
            <w:vAlign w:val="center"/>
          </w:tcPr>
          <w:p w14:paraId="5A378752" w14:textId="77777777" w:rsidR="006B5C41" w:rsidRPr="00B64CA9" w:rsidRDefault="006B5C41" w:rsidP="002D07A3">
            <w:pPr>
              <w:spacing w:before="20" w:after="20"/>
              <w:rPr>
                <w:szCs w:val="18"/>
              </w:rPr>
            </w:pPr>
            <w:r w:rsidRPr="00B64CA9">
              <w:rPr>
                <w:rFonts w:ascii="Arial" w:eastAsiaTheme="minorHAnsi" w:hAnsi="Arial" w:cs="Arial"/>
                <w:sz w:val="18"/>
                <w:szCs w:val="18"/>
              </w:rPr>
              <w:t>ASAS 40 response, %</w:t>
            </w:r>
          </w:p>
        </w:tc>
        <w:tc>
          <w:tcPr>
            <w:tcW w:w="1736" w:type="dxa"/>
            <w:vAlign w:val="center"/>
          </w:tcPr>
          <w:p w14:paraId="1F4F3EAA" w14:textId="77777777" w:rsidR="006B5C41" w:rsidRPr="00B64CA9" w:rsidRDefault="006B5C41">
            <w:pPr>
              <w:pStyle w:val="Table"/>
              <w:jc w:val="center"/>
              <w:rPr>
                <w:b w:val="0"/>
              </w:rPr>
            </w:pPr>
            <w:r w:rsidRPr="00B64CA9">
              <w:rPr>
                <w:b w:val="0"/>
              </w:rPr>
              <w:t>29.2%</w:t>
            </w:r>
          </w:p>
        </w:tc>
        <w:tc>
          <w:tcPr>
            <w:tcW w:w="1985" w:type="dxa"/>
            <w:vAlign w:val="center"/>
          </w:tcPr>
          <w:p w14:paraId="3E23CC7C" w14:textId="77777777" w:rsidR="006B5C41" w:rsidRPr="00B64CA9" w:rsidRDefault="006B5C41">
            <w:pPr>
              <w:pStyle w:val="Table"/>
              <w:jc w:val="center"/>
              <w:rPr>
                <w:b w:val="0"/>
              </w:rPr>
            </w:pPr>
            <w:r w:rsidRPr="00B64CA9">
              <w:rPr>
                <w:b w:val="0"/>
              </w:rPr>
              <w:t>41.5%*</w:t>
            </w:r>
          </w:p>
        </w:tc>
        <w:tc>
          <w:tcPr>
            <w:tcW w:w="1985" w:type="dxa"/>
          </w:tcPr>
          <w:p w14:paraId="7E688AE2" w14:textId="77777777" w:rsidR="006B5C41" w:rsidRPr="00B64CA9" w:rsidRDefault="00C73D3A">
            <w:pPr>
              <w:pStyle w:val="Table"/>
              <w:jc w:val="center"/>
              <w:rPr>
                <w:b w:val="0"/>
              </w:rPr>
            </w:pPr>
            <w:r w:rsidRPr="00B64CA9">
              <w:rPr>
                <w:b w:val="0"/>
              </w:rPr>
              <w:t>42.2%</w:t>
            </w:r>
            <w:r w:rsidR="00503ABE" w:rsidRPr="00B64CA9">
              <w:rPr>
                <w:b w:val="0"/>
              </w:rPr>
              <w:t>*</w:t>
            </w:r>
          </w:p>
        </w:tc>
      </w:tr>
      <w:tr w:rsidR="006B5C41" w:rsidRPr="00B64CA9" w14:paraId="0E11B728" w14:textId="77777777" w:rsidTr="002D07A3">
        <w:trPr>
          <w:trHeight w:val="283"/>
        </w:trPr>
        <w:tc>
          <w:tcPr>
            <w:tcW w:w="4501" w:type="dxa"/>
            <w:vAlign w:val="center"/>
          </w:tcPr>
          <w:p w14:paraId="52D03041" w14:textId="77777777" w:rsidR="006B5C41" w:rsidRPr="00B64CA9" w:rsidRDefault="006B5C41" w:rsidP="002D07A3">
            <w:pPr>
              <w:spacing w:before="20" w:after="20"/>
              <w:rPr>
                <w:szCs w:val="18"/>
              </w:rPr>
            </w:pPr>
            <w:r w:rsidRPr="00B64CA9">
              <w:rPr>
                <w:rFonts w:ascii="Arial" w:eastAsiaTheme="minorHAnsi" w:hAnsi="Arial" w:cs="Arial"/>
                <w:b/>
                <w:sz w:val="18"/>
                <w:szCs w:val="18"/>
              </w:rPr>
              <w:t>Total number of patients randomi</w:t>
            </w:r>
            <w:r w:rsidRPr="00B64CA9">
              <w:rPr>
                <w:rFonts w:ascii="Arial" w:hAnsi="Arial" w:cs="Arial"/>
                <w:b/>
                <w:sz w:val="18"/>
                <w:szCs w:val="18"/>
              </w:rPr>
              <w:t>s</w:t>
            </w:r>
            <w:r w:rsidRPr="00B64CA9">
              <w:rPr>
                <w:rFonts w:ascii="Arial" w:eastAsiaTheme="minorHAnsi" w:hAnsi="Arial" w:cs="Arial"/>
                <w:b/>
                <w:sz w:val="18"/>
                <w:szCs w:val="18"/>
              </w:rPr>
              <w:t>ed</w:t>
            </w:r>
          </w:p>
        </w:tc>
        <w:tc>
          <w:tcPr>
            <w:tcW w:w="1736" w:type="dxa"/>
            <w:vAlign w:val="center"/>
          </w:tcPr>
          <w:p w14:paraId="17D809C7" w14:textId="77777777" w:rsidR="006B5C41" w:rsidRPr="00B64CA9" w:rsidRDefault="006B5C41">
            <w:pPr>
              <w:pStyle w:val="Table"/>
              <w:jc w:val="center"/>
            </w:pPr>
            <w:r w:rsidRPr="00B64CA9">
              <w:t>186</w:t>
            </w:r>
          </w:p>
        </w:tc>
        <w:tc>
          <w:tcPr>
            <w:tcW w:w="1985" w:type="dxa"/>
            <w:vAlign w:val="center"/>
          </w:tcPr>
          <w:p w14:paraId="55FBDACD" w14:textId="77777777" w:rsidR="006B5C41" w:rsidRPr="00B64CA9" w:rsidRDefault="006B5C41">
            <w:pPr>
              <w:pStyle w:val="Table"/>
              <w:jc w:val="center"/>
            </w:pPr>
            <w:r w:rsidRPr="00B64CA9">
              <w:t>185</w:t>
            </w:r>
          </w:p>
        </w:tc>
        <w:tc>
          <w:tcPr>
            <w:tcW w:w="1985" w:type="dxa"/>
          </w:tcPr>
          <w:p w14:paraId="3A05DD90" w14:textId="77777777" w:rsidR="006B5C41" w:rsidRPr="00B64CA9" w:rsidRDefault="00C5093D">
            <w:pPr>
              <w:pStyle w:val="Table"/>
              <w:jc w:val="center"/>
            </w:pPr>
            <w:r w:rsidRPr="00B64CA9">
              <w:t>184</w:t>
            </w:r>
          </w:p>
        </w:tc>
      </w:tr>
      <w:tr w:rsidR="006B5C41" w:rsidRPr="00B64CA9" w14:paraId="49C5281C" w14:textId="77777777" w:rsidTr="002D07A3">
        <w:trPr>
          <w:trHeight w:val="283"/>
        </w:trPr>
        <w:tc>
          <w:tcPr>
            <w:tcW w:w="4501" w:type="dxa"/>
            <w:vAlign w:val="center"/>
          </w:tcPr>
          <w:p w14:paraId="58AC24D7" w14:textId="77777777" w:rsidR="006B5C41" w:rsidRPr="00B64CA9" w:rsidRDefault="006B5C41" w:rsidP="002D07A3">
            <w:pPr>
              <w:spacing w:before="20" w:after="20"/>
              <w:rPr>
                <w:szCs w:val="18"/>
              </w:rPr>
            </w:pPr>
            <w:r w:rsidRPr="00B64CA9">
              <w:rPr>
                <w:rFonts w:ascii="Arial" w:eastAsiaTheme="minorHAnsi" w:hAnsi="Arial" w:cs="Arial"/>
                <w:sz w:val="18"/>
                <w:szCs w:val="18"/>
              </w:rPr>
              <w:t>ASAS 40 response, %</w:t>
            </w:r>
          </w:p>
        </w:tc>
        <w:tc>
          <w:tcPr>
            <w:tcW w:w="1736" w:type="dxa"/>
            <w:vAlign w:val="center"/>
          </w:tcPr>
          <w:p w14:paraId="5F0E257E" w14:textId="77777777" w:rsidR="006B5C41" w:rsidRPr="00B64CA9" w:rsidRDefault="006B5C41">
            <w:pPr>
              <w:pStyle w:val="Table"/>
              <w:jc w:val="center"/>
              <w:rPr>
                <w:b w:val="0"/>
              </w:rPr>
            </w:pPr>
            <w:r w:rsidRPr="00B64CA9">
              <w:rPr>
                <w:b w:val="0"/>
              </w:rPr>
              <w:t>28.0%</w:t>
            </w:r>
          </w:p>
        </w:tc>
        <w:tc>
          <w:tcPr>
            <w:tcW w:w="1985" w:type="dxa"/>
            <w:vAlign w:val="center"/>
          </w:tcPr>
          <w:p w14:paraId="3CC1475D" w14:textId="77777777" w:rsidR="006B5C41" w:rsidRPr="00B64CA9" w:rsidRDefault="006B5C41">
            <w:pPr>
              <w:pStyle w:val="Table"/>
              <w:jc w:val="center"/>
              <w:rPr>
                <w:b w:val="0"/>
              </w:rPr>
            </w:pPr>
            <w:r w:rsidRPr="00B64CA9">
              <w:rPr>
                <w:b w:val="0"/>
              </w:rPr>
              <w:t>40.0%*</w:t>
            </w:r>
          </w:p>
        </w:tc>
        <w:tc>
          <w:tcPr>
            <w:tcW w:w="1985" w:type="dxa"/>
          </w:tcPr>
          <w:p w14:paraId="5DDB8689" w14:textId="77777777" w:rsidR="006B5C41" w:rsidRPr="00B64CA9" w:rsidRDefault="006B5C41">
            <w:pPr>
              <w:pStyle w:val="Table"/>
              <w:jc w:val="center"/>
              <w:rPr>
                <w:b w:val="0"/>
              </w:rPr>
            </w:pPr>
            <w:r w:rsidRPr="00B64CA9">
              <w:rPr>
                <w:b w:val="0"/>
              </w:rPr>
              <w:t>40.8%</w:t>
            </w:r>
            <w:r w:rsidR="00503ABE" w:rsidRPr="00B64CA9">
              <w:rPr>
                <w:b w:val="0"/>
              </w:rPr>
              <w:t>*</w:t>
            </w:r>
          </w:p>
        </w:tc>
      </w:tr>
      <w:tr w:rsidR="006B5C41" w:rsidRPr="00B64CA9" w14:paraId="12E96ED6" w14:textId="77777777" w:rsidTr="002D07A3">
        <w:trPr>
          <w:trHeight w:val="283"/>
        </w:trPr>
        <w:tc>
          <w:tcPr>
            <w:tcW w:w="4501" w:type="dxa"/>
            <w:vAlign w:val="center"/>
          </w:tcPr>
          <w:p w14:paraId="2BA09B0E" w14:textId="77777777" w:rsidR="006B5C41" w:rsidRPr="00B64CA9" w:rsidRDefault="006B5C41" w:rsidP="002D07A3">
            <w:pPr>
              <w:spacing w:before="20" w:after="20"/>
              <w:rPr>
                <w:szCs w:val="18"/>
              </w:rPr>
            </w:pPr>
            <w:r w:rsidRPr="00B64CA9">
              <w:rPr>
                <w:rFonts w:ascii="Arial" w:eastAsiaTheme="minorHAnsi" w:hAnsi="Arial" w:cs="Arial"/>
                <w:sz w:val="18"/>
                <w:szCs w:val="18"/>
              </w:rPr>
              <w:t>ASAS 5/6, %</w:t>
            </w:r>
          </w:p>
        </w:tc>
        <w:tc>
          <w:tcPr>
            <w:tcW w:w="1736" w:type="dxa"/>
            <w:vAlign w:val="center"/>
          </w:tcPr>
          <w:p w14:paraId="4B693C9B" w14:textId="77777777" w:rsidR="006B5C41" w:rsidRPr="00B64CA9" w:rsidRDefault="006B5C41">
            <w:pPr>
              <w:pStyle w:val="Table"/>
              <w:jc w:val="center"/>
              <w:rPr>
                <w:b w:val="0"/>
              </w:rPr>
            </w:pPr>
            <w:r w:rsidRPr="00B64CA9">
              <w:rPr>
                <w:b w:val="0"/>
              </w:rPr>
              <w:t>23.7%</w:t>
            </w:r>
          </w:p>
        </w:tc>
        <w:tc>
          <w:tcPr>
            <w:tcW w:w="1985" w:type="dxa"/>
            <w:vAlign w:val="center"/>
          </w:tcPr>
          <w:p w14:paraId="1F46DBF4" w14:textId="77777777" w:rsidR="006B5C41" w:rsidRPr="00B64CA9" w:rsidRDefault="006B5C41">
            <w:pPr>
              <w:pStyle w:val="Table"/>
              <w:jc w:val="center"/>
              <w:rPr>
                <w:b w:val="0"/>
              </w:rPr>
            </w:pPr>
            <w:r w:rsidRPr="00B64CA9">
              <w:rPr>
                <w:b w:val="0"/>
              </w:rPr>
              <w:t>40.0%*</w:t>
            </w:r>
          </w:p>
        </w:tc>
        <w:tc>
          <w:tcPr>
            <w:tcW w:w="1985" w:type="dxa"/>
          </w:tcPr>
          <w:p w14:paraId="7C70EAB7" w14:textId="77777777" w:rsidR="006B5C41" w:rsidRPr="00B64CA9" w:rsidRDefault="006B5C41">
            <w:pPr>
              <w:pStyle w:val="Table"/>
              <w:jc w:val="center"/>
              <w:rPr>
                <w:b w:val="0"/>
              </w:rPr>
            </w:pPr>
            <w:r w:rsidRPr="00B64CA9">
              <w:rPr>
                <w:b w:val="0"/>
              </w:rPr>
              <w:t>35.9%</w:t>
            </w:r>
            <w:r w:rsidR="00503ABE" w:rsidRPr="00B64CA9">
              <w:rPr>
                <w:b w:val="0"/>
              </w:rPr>
              <w:t>*</w:t>
            </w:r>
          </w:p>
        </w:tc>
      </w:tr>
      <w:tr w:rsidR="006B5C41" w:rsidRPr="00B64CA9" w14:paraId="0E1F4E5A" w14:textId="77777777" w:rsidTr="002D07A3">
        <w:trPr>
          <w:trHeight w:val="283"/>
        </w:trPr>
        <w:tc>
          <w:tcPr>
            <w:tcW w:w="4501" w:type="dxa"/>
            <w:vAlign w:val="center"/>
          </w:tcPr>
          <w:p w14:paraId="204DC111" w14:textId="77777777" w:rsidR="006B5C41" w:rsidRPr="00B64CA9" w:rsidRDefault="006B5C41" w:rsidP="002D07A3">
            <w:pPr>
              <w:spacing w:before="20" w:after="20"/>
              <w:rPr>
                <w:szCs w:val="18"/>
              </w:rPr>
            </w:pPr>
            <w:r w:rsidRPr="00B64CA9">
              <w:rPr>
                <w:rFonts w:ascii="Arial" w:eastAsiaTheme="minorHAnsi" w:hAnsi="Arial" w:cs="Arial"/>
                <w:sz w:val="18"/>
                <w:szCs w:val="18"/>
              </w:rPr>
              <w:t>BASDAI, LS mean change from baseline score</w:t>
            </w:r>
          </w:p>
        </w:tc>
        <w:tc>
          <w:tcPr>
            <w:tcW w:w="1736" w:type="dxa"/>
            <w:vAlign w:val="center"/>
          </w:tcPr>
          <w:p w14:paraId="61F45AED" w14:textId="77777777" w:rsidR="006B5C41" w:rsidRPr="00B64CA9" w:rsidRDefault="006B5C41">
            <w:pPr>
              <w:pStyle w:val="Table"/>
              <w:jc w:val="center"/>
              <w:rPr>
                <w:b w:val="0"/>
              </w:rPr>
            </w:pPr>
            <w:r w:rsidRPr="00B64CA9">
              <w:rPr>
                <w:b w:val="0"/>
              </w:rPr>
              <w:t>-1.46</w:t>
            </w:r>
          </w:p>
        </w:tc>
        <w:tc>
          <w:tcPr>
            <w:tcW w:w="1985" w:type="dxa"/>
            <w:vAlign w:val="center"/>
          </w:tcPr>
          <w:p w14:paraId="76512750" w14:textId="77777777" w:rsidR="006B5C41" w:rsidRPr="00B64CA9" w:rsidRDefault="006B5C41">
            <w:pPr>
              <w:pStyle w:val="Table"/>
              <w:jc w:val="center"/>
              <w:rPr>
                <w:b w:val="0"/>
              </w:rPr>
            </w:pPr>
            <w:r w:rsidRPr="00B64CA9">
              <w:rPr>
                <w:b w:val="0"/>
              </w:rPr>
              <w:t>-2.35*</w:t>
            </w:r>
          </w:p>
        </w:tc>
        <w:tc>
          <w:tcPr>
            <w:tcW w:w="1985" w:type="dxa"/>
          </w:tcPr>
          <w:p w14:paraId="225E1383" w14:textId="77777777" w:rsidR="006B5C41" w:rsidRPr="00B64CA9" w:rsidRDefault="00655CE2">
            <w:pPr>
              <w:pStyle w:val="Table"/>
              <w:jc w:val="center"/>
              <w:rPr>
                <w:b w:val="0"/>
              </w:rPr>
            </w:pPr>
            <w:r w:rsidRPr="00B64CA9">
              <w:rPr>
                <w:b w:val="0"/>
              </w:rPr>
              <w:t>-2.43</w:t>
            </w:r>
            <w:r w:rsidR="00503ABE" w:rsidRPr="00B64CA9">
              <w:rPr>
                <w:b w:val="0"/>
              </w:rPr>
              <w:t>*</w:t>
            </w:r>
            <w:r w:rsidR="001021BE" w:rsidRPr="00B64CA9">
              <w:rPr>
                <w:b w:val="0"/>
              </w:rPr>
              <w:t>*</w:t>
            </w:r>
          </w:p>
        </w:tc>
      </w:tr>
      <w:tr w:rsidR="006B5C41" w:rsidRPr="00B64CA9" w14:paraId="0668D1FE" w14:textId="77777777" w:rsidTr="002D07A3">
        <w:trPr>
          <w:trHeight w:val="283"/>
        </w:trPr>
        <w:tc>
          <w:tcPr>
            <w:tcW w:w="4501" w:type="dxa"/>
            <w:vAlign w:val="center"/>
          </w:tcPr>
          <w:p w14:paraId="620D8A4A" w14:textId="77777777" w:rsidR="006B5C41" w:rsidRPr="00B64CA9" w:rsidRDefault="006B5C41" w:rsidP="002D07A3">
            <w:pPr>
              <w:spacing w:before="20" w:after="20"/>
              <w:rPr>
                <w:szCs w:val="18"/>
              </w:rPr>
            </w:pPr>
            <w:r w:rsidRPr="00B64CA9">
              <w:rPr>
                <w:rFonts w:ascii="Arial" w:eastAsiaTheme="minorHAnsi" w:hAnsi="Arial" w:cs="Arial"/>
                <w:sz w:val="18"/>
                <w:szCs w:val="18"/>
              </w:rPr>
              <w:t>BASDAI 50, %</w:t>
            </w:r>
          </w:p>
        </w:tc>
        <w:tc>
          <w:tcPr>
            <w:tcW w:w="1736" w:type="dxa"/>
            <w:vAlign w:val="center"/>
          </w:tcPr>
          <w:p w14:paraId="3C7F308B" w14:textId="77777777" w:rsidR="006B5C41" w:rsidRPr="00B64CA9" w:rsidRDefault="006B5C41">
            <w:pPr>
              <w:pStyle w:val="Table"/>
              <w:jc w:val="center"/>
              <w:rPr>
                <w:b w:val="0"/>
              </w:rPr>
            </w:pPr>
            <w:r w:rsidRPr="00B64CA9">
              <w:rPr>
                <w:b w:val="0"/>
              </w:rPr>
              <w:t>21.0%</w:t>
            </w:r>
          </w:p>
        </w:tc>
        <w:tc>
          <w:tcPr>
            <w:tcW w:w="1985" w:type="dxa"/>
            <w:vAlign w:val="center"/>
          </w:tcPr>
          <w:p w14:paraId="76762167" w14:textId="77777777" w:rsidR="006B5C41" w:rsidRPr="00B64CA9" w:rsidRDefault="006B5C41">
            <w:pPr>
              <w:pStyle w:val="Table"/>
              <w:jc w:val="center"/>
              <w:rPr>
                <w:b w:val="0"/>
              </w:rPr>
            </w:pPr>
            <w:r w:rsidRPr="00B64CA9">
              <w:rPr>
                <w:b w:val="0"/>
              </w:rPr>
              <w:t>37.3%*</w:t>
            </w:r>
          </w:p>
        </w:tc>
        <w:tc>
          <w:tcPr>
            <w:tcW w:w="1985" w:type="dxa"/>
          </w:tcPr>
          <w:p w14:paraId="2CEC759D" w14:textId="77777777" w:rsidR="006B5C41" w:rsidRPr="00B64CA9" w:rsidRDefault="00655CE2">
            <w:pPr>
              <w:pStyle w:val="Table"/>
              <w:jc w:val="center"/>
              <w:rPr>
                <w:b w:val="0"/>
              </w:rPr>
            </w:pPr>
            <w:r w:rsidRPr="00B64CA9">
              <w:rPr>
                <w:b w:val="0"/>
              </w:rPr>
              <w:t>37.5%</w:t>
            </w:r>
            <w:r w:rsidR="00503ABE" w:rsidRPr="00B64CA9">
              <w:rPr>
                <w:b w:val="0"/>
              </w:rPr>
              <w:t>*</w:t>
            </w:r>
            <w:r w:rsidR="001021BE" w:rsidRPr="00B64CA9">
              <w:rPr>
                <w:b w:val="0"/>
              </w:rPr>
              <w:t>*</w:t>
            </w:r>
          </w:p>
        </w:tc>
      </w:tr>
      <w:tr w:rsidR="006B5C41" w:rsidRPr="00B64CA9" w14:paraId="322C931B" w14:textId="77777777" w:rsidTr="002D07A3">
        <w:trPr>
          <w:trHeight w:val="283"/>
        </w:trPr>
        <w:tc>
          <w:tcPr>
            <w:tcW w:w="4501" w:type="dxa"/>
            <w:vAlign w:val="center"/>
          </w:tcPr>
          <w:p w14:paraId="7E4CBB76" w14:textId="77777777" w:rsidR="006B5C41" w:rsidRPr="00B64CA9" w:rsidRDefault="006B5C41" w:rsidP="002D07A3">
            <w:pPr>
              <w:spacing w:before="20" w:after="20"/>
              <w:rPr>
                <w:szCs w:val="18"/>
              </w:rPr>
            </w:pPr>
            <w:proofErr w:type="spellStart"/>
            <w:r w:rsidRPr="00B64CA9">
              <w:rPr>
                <w:rFonts w:ascii="Arial" w:eastAsiaTheme="minorHAnsi" w:hAnsi="Arial" w:cs="Arial"/>
                <w:sz w:val="18"/>
                <w:szCs w:val="18"/>
              </w:rPr>
              <w:t>hsCRP</w:t>
            </w:r>
            <w:proofErr w:type="spellEnd"/>
            <w:r w:rsidRPr="00B64CA9">
              <w:rPr>
                <w:rFonts w:ascii="Arial" w:eastAsiaTheme="minorHAnsi" w:hAnsi="Arial" w:cs="Arial"/>
                <w:sz w:val="18"/>
                <w:szCs w:val="18"/>
              </w:rPr>
              <w:t>, (post-BSL/BSL ratio)</w:t>
            </w:r>
          </w:p>
        </w:tc>
        <w:tc>
          <w:tcPr>
            <w:tcW w:w="1736" w:type="dxa"/>
            <w:vAlign w:val="center"/>
          </w:tcPr>
          <w:p w14:paraId="60C094ED" w14:textId="77777777" w:rsidR="006B5C41" w:rsidRPr="00B64CA9" w:rsidRDefault="006B5C41">
            <w:pPr>
              <w:pStyle w:val="Table"/>
              <w:jc w:val="center"/>
              <w:rPr>
                <w:b w:val="0"/>
              </w:rPr>
            </w:pPr>
            <w:r w:rsidRPr="00B64CA9">
              <w:rPr>
                <w:b w:val="0"/>
              </w:rPr>
              <w:t>0.91</w:t>
            </w:r>
          </w:p>
        </w:tc>
        <w:tc>
          <w:tcPr>
            <w:tcW w:w="1985" w:type="dxa"/>
            <w:vAlign w:val="center"/>
          </w:tcPr>
          <w:p w14:paraId="571E3A10" w14:textId="77777777" w:rsidR="006B5C41" w:rsidRPr="00B64CA9" w:rsidRDefault="006B5C41">
            <w:pPr>
              <w:pStyle w:val="Table"/>
              <w:jc w:val="center"/>
              <w:rPr>
                <w:b w:val="0"/>
              </w:rPr>
            </w:pPr>
            <w:r w:rsidRPr="00B64CA9">
              <w:rPr>
                <w:b w:val="0"/>
              </w:rPr>
              <w:t>0.64*</w:t>
            </w:r>
          </w:p>
        </w:tc>
        <w:tc>
          <w:tcPr>
            <w:tcW w:w="1985" w:type="dxa"/>
          </w:tcPr>
          <w:p w14:paraId="3DA65C38" w14:textId="77777777" w:rsidR="006B5C41" w:rsidRPr="00B64CA9" w:rsidRDefault="00A96B27">
            <w:pPr>
              <w:pStyle w:val="Table"/>
              <w:jc w:val="center"/>
              <w:rPr>
                <w:b w:val="0"/>
              </w:rPr>
            </w:pPr>
            <w:r w:rsidRPr="00B64CA9">
              <w:rPr>
                <w:b w:val="0"/>
              </w:rPr>
              <w:t>0.64</w:t>
            </w:r>
            <w:r w:rsidR="00503ABE" w:rsidRPr="00B64CA9">
              <w:rPr>
                <w:b w:val="0"/>
              </w:rPr>
              <w:t>*</w:t>
            </w:r>
            <w:r w:rsidR="001021BE" w:rsidRPr="00B64CA9">
              <w:rPr>
                <w:b w:val="0"/>
              </w:rPr>
              <w:t>*</w:t>
            </w:r>
          </w:p>
        </w:tc>
      </w:tr>
      <w:tr w:rsidR="006B5C41" w:rsidRPr="00B64CA9" w14:paraId="0BE2D119" w14:textId="77777777" w:rsidTr="002D07A3">
        <w:trPr>
          <w:trHeight w:val="283"/>
        </w:trPr>
        <w:tc>
          <w:tcPr>
            <w:tcW w:w="4501" w:type="dxa"/>
            <w:vAlign w:val="center"/>
          </w:tcPr>
          <w:p w14:paraId="73144693" w14:textId="77777777" w:rsidR="006B5C41" w:rsidRPr="00B64CA9" w:rsidRDefault="006B5C41" w:rsidP="002D07A3">
            <w:pPr>
              <w:spacing w:before="20" w:after="20"/>
              <w:rPr>
                <w:szCs w:val="18"/>
              </w:rPr>
            </w:pPr>
            <w:r w:rsidRPr="00B64CA9">
              <w:rPr>
                <w:rFonts w:ascii="Arial" w:eastAsiaTheme="minorHAnsi" w:hAnsi="Arial" w:cs="Arial"/>
                <w:sz w:val="18"/>
                <w:szCs w:val="18"/>
              </w:rPr>
              <w:t>ASAS 20 response, %</w:t>
            </w:r>
          </w:p>
        </w:tc>
        <w:tc>
          <w:tcPr>
            <w:tcW w:w="1736" w:type="dxa"/>
            <w:vAlign w:val="center"/>
          </w:tcPr>
          <w:p w14:paraId="6BE47873" w14:textId="77777777" w:rsidR="006B5C41" w:rsidRPr="00B64CA9" w:rsidRDefault="006B5C41">
            <w:pPr>
              <w:pStyle w:val="Table"/>
              <w:jc w:val="center"/>
              <w:rPr>
                <w:b w:val="0"/>
              </w:rPr>
            </w:pPr>
            <w:r w:rsidRPr="00B64CA9">
              <w:rPr>
                <w:b w:val="0"/>
              </w:rPr>
              <w:t>45.7%</w:t>
            </w:r>
          </w:p>
        </w:tc>
        <w:tc>
          <w:tcPr>
            <w:tcW w:w="1985" w:type="dxa"/>
            <w:vAlign w:val="center"/>
          </w:tcPr>
          <w:p w14:paraId="36EDC824" w14:textId="77777777" w:rsidR="006B5C41" w:rsidRPr="00B64CA9" w:rsidRDefault="006B5C41">
            <w:pPr>
              <w:pStyle w:val="Table"/>
              <w:jc w:val="center"/>
              <w:rPr>
                <w:b w:val="0"/>
              </w:rPr>
            </w:pPr>
            <w:r w:rsidRPr="00B64CA9">
              <w:rPr>
                <w:b w:val="0"/>
              </w:rPr>
              <w:t>56.8%*</w:t>
            </w:r>
          </w:p>
        </w:tc>
        <w:tc>
          <w:tcPr>
            <w:tcW w:w="1985" w:type="dxa"/>
          </w:tcPr>
          <w:p w14:paraId="5B23EA5D" w14:textId="77777777" w:rsidR="006B5C41" w:rsidRPr="00B64CA9" w:rsidRDefault="006B5C41">
            <w:pPr>
              <w:pStyle w:val="Table"/>
              <w:jc w:val="center"/>
              <w:rPr>
                <w:b w:val="0"/>
              </w:rPr>
            </w:pPr>
            <w:r w:rsidRPr="00B64CA9">
              <w:rPr>
                <w:b w:val="0"/>
              </w:rPr>
              <w:t>58.2%</w:t>
            </w:r>
            <w:r w:rsidR="00503ABE" w:rsidRPr="00B64CA9">
              <w:rPr>
                <w:b w:val="0"/>
              </w:rPr>
              <w:t>*</w:t>
            </w:r>
          </w:p>
        </w:tc>
      </w:tr>
      <w:tr w:rsidR="006B5C41" w:rsidRPr="00B64CA9" w14:paraId="17C50C4D" w14:textId="77777777" w:rsidTr="002D07A3">
        <w:trPr>
          <w:trHeight w:val="283"/>
        </w:trPr>
        <w:tc>
          <w:tcPr>
            <w:tcW w:w="4501" w:type="dxa"/>
            <w:tcBorders>
              <w:bottom w:val="single" w:sz="4" w:space="0" w:color="auto"/>
            </w:tcBorders>
            <w:vAlign w:val="center"/>
          </w:tcPr>
          <w:p w14:paraId="177C615C" w14:textId="77777777" w:rsidR="006B5C41" w:rsidRPr="00B64CA9" w:rsidRDefault="006B5C41" w:rsidP="002D07A3">
            <w:pPr>
              <w:spacing w:before="20" w:after="20"/>
              <w:rPr>
                <w:szCs w:val="18"/>
              </w:rPr>
            </w:pPr>
            <w:r w:rsidRPr="00B64CA9">
              <w:rPr>
                <w:rFonts w:ascii="Arial" w:eastAsiaTheme="minorHAnsi" w:hAnsi="Arial" w:cs="Arial"/>
                <w:sz w:val="18"/>
                <w:szCs w:val="18"/>
              </w:rPr>
              <w:t>ASAS partial remission, %</w:t>
            </w:r>
          </w:p>
        </w:tc>
        <w:tc>
          <w:tcPr>
            <w:tcW w:w="1736" w:type="dxa"/>
            <w:tcBorders>
              <w:bottom w:val="single" w:sz="4" w:space="0" w:color="auto"/>
            </w:tcBorders>
            <w:vAlign w:val="center"/>
          </w:tcPr>
          <w:p w14:paraId="19AFBF85" w14:textId="77777777" w:rsidR="006B5C41" w:rsidRPr="00B64CA9" w:rsidRDefault="006B5C41">
            <w:pPr>
              <w:pStyle w:val="Table"/>
              <w:jc w:val="center"/>
              <w:rPr>
                <w:b w:val="0"/>
              </w:rPr>
            </w:pPr>
            <w:r w:rsidRPr="00B64CA9">
              <w:rPr>
                <w:b w:val="0"/>
              </w:rPr>
              <w:t>7.0%</w:t>
            </w:r>
          </w:p>
        </w:tc>
        <w:tc>
          <w:tcPr>
            <w:tcW w:w="1985" w:type="dxa"/>
            <w:tcBorders>
              <w:bottom w:val="single" w:sz="4" w:space="0" w:color="auto"/>
            </w:tcBorders>
            <w:vAlign w:val="center"/>
          </w:tcPr>
          <w:p w14:paraId="06531488" w14:textId="77777777" w:rsidR="006B5C41" w:rsidRPr="00B64CA9" w:rsidRDefault="006B5C41">
            <w:pPr>
              <w:pStyle w:val="Table"/>
              <w:jc w:val="center"/>
              <w:rPr>
                <w:b w:val="0"/>
              </w:rPr>
            </w:pPr>
            <w:r w:rsidRPr="00B64CA9">
              <w:rPr>
                <w:b w:val="0"/>
              </w:rPr>
              <w:t>21.6%*</w:t>
            </w:r>
          </w:p>
        </w:tc>
        <w:tc>
          <w:tcPr>
            <w:tcW w:w="1985" w:type="dxa"/>
            <w:tcBorders>
              <w:bottom w:val="single" w:sz="4" w:space="0" w:color="auto"/>
            </w:tcBorders>
          </w:tcPr>
          <w:p w14:paraId="3C475643" w14:textId="77777777" w:rsidR="006B5C41" w:rsidRPr="00B64CA9" w:rsidRDefault="00A1560D">
            <w:pPr>
              <w:pStyle w:val="Table"/>
              <w:jc w:val="center"/>
              <w:rPr>
                <w:b w:val="0"/>
              </w:rPr>
            </w:pPr>
            <w:r w:rsidRPr="00B64CA9">
              <w:rPr>
                <w:b w:val="0"/>
              </w:rPr>
              <w:t>21.2%</w:t>
            </w:r>
            <w:r w:rsidR="00503ABE" w:rsidRPr="00B64CA9">
              <w:rPr>
                <w:b w:val="0"/>
              </w:rPr>
              <w:t>*</w:t>
            </w:r>
            <w:r w:rsidR="001021BE" w:rsidRPr="00B64CA9">
              <w:rPr>
                <w:b w:val="0"/>
              </w:rPr>
              <w:t>*</w:t>
            </w:r>
          </w:p>
        </w:tc>
      </w:tr>
      <w:tr w:rsidR="006B5C41" w:rsidRPr="00B64CA9" w14:paraId="006AA6E1" w14:textId="77777777" w:rsidTr="002D07A3">
        <w:trPr>
          <w:trHeight w:val="28"/>
        </w:trPr>
        <w:tc>
          <w:tcPr>
            <w:tcW w:w="8222" w:type="dxa"/>
            <w:gridSpan w:val="3"/>
            <w:tcBorders>
              <w:left w:val="nil"/>
              <w:bottom w:val="nil"/>
              <w:right w:val="nil"/>
            </w:tcBorders>
          </w:tcPr>
          <w:p w14:paraId="7D75B624" w14:textId="77777777" w:rsidR="006B5C41" w:rsidRPr="00B64CA9" w:rsidRDefault="006B5C41" w:rsidP="002D07A3">
            <w:pPr>
              <w:spacing w:before="20" w:after="20"/>
              <w:jc w:val="both"/>
              <w:rPr>
                <w:i/>
                <w:sz w:val="16"/>
                <w:szCs w:val="18"/>
              </w:rPr>
            </w:pPr>
            <w:r w:rsidRPr="00B64CA9">
              <w:rPr>
                <w:rFonts w:ascii="Arial" w:eastAsiaTheme="minorHAnsi" w:hAnsi="Arial" w:cs="Arial"/>
                <w:i/>
                <w:sz w:val="16"/>
                <w:szCs w:val="18"/>
              </w:rPr>
              <w:t>*p&lt;0.05</w:t>
            </w:r>
            <w:proofErr w:type="gramStart"/>
            <w:r w:rsidRPr="00B64CA9">
              <w:rPr>
                <w:rFonts w:ascii="Arial" w:eastAsiaTheme="minorHAnsi" w:hAnsi="Arial" w:cs="Arial"/>
                <w:i/>
                <w:sz w:val="16"/>
                <w:szCs w:val="18"/>
              </w:rPr>
              <w:t>;  *</w:t>
            </w:r>
            <w:proofErr w:type="gramEnd"/>
            <w:r w:rsidRPr="00B64CA9">
              <w:rPr>
                <w:rFonts w:ascii="Arial" w:eastAsiaTheme="minorHAnsi" w:hAnsi="Arial" w:cs="Arial"/>
                <w:i/>
                <w:sz w:val="16"/>
                <w:szCs w:val="18"/>
              </w:rPr>
              <w:t>*p&lt; 0.001 vs. placebo</w:t>
            </w:r>
          </w:p>
          <w:p w14:paraId="27D990EB" w14:textId="77777777" w:rsidR="006B5C41" w:rsidRPr="00B64CA9" w:rsidRDefault="006B5C41" w:rsidP="002D07A3">
            <w:pPr>
              <w:spacing w:before="20" w:after="20"/>
              <w:jc w:val="both"/>
              <w:rPr>
                <w:i/>
                <w:sz w:val="16"/>
                <w:szCs w:val="18"/>
              </w:rPr>
            </w:pPr>
            <w:r w:rsidRPr="00B64CA9">
              <w:rPr>
                <w:rFonts w:ascii="Arial" w:eastAsiaTheme="minorHAnsi" w:hAnsi="Arial" w:cs="Arial"/>
                <w:i/>
                <w:sz w:val="16"/>
                <w:szCs w:val="18"/>
              </w:rPr>
              <w:t>All p-values adjusted for multiplicity of testing based on pre-defined hierarchy</w:t>
            </w:r>
          </w:p>
          <w:p w14:paraId="60995B5D" w14:textId="77777777" w:rsidR="006B5C41" w:rsidRPr="00B64CA9" w:rsidRDefault="006B5C41" w:rsidP="002D07A3">
            <w:pPr>
              <w:spacing w:before="20" w:after="20"/>
              <w:jc w:val="both"/>
              <w:rPr>
                <w:i/>
                <w:sz w:val="16"/>
                <w:szCs w:val="18"/>
              </w:rPr>
            </w:pPr>
            <w:r w:rsidRPr="00B64CA9">
              <w:rPr>
                <w:rFonts w:ascii="Arial" w:eastAsiaTheme="minorHAnsi" w:hAnsi="Arial" w:cs="Arial"/>
                <w:i/>
                <w:sz w:val="16"/>
                <w:szCs w:val="18"/>
              </w:rPr>
              <w:t>Non-responder imputation used for missing binary endpoint</w:t>
            </w:r>
          </w:p>
          <w:p w14:paraId="7652F060" w14:textId="77777777" w:rsidR="006B5C41" w:rsidRPr="00B64CA9" w:rsidRDefault="006B5C41" w:rsidP="002D07A3">
            <w:pPr>
              <w:spacing w:before="20" w:after="20"/>
              <w:jc w:val="both"/>
              <w:rPr>
                <w:i/>
                <w:sz w:val="16"/>
                <w:szCs w:val="18"/>
              </w:rPr>
            </w:pPr>
            <w:r w:rsidRPr="00B64CA9">
              <w:rPr>
                <w:rFonts w:ascii="Arial" w:eastAsiaTheme="minorHAnsi" w:hAnsi="Arial" w:cs="Arial"/>
                <w:i/>
                <w:sz w:val="16"/>
                <w:szCs w:val="18"/>
              </w:rPr>
              <w:t xml:space="preserve">1Cosentyx 150 mg </w:t>
            </w:r>
            <w:proofErr w:type="spellStart"/>
            <w:r w:rsidRPr="00B64CA9">
              <w:rPr>
                <w:rFonts w:ascii="Arial" w:eastAsiaTheme="minorHAnsi" w:hAnsi="Arial" w:cs="Arial"/>
                <w:i/>
                <w:sz w:val="16"/>
                <w:szCs w:val="18"/>
              </w:rPr>
              <w:t>s.c.</w:t>
            </w:r>
            <w:proofErr w:type="spellEnd"/>
            <w:r w:rsidRPr="00B64CA9">
              <w:rPr>
                <w:rFonts w:ascii="Arial" w:eastAsiaTheme="minorHAnsi" w:hAnsi="Arial" w:cs="Arial"/>
                <w:i/>
                <w:sz w:val="16"/>
                <w:szCs w:val="18"/>
              </w:rPr>
              <w:t xml:space="preserve"> at Weeks 0, 1, 2, 3, and 4 followed by the same dose every month</w:t>
            </w:r>
          </w:p>
          <w:p w14:paraId="66DC7ACC" w14:textId="77777777" w:rsidR="006B5C41" w:rsidRPr="00B64CA9" w:rsidRDefault="006B5C41" w:rsidP="002D07A3">
            <w:pPr>
              <w:spacing w:before="20" w:after="20"/>
              <w:jc w:val="both"/>
              <w:rPr>
                <w:i/>
                <w:sz w:val="16"/>
                <w:szCs w:val="18"/>
              </w:rPr>
            </w:pPr>
            <w:r w:rsidRPr="00B64CA9">
              <w:rPr>
                <w:rFonts w:ascii="Arial" w:eastAsiaTheme="minorHAnsi" w:hAnsi="Arial" w:cs="Arial"/>
                <w:i/>
                <w:sz w:val="16"/>
                <w:szCs w:val="18"/>
              </w:rPr>
              <w:t xml:space="preserve">ASAS: Assessment of </w:t>
            </w:r>
            <w:proofErr w:type="spellStart"/>
            <w:r w:rsidRPr="00B64CA9">
              <w:rPr>
                <w:rFonts w:ascii="Arial" w:eastAsiaTheme="minorHAnsi" w:hAnsi="Arial" w:cs="Arial"/>
                <w:i/>
                <w:sz w:val="16"/>
                <w:szCs w:val="18"/>
              </w:rPr>
              <w:t>SpondyloArthritis</w:t>
            </w:r>
            <w:proofErr w:type="spellEnd"/>
            <w:r w:rsidRPr="00B64CA9">
              <w:rPr>
                <w:rFonts w:ascii="Arial" w:eastAsiaTheme="minorHAnsi" w:hAnsi="Arial" w:cs="Arial"/>
                <w:i/>
                <w:sz w:val="16"/>
                <w:szCs w:val="18"/>
              </w:rPr>
              <w:t xml:space="preserve"> International Society Criteria; BASDAI: Bath Ankylosing Spondylitis Disease Activity Index; </w:t>
            </w:r>
            <w:proofErr w:type="spellStart"/>
            <w:r w:rsidRPr="00B64CA9">
              <w:rPr>
                <w:rFonts w:ascii="Arial" w:eastAsiaTheme="minorHAnsi" w:hAnsi="Arial" w:cs="Arial"/>
                <w:i/>
                <w:sz w:val="16"/>
                <w:szCs w:val="18"/>
              </w:rPr>
              <w:t>hsCRP</w:t>
            </w:r>
            <w:proofErr w:type="spellEnd"/>
            <w:r w:rsidRPr="00B64CA9">
              <w:rPr>
                <w:rFonts w:ascii="Arial" w:eastAsiaTheme="minorHAnsi" w:hAnsi="Arial" w:cs="Arial"/>
                <w:i/>
                <w:sz w:val="16"/>
                <w:szCs w:val="18"/>
              </w:rPr>
              <w:t>: high-sensitivity C-reactive protein; BSL: baseline; LS: least square</w:t>
            </w:r>
          </w:p>
        </w:tc>
        <w:tc>
          <w:tcPr>
            <w:tcW w:w="1985" w:type="dxa"/>
            <w:tcBorders>
              <w:left w:val="nil"/>
              <w:bottom w:val="nil"/>
              <w:right w:val="nil"/>
            </w:tcBorders>
          </w:tcPr>
          <w:p w14:paraId="335FE1EA" w14:textId="77777777" w:rsidR="006B5C41" w:rsidRPr="00B64CA9" w:rsidRDefault="006B5C41">
            <w:pPr>
              <w:spacing w:before="20" w:after="20"/>
              <w:jc w:val="both"/>
              <w:rPr>
                <w:rFonts w:ascii="Arial" w:hAnsi="Arial" w:cs="Arial"/>
                <w:i/>
                <w:sz w:val="16"/>
                <w:szCs w:val="18"/>
              </w:rPr>
            </w:pPr>
          </w:p>
        </w:tc>
      </w:tr>
    </w:tbl>
    <w:p w14:paraId="1690A330" w14:textId="77777777" w:rsidR="001603B3" w:rsidRPr="00B64CA9" w:rsidRDefault="001603B3" w:rsidP="002D07A3">
      <w:pPr>
        <w:pStyle w:val="Text"/>
      </w:pPr>
    </w:p>
    <w:p w14:paraId="45D12AAD" w14:textId="77777777" w:rsidR="001603B3" w:rsidRPr="00B64CA9" w:rsidRDefault="001603B3" w:rsidP="002D07A3">
      <w:pPr>
        <w:jc w:val="both"/>
      </w:pPr>
      <w:r w:rsidRPr="00B64CA9">
        <w:t xml:space="preserve">The onset of action of </w:t>
      </w:r>
      <w:r w:rsidR="001076F7" w:rsidRPr="00B64CA9">
        <w:t>COSENTYX</w:t>
      </w:r>
      <w:r w:rsidRPr="00B64CA9">
        <w:t xml:space="preserve"> 150 mg occurred as early as Week 3 for ASAS 40 in anti-TNF-alpha naive patients (superior to placebo) in nr-axSpA1 Study. The percentage of patients achieving an ASAS </w:t>
      </w:r>
      <w:r w:rsidRPr="00B64CA9">
        <w:lastRenderedPageBreak/>
        <w:t xml:space="preserve">40 response in anti-TNF-alpha naive patients by visit is shown in Figure </w:t>
      </w:r>
      <w:r w:rsidR="00B259D2" w:rsidRPr="00B64CA9">
        <w:t>6</w:t>
      </w:r>
      <w:r w:rsidRPr="00B64CA9">
        <w:t xml:space="preserve">. Patients treated with </w:t>
      </w:r>
      <w:r w:rsidR="001076F7" w:rsidRPr="00B64CA9">
        <w:t>COSENTYX</w:t>
      </w:r>
      <w:r w:rsidRPr="00B64CA9">
        <w:t xml:space="preserve"> maintained their response compared to placebo up to Week 52.</w:t>
      </w:r>
    </w:p>
    <w:p w14:paraId="045F03B5" w14:textId="77777777" w:rsidR="001603B3" w:rsidRPr="00B64CA9" w:rsidRDefault="001603B3" w:rsidP="002D07A3">
      <w:pPr>
        <w:spacing w:after="120"/>
        <w:jc w:val="both"/>
        <w:rPr>
          <w:rFonts w:ascii="Arial" w:hAnsi="Arial" w:cs="Arial"/>
          <w:b/>
          <w:sz w:val="20"/>
        </w:rPr>
      </w:pPr>
      <w:r w:rsidRPr="00B64CA9">
        <w:rPr>
          <w:rFonts w:ascii="Arial" w:hAnsi="Arial" w:cs="Arial"/>
          <w:b/>
          <w:sz w:val="20"/>
        </w:rPr>
        <w:t xml:space="preserve">Figure </w:t>
      </w:r>
      <w:r w:rsidR="006E1D7A" w:rsidRPr="00B64CA9">
        <w:rPr>
          <w:rFonts w:ascii="Arial" w:hAnsi="Arial" w:cs="Arial"/>
          <w:b/>
          <w:sz w:val="20"/>
        </w:rPr>
        <w:t>6</w:t>
      </w:r>
      <w:r w:rsidRPr="00B64CA9">
        <w:rPr>
          <w:rFonts w:ascii="Arial" w:hAnsi="Arial" w:cs="Arial"/>
          <w:b/>
          <w:sz w:val="20"/>
        </w:rPr>
        <w:tab/>
        <w:t>ASAS 40 responses in anti-TNF-alpha naive patients in nr-axSpA1 Study over time up to Week 16</w:t>
      </w:r>
    </w:p>
    <w:p w14:paraId="4C1DF23F" w14:textId="77777777" w:rsidR="00CA1F8F" w:rsidRPr="00B64CA9" w:rsidRDefault="00CA1F8F" w:rsidP="002D07A3">
      <w:pPr>
        <w:pStyle w:val="Text"/>
        <w:spacing w:after="200" w:line="276" w:lineRule="auto"/>
        <w:rPr>
          <w:rFonts w:asciiTheme="minorHAnsi" w:eastAsiaTheme="minorHAnsi" w:hAnsiTheme="minorHAnsi" w:cs="Arial"/>
          <w:sz w:val="22"/>
          <w:szCs w:val="22"/>
          <w:lang w:bidi="ar-SA"/>
        </w:rPr>
      </w:pPr>
      <w:r w:rsidRPr="00B64CA9">
        <w:rPr>
          <w:noProof/>
          <w:lang w:eastAsia="en-AU" w:bidi="ar-SA"/>
        </w:rPr>
        <w:drawing>
          <wp:inline distT="0" distB="0" distL="0" distR="0" wp14:anchorId="5E5FC7FF" wp14:editId="1B88728E">
            <wp:extent cx="5731510" cy="3568396"/>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568396"/>
                    </a:xfrm>
                    <a:prstGeom prst="rect">
                      <a:avLst/>
                    </a:prstGeom>
                  </pic:spPr>
                </pic:pic>
              </a:graphicData>
            </a:graphic>
          </wp:inline>
        </w:drawing>
      </w:r>
    </w:p>
    <w:p w14:paraId="33E33D45" w14:textId="77777777" w:rsidR="001603B3" w:rsidRPr="00B64CA9" w:rsidRDefault="001603B3" w:rsidP="002D07A3">
      <w:pPr>
        <w:pStyle w:val="Text"/>
        <w:spacing w:after="200" w:line="276" w:lineRule="auto"/>
        <w:rPr>
          <w:rFonts w:asciiTheme="minorHAnsi" w:eastAsiaTheme="minorHAnsi" w:hAnsiTheme="minorHAnsi" w:cs="Arial"/>
          <w:sz w:val="22"/>
          <w:szCs w:val="22"/>
          <w:lang w:bidi="ar-SA"/>
        </w:rPr>
      </w:pPr>
      <w:r w:rsidRPr="00B64CA9">
        <w:rPr>
          <w:rFonts w:asciiTheme="minorHAnsi" w:eastAsiaTheme="minorHAnsi" w:hAnsiTheme="minorHAnsi" w:cs="Arial"/>
          <w:sz w:val="22"/>
          <w:szCs w:val="22"/>
          <w:lang w:bidi="ar-SA"/>
        </w:rPr>
        <w:t xml:space="preserve">ASAS 40 responses were also improved at Week 16 in anti-TNF-alpha-IR patients (28.6% vs. 13.3%) for </w:t>
      </w:r>
      <w:r w:rsidR="001076F7" w:rsidRPr="00B64CA9">
        <w:rPr>
          <w:rFonts w:asciiTheme="minorHAnsi" w:eastAsiaTheme="minorHAnsi" w:hAnsiTheme="minorHAnsi" w:cs="Arial"/>
          <w:sz w:val="22"/>
          <w:szCs w:val="22"/>
          <w:lang w:bidi="ar-SA"/>
        </w:rPr>
        <w:t>COSENTYX</w:t>
      </w:r>
      <w:r w:rsidRPr="00B64CA9">
        <w:rPr>
          <w:rFonts w:asciiTheme="minorHAnsi" w:eastAsiaTheme="minorHAnsi" w:hAnsiTheme="minorHAnsi" w:cs="Arial"/>
          <w:sz w:val="22"/>
          <w:szCs w:val="22"/>
          <w:lang w:bidi="ar-SA"/>
        </w:rPr>
        <w:t xml:space="preserve"> 150 mg compared with placebo. The magnitude of response (treatment difference versus placebo) with respect to signs and symptoms at Week 16 was similar in anti-TNF-alpha-naïve and anti-TNF-alpha-IR patients, with higher absolute response rates in anti-TNF-alpha-naïve patients. Efficacy versus placebo was maintained in anti-TNF-alpha-naïve and anti-TNF-alpha-IR patients up to Week 52.</w:t>
      </w:r>
    </w:p>
    <w:p w14:paraId="2FB24680" w14:textId="77777777" w:rsidR="001603B3" w:rsidRPr="00B64CA9" w:rsidRDefault="001603B3" w:rsidP="002D07A3">
      <w:pPr>
        <w:ind w:left="3"/>
        <w:jc w:val="both"/>
        <w:rPr>
          <w:rFonts w:asciiTheme="majorHAnsi" w:eastAsiaTheme="majorEastAsia" w:hAnsiTheme="majorHAnsi" w:cstheme="minorHAnsi"/>
          <w:b/>
          <w:bCs/>
        </w:rPr>
      </w:pPr>
      <w:r w:rsidRPr="00B64CA9">
        <w:rPr>
          <w:rFonts w:asciiTheme="majorHAnsi" w:eastAsiaTheme="majorEastAsia" w:hAnsiTheme="majorHAnsi" w:cstheme="minorHAnsi"/>
          <w:b/>
          <w:bCs/>
        </w:rPr>
        <w:t>Physical function and health-related quality of life</w:t>
      </w:r>
    </w:p>
    <w:p w14:paraId="65476C72" w14:textId="77777777" w:rsidR="001603B3" w:rsidRPr="00B64CA9" w:rsidRDefault="001603B3" w:rsidP="002D07A3">
      <w:pPr>
        <w:pStyle w:val="Text"/>
        <w:spacing w:after="200" w:line="276" w:lineRule="auto"/>
        <w:rPr>
          <w:rFonts w:asciiTheme="minorHAnsi" w:eastAsiaTheme="minorHAnsi" w:hAnsiTheme="minorHAnsi" w:cs="Arial"/>
          <w:sz w:val="22"/>
          <w:szCs w:val="22"/>
          <w:lang w:bidi="ar-SA"/>
        </w:rPr>
      </w:pPr>
      <w:r w:rsidRPr="00B64CA9">
        <w:rPr>
          <w:rFonts w:asciiTheme="minorHAnsi" w:eastAsiaTheme="minorHAnsi" w:hAnsiTheme="minorHAnsi" w:cs="Arial"/>
          <w:sz w:val="22"/>
          <w:szCs w:val="22"/>
          <w:lang w:bidi="ar-SA"/>
        </w:rPr>
        <w:t xml:space="preserve">Patients treated with </w:t>
      </w:r>
      <w:r w:rsidR="001076F7" w:rsidRPr="00B64CA9">
        <w:rPr>
          <w:rFonts w:asciiTheme="minorHAnsi" w:eastAsiaTheme="minorHAnsi" w:hAnsiTheme="minorHAnsi" w:cs="Arial"/>
          <w:sz w:val="22"/>
          <w:szCs w:val="22"/>
          <w:lang w:bidi="ar-SA"/>
        </w:rPr>
        <w:t xml:space="preserve">COSENTYX </w:t>
      </w:r>
      <w:r w:rsidRPr="00B64CA9">
        <w:rPr>
          <w:rFonts w:asciiTheme="minorHAnsi" w:eastAsiaTheme="minorHAnsi" w:hAnsiTheme="minorHAnsi" w:cs="Arial"/>
          <w:sz w:val="22"/>
          <w:szCs w:val="22"/>
          <w:lang w:bidi="ar-SA"/>
        </w:rPr>
        <w:t>150 mg showed statistically significant improvements by Week 16 compared to placebo-treated patients in physical function as assessed by the BASFI (Week 16: -1.75 vs -1.01, p&lt;0.0</w:t>
      </w:r>
      <w:r w:rsidR="000C675B" w:rsidRPr="00B64CA9">
        <w:rPr>
          <w:rFonts w:asciiTheme="minorHAnsi" w:eastAsiaTheme="minorHAnsi" w:hAnsiTheme="minorHAnsi" w:cs="Arial"/>
          <w:sz w:val="22"/>
          <w:szCs w:val="22"/>
          <w:lang w:bidi="ar-SA"/>
        </w:rPr>
        <w:t>5</w:t>
      </w:r>
      <w:r w:rsidRPr="00B64CA9">
        <w:rPr>
          <w:rFonts w:asciiTheme="minorHAnsi" w:eastAsiaTheme="minorHAnsi" w:hAnsiTheme="minorHAnsi" w:cs="Arial"/>
          <w:sz w:val="22"/>
          <w:szCs w:val="22"/>
          <w:lang w:bidi="ar-SA"/>
        </w:rPr>
        <w:t xml:space="preserve">). Patients treated with </w:t>
      </w:r>
      <w:r w:rsidR="001076F7" w:rsidRPr="00B64CA9">
        <w:rPr>
          <w:rFonts w:asciiTheme="minorHAnsi" w:eastAsiaTheme="minorHAnsi" w:hAnsiTheme="minorHAnsi" w:cs="Arial"/>
          <w:sz w:val="22"/>
          <w:szCs w:val="22"/>
          <w:lang w:bidi="ar-SA"/>
        </w:rPr>
        <w:t>COSENTYX</w:t>
      </w:r>
      <w:r w:rsidRPr="00B64CA9">
        <w:rPr>
          <w:rFonts w:asciiTheme="minorHAnsi" w:eastAsiaTheme="minorHAnsi" w:hAnsiTheme="minorHAnsi" w:cs="Arial"/>
          <w:sz w:val="22"/>
          <w:szCs w:val="22"/>
          <w:lang w:bidi="ar-SA"/>
        </w:rPr>
        <w:t xml:space="preserve"> reported significant improvements compared to placebo-treated patients by Week 16 in health-related quality of life as measured by </w:t>
      </w:r>
      <w:proofErr w:type="spellStart"/>
      <w:r w:rsidRPr="00B64CA9">
        <w:rPr>
          <w:rFonts w:asciiTheme="minorHAnsi" w:eastAsiaTheme="minorHAnsi" w:hAnsiTheme="minorHAnsi" w:cs="Arial"/>
          <w:sz w:val="22"/>
          <w:szCs w:val="22"/>
          <w:lang w:bidi="ar-SA"/>
        </w:rPr>
        <w:t>ASQoL</w:t>
      </w:r>
      <w:proofErr w:type="spellEnd"/>
      <w:r w:rsidRPr="00B64CA9">
        <w:rPr>
          <w:rFonts w:asciiTheme="minorHAnsi" w:eastAsiaTheme="minorHAnsi" w:hAnsiTheme="minorHAnsi" w:cs="Arial"/>
          <w:sz w:val="22"/>
          <w:szCs w:val="22"/>
          <w:lang w:bidi="ar-SA"/>
        </w:rPr>
        <w:t xml:space="preserve"> (LS mean change: Week 16: -3.45 vs -1.84, p&lt;0.0</w:t>
      </w:r>
      <w:r w:rsidR="006D6733" w:rsidRPr="00B64CA9">
        <w:rPr>
          <w:rFonts w:asciiTheme="minorHAnsi" w:eastAsiaTheme="minorHAnsi" w:hAnsiTheme="minorHAnsi" w:cs="Arial"/>
          <w:sz w:val="22"/>
          <w:szCs w:val="22"/>
          <w:lang w:bidi="ar-SA"/>
        </w:rPr>
        <w:t>5</w:t>
      </w:r>
      <w:r w:rsidRPr="00B64CA9">
        <w:rPr>
          <w:rFonts w:asciiTheme="minorHAnsi" w:eastAsiaTheme="minorHAnsi" w:hAnsiTheme="minorHAnsi" w:cs="Arial"/>
          <w:sz w:val="22"/>
          <w:szCs w:val="22"/>
          <w:lang w:bidi="ar-SA"/>
        </w:rPr>
        <w:t>) and SF-36 Physical Component Summary (SF-36 PCS) (LS mean change: Week 16: 5.71 vs 2.93, p&lt;0.0</w:t>
      </w:r>
      <w:r w:rsidR="006D6733" w:rsidRPr="00B64CA9">
        <w:rPr>
          <w:rFonts w:asciiTheme="minorHAnsi" w:eastAsiaTheme="minorHAnsi" w:hAnsiTheme="minorHAnsi" w:cs="Arial"/>
          <w:sz w:val="22"/>
          <w:szCs w:val="22"/>
          <w:lang w:bidi="ar-SA"/>
        </w:rPr>
        <w:t>5</w:t>
      </w:r>
      <w:r w:rsidRPr="00B64CA9">
        <w:rPr>
          <w:rFonts w:asciiTheme="minorHAnsi" w:eastAsiaTheme="minorHAnsi" w:hAnsiTheme="minorHAnsi" w:cs="Arial"/>
          <w:sz w:val="22"/>
          <w:szCs w:val="22"/>
          <w:lang w:bidi="ar-SA"/>
        </w:rPr>
        <w:t>). These improvements were sustained up to Week 52.</w:t>
      </w:r>
    </w:p>
    <w:p w14:paraId="00184A5A" w14:textId="77777777" w:rsidR="001603B3" w:rsidRPr="00B64CA9" w:rsidRDefault="001603B3" w:rsidP="00290F28">
      <w:pPr>
        <w:pageBreakBefore/>
        <w:ind w:left="6"/>
        <w:jc w:val="both"/>
        <w:rPr>
          <w:rFonts w:asciiTheme="majorHAnsi" w:eastAsiaTheme="majorEastAsia" w:hAnsiTheme="majorHAnsi" w:cstheme="minorHAnsi"/>
          <w:b/>
          <w:bCs/>
        </w:rPr>
      </w:pPr>
      <w:r w:rsidRPr="00B64CA9">
        <w:rPr>
          <w:rFonts w:asciiTheme="majorHAnsi" w:eastAsiaTheme="majorEastAsia" w:hAnsiTheme="majorHAnsi" w:cstheme="minorHAnsi"/>
          <w:b/>
          <w:bCs/>
        </w:rPr>
        <w:lastRenderedPageBreak/>
        <w:t>Spinal mobility</w:t>
      </w:r>
    </w:p>
    <w:p w14:paraId="3EE9189E" w14:textId="77777777" w:rsidR="001603B3" w:rsidRPr="00B64CA9" w:rsidRDefault="001603B3" w:rsidP="002D07A3">
      <w:pPr>
        <w:ind w:left="14"/>
        <w:jc w:val="both"/>
        <w:rPr>
          <w:rFonts w:cs="Arial"/>
        </w:rPr>
      </w:pPr>
      <w:r w:rsidRPr="00B64CA9">
        <w:rPr>
          <w:rFonts w:cs="Arial"/>
        </w:rPr>
        <w:t xml:space="preserve">Spinal mobility was assessed by BASMI up to Week 16. Numerically greater improvements were demonstrated in patients treated with </w:t>
      </w:r>
      <w:r w:rsidR="001076F7" w:rsidRPr="00B64CA9">
        <w:rPr>
          <w:rFonts w:cs="Arial"/>
        </w:rPr>
        <w:t>COSENTYX</w:t>
      </w:r>
      <w:r w:rsidRPr="00B64CA9">
        <w:rPr>
          <w:rFonts w:cs="Arial"/>
        </w:rPr>
        <w:t xml:space="preserve"> compared with placebo-treated patients at Weeks 4, 8, 12 and 16.</w:t>
      </w:r>
    </w:p>
    <w:p w14:paraId="0F62288A" w14:textId="77777777" w:rsidR="001603B3" w:rsidRPr="00B64CA9" w:rsidRDefault="001603B3" w:rsidP="002D07A3">
      <w:pPr>
        <w:ind w:left="14"/>
        <w:jc w:val="both"/>
        <w:rPr>
          <w:rFonts w:asciiTheme="majorHAnsi" w:eastAsiaTheme="majorEastAsia" w:hAnsiTheme="majorHAnsi" w:cstheme="minorHAnsi"/>
          <w:b/>
          <w:bCs/>
        </w:rPr>
      </w:pPr>
      <w:r w:rsidRPr="00B64CA9">
        <w:rPr>
          <w:rFonts w:asciiTheme="majorHAnsi" w:eastAsiaTheme="majorEastAsia" w:hAnsiTheme="majorHAnsi" w:cstheme="minorHAnsi"/>
          <w:b/>
          <w:bCs/>
        </w:rPr>
        <w:t xml:space="preserve">Inhibition of inflammation in magnetic resonance imaging (MRI) </w:t>
      </w:r>
    </w:p>
    <w:p w14:paraId="43B9EDA8" w14:textId="77777777" w:rsidR="003028BF" w:rsidRPr="00B64CA9" w:rsidRDefault="001603B3" w:rsidP="002D07A3">
      <w:pPr>
        <w:ind w:left="14"/>
        <w:jc w:val="both"/>
        <w:rPr>
          <w:rFonts w:cs="Arial"/>
        </w:rPr>
      </w:pPr>
      <w:r w:rsidRPr="00B64CA9">
        <w:rPr>
          <w:rFonts w:cs="Arial"/>
        </w:rPr>
        <w:t xml:space="preserve">Signs of inflammation were assessed by MRI at baseline and Week 16 and expressed as change from baseline in Berlin SI-joint </w:t>
      </w:r>
      <w:r w:rsidR="001076F7" w:rsidRPr="00B64CA9">
        <w:rPr>
          <w:rFonts w:cs="Arial"/>
        </w:rPr>
        <w:t>oedema</w:t>
      </w:r>
      <w:r w:rsidRPr="00B64CA9">
        <w:rPr>
          <w:rFonts w:cs="Arial"/>
        </w:rPr>
        <w:t xml:space="preserve"> score for sacroiliac joints and </w:t>
      </w:r>
      <w:proofErr w:type="spellStart"/>
      <w:r w:rsidRPr="00B64CA9">
        <w:rPr>
          <w:rFonts w:cs="Arial"/>
        </w:rPr>
        <w:t>ASspiMRI</w:t>
      </w:r>
      <w:proofErr w:type="spellEnd"/>
      <w:r w:rsidRPr="00B64CA9">
        <w:rPr>
          <w:rFonts w:cs="Arial"/>
        </w:rPr>
        <w:t xml:space="preserve">-a score and Berlin spine score for the spine. Inhibition of inflammatory signs in both sacroiliac joints and the spine was observed in patients treated with </w:t>
      </w:r>
      <w:proofErr w:type="spellStart"/>
      <w:r w:rsidRPr="00B64CA9">
        <w:rPr>
          <w:rFonts w:cs="Arial"/>
        </w:rPr>
        <w:t>secukinumab</w:t>
      </w:r>
      <w:proofErr w:type="spellEnd"/>
      <w:r w:rsidRPr="00B64CA9">
        <w:rPr>
          <w:rFonts w:cs="Arial"/>
        </w:rPr>
        <w:t xml:space="preserve">. Mean change from baseline in Berlin SI-joint </w:t>
      </w:r>
      <w:r w:rsidR="001076F7" w:rsidRPr="00B64CA9">
        <w:rPr>
          <w:rFonts w:cs="Arial"/>
        </w:rPr>
        <w:t>oedema</w:t>
      </w:r>
      <w:r w:rsidRPr="00B64CA9">
        <w:rPr>
          <w:rFonts w:cs="Arial"/>
        </w:rPr>
        <w:t xml:space="preserve"> score was -1.68 for patients treated with </w:t>
      </w:r>
      <w:r w:rsidR="001076F7" w:rsidRPr="00B64CA9">
        <w:rPr>
          <w:rFonts w:cs="Arial"/>
        </w:rPr>
        <w:t>COSENTYX</w:t>
      </w:r>
      <w:r w:rsidRPr="00B64CA9">
        <w:rPr>
          <w:rFonts w:cs="Arial"/>
        </w:rPr>
        <w:t xml:space="preserve"> 150 mg (n=180) versus -0.39 for the placebo-treated patients (n=174) (p&lt;0.0</w:t>
      </w:r>
      <w:r w:rsidR="006D6733" w:rsidRPr="00B64CA9">
        <w:rPr>
          <w:rFonts w:cs="Arial"/>
        </w:rPr>
        <w:t>5</w:t>
      </w:r>
      <w:r w:rsidRPr="00B64CA9">
        <w:rPr>
          <w:rFonts w:cs="Arial"/>
        </w:rPr>
        <w:t>).</w:t>
      </w:r>
    </w:p>
    <w:p w14:paraId="4EDF105C" w14:textId="77777777" w:rsidR="00F62A4F" w:rsidRPr="00B64CA9" w:rsidRDefault="00F62A4F" w:rsidP="002D07A3">
      <w:pPr>
        <w:ind w:left="14"/>
        <w:jc w:val="both"/>
        <w:rPr>
          <w:rFonts w:cs="Arial"/>
        </w:rPr>
      </w:pPr>
    </w:p>
    <w:p w14:paraId="5E837A74"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Pharmacokinetic properties </w:t>
      </w:r>
    </w:p>
    <w:p w14:paraId="74FD9698" w14:textId="77777777" w:rsidR="00AF4E63" w:rsidRPr="00B64CA9" w:rsidRDefault="00AF4E63" w:rsidP="009B615A">
      <w:pPr>
        <w:jc w:val="both"/>
        <w:rPr>
          <w:rFonts w:cs="Arial"/>
        </w:rPr>
      </w:pPr>
      <w:r w:rsidRPr="00B64CA9">
        <w:rPr>
          <w:rFonts w:cs="Arial"/>
        </w:rPr>
        <w:t xml:space="preserve">The mean pharmacokinetic parameters of </w:t>
      </w:r>
      <w:proofErr w:type="spellStart"/>
      <w:r w:rsidRPr="00B64CA9">
        <w:rPr>
          <w:rFonts w:cs="Arial"/>
        </w:rPr>
        <w:t>secukinumab</w:t>
      </w:r>
      <w:proofErr w:type="spellEnd"/>
      <w:r w:rsidRPr="00B64CA9">
        <w:rPr>
          <w:rFonts w:cs="Arial"/>
        </w:rPr>
        <w:t xml:space="preserve"> following single and multiple subcutaneous administration in adult patients with psoriasis, resulting from population pharmacokinetic analysis, are shown in Table </w:t>
      </w:r>
      <w:r w:rsidR="00A22371" w:rsidRPr="00B64CA9">
        <w:rPr>
          <w:rFonts w:cs="Arial"/>
        </w:rPr>
        <w:t>20</w:t>
      </w:r>
      <w:r w:rsidRPr="00B64CA9">
        <w:rPr>
          <w:rFonts w:cs="Arial"/>
        </w:rPr>
        <w:t xml:space="preserve">. </w:t>
      </w:r>
      <w:proofErr w:type="spellStart"/>
      <w:r w:rsidRPr="00B64CA9">
        <w:rPr>
          <w:rFonts w:cs="Arial"/>
        </w:rPr>
        <w:t>Cmax</w:t>
      </w:r>
      <w:proofErr w:type="spellEnd"/>
      <w:r w:rsidRPr="00B64CA9">
        <w:rPr>
          <w:rFonts w:cs="Arial"/>
        </w:rPr>
        <w:t xml:space="preserve"> and AUC were dose-proportional at 150 mg and 300 mg subcutaneous doses.</w:t>
      </w:r>
    </w:p>
    <w:p w14:paraId="3F8738FC" w14:textId="77777777" w:rsidR="00AF4E63" w:rsidRPr="00B64CA9" w:rsidRDefault="00AF4E63" w:rsidP="0081558E">
      <w:pPr>
        <w:spacing w:after="120"/>
        <w:ind w:left="1166" w:hanging="1166"/>
        <w:jc w:val="both"/>
        <w:rPr>
          <w:rFonts w:ascii="Arial" w:hAnsi="Arial" w:cs="Arial"/>
          <w:b/>
          <w:sz w:val="20"/>
        </w:rPr>
      </w:pPr>
      <w:r w:rsidRPr="00B64CA9">
        <w:rPr>
          <w:rFonts w:ascii="Arial" w:hAnsi="Arial" w:cs="Arial"/>
          <w:b/>
          <w:sz w:val="20"/>
        </w:rPr>
        <w:t xml:space="preserve">Table </w:t>
      </w:r>
      <w:r w:rsidR="00A22371" w:rsidRPr="00B64CA9">
        <w:rPr>
          <w:rFonts w:ascii="Arial" w:hAnsi="Arial" w:cs="Arial"/>
          <w:b/>
          <w:sz w:val="20"/>
        </w:rPr>
        <w:t>20</w:t>
      </w:r>
      <w:r w:rsidR="00733D88" w:rsidRPr="00B64CA9">
        <w:rPr>
          <w:rFonts w:ascii="Arial" w:hAnsi="Arial" w:cs="Arial"/>
          <w:b/>
          <w:sz w:val="20"/>
        </w:rPr>
        <w:t xml:space="preserve"> </w:t>
      </w:r>
      <w:r w:rsidRPr="00B64CA9">
        <w:rPr>
          <w:rFonts w:ascii="Arial" w:hAnsi="Arial" w:cs="Arial"/>
          <w:b/>
          <w:sz w:val="20"/>
        </w:rPr>
        <w:tab/>
        <w:t xml:space="preserve">Summary of pharmacokinetic parameters of COSENTYX at steady – state following 150 or 300 mg </w:t>
      </w:r>
      <w:proofErr w:type="spellStart"/>
      <w:r w:rsidRPr="00B64CA9">
        <w:rPr>
          <w:rFonts w:ascii="Arial" w:hAnsi="Arial" w:cs="Arial"/>
          <w:b/>
          <w:sz w:val="20"/>
        </w:rPr>
        <w:t>s.c.</w:t>
      </w:r>
      <w:proofErr w:type="spellEnd"/>
      <w:r w:rsidRPr="00B64CA9">
        <w:rPr>
          <w:rFonts w:ascii="Arial" w:hAnsi="Arial" w:cs="Arial"/>
          <w:b/>
          <w:sz w:val="20"/>
        </w:rPr>
        <w:t xml:space="preserve"> administration in adult patients with psoriasis </w:t>
      </w:r>
    </w:p>
    <w:tbl>
      <w:tblPr>
        <w:tblStyle w:val="TableGrid"/>
        <w:tblW w:w="9018" w:type="dxa"/>
        <w:tblInd w:w="108" w:type="dxa"/>
        <w:tblLook w:val="04A0" w:firstRow="1" w:lastRow="0" w:firstColumn="1" w:lastColumn="0" w:noHBand="0" w:noVBand="1"/>
      </w:tblPr>
      <w:tblGrid>
        <w:gridCol w:w="2358"/>
        <w:gridCol w:w="1665"/>
        <w:gridCol w:w="1665"/>
        <w:gridCol w:w="1665"/>
        <w:gridCol w:w="1665"/>
      </w:tblGrid>
      <w:tr w:rsidR="00AF4E63" w:rsidRPr="00B64CA9" w14:paraId="54DC5EF1" w14:textId="77777777" w:rsidTr="00010B1A">
        <w:tc>
          <w:tcPr>
            <w:tcW w:w="2358" w:type="dxa"/>
            <w:vMerge w:val="restart"/>
            <w:vAlign w:val="center"/>
          </w:tcPr>
          <w:p w14:paraId="41A1E773" w14:textId="77777777" w:rsidR="00AF4E63" w:rsidRPr="00B64CA9" w:rsidRDefault="00AF4E63" w:rsidP="0022141A">
            <w:pPr>
              <w:spacing w:after="0"/>
              <w:jc w:val="both"/>
              <w:rPr>
                <w:rFonts w:ascii="Arial" w:hAnsi="Arial" w:cs="Arial"/>
                <w:b/>
                <w:sz w:val="18"/>
                <w:szCs w:val="18"/>
              </w:rPr>
            </w:pPr>
            <w:r w:rsidRPr="00B64CA9">
              <w:rPr>
                <w:rFonts w:ascii="Arial" w:hAnsi="Arial" w:cs="Arial"/>
                <w:b/>
                <w:sz w:val="18"/>
                <w:szCs w:val="18"/>
              </w:rPr>
              <w:t>Parameter</w:t>
            </w:r>
          </w:p>
        </w:tc>
        <w:tc>
          <w:tcPr>
            <w:tcW w:w="6660" w:type="dxa"/>
            <w:gridSpan w:val="4"/>
            <w:vAlign w:val="center"/>
          </w:tcPr>
          <w:p w14:paraId="7B3900B0"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COSENTYX 4-weekly dose</w:t>
            </w:r>
          </w:p>
        </w:tc>
      </w:tr>
      <w:tr w:rsidR="00AF4E63" w:rsidRPr="00B64CA9" w14:paraId="22AC2264" w14:textId="77777777" w:rsidTr="00010B1A">
        <w:tc>
          <w:tcPr>
            <w:tcW w:w="2358" w:type="dxa"/>
            <w:vMerge/>
          </w:tcPr>
          <w:p w14:paraId="253318E5" w14:textId="77777777" w:rsidR="00AF4E63" w:rsidRPr="00B64CA9" w:rsidRDefault="00AF4E63" w:rsidP="0022141A">
            <w:pPr>
              <w:spacing w:after="0"/>
              <w:jc w:val="both"/>
              <w:rPr>
                <w:rFonts w:ascii="Arial" w:hAnsi="Arial" w:cs="Arial"/>
                <w:sz w:val="18"/>
                <w:szCs w:val="18"/>
              </w:rPr>
            </w:pPr>
          </w:p>
        </w:tc>
        <w:tc>
          <w:tcPr>
            <w:tcW w:w="3330" w:type="dxa"/>
            <w:gridSpan w:val="2"/>
            <w:vAlign w:val="center"/>
          </w:tcPr>
          <w:p w14:paraId="344EDEC3"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150 mg</w:t>
            </w:r>
          </w:p>
        </w:tc>
        <w:tc>
          <w:tcPr>
            <w:tcW w:w="3330" w:type="dxa"/>
            <w:gridSpan w:val="2"/>
            <w:vAlign w:val="center"/>
          </w:tcPr>
          <w:p w14:paraId="50C4A2F3"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300 mg</w:t>
            </w:r>
          </w:p>
        </w:tc>
      </w:tr>
      <w:tr w:rsidR="00AF4E63" w:rsidRPr="00B64CA9" w14:paraId="5C4F21FA" w14:textId="77777777" w:rsidTr="00010B1A">
        <w:tc>
          <w:tcPr>
            <w:tcW w:w="2358" w:type="dxa"/>
            <w:vMerge/>
          </w:tcPr>
          <w:p w14:paraId="40B00F33" w14:textId="77777777" w:rsidR="00AF4E63" w:rsidRPr="00B64CA9" w:rsidRDefault="00AF4E63" w:rsidP="0022141A">
            <w:pPr>
              <w:spacing w:after="0"/>
              <w:jc w:val="both"/>
              <w:rPr>
                <w:rFonts w:ascii="Arial" w:hAnsi="Arial" w:cs="Arial"/>
                <w:sz w:val="18"/>
                <w:szCs w:val="18"/>
              </w:rPr>
            </w:pPr>
          </w:p>
        </w:tc>
        <w:tc>
          <w:tcPr>
            <w:tcW w:w="1665" w:type="dxa"/>
            <w:vAlign w:val="center"/>
          </w:tcPr>
          <w:p w14:paraId="3D43EC32"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Mean (SD)</w:t>
            </w:r>
          </w:p>
        </w:tc>
        <w:tc>
          <w:tcPr>
            <w:tcW w:w="1665" w:type="dxa"/>
            <w:vAlign w:val="center"/>
          </w:tcPr>
          <w:p w14:paraId="71C91DBE"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Range</w:t>
            </w:r>
          </w:p>
        </w:tc>
        <w:tc>
          <w:tcPr>
            <w:tcW w:w="1665" w:type="dxa"/>
            <w:vAlign w:val="center"/>
          </w:tcPr>
          <w:p w14:paraId="4B86EB39"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Mean (SD)</w:t>
            </w:r>
          </w:p>
        </w:tc>
        <w:tc>
          <w:tcPr>
            <w:tcW w:w="1665" w:type="dxa"/>
            <w:vAlign w:val="center"/>
          </w:tcPr>
          <w:p w14:paraId="11FAC473" w14:textId="77777777" w:rsidR="00AF4E63" w:rsidRPr="00B64CA9" w:rsidRDefault="00AF4E63" w:rsidP="0022141A">
            <w:pPr>
              <w:spacing w:after="0"/>
              <w:jc w:val="center"/>
              <w:rPr>
                <w:rFonts w:ascii="Arial" w:hAnsi="Arial" w:cs="Arial"/>
                <w:b/>
                <w:sz w:val="18"/>
                <w:szCs w:val="18"/>
              </w:rPr>
            </w:pPr>
            <w:r w:rsidRPr="00B64CA9">
              <w:rPr>
                <w:rFonts w:ascii="Arial" w:hAnsi="Arial" w:cs="Arial"/>
                <w:b/>
                <w:sz w:val="18"/>
                <w:szCs w:val="18"/>
              </w:rPr>
              <w:t>Range</w:t>
            </w:r>
          </w:p>
        </w:tc>
      </w:tr>
      <w:tr w:rsidR="00AF4E63" w:rsidRPr="00B64CA9" w14:paraId="5ADCF0DB" w14:textId="77777777" w:rsidTr="0022141A">
        <w:trPr>
          <w:trHeight w:val="283"/>
        </w:trPr>
        <w:tc>
          <w:tcPr>
            <w:tcW w:w="2358" w:type="dxa"/>
          </w:tcPr>
          <w:p w14:paraId="62D7687B" w14:textId="77777777" w:rsidR="00AF4E63" w:rsidRPr="00B64CA9" w:rsidRDefault="00AF4E63" w:rsidP="0022141A">
            <w:pPr>
              <w:spacing w:after="0"/>
              <w:jc w:val="both"/>
              <w:rPr>
                <w:rFonts w:ascii="Arial" w:hAnsi="Arial" w:cs="Arial"/>
                <w:sz w:val="18"/>
                <w:szCs w:val="18"/>
              </w:rPr>
            </w:pPr>
            <w:proofErr w:type="spellStart"/>
            <w:proofErr w:type="gramStart"/>
            <w:r w:rsidRPr="00B64CA9">
              <w:rPr>
                <w:rFonts w:ascii="Arial" w:hAnsi="Arial" w:cs="Arial"/>
                <w:sz w:val="18"/>
                <w:szCs w:val="18"/>
              </w:rPr>
              <w:t>Cmax,ss</w:t>
            </w:r>
            <w:proofErr w:type="spellEnd"/>
            <w:proofErr w:type="gramEnd"/>
            <w:r w:rsidRPr="00B64CA9">
              <w:rPr>
                <w:rFonts w:ascii="Arial" w:hAnsi="Arial" w:cs="Arial"/>
                <w:sz w:val="18"/>
                <w:szCs w:val="18"/>
              </w:rPr>
              <w:t xml:space="preserve"> (µg/mL)</w:t>
            </w:r>
          </w:p>
        </w:tc>
        <w:tc>
          <w:tcPr>
            <w:tcW w:w="1665" w:type="dxa"/>
            <w:vAlign w:val="center"/>
          </w:tcPr>
          <w:p w14:paraId="7CD02FC4"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27.6 (10.7)</w:t>
            </w:r>
          </w:p>
        </w:tc>
        <w:tc>
          <w:tcPr>
            <w:tcW w:w="1665" w:type="dxa"/>
            <w:vAlign w:val="center"/>
          </w:tcPr>
          <w:p w14:paraId="59C5606C"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(13.7, 47.4)</w:t>
            </w:r>
          </w:p>
        </w:tc>
        <w:tc>
          <w:tcPr>
            <w:tcW w:w="1665" w:type="dxa"/>
            <w:vAlign w:val="center"/>
          </w:tcPr>
          <w:p w14:paraId="0410F092"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55.2 (21.5)</w:t>
            </w:r>
          </w:p>
        </w:tc>
        <w:tc>
          <w:tcPr>
            <w:tcW w:w="1665" w:type="dxa"/>
            <w:vAlign w:val="center"/>
          </w:tcPr>
          <w:p w14:paraId="18E9C2A5"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(27.5, 94.8)</w:t>
            </w:r>
          </w:p>
        </w:tc>
      </w:tr>
      <w:tr w:rsidR="00AF4E63" w:rsidRPr="00B64CA9" w14:paraId="1A3A2529" w14:textId="77777777" w:rsidTr="0022141A">
        <w:trPr>
          <w:trHeight w:val="283"/>
        </w:trPr>
        <w:tc>
          <w:tcPr>
            <w:tcW w:w="2358" w:type="dxa"/>
          </w:tcPr>
          <w:p w14:paraId="6910F53F" w14:textId="77777777" w:rsidR="00AF4E63" w:rsidRPr="00B64CA9" w:rsidRDefault="00AF4E63" w:rsidP="0022141A">
            <w:pPr>
              <w:spacing w:after="0"/>
              <w:jc w:val="both"/>
              <w:rPr>
                <w:rFonts w:ascii="Arial" w:hAnsi="Arial" w:cs="Arial"/>
                <w:sz w:val="18"/>
                <w:szCs w:val="18"/>
              </w:rPr>
            </w:pPr>
            <w:proofErr w:type="spellStart"/>
            <w:proofErr w:type="gramStart"/>
            <w:r w:rsidRPr="00B64CA9">
              <w:rPr>
                <w:rFonts w:ascii="Arial" w:hAnsi="Arial" w:cs="Arial"/>
                <w:sz w:val="18"/>
                <w:szCs w:val="18"/>
              </w:rPr>
              <w:t>Cav,ss</w:t>
            </w:r>
            <w:proofErr w:type="spellEnd"/>
            <w:proofErr w:type="gramEnd"/>
            <w:r w:rsidRPr="00B64CA9">
              <w:rPr>
                <w:rFonts w:ascii="Arial" w:hAnsi="Arial" w:cs="Arial"/>
                <w:sz w:val="18"/>
                <w:szCs w:val="18"/>
              </w:rPr>
              <w:t xml:space="preserve"> (µg/mL)</w:t>
            </w:r>
          </w:p>
        </w:tc>
        <w:tc>
          <w:tcPr>
            <w:tcW w:w="1665" w:type="dxa"/>
            <w:vAlign w:val="center"/>
          </w:tcPr>
          <w:p w14:paraId="4A9D5D1C"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22.2 (9.2)</w:t>
            </w:r>
          </w:p>
        </w:tc>
        <w:tc>
          <w:tcPr>
            <w:tcW w:w="1665" w:type="dxa"/>
            <w:vAlign w:val="center"/>
          </w:tcPr>
          <w:p w14:paraId="1209D23E"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(10.5, 39.0</w:t>
            </w:r>
          </w:p>
        </w:tc>
        <w:tc>
          <w:tcPr>
            <w:tcW w:w="1665" w:type="dxa"/>
            <w:vAlign w:val="center"/>
          </w:tcPr>
          <w:p w14:paraId="1DD34A8D"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44.5 (18.4)</w:t>
            </w:r>
          </w:p>
        </w:tc>
        <w:tc>
          <w:tcPr>
            <w:tcW w:w="1665" w:type="dxa"/>
            <w:vAlign w:val="center"/>
          </w:tcPr>
          <w:p w14:paraId="4DDFB546"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(21.1, 77.9)</w:t>
            </w:r>
          </w:p>
        </w:tc>
      </w:tr>
      <w:tr w:rsidR="00AF4E63" w:rsidRPr="00B64CA9" w14:paraId="3901918D" w14:textId="77777777" w:rsidTr="0022141A">
        <w:trPr>
          <w:trHeight w:val="283"/>
        </w:trPr>
        <w:tc>
          <w:tcPr>
            <w:tcW w:w="2358" w:type="dxa"/>
          </w:tcPr>
          <w:p w14:paraId="43B04A7F" w14:textId="77777777" w:rsidR="00AF4E63" w:rsidRPr="00B64CA9" w:rsidRDefault="00AF4E63" w:rsidP="0022141A">
            <w:pPr>
              <w:spacing w:after="0"/>
              <w:jc w:val="both"/>
              <w:rPr>
                <w:rFonts w:ascii="Arial" w:hAnsi="Arial" w:cs="Arial"/>
                <w:sz w:val="18"/>
                <w:szCs w:val="18"/>
              </w:rPr>
            </w:pPr>
            <w:proofErr w:type="spellStart"/>
            <w:proofErr w:type="gramStart"/>
            <w:r w:rsidRPr="00B64CA9">
              <w:rPr>
                <w:rFonts w:ascii="Arial" w:hAnsi="Arial" w:cs="Arial"/>
                <w:sz w:val="18"/>
                <w:szCs w:val="18"/>
              </w:rPr>
              <w:t>Tmax,ss</w:t>
            </w:r>
            <w:proofErr w:type="spellEnd"/>
            <w:proofErr w:type="gramEnd"/>
            <w:r w:rsidRPr="00B64CA9">
              <w:rPr>
                <w:rFonts w:ascii="Arial" w:hAnsi="Arial" w:cs="Arial"/>
                <w:sz w:val="18"/>
                <w:szCs w:val="18"/>
              </w:rPr>
              <w:t xml:space="preserve"> (day)</w:t>
            </w:r>
          </w:p>
        </w:tc>
        <w:tc>
          <w:tcPr>
            <w:tcW w:w="1665" w:type="dxa"/>
            <w:vAlign w:val="center"/>
          </w:tcPr>
          <w:p w14:paraId="5D26B13E"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6.0</w:t>
            </w:r>
          </w:p>
        </w:tc>
        <w:tc>
          <w:tcPr>
            <w:tcW w:w="1665" w:type="dxa"/>
            <w:vAlign w:val="center"/>
          </w:tcPr>
          <w:p w14:paraId="306A7FD3"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(4.0, 8.0)</w:t>
            </w:r>
          </w:p>
        </w:tc>
        <w:tc>
          <w:tcPr>
            <w:tcW w:w="1665" w:type="dxa"/>
            <w:vAlign w:val="center"/>
          </w:tcPr>
          <w:p w14:paraId="00B69580"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6.0</w:t>
            </w:r>
          </w:p>
        </w:tc>
        <w:tc>
          <w:tcPr>
            <w:tcW w:w="1665" w:type="dxa"/>
            <w:vAlign w:val="center"/>
          </w:tcPr>
          <w:p w14:paraId="77920CCA"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(4.0, 8.0)</w:t>
            </w:r>
          </w:p>
        </w:tc>
      </w:tr>
      <w:tr w:rsidR="00AF4E63" w:rsidRPr="00B64CA9" w14:paraId="7DC59156" w14:textId="77777777" w:rsidTr="0022141A">
        <w:trPr>
          <w:trHeight w:val="283"/>
        </w:trPr>
        <w:tc>
          <w:tcPr>
            <w:tcW w:w="2358" w:type="dxa"/>
          </w:tcPr>
          <w:p w14:paraId="0C39B075" w14:textId="77777777" w:rsidR="00AF4E63" w:rsidRPr="00B64CA9" w:rsidRDefault="00AF4E63" w:rsidP="0022141A">
            <w:pPr>
              <w:spacing w:after="0"/>
              <w:jc w:val="both"/>
              <w:rPr>
                <w:rFonts w:ascii="Arial" w:hAnsi="Arial" w:cs="Arial"/>
                <w:sz w:val="18"/>
                <w:szCs w:val="18"/>
              </w:rPr>
            </w:pPr>
            <w:proofErr w:type="spellStart"/>
            <w:r w:rsidRPr="00B64CA9">
              <w:rPr>
                <w:rFonts w:ascii="Arial" w:hAnsi="Arial" w:cs="Arial"/>
                <w:sz w:val="18"/>
                <w:szCs w:val="18"/>
              </w:rPr>
              <w:t>AUCss</w:t>
            </w:r>
            <w:proofErr w:type="spellEnd"/>
            <w:r w:rsidRPr="00B64CA9">
              <w:rPr>
                <w:rFonts w:ascii="Arial" w:hAnsi="Arial" w:cs="Arial"/>
                <w:sz w:val="18"/>
                <w:szCs w:val="18"/>
              </w:rPr>
              <w:t xml:space="preserve"> (</w:t>
            </w:r>
            <w:proofErr w:type="spellStart"/>
            <w:proofErr w:type="gramStart"/>
            <w:r w:rsidRPr="00B64CA9">
              <w:rPr>
                <w:rFonts w:ascii="Arial" w:hAnsi="Arial" w:cs="Arial"/>
                <w:sz w:val="18"/>
                <w:szCs w:val="18"/>
              </w:rPr>
              <w:t>day.µ</w:t>
            </w:r>
            <w:proofErr w:type="gramEnd"/>
            <w:r w:rsidRPr="00B64CA9">
              <w:rPr>
                <w:rFonts w:ascii="Arial" w:hAnsi="Arial" w:cs="Arial"/>
                <w:sz w:val="18"/>
                <w:szCs w:val="18"/>
              </w:rPr>
              <w:t>g</w:t>
            </w:r>
            <w:proofErr w:type="spellEnd"/>
            <w:r w:rsidRPr="00B64CA9">
              <w:rPr>
                <w:rFonts w:ascii="Arial" w:hAnsi="Arial" w:cs="Arial"/>
                <w:sz w:val="18"/>
                <w:szCs w:val="18"/>
              </w:rPr>
              <w:t>/mL)</w:t>
            </w:r>
          </w:p>
        </w:tc>
        <w:tc>
          <w:tcPr>
            <w:tcW w:w="1665" w:type="dxa"/>
            <w:vAlign w:val="center"/>
          </w:tcPr>
          <w:p w14:paraId="1C333101"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622 (257)</w:t>
            </w:r>
          </w:p>
        </w:tc>
        <w:tc>
          <w:tcPr>
            <w:tcW w:w="1665" w:type="dxa"/>
            <w:vAlign w:val="center"/>
          </w:tcPr>
          <w:p w14:paraId="72EBA530"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(295, 1090)</w:t>
            </w:r>
          </w:p>
        </w:tc>
        <w:tc>
          <w:tcPr>
            <w:tcW w:w="1665" w:type="dxa"/>
            <w:vAlign w:val="center"/>
          </w:tcPr>
          <w:p w14:paraId="552D1A9F"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1245 (515)</w:t>
            </w:r>
          </w:p>
        </w:tc>
        <w:tc>
          <w:tcPr>
            <w:tcW w:w="1665" w:type="dxa"/>
            <w:vAlign w:val="center"/>
          </w:tcPr>
          <w:p w14:paraId="3E632D17" w14:textId="77777777" w:rsidR="00AF4E63" w:rsidRPr="00B64CA9" w:rsidRDefault="00AF4E63" w:rsidP="0022141A">
            <w:pPr>
              <w:spacing w:after="0"/>
              <w:jc w:val="both"/>
              <w:rPr>
                <w:rFonts w:ascii="Arial" w:hAnsi="Arial" w:cs="Arial"/>
                <w:sz w:val="18"/>
                <w:szCs w:val="18"/>
              </w:rPr>
            </w:pPr>
            <w:r w:rsidRPr="00B64CA9">
              <w:rPr>
                <w:rFonts w:ascii="Arial" w:hAnsi="Arial" w:cs="Arial"/>
                <w:sz w:val="18"/>
                <w:szCs w:val="18"/>
              </w:rPr>
              <w:t>(590, 2180)</w:t>
            </w:r>
          </w:p>
        </w:tc>
      </w:tr>
    </w:tbl>
    <w:p w14:paraId="1F65831C" w14:textId="77777777" w:rsidR="00AF4E63" w:rsidRPr="00B64CA9" w:rsidRDefault="00AF4E63" w:rsidP="0081558E">
      <w:pPr>
        <w:jc w:val="both"/>
      </w:pPr>
    </w:p>
    <w:p w14:paraId="14638E2F" w14:textId="77777777" w:rsidR="00F62A4F" w:rsidRPr="00B64CA9" w:rsidRDefault="00F62A4F">
      <w:pPr>
        <w:spacing w:after="120"/>
        <w:jc w:val="both"/>
        <w:rPr>
          <w:rFonts w:asciiTheme="majorHAnsi" w:eastAsiaTheme="majorEastAsia" w:hAnsiTheme="majorHAnsi" w:cstheme="minorHAnsi"/>
          <w:b/>
          <w:bCs/>
          <w:u w:val="single"/>
        </w:rPr>
      </w:pPr>
      <w:r w:rsidRPr="00B64CA9">
        <w:rPr>
          <w:rFonts w:asciiTheme="majorHAnsi" w:eastAsiaTheme="majorEastAsia" w:hAnsiTheme="majorHAnsi" w:cstheme="minorHAnsi"/>
          <w:b/>
          <w:bCs/>
          <w:u w:val="single"/>
        </w:rPr>
        <w:t>Pharmacokinetics in special patient groups</w:t>
      </w:r>
    </w:p>
    <w:p w14:paraId="4A525FB7" w14:textId="77777777" w:rsidR="00F62A4F" w:rsidRPr="00B64CA9" w:rsidRDefault="00F62A4F" w:rsidP="002D07A3">
      <w:pPr>
        <w:pStyle w:val="Heading3"/>
        <w:spacing w:before="0" w:after="120"/>
        <w:ind w:left="0"/>
        <w:jc w:val="both"/>
        <w:rPr>
          <w:rFonts w:cstheme="minorHAnsi"/>
          <w:b w:val="0"/>
        </w:rPr>
      </w:pPr>
      <w:r w:rsidRPr="00B64CA9">
        <w:rPr>
          <w:rFonts w:cstheme="minorHAnsi"/>
        </w:rPr>
        <w:t xml:space="preserve">Paediatrics </w:t>
      </w:r>
    </w:p>
    <w:p w14:paraId="552EC3A0" w14:textId="77777777" w:rsidR="00F62A4F" w:rsidRPr="00B64CA9" w:rsidRDefault="00A22371" w:rsidP="002D07A3">
      <w:pPr>
        <w:jc w:val="both"/>
        <w:rPr>
          <w:rFonts w:eastAsiaTheme="majorEastAsia" w:cstheme="minorHAnsi"/>
          <w:bCs/>
        </w:rPr>
      </w:pPr>
      <w:r w:rsidRPr="00B64CA9">
        <w:rPr>
          <w:rFonts w:eastAsiaTheme="majorEastAsia" w:cstheme="minorHAnsi"/>
          <w:bCs/>
        </w:rPr>
        <w:t xml:space="preserve">In a pool of the two paediatric studies, patients with severe or moderate to severe plaque psoriasis (6 to less than 18 years of age) were administered </w:t>
      </w:r>
      <w:proofErr w:type="spellStart"/>
      <w:r w:rsidRPr="00B64CA9">
        <w:rPr>
          <w:rFonts w:eastAsiaTheme="majorEastAsia" w:cstheme="minorHAnsi"/>
          <w:bCs/>
        </w:rPr>
        <w:t>secukinumab</w:t>
      </w:r>
      <w:proofErr w:type="spellEnd"/>
      <w:r w:rsidRPr="00B64CA9">
        <w:rPr>
          <w:rFonts w:eastAsiaTheme="majorEastAsia" w:cstheme="minorHAnsi"/>
          <w:bCs/>
        </w:rPr>
        <w:t xml:space="preserve"> at the recommended paediatric dosing regimen using the PFS device.  At Week 24, patients weighing </w:t>
      </w:r>
      <w:r w:rsidRPr="00B64CA9">
        <w:rPr>
          <w:rFonts w:eastAsiaTheme="majorEastAsia" w:cstheme="minorHAnsi" w:hint="eastAsia"/>
          <w:bCs/>
        </w:rPr>
        <w:t>≥</w:t>
      </w:r>
      <w:r w:rsidRPr="00B64CA9">
        <w:rPr>
          <w:rFonts w:eastAsiaTheme="majorEastAsia" w:cstheme="minorHAnsi"/>
          <w:bCs/>
        </w:rPr>
        <w:t>25 and &lt;50 kg had a mean</w:t>
      </w:r>
      <w:r w:rsidRPr="00B64CA9">
        <w:rPr>
          <w:rFonts w:eastAsiaTheme="majorEastAsia" w:cstheme="minorHAnsi" w:hint="eastAsia"/>
          <w:bCs/>
        </w:rPr>
        <w:t>±</w:t>
      </w:r>
      <w:r w:rsidRPr="00B64CA9">
        <w:rPr>
          <w:rFonts w:eastAsiaTheme="majorEastAsia" w:cstheme="minorHAnsi"/>
          <w:bCs/>
        </w:rPr>
        <w:t>SD steady-state trough concentration of 19.8</w:t>
      </w:r>
      <w:r w:rsidRPr="00B64CA9">
        <w:rPr>
          <w:rFonts w:eastAsiaTheme="majorEastAsia" w:cstheme="minorHAnsi" w:hint="eastAsia"/>
          <w:bCs/>
        </w:rPr>
        <w:t>±</w:t>
      </w:r>
      <w:r w:rsidRPr="00B64CA9">
        <w:rPr>
          <w:rFonts w:eastAsiaTheme="majorEastAsia" w:cstheme="minorHAnsi"/>
          <w:bCs/>
        </w:rPr>
        <w:t xml:space="preserve">6.96 microgram/mL (n=24) after 75 mg of </w:t>
      </w:r>
      <w:proofErr w:type="spellStart"/>
      <w:r w:rsidRPr="00B64CA9">
        <w:rPr>
          <w:rFonts w:eastAsiaTheme="majorEastAsia" w:cstheme="minorHAnsi"/>
          <w:bCs/>
        </w:rPr>
        <w:t>secukinumab</w:t>
      </w:r>
      <w:proofErr w:type="spellEnd"/>
      <w:r w:rsidRPr="00B64CA9">
        <w:rPr>
          <w:rFonts w:eastAsiaTheme="majorEastAsia" w:cstheme="minorHAnsi"/>
          <w:bCs/>
        </w:rPr>
        <w:t xml:space="preserve">, and patients weighing </w:t>
      </w:r>
      <w:r w:rsidRPr="00B64CA9">
        <w:rPr>
          <w:rFonts w:eastAsiaTheme="majorEastAsia" w:cstheme="minorHAnsi" w:hint="eastAsia"/>
          <w:bCs/>
        </w:rPr>
        <w:t>≥</w:t>
      </w:r>
      <w:r w:rsidRPr="00B64CA9">
        <w:rPr>
          <w:rFonts w:eastAsiaTheme="majorEastAsia" w:cstheme="minorHAnsi"/>
          <w:bCs/>
        </w:rPr>
        <w:t xml:space="preserve">50 kg had a mean </w:t>
      </w:r>
      <w:r w:rsidRPr="00B64CA9">
        <w:rPr>
          <w:rFonts w:eastAsiaTheme="majorEastAsia" w:cstheme="minorHAnsi" w:hint="eastAsia"/>
          <w:bCs/>
        </w:rPr>
        <w:t>±</w:t>
      </w:r>
      <w:r w:rsidRPr="00B64CA9">
        <w:rPr>
          <w:rFonts w:eastAsiaTheme="majorEastAsia" w:cstheme="minorHAnsi"/>
          <w:bCs/>
        </w:rPr>
        <w:t xml:space="preserve"> SD steady-state trough concentration of 27.3</w:t>
      </w:r>
      <w:r w:rsidRPr="00B64CA9">
        <w:rPr>
          <w:rFonts w:eastAsiaTheme="majorEastAsia" w:cstheme="minorHAnsi" w:hint="eastAsia"/>
          <w:bCs/>
        </w:rPr>
        <w:t>±</w:t>
      </w:r>
      <w:r w:rsidRPr="00B64CA9">
        <w:rPr>
          <w:rFonts w:eastAsiaTheme="majorEastAsia" w:cstheme="minorHAnsi"/>
          <w:bCs/>
        </w:rPr>
        <w:t xml:space="preserve">10.1 microgram/mL (n=36) after 150 mg of </w:t>
      </w:r>
      <w:proofErr w:type="spellStart"/>
      <w:r w:rsidRPr="00B64CA9">
        <w:rPr>
          <w:rFonts w:eastAsiaTheme="majorEastAsia" w:cstheme="minorHAnsi"/>
          <w:bCs/>
        </w:rPr>
        <w:t>secukinumab</w:t>
      </w:r>
      <w:proofErr w:type="spellEnd"/>
      <w:r w:rsidRPr="00B64CA9">
        <w:rPr>
          <w:rFonts w:eastAsiaTheme="majorEastAsia" w:cstheme="minorHAnsi"/>
          <w:bCs/>
        </w:rPr>
        <w:t>. The mean</w:t>
      </w:r>
      <w:r w:rsidRPr="00B64CA9">
        <w:rPr>
          <w:rFonts w:eastAsiaTheme="majorEastAsia" w:cstheme="minorHAnsi" w:hint="eastAsia"/>
          <w:bCs/>
        </w:rPr>
        <w:t>±</w:t>
      </w:r>
      <w:r w:rsidRPr="00B64CA9">
        <w:rPr>
          <w:rFonts w:eastAsiaTheme="majorEastAsia" w:cstheme="minorHAnsi"/>
          <w:bCs/>
        </w:rPr>
        <w:t>SD steady-state trough concentration in patients weighing &lt;25 kg (n=8) was 32.6</w:t>
      </w:r>
      <w:r w:rsidRPr="00B64CA9">
        <w:rPr>
          <w:rFonts w:eastAsiaTheme="majorEastAsia" w:cstheme="minorHAnsi" w:hint="eastAsia"/>
          <w:bCs/>
        </w:rPr>
        <w:t>±</w:t>
      </w:r>
      <w:r w:rsidRPr="00B64CA9">
        <w:rPr>
          <w:rFonts w:eastAsiaTheme="majorEastAsia" w:cstheme="minorHAnsi"/>
          <w:bCs/>
        </w:rPr>
        <w:t>10.8 microgram/mL at Week 24 after 75 mg dose.</w:t>
      </w:r>
    </w:p>
    <w:p w14:paraId="7E13AA49" w14:textId="77777777" w:rsidR="00F62A4F" w:rsidRPr="00B64CA9" w:rsidRDefault="00F62A4F" w:rsidP="002D07A3">
      <w:pPr>
        <w:pStyle w:val="Heading3"/>
        <w:spacing w:before="0" w:after="120"/>
        <w:ind w:left="0"/>
        <w:jc w:val="both"/>
        <w:rPr>
          <w:rFonts w:cstheme="minorHAnsi"/>
          <w:b w:val="0"/>
        </w:rPr>
      </w:pPr>
      <w:r w:rsidRPr="00B64CA9">
        <w:rPr>
          <w:rFonts w:cstheme="minorHAnsi"/>
        </w:rPr>
        <w:lastRenderedPageBreak/>
        <w:t>Elderly patients</w:t>
      </w:r>
    </w:p>
    <w:p w14:paraId="5378B891" w14:textId="77777777" w:rsidR="00F62A4F" w:rsidRPr="00B64CA9" w:rsidRDefault="00F62A4F" w:rsidP="002D07A3">
      <w:pPr>
        <w:jc w:val="both"/>
        <w:rPr>
          <w:rFonts w:cs="Arial"/>
        </w:rPr>
      </w:pPr>
      <w:r w:rsidRPr="00B64CA9">
        <w:rPr>
          <w:rFonts w:cs="Arial"/>
        </w:rPr>
        <w:t>Of the 3,430 plaque psoriasis patients exposed to COSENTYX in clinical studies, a total of 230 were 65 years of age or older and 32 patients were 75 years of age or older.</w:t>
      </w:r>
    </w:p>
    <w:p w14:paraId="594D6ADD" w14:textId="77777777" w:rsidR="00F62A4F" w:rsidRPr="00B64CA9" w:rsidRDefault="00F62A4F" w:rsidP="002D07A3">
      <w:pPr>
        <w:jc w:val="both"/>
        <w:rPr>
          <w:rFonts w:cs="Arial"/>
        </w:rPr>
      </w:pPr>
      <w:r w:rsidRPr="00B64CA9">
        <w:rPr>
          <w:rFonts w:cs="Arial"/>
        </w:rPr>
        <w:t xml:space="preserve">Of the </w:t>
      </w:r>
      <w:r w:rsidR="00F52032" w:rsidRPr="00B64CA9">
        <w:rPr>
          <w:rFonts w:cs="Arial"/>
        </w:rPr>
        <w:t xml:space="preserve">2,536 </w:t>
      </w:r>
      <w:r w:rsidRPr="00B64CA9">
        <w:rPr>
          <w:rFonts w:cs="Arial"/>
        </w:rPr>
        <w:t xml:space="preserve">psoriatic arthritis patients exposed to </w:t>
      </w:r>
      <w:proofErr w:type="gramStart"/>
      <w:r w:rsidRPr="00B64CA9">
        <w:rPr>
          <w:rFonts w:cs="Arial"/>
        </w:rPr>
        <w:t>COSENTYX  in</w:t>
      </w:r>
      <w:proofErr w:type="gramEnd"/>
      <w:r w:rsidRPr="00B64CA9">
        <w:rPr>
          <w:rFonts w:cs="Arial"/>
        </w:rPr>
        <w:t xml:space="preserve"> clinical studies, a total of </w:t>
      </w:r>
      <w:r w:rsidR="00F52032" w:rsidRPr="00B64CA9">
        <w:rPr>
          <w:rFonts w:cs="Arial"/>
        </w:rPr>
        <w:t xml:space="preserve">236 </w:t>
      </w:r>
      <w:r w:rsidRPr="00B64CA9">
        <w:rPr>
          <w:rFonts w:cs="Arial"/>
        </w:rPr>
        <w:t xml:space="preserve">patients were 65 years of age or older and </w:t>
      </w:r>
      <w:r w:rsidR="00F52032" w:rsidRPr="00B64CA9">
        <w:rPr>
          <w:rFonts w:cs="Arial"/>
        </w:rPr>
        <w:t>25</w:t>
      </w:r>
      <w:r w:rsidRPr="00B64CA9">
        <w:rPr>
          <w:rFonts w:cs="Arial"/>
        </w:rPr>
        <w:t xml:space="preserve"> patients were 75 years of age or older.</w:t>
      </w:r>
    </w:p>
    <w:p w14:paraId="0A099879" w14:textId="77777777" w:rsidR="00F62A4F" w:rsidRPr="00B64CA9" w:rsidRDefault="00F62A4F" w:rsidP="002D07A3">
      <w:pPr>
        <w:jc w:val="both"/>
        <w:rPr>
          <w:rFonts w:cs="Arial"/>
        </w:rPr>
      </w:pPr>
      <w:r w:rsidRPr="00B64CA9">
        <w:rPr>
          <w:rFonts w:cs="Arial"/>
        </w:rPr>
        <w:t xml:space="preserve">Of the </w:t>
      </w:r>
      <w:r w:rsidR="00C6319D" w:rsidRPr="00B64CA9">
        <w:rPr>
          <w:rFonts w:cs="Arial"/>
        </w:rPr>
        <w:t>794</w:t>
      </w:r>
      <w:r w:rsidRPr="00B64CA9">
        <w:rPr>
          <w:rFonts w:cs="Arial"/>
        </w:rPr>
        <w:t xml:space="preserve"> ankylosing spondylitis patients exposed to COSENTYX in clinical studies, a total of </w:t>
      </w:r>
      <w:r w:rsidR="00C6319D" w:rsidRPr="00B64CA9">
        <w:rPr>
          <w:rFonts w:cs="Arial"/>
        </w:rPr>
        <w:t>29</w:t>
      </w:r>
      <w:r w:rsidRPr="00B64CA9">
        <w:rPr>
          <w:rFonts w:cs="Arial"/>
        </w:rPr>
        <w:t xml:space="preserve"> patients were 65 years of age or older and 3 patients were 75 years of age or older.</w:t>
      </w:r>
    </w:p>
    <w:p w14:paraId="2D2B1AEC" w14:textId="77777777" w:rsidR="001603B3" w:rsidRPr="00B64CA9" w:rsidRDefault="001603B3" w:rsidP="002D07A3">
      <w:pPr>
        <w:jc w:val="both"/>
        <w:rPr>
          <w:szCs w:val="24"/>
        </w:rPr>
      </w:pPr>
      <w:r w:rsidRPr="00B64CA9">
        <w:rPr>
          <w:szCs w:val="24"/>
        </w:rPr>
        <w:t xml:space="preserve">Of the 524 non-radiographic axial </w:t>
      </w:r>
      <w:proofErr w:type="spellStart"/>
      <w:r w:rsidRPr="00B64CA9">
        <w:rPr>
          <w:szCs w:val="24"/>
        </w:rPr>
        <w:t>spondyloarthritis</w:t>
      </w:r>
      <w:proofErr w:type="spellEnd"/>
      <w:r w:rsidRPr="00B64CA9">
        <w:rPr>
          <w:szCs w:val="24"/>
        </w:rPr>
        <w:t xml:space="preserve"> patients exposed to COSENTYX in clinical studies, a total of 9 patients were 65 years of age or older and 2 patients were 75 years of age of older.</w:t>
      </w:r>
    </w:p>
    <w:p w14:paraId="69B495B7" w14:textId="77777777" w:rsidR="00F62A4F" w:rsidRPr="00B64CA9" w:rsidRDefault="00F62A4F" w:rsidP="002D07A3">
      <w:pPr>
        <w:jc w:val="both"/>
        <w:rPr>
          <w:rFonts w:cs="Arial"/>
        </w:rPr>
      </w:pPr>
      <w:r w:rsidRPr="00B64CA9">
        <w:rPr>
          <w:rFonts w:cs="Arial"/>
        </w:rPr>
        <w:t>Based on population PK analysis, clearance in elderly patients and patients less than 65 years of age was similar.</w:t>
      </w:r>
    </w:p>
    <w:p w14:paraId="4FE08058" w14:textId="77777777" w:rsidR="00F62A4F" w:rsidRPr="00B64CA9" w:rsidRDefault="00F62A4F" w:rsidP="002D07A3">
      <w:pPr>
        <w:pStyle w:val="Heading3"/>
        <w:spacing w:before="0" w:after="120"/>
        <w:ind w:left="0"/>
        <w:jc w:val="both"/>
        <w:rPr>
          <w:rFonts w:cstheme="minorHAnsi"/>
          <w:b w:val="0"/>
        </w:rPr>
      </w:pPr>
      <w:r w:rsidRPr="00B64CA9">
        <w:rPr>
          <w:rFonts w:cstheme="minorHAnsi"/>
        </w:rPr>
        <w:t>Patients with renal and hepatic impairment</w:t>
      </w:r>
    </w:p>
    <w:p w14:paraId="72A89B43" w14:textId="77777777" w:rsidR="00F62A4F" w:rsidRPr="00B64CA9" w:rsidRDefault="00F62A4F" w:rsidP="002D07A3">
      <w:pPr>
        <w:jc w:val="both"/>
        <w:rPr>
          <w:rFonts w:eastAsiaTheme="majorEastAsia" w:cstheme="minorHAnsi"/>
          <w:bCs/>
        </w:rPr>
      </w:pPr>
      <w:r w:rsidRPr="00B64CA9">
        <w:rPr>
          <w:rFonts w:eastAsiaTheme="majorEastAsia" w:cstheme="minorHAnsi"/>
          <w:bCs/>
        </w:rPr>
        <w:t>No pharmacokinetic data are available in patients with hepatic or renal impairment.</w:t>
      </w:r>
    </w:p>
    <w:p w14:paraId="49595DBD" w14:textId="77777777" w:rsidR="00F62A4F" w:rsidRPr="00B64CA9" w:rsidRDefault="00F62A4F" w:rsidP="002D07A3">
      <w:pPr>
        <w:pStyle w:val="Heading3"/>
        <w:spacing w:before="0" w:after="120"/>
        <w:ind w:left="0"/>
        <w:jc w:val="both"/>
        <w:rPr>
          <w:rFonts w:cstheme="minorHAnsi"/>
          <w:b w:val="0"/>
        </w:rPr>
      </w:pPr>
      <w:r w:rsidRPr="00B64CA9">
        <w:rPr>
          <w:rFonts w:cstheme="minorHAnsi"/>
        </w:rPr>
        <w:t>Effect of weight on pharmacokinetics</w:t>
      </w:r>
    </w:p>
    <w:p w14:paraId="046DF401" w14:textId="77777777" w:rsidR="00F62A4F" w:rsidRPr="00B64CA9" w:rsidRDefault="00F62A4F" w:rsidP="002D07A3">
      <w:pPr>
        <w:jc w:val="both"/>
        <w:rPr>
          <w:rFonts w:eastAsiaTheme="majorEastAsia" w:cstheme="minorHAnsi"/>
          <w:bCs/>
        </w:rPr>
      </w:pPr>
      <w:proofErr w:type="spellStart"/>
      <w:r w:rsidRPr="00B64CA9">
        <w:rPr>
          <w:rFonts w:eastAsiaTheme="majorEastAsia" w:cstheme="minorHAnsi"/>
          <w:bCs/>
        </w:rPr>
        <w:t>Secukinumab</w:t>
      </w:r>
      <w:proofErr w:type="spellEnd"/>
      <w:r w:rsidRPr="00B64CA9">
        <w:rPr>
          <w:rFonts w:eastAsiaTheme="majorEastAsia" w:cstheme="minorHAnsi"/>
          <w:bCs/>
        </w:rPr>
        <w:t xml:space="preserve"> clearance and volume of distribution increase as body weight increases.</w:t>
      </w:r>
    </w:p>
    <w:p w14:paraId="093683C3" w14:textId="77777777" w:rsidR="001A3992" w:rsidRPr="00B64CA9" w:rsidRDefault="001A3992" w:rsidP="00253D7C">
      <w:pPr>
        <w:spacing w:after="120"/>
        <w:jc w:val="both"/>
        <w:rPr>
          <w:rFonts w:cstheme="minorHAnsi"/>
          <w:u w:val="single"/>
        </w:rPr>
      </w:pPr>
      <w:r w:rsidRPr="00B64CA9">
        <w:rPr>
          <w:rFonts w:asciiTheme="majorHAnsi" w:eastAsiaTheme="majorEastAsia" w:hAnsiTheme="majorHAnsi" w:cstheme="minorHAnsi"/>
          <w:b/>
          <w:bCs/>
          <w:u w:val="single"/>
        </w:rPr>
        <w:t>Absorption</w:t>
      </w:r>
    </w:p>
    <w:p w14:paraId="0B698890" w14:textId="77777777" w:rsidR="00AF4E63" w:rsidRPr="00B64CA9" w:rsidRDefault="00AF4E63" w:rsidP="00253D7C">
      <w:pPr>
        <w:jc w:val="both"/>
        <w:rPr>
          <w:rFonts w:eastAsiaTheme="majorEastAsia" w:cstheme="minorHAnsi"/>
          <w:bCs/>
        </w:rPr>
      </w:pPr>
      <w:r w:rsidRPr="00B64CA9">
        <w:rPr>
          <w:rFonts w:eastAsiaTheme="majorEastAsia" w:cstheme="minorHAnsi"/>
          <w:bCs/>
        </w:rPr>
        <w:t>Following a single subcutaneous dose of either 150 mg or 300 mg</w:t>
      </w:r>
      <w:r w:rsidR="00CA303E" w:rsidRPr="00B64CA9">
        <w:rPr>
          <w:rFonts w:eastAsiaTheme="majorEastAsia" w:cstheme="minorHAnsi"/>
          <w:bCs/>
        </w:rPr>
        <w:t xml:space="preserve"> administered as two injections of 150 mg</w:t>
      </w:r>
      <w:r w:rsidRPr="00B64CA9">
        <w:rPr>
          <w:rFonts w:eastAsiaTheme="majorEastAsia" w:cstheme="minorHAnsi"/>
          <w:bCs/>
        </w:rPr>
        <w:t xml:space="preserve"> in plaque psoriasis patients, </w:t>
      </w:r>
      <w:proofErr w:type="spellStart"/>
      <w:r w:rsidRPr="00B64CA9">
        <w:rPr>
          <w:rFonts w:eastAsiaTheme="majorEastAsia" w:cstheme="minorHAnsi"/>
          <w:bCs/>
        </w:rPr>
        <w:t>secukinumab</w:t>
      </w:r>
      <w:proofErr w:type="spellEnd"/>
      <w:r w:rsidRPr="00B64CA9">
        <w:rPr>
          <w:rFonts w:eastAsiaTheme="majorEastAsia" w:cstheme="minorHAnsi"/>
          <w:bCs/>
        </w:rPr>
        <w:t xml:space="preserve"> reached peak serum concentrations of 13.7 ± 4.8 ug/mL or 27.3 ± 9.5 ug/mL, respectively, between 5 to 6 days post dose.</w:t>
      </w:r>
    </w:p>
    <w:p w14:paraId="6AA8C30B" w14:textId="77777777" w:rsidR="00AF4E63" w:rsidRPr="00B64CA9" w:rsidRDefault="00AF4E63" w:rsidP="00253D7C">
      <w:pPr>
        <w:jc w:val="both"/>
        <w:rPr>
          <w:rFonts w:eastAsiaTheme="majorEastAsia" w:cstheme="minorHAnsi"/>
          <w:bCs/>
        </w:rPr>
      </w:pPr>
      <w:r w:rsidRPr="00B64CA9">
        <w:rPr>
          <w:rFonts w:eastAsiaTheme="majorEastAsia" w:cstheme="minorHAnsi"/>
          <w:bCs/>
        </w:rPr>
        <w:t>After the initial weekly dosing during the first month, the time to reach the maximum concentration was between 31 and 34 days.</w:t>
      </w:r>
    </w:p>
    <w:p w14:paraId="674F68D1" w14:textId="77777777" w:rsidR="00AF4E63" w:rsidRPr="00B64CA9" w:rsidRDefault="00AF4E63" w:rsidP="00253D7C">
      <w:pPr>
        <w:jc w:val="both"/>
        <w:rPr>
          <w:rFonts w:eastAsiaTheme="majorEastAsia" w:cstheme="minorHAnsi"/>
          <w:bCs/>
        </w:rPr>
      </w:pPr>
      <w:r w:rsidRPr="00B64CA9">
        <w:rPr>
          <w:rFonts w:eastAsiaTheme="majorEastAsia" w:cstheme="minorHAnsi"/>
          <w:bCs/>
        </w:rPr>
        <w:t>Peak concentrations at steady-state (</w:t>
      </w:r>
      <w:proofErr w:type="spellStart"/>
      <w:proofErr w:type="gramStart"/>
      <w:r w:rsidRPr="00B64CA9">
        <w:rPr>
          <w:rFonts w:eastAsiaTheme="majorEastAsia" w:cstheme="minorHAnsi"/>
          <w:bCs/>
        </w:rPr>
        <w:t>Cmax,ss</w:t>
      </w:r>
      <w:proofErr w:type="spellEnd"/>
      <w:proofErr w:type="gramEnd"/>
      <w:r w:rsidRPr="00B64CA9">
        <w:rPr>
          <w:rFonts w:eastAsiaTheme="majorEastAsia" w:cstheme="minorHAnsi"/>
          <w:bCs/>
        </w:rPr>
        <w:t xml:space="preserve">) following subcutaneous administration of 150 mg or 300 mg were 27.6 ug/mL and 55.2 ug/mL, respectively. </w:t>
      </w:r>
      <w:proofErr w:type="gramStart"/>
      <w:r w:rsidRPr="00B64CA9">
        <w:rPr>
          <w:rFonts w:eastAsiaTheme="majorEastAsia" w:cstheme="minorHAnsi"/>
          <w:bCs/>
        </w:rPr>
        <w:t>Steady-state</w:t>
      </w:r>
      <w:proofErr w:type="gramEnd"/>
      <w:r w:rsidRPr="00B64CA9">
        <w:rPr>
          <w:rFonts w:eastAsiaTheme="majorEastAsia" w:cstheme="minorHAnsi"/>
          <w:bCs/>
        </w:rPr>
        <w:t xml:space="preserve"> is reached after 20 weeks with monthly dosing regimens.</w:t>
      </w:r>
    </w:p>
    <w:p w14:paraId="6C750260" w14:textId="77777777" w:rsidR="00AF4E63" w:rsidRPr="00B64CA9" w:rsidRDefault="00AF4E63" w:rsidP="00253D7C">
      <w:pPr>
        <w:jc w:val="both"/>
        <w:rPr>
          <w:rFonts w:eastAsiaTheme="majorEastAsia" w:cstheme="minorHAnsi"/>
          <w:bCs/>
        </w:rPr>
      </w:pPr>
      <w:r w:rsidRPr="00B64CA9">
        <w:rPr>
          <w:rFonts w:eastAsiaTheme="majorEastAsia" w:cstheme="minorHAnsi"/>
          <w:bCs/>
        </w:rPr>
        <w:t>Compared with exposure after a single dose, patients exhibited a 2-fold increase in peak serum concentrations and AUC following repeated monthly dosing during maintenance.</w:t>
      </w:r>
    </w:p>
    <w:p w14:paraId="5FE8FEA8" w14:textId="77777777" w:rsidR="00AF4E63" w:rsidRPr="00B64CA9" w:rsidRDefault="00AF4E63" w:rsidP="00253D7C">
      <w:pPr>
        <w:jc w:val="both"/>
        <w:rPr>
          <w:rFonts w:eastAsiaTheme="majorEastAsia" w:cstheme="minorHAnsi"/>
          <w:bCs/>
        </w:rPr>
      </w:pPr>
      <w:proofErr w:type="spellStart"/>
      <w:r w:rsidRPr="00B64CA9">
        <w:rPr>
          <w:rFonts w:eastAsiaTheme="majorEastAsia" w:cstheme="minorHAnsi"/>
          <w:bCs/>
        </w:rPr>
        <w:t>Secukinumab</w:t>
      </w:r>
      <w:proofErr w:type="spellEnd"/>
      <w:r w:rsidRPr="00B64CA9">
        <w:rPr>
          <w:rFonts w:eastAsiaTheme="majorEastAsia" w:cstheme="minorHAnsi"/>
          <w:bCs/>
        </w:rPr>
        <w:t xml:space="preserve"> is absorbed with an average absolute bioavailability of 73%.</w:t>
      </w:r>
    </w:p>
    <w:p w14:paraId="087E4E86" w14:textId="77777777" w:rsidR="00567EF3" w:rsidRPr="00B64CA9" w:rsidRDefault="00CA303E" w:rsidP="00B64CA9">
      <w:pPr>
        <w:jc w:val="both"/>
        <w:rPr>
          <w:rFonts w:eastAsiaTheme="majorEastAsia" w:cstheme="minorHAnsi"/>
          <w:bCs/>
        </w:rPr>
      </w:pPr>
      <w:r w:rsidRPr="00B64CA9">
        <w:rPr>
          <w:rFonts w:eastAsiaTheme="majorEastAsia" w:cstheme="minorHAnsi"/>
          <w:bCs/>
        </w:rPr>
        <w:t xml:space="preserve">Following multiple subcutaneous doses of 300 mg administered via the 300 mg/2 mL pen and/or pre-filled syringe in plaque psoriasis patients, the mean serum trough concentrations of </w:t>
      </w:r>
      <w:proofErr w:type="spellStart"/>
      <w:r w:rsidRPr="00B64CA9">
        <w:rPr>
          <w:rFonts w:eastAsiaTheme="majorEastAsia" w:cstheme="minorHAnsi"/>
          <w:bCs/>
        </w:rPr>
        <w:t>secukinumab</w:t>
      </w:r>
      <w:proofErr w:type="spellEnd"/>
      <w:r w:rsidRPr="00B64CA9">
        <w:rPr>
          <w:rFonts w:eastAsiaTheme="majorEastAsia" w:cstheme="minorHAnsi"/>
          <w:bCs/>
        </w:rPr>
        <w:t xml:space="preserve"> were consistent with those observed in the previous 150 mg/1 mL studies used to deliver 300 mg.</w:t>
      </w:r>
    </w:p>
    <w:p w14:paraId="709715D6" w14:textId="77777777" w:rsidR="001A3992" w:rsidRPr="00B64CA9" w:rsidRDefault="001A3992" w:rsidP="00290F28">
      <w:pPr>
        <w:pageBreakBefore/>
        <w:spacing w:after="120"/>
        <w:jc w:val="both"/>
        <w:rPr>
          <w:rFonts w:cstheme="minorHAnsi"/>
          <w:u w:val="single"/>
        </w:rPr>
      </w:pPr>
      <w:r w:rsidRPr="00B64CA9">
        <w:rPr>
          <w:rFonts w:asciiTheme="majorHAnsi" w:eastAsiaTheme="majorEastAsia" w:hAnsiTheme="majorHAnsi" w:cstheme="minorHAnsi"/>
          <w:b/>
          <w:bCs/>
          <w:u w:val="single"/>
        </w:rPr>
        <w:lastRenderedPageBreak/>
        <w:t>Distribution</w:t>
      </w:r>
    </w:p>
    <w:p w14:paraId="6F2DA48E" w14:textId="77777777" w:rsidR="00AF4E63" w:rsidRPr="00B64CA9" w:rsidRDefault="00AF4E63" w:rsidP="00253D7C">
      <w:pPr>
        <w:jc w:val="both"/>
        <w:rPr>
          <w:rFonts w:eastAsiaTheme="majorEastAsia" w:cstheme="minorHAnsi"/>
          <w:bCs/>
        </w:rPr>
      </w:pPr>
      <w:r w:rsidRPr="00B64CA9">
        <w:rPr>
          <w:rFonts w:eastAsiaTheme="majorEastAsia" w:cstheme="minorHAnsi"/>
          <w:bCs/>
        </w:rPr>
        <w:t>The mean volume of distribution during the terminal phase (</w:t>
      </w:r>
      <w:proofErr w:type="spellStart"/>
      <w:r w:rsidRPr="00B64CA9">
        <w:rPr>
          <w:rFonts w:eastAsiaTheme="majorEastAsia" w:cstheme="minorHAnsi"/>
          <w:bCs/>
        </w:rPr>
        <w:t>Vz</w:t>
      </w:r>
      <w:proofErr w:type="spellEnd"/>
      <w:r w:rsidRPr="00B64CA9">
        <w:rPr>
          <w:rFonts w:eastAsiaTheme="majorEastAsia" w:cstheme="minorHAnsi"/>
          <w:bCs/>
        </w:rPr>
        <w:t xml:space="preserve">) following a single intravenous administration ranged from 7.10 to 8.60 L in plaque psoriasis patients suggesting that </w:t>
      </w:r>
      <w:proofErr w:type="spellStart"/>
      <w:r w:rsidRPr="00B64CA9">
        <w:rPr>
          <w:rFonts w:eastAsiaTheme="majorEastAsia" w:cstheme="minorHAnsi"/>
          <w:bCs/>
        </w:rPr>
        <w:t>secukinumab</w:t>
      </w:r>
      <w:proofErr w:type="spellEnd"/>
      <w:r w:rsidRPr="00B64CA9">
        <w:rPr>
          <w:rFonts w:eastAsiaTheme="majorEastAsia" w:cstheme="minorHAnsi"/>
          <w:bCs/>
        </w:rPr>
        <w:t xml:space="preserve"> undergoes limited distribution to peripheral compartments.</w:t>
      </w:r>
    </w:p>
    <w:p w14:paraId="450ED87E" w14:textId="77777777" w:rsidR="006D6733" w:rsidRPr="00B64CA9" w:rsidRDefault="00AF4E63" w:rsidP="00367772">
      <w:pPr>
        <w:jc w:val="both"/>
        <w:rPr>
          <w:rFonts w:eastAsiaTheme="majorEastAsia" w:cstheme="minorHAnsi"/>
          <w:bCs/>
        </w:rPr>
      </w:pPr>
      <w:proofErr w:type="spellStart"/>
      <w:r w:rsidRPr="00B64CA9">
        <w:rPr>
          <w:rFonts w:eastAsiaTheme="majorEastAsia" w:cstheme="minorHAnsi"/>
          <w:bCs/>
        </w:rPr>
        <w:t>Secukinumab</w:t>
      </w:r>
      <w:proofErr w:type="spellEnd"/>
      <w:r w:rsidRPr="00B64CA9">
        <w:rPr>
          <w:rFonts w:eastAsiaTheme="majorEastAsia" w:cstheme="minorHAnsi"/>
          <w:bCs/>
        </w:rPr>
        <w:t xml:space="preserve"> concentrations in interstitial fluid in the skin of plaque psoriasis patients ranged from 28 % to 39 % of those in serum at 1 and 2 weeks after a single subcutaneous dose of 300 mg </w:t>
      </w:r>
      <w:proofErr w:type="spellStart"/>
      <w:r w:rsidRPr="00B64CA9">
        <w:rPr>
          <w:rFonts w:eastAsiaTheme="majorEastAsia" w:cstheme="minorHAnsi"/>
          <w:bCs/>
        </w:rPr>
        <w:t>secukinumab</w:t>
      </w:r>
      <w:proofErr w:type="spellEnd"/>
      <w:r w:rsidR="00CA303E" w:rsidRPr="00B64CA9">
        <w:rPr>
          <w:rFonts w:eastAsiaTheme="majorEastAsia" w:cstheme="minorHAnsi"/>
          <w:bCs/>
        </w:rPr>
        <w:t xml:space="preserve"> (administered as two injections of 150 mg)</w:t>
      </w:r>
      <w:r w:rsidRPr="00B64CA9">
        <w:rPr>
          <w:rFonts w:eastAsiaTheme="majorEastAsia" w:cstheme="minorHAnsi"/>
          <w:bCs/>
        </w:rPr>
        <w:t>.</w:t>
      </w:r>
    </w:p>
    <w:p w14:paraId="65942BD1" w14:textId="77777777" w:rsidR="001A3992" w:rsidRPr="00B64CA9" w:rsidRDefault="000237F3" w:rsidP="00367772">
      <w:pPr>
        <w:jc w:val="both"/>
        <w:rPr>
          <w:rFonts w:asciiTheme="majorHAnsi" w:eastAsiaTheme="majorEastAsia" w:hAnsiTheme="majorHAnsi" w:cstheme="minorHAnsi"/>
          <w:b/>
          <w:bCs/>
          <w:u w:val="single"/>
        </w:rPr>
      </w:pPr>
      <w:r w:rsidRPr="00B64CA9">
        <w:rPr>
          <w:rFonts w:eastAsiaTheme="majorEastAsia" w:cstheme="minorHAnsi"/>
          <w:bCs/>
        </w:rPr>
        <w:t xml:space="preserve"> </w:t>
      </w:r>
      <w:r w:rsidR="001A3992" w:rsidRPr="00B64CA9">
        <w:rPr>
          <w:rFonts w:asciiTheme="majorHAnsi" w:eastAsiaTheme="majorEastAsia" w:hAnsiTheme="majorHAnsi" w:cstheme="minorHAnsi"/>
          <w:b/>
          <w:bCs/>
          <w:u w:val="single"/>
        </w:rPr>
        <w:t>Metabolism</w:t>
      </w:r>
    </w:p>
    <w:p w14:paraId="0061ED29" w14:textId="77777777" w:rsidR="00AF4E63" w:rsidRPr="00B64CA9" w:rsidRDefault="00AF4E63" w:rsidP="00253D7C">
      <w:pPr>
        <w:jc w:val="both"/>
        <w:rPr>
          <w:rFonts w:eastAsiaTheme="majorEastAsia" w:cstheme="minorHAnsi"/>
          <w:bCs/>
        </w:rPr>
      </w:pPr>
      <w:r w:rsidRPr="00B64CA9">
        <w:rPr>
          <w:rFonts w:eastAsiaTheme="majorEastAsia" w:cstheme="minorHAnsi"/>
          <w:bCs/>
        </w:rPr>
        <w:t xml:space="preserve">The metabolic pathway of </w:t>
      </w:r>
      <w:proofErr w:type="spellStart"/>
      <w:r w:rsidRPr="00B64CA9">
        <w:rPr>
          <w:rFonts w:eastAsiaTheme="majorEastAsia" w:cstheme="minorHAnsi"/>
          <w:bCs/>
        </w:rPr>
        <w:t>secukinumab</w:t>
      </w:r>
      <w:proofErr w:type="spellEnd"/>
      <w:r w:rsidRPr="00B64CA9">
        <w:rPr>
          <w:rFonts w:eastAsiaTheme="majorEastAsia" w:cstheme="minorHAnsi"/>
          <w:bCs/>
        </w:rPr>
        <w:t xml:space="preserve"> has not been characterised. As a human IgG1κ monoclonal antibody </w:t>
      </w:r>
      <w:proofErr w:type="spellStart"/>
      <w:r w:rsidRPr="00B64CA9">
        <w:rPr>
          <w:rFonts w:eastAsiaTheme="majorEastAsia" w:cstheme="minorHAnsi"/>
          <w:bCs/>
        </w:rPr>
        <w:t>secukinumab</w:t>
      </w:r>
      <w:proofErr w:type="spellEnd"/>
      <w:r w:rsidRPr="00B64CA9">
        <w:rPr>
          <w:rFonts w:eastAsiaTheme="majorEastAsia" w:cstheme="minorHAnsi"/>
          <w:bCs/>
        </w:rPr>
        <w:t xml:space="preserve"> is expected to be degraded into small peptides and amino acids via catabolic pathways in the same manner as endogenous IgG.</w:t>
      </w:r>
    </w:p>
    <w:p w14:paraId="47D3F784" w14:textId="77777777" w:rsidR="001A3992" w:rsidRPr="00B64CA9" w:rsidRDefault="001A3992" w:rsidP="00253D7C">
      <w:pPr>
        <w:spacing w:after="120"/>
        <w:jc w:val="both"/>
        <w:rPr>
          <w:rFonts w:cstheme="minorHAnsi"/>
          <w:u w:val="single"/>
        </w:rPr>
      </w:pPr>
      <w:r w:rsidRPr="00B64CA9">
        <w:rPr>
          <w:rFonts w:asciiTheme="majorHAnsi" w:eastAsiaTheme="majorEastAsia" w:hAnsiTheme="majorHAnsi" w:cstheme="minorHAnsi"/>
          <w:b/>
          <w:bCs/>
          <w:u w:val="single"/>
        </w:rPr>
        <w:t>Excretion</w:t>
      </w:r>
    </w:p>
    <w:p w14:paraId="29CB5095" w14:textId="77777777" w:rsidR="00AF4E63" w:rsidRPr="00B64CA9" w:rsidRDefault="00AF4E63" w:rsidP="00253D7C">
      <w:pPr>
        <w:jc w:val="both"/>
        <w:rPr>
          <w:rFonts w:eastAsiaTheme="majorEastAsia" w:cstheme="minorHAnsi"/>
          <w:bCs/>
        </w:rPr>
      </w:pPr>
      <w:r w:rsidRPr="00B64CA9">
        <w:rPr>
          <w:rFonts w:eastAsiaTheme="majorEastAsia" w:cstheme="minorHAnsi"/>
          <w:bCs/>
        </w:rPr>
        <w:t xml:space="preserve">Mean systemic clearance (CL) was 0.19 L/d in plaque psoriasis patients. Clearance was dose- and time-independent, as expected for a therapeutic IgG1 monoclonal antibody interacting with a soluble cytokine target, such as IL-17A. </w:t>
      </w:r>
    </w:p>
    <w:p w14:paraId="77DF2CE2" w14:textId="77777777" w:rsidR="00AF4E63" w:rsidRPr="00B64CA9" w:rsidRDefault="00AF4E63" w:rsidP="00253D7C">
      <w:pPr>
        <w:jc w:val="both"/>
        <w:rPr>
          <w:rFonts w:eastAsiaTheme="majorEastAsia" w:cstheme="minorHAnsi"/>
          <w:bCs/>
        </w:rPr>
      </w:pPr>
      <w:r w:rsidRPr="00B64CA9">
        <w:rPr>
          <w:rFonts w:eastAsiaTheme="majorEastAsia" w:cstheme="minorHAnsi"/>
          <w:bCs/>
        </w:rPr>
        <w:t>The mean elimination half-life was estimated to be 27 days in plaque psoriasis patients. Estimated half-lives in individual plaque psoriasis patients range from 17 to 41 days.</w:t>
      </w:r>
    </w:p>
    <w:p w14:paraId="47C9C240" w14:textId="77777777" w:rsidR="00F62A4F" w:rsidRPr="00B64CA9" w:rsidRDefault="00F62A4F" w:rsidP="00253D7C">
      <w:pPr>
        <w:spacing w:after="120"/>
        <w:jc w:val="both"/>
        <w:rPr>
          <w:rFonts w:cstheme="minorHAnsi"/>
          <w:u w:val="single"/>
        </w:rPr>
      </w:pPr>
      <w:r w:rsidRPr="00B64CA9">
        <w:rPr>
          <w:rFonts w:asciiTheme="majorHAnsi" w:eastAsiaTheme="majorEastAsia" w:hAnsiTheme="majorHAnsi" w:cstheme="minorHAnsi"/>
          <w:b/>
          <w:bCs/>
          <w:u w:val="single"/>
        </w:rPr>
        <w:t>Dose linearity</w:t>
      </w:r>
    </w:p>
    <w:p w14:paraId="222DFDAC" w14:textId="77777777" w:rsidR="00F62A4F" w:rsidRPr="00B64CA9" w:rsidRDefault="00F62A4F" w:rsidP="00253D7C">
      <w:pPr>
        <w:jc w:val="both"/>
        <w:rPr>
          <w:rFonts w:eastAsiaTheme="majorEastAsia" w:cstheme="minorHAnsi"/>
          <w:bCs/>
        </w:rPr>
      </w:pPr>
      <w:r w:rsidRPr="00B64CA9">
        <w:rPr>
          <w:rFonts w:eastAsiaTheme="majorEastAsia" w:cstheme="minorHAnsi"/>
          <w:bCs/>
        </w:rPr>
        <w:t xml:space="preserve">The single and multiple dose pharmacokinetics of </w:t>
      </w:r>
      <w:proofErr w:type="spellStart"/>
      <w:r w:rsidRPr="00B64CA9">
        <w:rPr>
          <w:rFonts w:eastAsiaTheme="majorEastAsia" w:cstheme="minorHAnsi"/>
          <w:bCs/>
        </w:rPr>
        <w:t>secukinumab</w:t>
      </w:r>
      <w:proofErr w:type="spellEnd"/>
      <w:r w:rsidRPr="00B64CA9">
        <w:rPr>
          <w:rFonts w:eastAsiaTheme="majorEastAsia" w:cstheme="minorHAnsi"/>
          <w:bCs/>
        </w:rPr>
        <w:t xml:space="preserve"> in plaque psoriasis patients were determined in several studies with intravenous doses ranging from 1 x 0.3 mg/kg to 3 x 10 mg/kg and with subcutaneous doses ranging from 1 x 25 mg to multiple doses of 300 mg. Exposure was dose proportional across all dosing regimens.</w:t>
      </w:r>
    </w:p>
    <w:p w14:paraId="596982F4" w14:textId="77777777" w:rsidR="00F62A4F" w:rsidRPr="00B64CA9" w:rsidRDefault="00F62A4F" w:rsidP="00253D7C">
      <w:pPr>
        <w:jc w:val="both"/>
        <w:rPr>
          <w:rFonts w:eastAsiaTheme="majorEastAsia" w:cstheme="minorHAnsi"/>
          <w:bCs/>
        </w:rPr>
      </w:pPr>
      <w:r w:rsidRPr="00B64CA9">
        <w:rPr>
          <w:rFonts w:eastAsiaTheme="majorEastAsia" w:cstheme="minorHAnsi"/>
          <w:bCs/>
        </w:rPr>
        <w:t xml:space="preserve">The pharmacokinetics properties of </w:t>
      </w:r>
      <w:proofErr w:type="spellStart"/>
      <w:r w:rsidRPr="00B64CA9">
        <w:rPr>
          <w:rFonts w:eastAsiaTheme="majorEastAsia" w:cstheme="minorHAnsi"/>
          <w:bCs/>
        </w:rPr>
        <w:t>secukinumab</w:t>
      </w:r>
      <w:proofErr w:type="spellEnd"/>
      <w:r w:rsidRPr="00B64CA9">
        <w:rPr>
          <w:rFonts w:eastAsiaTheme="majorEastAsia" w:cstheme="minorHAnsi"/>
          <w:bCs/>
        </w:rPr>
        <w:t xml:space="preserve"> observed in psoriatic arthritis and </w:t>
      </w:r>
      <w:r w:rsidR="0005614E" w:rsidRPr="00B64CA9">
        <w:rPr>
          <w:lang w:bidi="th-TH"/>
        </w:rPr>
        <w:t xml:space="preserve">axial </w:t>
      </w:r>
      <w:proofErr w:type="spellStart"/>
      <w:r w:rsidR="0005614E" w:rsidRPr="00B64CA9">
        <w:rPr>
          <w:lang w:bidi="th-TH"/>
        </w:rPr>
        <w:t>spondyloarthritis</w:t>
      </w:r>
      <w:proofErr w:type="spellEnd"/>
      <w:r w:rsidR="0005614E" w:rsidRPr="00B64CA9">
        <w:rPr>
          <w:lang w:bidi="th-TH"/>
        </w:rPr>
        <w:t xml:space="preserve"> (</w:t>
      </w:r>
      <w:r w:rsidRPr="00B64CA9">
        <w:rPr>
          <w:rFonts w:eastAsiaTheme="majorEastAsia" w:cstheme="minorHAnsi"/>
          <w:bCs/>
        </w:rPr>
        <w:t>ankylosing spondylitis</w:t>
      </w:r>
      <w:r w:rsidR="0005614E" w:rsidRPr="00B64CA9">
        <w:t xml:space="preserve"> and non-radiographic axial </w:t>
      </w:r>
      <w:proofErr w:type="spellStart"/>
      <w:r w:rsidR="0005614E" w:rsidRPr="00B64CA9">
        <w:t>spondyloarthritis</w:t>
      </w:r>
      <w:proofErr w:type="spellEnd"/>
      <w:r w:rsidR="0005614E" w:rsidRPr="00B64CA9">
        <w:t>)</w:t>
      </w:r>
      <w:r w:rsidRPr="00B64CA9">
        <w:rPr>
          <w:rFonts w:eastAsiaTheme="majorEastAsia" w:cstheme="minorHAnsi"/>
          <w:bCs/>
        </w:rPr>
        <w:t xml:space="preserve"> patients were </w:t>
      </w:r>
      <w:proofErr w:type="gramStart"/>
      <w:r w:rsidRPr="00B64CA9">
        <w:rPr>
          <w:rFonts w:eastAsiaTheme="majorEastAsia" w:cstheme="minorHAnsi"/>
          <w:bCs/>
        </w:rPr>
        <w:t>similar to</w:t>
      </w:r>
      <w:proofErr w:type="gramEnd"/>
      <w:r w:rsidRPr="00B64CA9">
        <w:rPr>
          <w:rFonts w:eastAsiaTheme="majorEastAsia" w:cstheme="minorHAnsi"/>
          <w:bCs/>
        </w:rPr>
        <w:t xml:space="preserve"> those displayed in plaque psoriasis patients. The bioavailability of </w:t>
      </w:r>
      <w:proofErr w:type="spellStart"/>
      <w:r w:rsidRPr="00B64CA9">
        <w:rPr>
          <w:rFonts w:eastAsiaTheme="majorEastAsia" w:cstheme="minorHAnsi"/>
          <w:bCs/>
        </w:rPr>
        <w:t>secukinumab</w:t>
      </w:r>
      <w:proofErr w:type="spellEnd"/>
      <w:r w:rsidRPr="00B64CA9">
        <w:rPr>
          <w:rFonts w:eastAsiaTheme="majorEastAsia" w:cstheme="minorHAnsi"/>
          <w:bCs/>
        </w:rPr>
        <w:t xml:space="preserve"> in </w:t>
      </w:r>
      <w:proofErr w:type="spellStart"/>
      <w:r w:rsidRPr="00B64CA9">
        <w:rPr>
          <w:rFonts w:eastAsiaTheme="majorEastAsia" w:cstheme="minorHAnsi"/>
          <w:bCs/>
        </w:rPr>
        <w:t>PsA</w:t>
      </w:r>
      <w:proofErr w:type="spellEnd"/>
      <w:r w:rsidRPr="00B64CA9">
        <w:rPr>
          <w:rFonts w:eastAsiaTheme="majorEastAsia" w:cstheme="minorHAnsi"/>
          <w:bCs/>
        </w:rPr>
        <w:t xml:space="preserve"> patients was 85% </w:t>
      </w:r>
      <w:proofErr w:type="gramStart"/>
      <w:r w:rsidRPr="00B64CA9">
        <w:rPr>
          <w:rFonts w:eastAsiaTheme="majorEastAsia" w:cstheme="minorHAnsi"/>
          <w:bCs/>
        </w:rPr>
        <w:t>on the basis of</w:t>
      </w:r>
      <w:proofErr w:type="gramEnd"/>
      <w:r w:rsidRPr="00B64CA9">
        <w:rPr>
          <w:rFonts w:eastAsiaTheme="majorEastAsia" w:cstheme="minorHAnsi"/>
          <w:bCs/>
        </w:rPr>
        <w:t xml:space="preserve"> the population pharmacokinetic model.</w:t>
      </w:r>
    </w:p>
    <w:p w14:paraId="3FD1B1D1"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Preclinical safety data</w:t>
      </w:r>
    </w:p>
    <w:p w14:paraId="6A9F7D55" w14:textId="77777777" w:rsidR="001A3992" w:rsidRPr="00B64CA9" w:rsidRDefault="001A3992" w:rsidP="002D07A3">
      <w:pPr>
        <w:pStyle w:val="Heading3"/>
        <w:spacing w:before="0" w:after="120"/>
        <w:ind w:left="0"/>
        <w:jc w:val="both"/>
        <w:rPr>
          <w:rFonts w:cstheme="minorHAnsi"/>
        </w:rPr>
      </w:pPr>
      <w:r w:rsidRPr="00B64CA9">
        <w:rPr>
          <w:rFonts w:cstheme="minorHAnsi"/>
        </w:rPr>
        <w:t>Genotoxicity</w:t>
      </w:r>
    </w:p>
    <w:p w14:paraId="039820FD" w14:textId="77777777" w:rsidR="008A42F5" w:rsidRPr="00B64CA9" w:rsidRDefault="008A42F5" w:rsidP="002D07A3">
      <w:pPr>
        <w:jc w:val="both"/>
        <w:rPr>
          <w:rFonts w:eastAsiaTheme="majorEastAsia" w:cstheme="minorHAnsi"/>
          <w:bCs/>
        </w:rPr>
      </w:pPr>
      <w:r w:rsidRPr="00B64CA9">
        <w:rPr>
          <w:rFonts w:eastAsiaTheme="majorEastAsia" w:cstheme="minorHAnsi"/>
          <w:bCs/>
        </w:rPr>
        <w:t>COSENTYX has not been evaluated for genotoxic potential.</w:t>
      </w:r>
    </w:p>
    <w:p w14:paraId="7E364E17" w14:textId="77777777" w:rsidR="001A3992" w:rsidRPr="00B64CA9" w:rsidRDefault="001A3992" w:rsidP="002D07A3">
      <w:pPr>
        <w:pStyle w:val="Heading3"/>
        <w:spacing w:before="0" w:after="120"/>
        <w:ind w:left="0"/>
        <w:jc w:val="both"/>
        <w:rPr>
          <w:rFonts w:cstheme="minorHAnsi"/>
        </w:rPr>
      </w:pPr>
      <w:r w:rsidRPr="00B64CA9">
        <w:rPr>
          <w:rFonts w:cstheme="minorHAnsi"/>
        </w:rPr>
        <w:t>Carcinogenicity</w:t>
      </w:r>
    </w:p>
    <w:p w14:paraId="045ED3CD" w14:textId="77777777" w:rsidR="008A42F5" w:rsidRPr="00B64CA9" w:rsidRDefault="008A42F5" w:rsidP="002D07A3">
      <w:pPr>
        <w:jc w:val="both"/>
      </w:pPr>
      <w:proofErr w:type="spellStart"/>
      <w:r w:rsidRPr="00B64CA9">
        <w:rPr>
          <w:rFonts w:eastAsiaTheme="majorEastAsia" w:cstheme="minorHAnsi"/>
          <w:bCs/>
        </w:rPr>
        <w:t>Secukinumab</w:t>
      </w:r>
      <w:proofErr w:type="spellEnd"/>
      <w:r w:rsidRPr="00B64CA9">
        <w:rPr>
          <w:rFonts w:eastAsiaTheme="majorEastAsia" w:cstheme="minorHAnsi"/>
          <w:bCs/>
        </w:rPr>
        <w:t xml:space="preserve"> has not been evaluated for carcinogenic potential.</w:t>
      </w:r>
    </w:p>
    <w:p w14:paraId="44F0144C" w14:textId="77777777" w:rsidR="001A3992" w:rsidRPr="00B64CA9" w:rsidRDefault="001A3992" w:rsidP="00290F28">
      <w:pPr>
        <w:pStyle w:val="Heading1"/>
        <w:pageBreakBefore/>
        <w:spacing w:before="0" w:after="120"/>
        <w:ind w:left="431" w:hanging="431"/>
        <w:jc w:val="both"/>
        <w:rPr>
          <w:rFonts w:cstheme="minorHAnsi"/>
        </w:rPr>
      </w:pPr>
      <w:r w:rsidRPr="00B64CA9">
        <w:rPr>
          <w:rFonts w:cstheme="minorHAnsi"/>
        </w:rPr>
        <w:lastRenderedPageBreak/>
        <w:t>Pharmaceutical particulars</w:t>
      </w:r>
    </w:p>
    <w:p w14:paraId="4947839F"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List of excipients </w:t>
      </w:r>
    </w:p>
    <w:p w14:paraId="579146B3" w14:textId="77777777" w:rsidR="00D834B1" w:rsidRPr="00B64CA9" w:rsidRDefault="00D834B1">
      <w:pPr>
        <w:spacing w:after="0"/>
        <w:jc w:val="both"/>
        <w:rPr>
          <w:rFonts w:asciiTheme="majorHAnsi" w:hAnsiTheme="majorHAnsi" w:cstheme="minorHAnsi"/>
          <w:b/>
          <w:u w:val="single"/>
        </w:rPr>
      </w:pPr>
      <w:r w:rsidRPr="00B64CA9">
        <w:rPr>
          <w:rFonts w:asciiTheme="majorHAnsi" w:hAnsiTheme="majorHAnsi" w:cstheme="minorHAnsi"/>
          <w:b/>
          <w:u w:val="single"/>
        </w:rPr>
        <w:t>Powder for injection</w:t>
      </w:r>
    </w:p>
    <w:p w14:paraId="7B5215FE" w14:textId="77777777" w:rsidR="00D834B1" w:rsidRPr="00B64CA9" w:rsidRDefault="00D834B1">
      <w:pPr>
        <w:jc w:val="both"/>
        <w:rPr>
          <w:rFonts w:cstheme="minorHAnsi"/>
        </w:rPr>
      </w:pPr>
      <w:r w:rsidRPr="00B64CA9">
        <w:rPr>
          <w:rFonts w:cstheme="minorHAnsi"/>
        </w:rPr>
        <w:t>Water for injections, sucrose, histidine, histidine hydrochloride monohydrate, polysorbate 80.</w:t>
      </w:r>
    </w:p>
    <w:p w14:paraId="1722B0BB" w14:textId="77777777" w:rsidR="00D834B1" w:rsidRPr="00B64CA9" w:rsidRDefault="00D834B1">
      <w:pPr>
        <w:spacing w:after="0"/>
        <w:jc w:val="both"/>
        <w:rPr>
          <w:rFonts w:asciiTheme="majorHAnsi" w:hAnsiTheme="majorHAnsi" w:cstheme="minorHAnsi"/>
          <w:b/>
          <w:u w:val="single"/>
        </w:rPr>
      </w:pPr>
      <w:r w:rsidRPr="00B64CA9">
        <w:rPr>
          <w:rFonts w:asciiTheme="majorHAnsi" w:hAnsiTheme="majorHAnsi" w:cstheme="minorHAnsi"/>
          <w:b/>
          <w:u w:val="single"/>
        </w:rPr>
        <w:t>Solution for injection</w:t>
      </w:r>
    </w:p>
    <w:p w14:paraId="28E2A85D" w14:textId="77777777" w:rsidR="00D834B1" w:rsidRPr="00B64CA9" w:rsidRDefault="0008739A">
      <w:pPr>
        <w:jc w:val="both"/>
        <w:rPr>
          <w:rFonts w:cstheme="minorHAnsi"/>
        </w:rPr>
      </w:pPr>
      <w:r w:rsidRPr="00B64CA9">
        <w:rPr>
          <w:rFonts w:cstheme="minorHAnsi"/>
        </w:rPr>
        <w:t>T</w:t>
      </w:r>
      <w:r w:rsidR="00D834B1" w:rsidRPr="00B64CA9">
        <w:rPr>
          <w:rFonts w:cstheme="minorHAnsi"/>
        </w:rPr>
        <w:t>rehalose dihydrate, histidine, histidine hydrochloride monohydrate, polysorbate 80, methionine, water for injections.</w:t>
      </w:r>
    </w:p>
    <w:p w14:paraId="1A61B4A1"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Incompatibilities </w:t>
      </w:r>
    </w:p>
    <w:p w14:paraId="315B4AD9" w14:textId="77777777" w:rsidR="00755F00" w:rsidRPr="00B64CA9" w:rsidRDefault="00755F00" w:rsidP="002D07A3">
      <w:pPr>
        <w:jc w:val="both"/>
        <w:rPr>
          <w:rFonts w:cstheme="minorHAnsi"/>
        </w:rPr>
      </w:pPr>
      <w:r w:rsidRPr="00B64CA9">
        <w:rPr>
          <w:rFonts w:cstheme="minorHAnsi"/>
        </w:rPr>
        <w:t>Powder for Solution: COSENTYX should not be mixed with any medication or diluents other than sterile water for injection.</w:t>
      </w:r>
    </w:p>
    <w:p w14:paraId="16532FD1" w14:textId="77777777" w:rsidR="00755F00" w:rsidRPr="00B64CA9" w:rsidRDefault="00755F00">
      <w:pPr>
        <w:jc w:val="both"/>
        <w:rPr>
          <w:rFonts w:cstheme="minorHAnsi"/>
        </w:rPr>
      </w:pPr>
      <w:r w:rsidRPr="00B64CA9">
        <w:rPr>
          <w:rFonts w:cstheme="minorHAnsi"/>
        </w:rPr>
        <w:t>Solution for injection: COSENTYX must not be mixed with other medicinal products.</w:t>
      </w:r>
    </w:p>
    <w:p w14:paraId="105E1542"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Shelf life </w:t>
      </w:r>
    </w:p>
    <w:p w14:paraId="04623E87" w14:textId="77777777" w:rsidR="00497C85" w:rsidRPr="00B64CA9" w:rsidRDefault="00497C85">
      <w:pPr>
        <w:jc w:val="both"/>
        <w:rPr>
          <w:rFonts w:cstheme="minorHAnsi"/>
        </w:rPr>
      </w:pPr>
      <w:r w:rsidRPr="00B64CA9">
        <w:rPr>
          <w:rFonts w:cstheme="minorHAnsi"/>
        </w:rPr>
        <w:t>In Australia, information on the shelf life can be found on the public summary of the Australian Register of Therapeutic Goods (ARTG). The expiry date can be fo</w:t>
      </w:r>
      <w:r w:rsidR="00E83219" w:rsidRPr="00B64CA9">
        <w:rPr>
          <w:rFonts w:cstheme="minorHAnsi"/>
        </w:rPr>
        <w:t>und on the packaging.</w:t>
      </w:r>
    </w:p>
    <w:p w14:paraId="48056156"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Special precautions for storage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884"/>
      </w:tblGrid>
      <w:tr w:rsidR="00E83219" w:rsidRPr="00B64CA9" w14:paraId="7A9F3649" w14:textId="77777777" w:rsidTr="00CC78C5">
        <w:trPr>
          <w:trHeight w:val="432"/>
        </w:trPr>
        <w:tc>
          <w:tcPr>
            <w:tcW w:w="2142" w:type="dxa"/>
          </w:tcPr>
          <w:p w14:paraId="11740519"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Powder for Solution:</w:t>
            </w:r>
          </w:p>
        </w:tc>
        <w:tc>
          <w:tcPr>
            <w:tcW w:w="6884" w:type="dxa"/>
          </w:tcPr>
          <w:p w14:paraId="2AF4564B"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Store at 2-8°C. Store in the original package</w:t>
            </w:r>
            <w:r w:rsidR="00BD69F4" w:rsidRPr="00B64CA9">
              <w:rPr>
                <w:rFonts w:ascii="Calibri" w:hAnsi="Calibri" w:cs="Calibri"/>
              </w:rPr>
              <w:t>.</w:t>
            </w:r>
          </w:p>
        </w:tc>
      </w:tr>
      <w:tr w:rsidR="00E83219" w:rsidRPr="00B64CA9" w14:paraId="176CC808" w14:textId="77777777" w:rsidTr="00CC78C5">
        <w:trPr>
          <w:trHeight w:val="720"/>
        </w:trPr>
        <w:tc>
          <w:tcPr>
            <w:tcW w:w="2142" w:type="dxa"/>
          </w:tcPr>
          <w:p w14:paraId="48F293D1"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Prefilled syringe:</w:t>
            </w:r>
          </w:p>
        </w:tc>
        <w:tc>
          <w:tcPr>
            <w:tcW w:w="6884" w:type="dxa"/>
          </w:tcPr>
          <w:p w14:paraId="1D1D9829" w14:textId="77777777" w:rsidR="00E83219" w:rsidRPr="00B64CA9" w:rsidRDefault="00E83219">
            <w:pPr>
              <w:spacing w:after="0" w:line="276" w:lineRule="auto"/>
              <w:jc w:val="both"/>
              <w:rPr>
                <w:rFonts w:ascii="Calibri" w:hAnsi="Calibri" w:cs="Calibri"/>
                <w:color w:val="000000" w:themeColor="text1"/>
                <w:sz w:val="22"/>
                <w:szCs w:val="22"/>
              </w:rPr>
            </w:pPr>
            <w:r w:rsidRPr="00B64CA9">
              <w:rPr>
                <w:rFonts w:ascii="Calibri" w:hAnsi="Calibri" w:cs="Calibri"/>
                <w:color w:val="000000" w:themeColor="text1"/>
              </w:rPr>
              <w:t xml:space="preserve">Store at 2-8°C. Do not freeze. Protect from light. </w:t>
            </w:r>
          </w:p>
          <w:p w14:paraId="13633191" w14:textId="77777777" w:rsidR="00BD69F4" w:rsidRPr="00B64CA9" w:rsidRDefault="00E83219">
            <w:pPr>
              <w:spacing w:after="0" w:line="276" w:lineRule="auto"/>
              <w:jc w:val="both"/>
              <w:rPr>
                <w:rFonts w:ascii="Calibri" w:hAnsi="Calibri" w:cs="Calibri"/>
                <w:color w:val="000000" w:themeColor="text1"/>
                <w:sz w:val="22"/>
                <w:szCs w:val="22"/>
              </w:rPr>
            </w:pPr>
            <w:r w:rsidRPr="00B64CA9">
              <w:rPr>
                <w:rFonts w:ascii="Calibri" w:hAnsi="Calibri" w:cs="Calibri"/>
                <w:color w:val="000000" w:themeColor="text1"/>
              </w:rPr>
              <w:t>Store in the original package.</w:t>
            </w:r>
          </w:p>
          <w:p w14:paraId="5F7144E4" w14:textId="77777777" w:rsidR="00BD69F4" w:rsidRPr="00B64CA9" w:rsidRDefault="00BD69F4">
            <w:pPr>
              <w:spacing w:after="0" w:line="276" w:lineRule="auto"/>
              <w:jc w:val="both"/>
              <w:rPr>
                <w:rFonts w:ascii="Calibri" w:hAnsi="Calibri" w:cs="Calibri"/>
                <w:color w:val="000000" w:themeColor="text1"/>
                <w:sz w:val="22"/>
                <w:szCs w:val="22"/>
              </w:rPr>
            </w:pPr>
            <w:r w:rsidRPr="00B64CA9">
              <w:rPr>
                <w:rFonts w:ascii="Calibri" w:hAnsi="Calibri" w:cs="Calibri"/>
                <w:color w:val="000000" w:themeColor="text1"/>
              </w:rPr>
              <w:t xml:space="preserve">May be stored unrefrigerated (out of fridge) </w:t>
            </w:r>
            <w:r w:rsidR="004A0788" w:rsidRPr="00B64CA9">
              <w:rPr>
                <w:rFonts w:ascii="Calibri" w:hAnsi="Calibri" w:cs="Calibri"/>
                <w:color w:val="000000" w:themeColor="text1"/>
              </w:rPr>
              <w:t xml:space="preserve">for a single period up to a maximum of 4 days </w:t>
            </w:r>
            <w:r w:rsidRPr="00B64CA9">
              <w:rPr>
                <w:rFonts w:ascii="Calibri" w:hAnsi="Calibri" w:cs="Calibri"/>
                <w:color w:val="000000" w:themeColor="text1"/>
              </w:rPr>
              <w:t>at room temperature</w:t>
            </w:r>
            <w:r w:rsidR="004A0788" w:rsidRPr="00B64CA9">
              <w:rPr>
                <w:rFonts w:ascii="Calibri" w:hAnsi="Calibri" w:cs="Calibri"/>
                <w:color w:val="000000" w:themeColor="text1"/>
              </w:rPr>
              <w:t xml:space="preserve"> below 30°C</w:t>
            </w:r>
            <w:r w:rsidRPr="00B64CA9">
              <w:rPr>
                <w:rFonts w:ascii="Calibri" w:hAnsi="Calibri" w:cs="Calibri"/>
                <w:color w:val="000000" w:themeColor="text1"/>
              </w:rPr>
              <w:t>.</w:t>
            </w:r>
            <w:r w:rsidR="004A0788" w:rsidRPr="00B64CA9">
              <w:rPr>
                <w:rFonts w:ascii="Calibri" w:hAnsi="Calibri" w:cs="Calibri"/>
                <w:color w:val="000000" w:themeColor="text1"/>
              </w:rPr>
              <w:t xml:space="preserve">  Do not put back in the refrigerator after it has reached room temperature.  Discard any unused product.</w:t>
            </w:r>
          </w:p>
        </w:tc>
      </w:tr>
      <w:tr w:rsidR="00E83219" w:rsidRPr="00B64CA9" w14:paraId="4DC0F301" w14:textId="77777777" w:rsidTr="00CC78C5">
        <w:tc>
          <w:tcPr>
            <w:tcW w:w="2142" w:type="dxa"/>
          </w:tcPr>
          <w:p w14:paraId="43428F48"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Prefilled pen:</w:t>
            </w:r>
            <w:r w:rsidRPr="00B64CA9">
              <w:rPr>
                <w:rFonts w:ascii="Calibri" w:hAnsi="Calibri" w:cs="Calibri"/>
              </w:rPr>
              <w:tab/>
            </w:r>
          </w:p>
        </w:tc>
        <w:tc>
          <w:tcPr>
            <w:tcW w:w="6884" w:type="dxa"/>
          </w:tcPr>
          <w:p w14:paraId="6B7F95B8"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 xml:space="preserve">Store at 2-8°C. Do not freeze. Protect from light. </w:t>
            </w:r>
          </w:p>
          <w:p w14:paraId="189FA883" w14:textId="77777777" w:rsidR="00E83219" w:rsidRPr="00B64CA9" w:rsidRDefault="00E83219">
            <w:pPr>
              <w:spacing w:after="0" w:line="276" w:lineRule="auto"/>
              <w:jc w:val="both"/>
              <w:rPr>
                <w:rFonts w:ascii="Calibri" w:hAnsi="Calibri" w:cs="Calibri"/>
                <w:sz w:val="22"/>
                <w:szCs w:val="22"/>
              </w:rPr>
            </w:pPr>
            <w:r w:rsidRPr="00B64CA9">
              <w:rPr>
                <w:rFonts w:ascii="Calibri" w:hAnsi="Calibri" w:cs="Calibri"/>
              </w:rPr>
              <w:t>Store in the original package.</w:t>
            </w:r>
          </w:p>
          <w:p w14:paraId="40105606" w14:textId="77777777" w:rsidR="00BD69F4" w:rsidRPr="00B64CA9" w:rsidRDefault="004A0788">
            <w:pPr>
              <w:spacing w:after="0" w:line="276" w:lineRule="auto"/>
              <w:jc w:val="both"/>
              <w:rPr>
                <w:rFonts w:ascii="Calibri" w:hAnsi="Calibri" w:cs="Calibri"/>
                <w:sz w:val="22"/>
                <w:szCs w:val="22"/>
              </w:rPr>
            </w:pPr>
            <w:r w:rsidRPr="00B64CA9">
              <w:rPr>
                <w:rFonts w:ascii="Calibri" w:hAnsi="Calibri" w:cs="Calibri"/>
                <w:color w:val="000000" w:themeColor="text1"/>
              </w:rPr>
              <w:t>May be stored unrefrigerated (out of fridge) for a single period up to a maximum of 4 days at room temperature below 30°C.  Do not put back in the refrigerator after it has reached room temperature.  Discard any unused product.</w:t>
            </w:r>
          </w:p>
        </w:tc>
      </w:tr>
      <w:tr w:rsidR="00E67502" w:rsidRPr="00B64CA9" w14:paraId="56B30C0A" w14:textId="77777777" w:rsidTr="00CC78C5">
        <w:tc>
          <w:tcPr>
            <w:tcW w:w="2142" w:type="dxa"/>
          </w:tcPr>
          <w:p w14:paraId="7E374A7F" w14:textId="77777777" w:rsidR="00E67502" w:rsidRPr="00B64CA9" w:rsidRDefault="00E67502">
            <w:pPr>
              <w:spacing w:after="0"/>
              <w:jc w:val="both"/>
              <w:rPr>
                <w:rFonts w:ascii="Calibri" w:hAnsi="Calibri" w:cs="Calibri"/>
              </w:rPr>
            </w:pPr>
          </w:p>
        </w:tc>
        <w:tc>
          <w:tcPr>
            <w:tcW w:w="6884" w:type="dxa"/>
          </w:tcPr>
          <w:p w14:paraId="2A31E1E0" w14:textId="77777777" w:rsidR="00E67502" w:rsidRPr="00B64CA9" w:rsidRDefault="00E67502">
            <w:pPr>
              <w:spacing w:after="0"/>
              <w:jc w:val="both"/>
              <w:rPr>
                <w:rFonts w:ascii="Calibri" w:hAnsi="Calibri" w:cs="Calibri"/>
              </w:rPr>
            </w:pPr>
          </w:p>
        </w:tc>
      </w:tr>
    </w:tbl>
    <w:p w14:paraId="2DE1C848"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Nature and contents of container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50"/>
      </w:tblGrid>
      <w:tr w:rsidR="00CA303E" w:rsidRPr="00B64CA9" w14:paraId="0BE9F1DC" w14:textId="77777777" w:rsidTr="00B83784">
        <w:trPr>
          <w:trHeight w:val="844"/>
        </w:trPr>
        <w:tc>
          <w:tcPr>
            <w:tcW w:w="2376" w:type="dxa"/>
          </w:tcPr>
          <w:p w14:paraId="49CD342B" w14:textId="77777777" w:rsidR="00CA303E" w:rsidRPr="00B64CA9" w:rsidRDefault="00CA303E" w:rsidP="00222162">
            <w:pPr>
              <w:spacing w:after="0" w:line="276" w:lineRule="auto"/>
              <w:rPr>
                <w:rFonts w:ascii="Calibri" w:hAnsi="Calibri" w:cs="Calibri"/>
                <w:sz w:val="22"/>
                <w:szCs w:val="22"/>
              </w:rPr>
            </w:pPr>
            <w:r w:rsidRPr="00B64CA9">
              <w:rPr>
                <w:rFonts w:ascii="Calibri" w:hAnsi="Calibri" w:cs="Calibri"/>
              </w:rPr>
              <w:t>Cosentyx 150 mg Powder for Solution:</w:t>
            </w:r>
          </w:p>
        </w:tc>
        <w:tc>
          <w:tcPr>
            <w:tcW w:w="6650" w:type="dxa"/>
          </w:tcPr>
          <w:p w14:paraId="6057306F" w14:textId="77777777" w:rsidR="00CA303E" w:rsidRPr="00B64CA9" w:rsidRDefault="00CA303E" w:rsidP="00B83784">
            <w:pPr>
              <w:spacing w:after="0" w:line="276" w:lineRule="auto"/>
              <w:jc w:val="both"/>
              <w:rPr>
                <w:rFonts w:ascii="Calibri" w:hAnsi="Calibri" w:cs="Calibri"/>
                <w:sz w:val="22"/>
                <w:szCs w:val="22"/>
              </w:rPr>
            </w:pPr>
            <w:proofErr w:type="spellStart"/>
            <w:r w:rsidRPr="00B64CA9">
              <w:rPr>
                <w:rFonts w:ascii="Calibri" w:hAnsi="Calibri" w:cs="Calibri"/>
              </w:rPr>
              <w:t>secukinumab</w:t>
            </w:r>
            <w:proofErr w:type="spellEnd"/>
            <w:r w:rsidRPr="00B64CA9">
              <w:rPr>
                <w:rFonts w:ascii="Calibri" w:hAnsi="Calibri" w:cs="Calibri"/>
              </w:rPr>
              <w:t xml:space="preserve"> 150 mg as a sterile white solid </w:t>
            </w:r>
            <w:proofErr w:type="spellStart"/>
            <w:r w:rsidRPr="00B64CA9">
              <w:rPr>
                <w:rFonts w:ascii="Calibri" w:hAnsi="Calibri" w:cs="Calibri"/>
              </w:rPr>
              <w:t>lyophilisate</w:t>
            </w:r>
            <w:proofErr w:type="spellEnd"/>
            <w:r w:rsidRPr="00B64CA9">
              <w:rPr>
                <w:rFonts w:ascii="Calibri" w:hAnsi="Calibri" w:cs="Calibri"/>
              </w:rPr>
              <w:t xml:space="preserve"> for subcutaneous injection. Packs containing 1* or 2* single-use vials.</w:t>
            </w:r>
          </w:p>
        </w:tc>
      </w:tr>
      <w:tr w:rsidR="004964FD" w:rsidRPr="00B64CA9" w14:paraId="5B424CDA" w14:textId="77777777" w:rsidTr="00B83784">
        <w:trPr>
          <w:trHeight w:val="844"/>
        </w:trPr>
        <w:tc>
          <w:tcPr>
            <w:tcW w:w="2376" w:type="dxa"/>
          </w:tcPr>
          <w:p w14:paraId="28F04F1A" w14:textId="77777777" w:rsidR="004964FD" w:rsidRPr="00B64CA9" w:rsidRDefault="004964FD" w:rsidP="00222162">
            <w:pPr>
              <w:spacing w:after="0" w:line="276" w:lineRule="auto"/>
              <w:rPr>
                <w:rFonts w:ascii="Calibri" w:hAnsi="Calibri" w:cs="Calibri"/>
                <w:sz w:val="22"/>
                <w:szCs w:val="22"/>
              </w:rPr>
            </w:pPr>
            <w:r w:rsidRPr="00B64CA9">
              <w:rPr>
                <w:rFonts w:ascii="Calibri" w:hAnsi="Calibri" w:cs="Calibri"/>
              </w:rPr>
              <w:t>Cosentyx 75 mg/0.5 mL Solution for Injection in Prefilled syringe:</w:t>
            </w:r>
          </w:p>
          <w:p w14:paraId="26176B8B" w14:textId="77777777" w:rsidR="004964FD" w:rsidRPr="00B64CA9" w:rsidRDefault="004964FD">
            <w:pPr>
              <w:spacing w:after="0"/>
              <w:rPr>
                <w:rFonts w:ascii="Calibri" w:hAnsi="Calibri" w:cs="Calibri"/>
              </w:rPr>
            </w:pPr>
          </w:p>
        </w:tc>
        <w:tc>
          <w:tcPr>
            <w:tcW w:w="6650" w:type="dxa"/>
          </w:tcPr>
          <w:p w14:paraId="6B8577D4" w14:textId="77777777" w:rsidR="004964FD" w:rsidRPr="00B64CA9" w:rsidRDefault="004964FD" w:rsidP="004964FD">
            <w:pPr>
              <w:spacing w:after="0" w:line="276" w:lineRule="auto"/>
              <w:jc w:val="both"/>
              <w:rPr>
                <w:rFonts w:ascii="Calibri" w:hAnsi="Calibri" w:cs="Calibri"/>
                <w:sz w:val="22"/>
              </w:rPr>
            </w:pPr>
            <w:proofErr w:type="spellStart"/>
            <w:r w:rsidRPr="00B64CA9">
              <w:rPr>
                <w:rFonts w:ascii="Calibri" w:hAnsi="Calibri" w:cs="Calibri"/>
              </w:rPr>
              <w:t>secukinumab</w:t>
            </w:r>
            <w:proofErr w:type="spellEnd"/>
            <w:r w:rsidRPr="00B64CA9">
              <w:rPr>
                <w:rFonts w:ascii="Calibri" w:hAnsi="Calibri" w:cs="Calibri"/>
              </w:rPr>
              <w:t xml:space="preserve"> 75 mg/0.5 mL solution for subcutaneous injection in a single use pre-filled syringe (PFS). The sterile solution is colourless to slightly yellow. Pack containing 1 pre-filled syringe.</w:t>
            </w:r>
          </w:p>
          <w:p w14:paraId="7A52F307" w14:textId="77777777" w:rsidR="004964FD" w:rsidRPr="00B64CA9" w:rsidRDefault="004964FD" w:rsidP="00B83784">
            <w:pPr>
              <w:spacing w:after="0"/>
              <w:jc w:val="both"/>
              <w:rPr>
                <w:rFonts w:ascii="Calibri" w:hAnsi="Calibri" w:cs="Calibri"/>
              </w:rPr>
            </w:pPr>
          </w:p>
        </w:tc>
      </w:tr>
      <w:tr w:rsidR="004964FD" w:rsidRPr="00B64CA9" w14:paraId="7BF68CCD" w14:textId="77777777" w:rsidTr="00B83784">
        <w:trPr>
          <w:trHeight w:val="844"/>
        </w:trPr>
        <w:tc>
          <w:tcPr>
            <w:tcW w:w="2376" w:type="dxa"/>
          </w:tcPr>
          <w:p w14:paraId="198B2409" w14:textId="77777777" w:rsidR="004964FD" w:rsidRPr="00B64CA9" w:rsidRDefault="004964FD">
            <w:pPr>
              <w:spacing w:after="0" w:line="276" w:lineRule="auto"/>
              <w:rPr>
                <w:rFonts w:ascii="Calibri" w:hAnsi="Calibri" w:cs="Calibri"/>
                <w:sz w:val="22"/>
                <w:szCs w:val="22"/>
              </w:rPr>
            </w:pPr>
            <w:r w:rsidRPr="00B64CA9">
              <w:rPr>
                <w:rFonts w:ascii="Calibri" w:hAnsi="Calibri" w:cs="Calibri"/>
              </w:rPr>
              <w:t>Cosentyx 150 mg/1 mL Solution for Injection in Prefilled syringe:</w:t>
            </w:r>
          </w:p>
          <w:p w14:paraId="09F222C6" w14:textId="77777777" w:rsidR="004964FD" w:rsidRPr="00B64CA9" w:rsidRDefault="004964FD">
            <w:pPr>
              <w:spacing w:after="0"/>
              <w:rPr>
                <w:rFonts w:ascii="Calibri" w:hAnsi="Calibri" w:cs="Calibri"/>
              </w:rPr>
            </w:pPr>
          </w:p>
        </w:tc>
        <w:tc>
          <w:tcPr>
            <w:tcW w:w="6650" w:type="dxa"/>
          </w:tcPr>
          <w:p w14:paraId="292CAD92" w14:textId="77777777" w:rsidR="004964FD" w:rsidRPr="00B64CA9" w:rsidRDefault="004964FD" w:rsidP="004964FD">
            <w:pPr>
              <w:spacing w:after="0" w:line="276" w:lineRule="auto"/>
              <w:jc w:val="both"/>
              <w:rPr>
                <w:rFonts w:ascii="Calibri" w:hAnsi="Calibri" w:cs="Calibri"/>
                <w:sz w:val="22"/>
              </w:rPr>
            </w:pPr>
            <w:proofErr w:type="spellStart"/>
            <w:r w:rsidRPr="00B64CA9">
              <w:rPr>
                <w:rFonts w:ascii="Calibri" w:hAnsi="Calibri" w:cs="Calibri"/>
              </w:rPr>
              <w:lastRenderedPageBreak/>
              <w:t>secukinumab</w:t>
            </w:r>
            <w:proofErr w:type="spellEnd"/>
            <w:r w:rsidRPr="00B64CA9">
              <w:rPr>
                <w:rFonts w:ascii="Calibri" w:hAnsi="Calibri" w:cs="Calibri"/>
              </w:rPr>
              <w:t xml:space="preserve"> 150 mg/1 mL solution for subcutaneous injection in a single use pre-filled syringe (PFS). The sterile solution is colourless to slightly yellow. Packs containing 1* or 2* pre-filled syringes. </w:t>
            </w:r>
          </w:p>
          <w:p w14:paraId="320B70E3" w14:textId="77777777" w:rsidR="004964FD" w:rsidRPr="00B64CA9" w:rsidRDefault="004964FD" w:rsidP="004964FD">
            <w:pPr>
              <w:spacing w:after="0"/>
              <w:jc w:val="both"/>
              <w:rPr>
                <w:rFonts w:ascii="Calibri" w:hAnsi="Calibri" w:cs="Calibri"/>
              </w:rPr>
            </w:pPr>
          </w:p>
        </w:tc>
      </w:tr>
      <w:tr w:rsidR="004964FD" w:rsidRPr="00B64CA9" w14:paraId="209BDEC8" w14:textId="77777777" w:rsidTr="00B83784">
        <w:trPr>
          <w:trHeight w:val="844"/>
        </w:trPr>
        <w:tc>
          <w:tcPr>
            <w:tcW w:w="2376" w:type="dxa"/>
          </w:tcPr>
          <w:p w14:paraId="3C849A98" w14:textId="77777777" w:rsidR="004964FD" w:rsidRPr="00B64CA9" w:rsidRDefault="004964FD">
            <w:pPr>
              <w:spacing w:after="0"/>
              <w:rPr>
                <w:rFonts w:ascii="Calibri" w:hAnsi="Calibri" w:cs="Calibri"/>
              </w:rPr>
            </w:pPr>
            <w:r w:rsidRPr="00B64CA9">
              <w:rPr>
                <w:rFonts w:ascii="Calibri" w:hAnsi="Calibri" w:cs="Calibri"/>
              </w:rPr>
              <w:lastRenderedPageBreak/>
              <w:t>Cosentyx 300 mg/2 mL Solution for Injection in Prefilled syringe:</w:t>
            </w:r>
          </w:p>
        </w:tc>
        <w:tc>
          <w:tcPr>
            <w:tcW w:w="6650" w:type="dxa"/>
          </w:tcPr>
          <w:p w14:paraId="462B9874" w14:textId="77777777" w:rsidR="004964FD" w:rsidRPr="00B64CA9" w:rsidRDefault="004964FD" w:rsidP="004964FD">
            <w:pPr>
              <w:spacing w:after="0" w:line="276" w:lineRule="auto"/>
              <w:jc w:val="both"/>
              <w:rPr>
                <w:rFonts w:ascii="Calibri" w:hAnsi="Calibri" w:cs="Calibri"/>
                <w:sz w:val="24"/>
              </w:rPr>
            </w:pPr>
            <w:proofErr w:type="spellStart"/>
            <w:r w:rsidRPr="00B64CA9">
              <w:rPr>
                <w:rFonts w:ascii="Calibri" w:hAnsi="Calibri" w:cs="Calibri"/>
              </w:rPr>
              <w:t>secukinumab</w:t>
            </w:r>
            <w:proofErr w:type="spellEnd"/>
            <w:r w:rsidRPr="00B64CA9">
              <w:rPr>
                <w:rFonts w:ascii="Calibri" w:hAnsi="Calibri" w:cs="Calibri"/>
              </w:rPr>
              <w:t xml:space="preserve"> 300 mg/2 mL solution for subcutaneous injection in a single use pre-filled syringe (PFS). The sterile solution is colourless to slightly yellow. Packs containing 1* pre-filled syringe.</w:t>
            </w:r>
          </w:p>
          <w:p w14:paraId="11846ED0" w14:textId="77777777" w:rsidR="004964FD" w:rsidRPr="00B64CA9" w:rsidRDefault="004964FD" w:rsidP="004964FD">
            <w:pPr>
              <w:spacing w:after="0"/>
              <w:jc w:val="both"/>
              <w:rPr>
                <w:rFonts w:ascii="Calibri" w:hAnsi="Calibri" w:cs="Calibri"/>
              </w:rPr>
            </w:pPr>
          </w:p>
        </w:tc>
      </w:tr>
      <w:tr w:rsidR="00CA303E" w:rsidRPr="00B64CA9" w14:paraId="48B2F71F" w14:textId="77777777" w:rsidTr="00B83784">
        <w:trPr>
          <w:trHeight w:val="1191"/>
        </w:trPr>
        <w:tc>
          <w:tcPr>
            <w:tcW w:w="2376" w:type="dxa"/>
          </w:tcPr>
          <w:p w14:paraId="16BE617F" w14:textId="77777777" w:rsidR="00CA303E" w:rsidRPr="00B64CA9" w:rsidRDefault="00CA303E" w:rsidP="004F201E">
            <w:pPr>
              <w:spacing w:after="0" w:line="276" w:lineRule="auto"/>
              <w:rPr>
                <w:rFonts w:ascii="Calibri" w:hAnsi="Calibri" w:cs="Calibri"/>
                <w:sz w:val="22"/>
              </w:rPr>
            </w:pPr>
            <w:r w:rsidRPr="00B64CA9">
              <w:rPr>
                <w:rFonts w:ascii="Calibri" w:hAnsi="Calibri" w:cs="Calibri"/>
              </w:rPr>
              <w:t>Cosentyx 150 mg/1 mL Solution for Injection in Prefilled pen:</w:t>
            </w:r>
            <w:r w:rsidRPr="00B64CA9">
              <w:rPr>
                <w:rFonts w:ascii="Calibri" w:hAnsi="Calibri" w:cs="Calibri"/>
              </w:rPr>
              <w:tab/>
            </w:r>
          </w:p>
          <w:p w14:paraId="20AEF984" w14:textId="77777777" w:rsidR="00CA303E" w:rsidRPr="00B64CA9" w:rsidRDefault="00CA303E" w:rsidP="004F201E">
            <w:pPr>
              <w:spacing w:after="0" w:line="276" w:lineRule="auto"/>
              <w:rPr>
                <w:rFonts w:ascii="Calibri" w:hAnsi="Calibri" w:cs="Calibri"/>
                <w:sz w:val="32"/>
              </w:rPr>
            </w:pPr>
          </w:p>
          <w:p w14:paraId="73A6EF27" w14:textId="77777777" w:rsidR="00CA303E" w:rsidRPr="00B64CA9" w:rsidRDefault="00CA303E" w:rsidP="004F201E">
            <w:pPr>
              <w:spacing w:after="0" w:line="276" w:lineRule="auto"/>
              <w:rPr>
                <w:rFonts w:ascii="Calibri" w:hAnsi="Calibri" w:cs="Calibri"/>
                <w:sz w:val="22"/>
                <w:szCs w:val="22"/>
              </w:rPr>
            </w:pPr>
            <w:r w:rsidRPr="00B64CA9">
              <w:rPr>
                <w:rFonts w:ascii="Calibri" w:hAnsi="Calibri" w:cs="Calibri"/>
              </w:rPr>
              <w:t>Cosentyx 300 mg/2 mL Solution for Injection in Prefilled pen:</w:t>
            </w:r>
          </w:p>
        </w:tc>
        <w:tc>
          <w:tcPr>
            <w:tcW w:w="6650" w:type="dxa"/>
          </w:tcPr>
          <w:p w14:paraId="66319FD4" w14:textId="77777777" w:rsidR="00CA303E" w:rsidRPr="00B64CA9" w:rsidRDefault="00CA303E" w:rsidP="00B83784">
            <w:pPr>
              <w:spacing w:after="0" w:line="276" w:lineRule="auto"/>
              <w:jc w:val="both"/>
              <w:rPr>
                <w:rFonts w:ascii="Calibri" w:hAnsi="Calibri" w:cs="Calibri"/>
                <w:sz w:val="22"/>
              </w:rPr>
            </w:pPr>
            <w:proofErr w:type="spellStart"/>
            <w:r w:rsidRPr="00B64CA9">
              <w:rPr>
                <w:rFonts w:ascii="Calibri" w:hAnsi="Calibri" w:cs="Calibri"/>
              </w:rPr>
              <w:t>secukinumab</w:t>
            </w:r>
            <w:proofErr w:type="spellEnd"/>
            <w:r w:rsidRPr="00B64CA9">
              <w:rPr>
                <w:rFonts w:ascii="Calibri" w:hAnsi="Calibri" w:cs="Calibri"/>
              </w:rPr>
              <w:t xml:space="preserve"> 150 mg/1 mL solution for subcutaneous injection in a single use pre-filled pen. The sterile solution is colourless to slightly yellow. The pen consists of a PFS assembled into a pen with a removable rubber cap. Packs containing 1* or 2* pre-filled pens.</w:t>
            </w:r>
          </w:p>
          <w:p w14:paraId="18CD812D" w14:textId="77777777" w:rsidR="00CA303E" w:rsidRPr="00B64CA9" w:rsidRDefault="00CA303E" w:rsidP="00B83784">
            <w:pPr>
              <w:spacing w:after="0" w:line="276" w:lineRule="auto"/>
              <w:jc w:val="both"/>
              <w:rPr>
                <w:rFonts w:ascii="Calibri" w:hAnsi="Calibri" w:cs="Calibri"/>
                <w:sz w:val="10"/>
                <w:szCs w:val="10"/>
              </w:rPr>
            </w:pPr>
          </w:p>
          <w:p w14:paraId="1EE16A2D" w14:textId="77777777" w:rsidR="00CA303E" w:rsidRPr="00B64CA9" w:rsidRDefault="00CA303E" w:rsidP="00B83784">
            <w:pPr>
              <w:spacing w:after="0" w:line="276" w:lineRule="auto"/>
              <w:jc w:val="both"/>
              <w:rPr>
                <w:rFonts w:ascii="Calibri" w:hAnsi="Calibri" w:cs="Calibri"/>
                <w:sz w:val="22"/>
                <w:szCs w:val="22"/>
              </w:rPr>
            </w:pPr>
            <w:proofErr w:type="spellStart"/>
            <w:r w:rsidRPr="00B64CA9">
              <w:rPr>
                <w:rFonts w:ascii="Calibri" w:hAnsi="Calibri" w:cs="Calibri"/>
              </w:rPr>
              <w:t>secukinumab</w:t>
            </w:r>
            <w:proofErr w:type="spellEnd"/>
            <w:r w:rsidRPr="00B64CA9">
              <w:rPr>
                <w:rFonts w:ascii="Calibri" w:hAnsi="Calibri" w:cs="Calibri"/>
              </w:rPr>
              <w:t xml:space="preserve"> 300 mg/2 mL solution for subcutaneous injection in a single use pre-filled pen. The sterile solution is colourless to slightly yellow. The pen consists of a PFS assembled into a squared-shaped pen with transparent window and label. Pack containing 1 pre-filled pen.</w:t>
            </w:r>
          </w:p>
        </w:tc>
      </w:tr>
    </w:tbl>
    <w:p w14:paraId="14BF31A3" w14:textId="77777777" w:rsidR="00E83219" w:rsidRPr="00B64CA9" w:rsidRDefault="00E83219">
      <w:pPr>
        <w:jc w:val="both"/>
        <w:rPr>
          <w:rStyle w:val="Emphasis"/>
          <w:rFonts w:cs="Arial"/>
          <w:sz w:val="18"/>
        </w:rPr>
      </w:pPr>
      <w:r w:rsidRPr="00B64CA9">
        <w:rPr>
          <w:rFonts w:eastAsia="Times New Roman" w:cstheme="minorHAnsi"/>
          <w:i/>
          <w:iCs/>
          <w:sz w:val="18"/>
        </w:rPr>
        <w:t>*Not all pack sizes or presentations may be marketed.</w:t>
      </w:r>
    </w:p>
    <w:p w14:paraId="05DFF7BC"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 xml:space="preserve">Special precautions for disposal </w:t>
      </w:r>
    </w:p>
    <w:p w14:paraId="7C2F9FA4" w14:textId="77777777" w:rsidR="00B83E25" w:rsidRPr="00B64CA9" w:rsidRDefault="00497C85">
      <w:pPr>
        <w:jc w:val="both"/>
        <w:rPr>
          <w:rFonts w:cstheme="minorHAnsi"/>
        </w:rPr>
      </w:pPr>
      <w:r w:rsidRPr="00B64CA9">
        <w:rPr>
          <w:rFonts w:cstheme="minorHAnsi"/>
        </w:rPr>
        <w:t>In Australia, any unused medicine or waste material should be disposed of by taking to</w:t>
      </w:r>
      <w:r w:rsidR="00E83219" w:rsidRPr="00B64CA9">
        <w:rPr>
          <w:rFonts w:cstheme="minorHAnsi"/>
        </w:rPr>
        <w:t xml:space="preserve"> your local pharmacy.</w:t>
      </w:r>
    </w:p>
    <w:p w14:paraId="4A0C4732" w14:textId="77777777" w:rsidR="00B83E25" w:rsidRPr="00B64CA9" w:rsidRDefault="00B83E25">
      <w:pPr>
        <w:rPr>
          <w:rFonts w:cstheme="minorHAnsi"/>
        </w:rPr>
      </w:pPr>
    </w:p>
    <w:p w14:paraId="5414234D" w14:textId="77777777" w:rsidR="001A3992" w:rsidRPr="00B64CA9" w:rsidRDefault="001A3992" w:rsidP="002D07A3">
      <w:pPr>
        <w:pStyle w:val="Heading2"/>
        <w:spacing w:before="0" w:after="120"/>
        <w:ind w:left="578" w:hanging="578"/>
        <w:jc w:val="both"/>
        <w:rPr>
          <w:rFonts w:cstheme="minorHAnsi"/>
        </w:rPr>
      </w:pPr>
      <w:r w:rsidRPr="00B64CA9">
        <w:rPr>
          <w:rFonts w:cstheme="minorHAnsi"/>
        </w:rPr>
        <w:t>Physicochemical properties</w:t>
      </w:r>
    </w:p>
    <w:p w14:paraId="239B2E85" w14:textId="77777777" w:rsidR="001A3992" w:rsidRPr="00B64CA9" w:rsidRDefault="001A3992" w:rsidP="002D07A3">
      <w:pPr>
        <w:pStyle w:val="Heading3"/>
        <w:spacing w:before="0" w:after="120"/>
        <w:ind w:left="0"/>
        <w:jc w:val="both"/>
        <w:rPr>
          <w:rFonts w:cstheme="minorHAnsi"/>
        </w:rPr>
      </w:pPr>
      <w:r w:rsidRPr="00B64CA9">
        <w:rPr>
          <w:rFonts w:cstheme="minorHAnsi"/>
        </w:rPr>
        <w:t>Chemical structure</w:t>
      </w:r>
    </w:p>
    <w:p w14:paraId="13546D3A" w14:textId="77777777" w:rsidR="009608E9" w:rsidRPr="00B64CA9" w:rsidRDefault="009608E9" w:rsidP="002D07A3">
      <w:pPr>
        <w:jc w:val="both"/>
        <w:rPr>
          <w:rFonts w:cstheme="minorHAnsi"/>
        </w:rPr>
      </w:pPr>
      <w:r w:rsidRPr="00B64CA9">
        <w:rPr>
          <w:rFonts w:cstheme="minorHAnsi"/>
        </w:rPr>
        <w:t>The amino acid sequences of the light chain (215 amino acids) and the heavy chain (457 amino acids) respectively.</w:t>
      </w:r>
    </w:p>
    <w:p w14:paraId="28EEF36F" w14:textId="77777777" w:rsidR="009608E9" w:rsidRPr="00B64CA9" w:rsidRDefault="009608E9" w:rsidP="002D07A3">
      <w:pPr>
        <w:tabs>
          <w:tab w:val="left" w:pos="2164"/>
        </w:tabs>
        <w:jc w:val="both"/>
        <w:rPr>
          <w:rFonts w:cs="Arial"/>
          <w:b/>
        </w:rPr>
      </w:pPr>
      <w:r w:rsidRPr="00B64CA9">
        <w:rPr>
          <w:rFonts w:cs="Arial"/>
        </w:rPr>
        <w:t>Molecular formula:</w:t>
      </w:r>
      <w:r w:rsidRPr="00B64CA9">
        <w:rPr>
          <w:rFonts w:cs="Arial"/>
          <w:b/>
        </w:rPr>
        <w:tab/>
      </w:r>
      <w:r w:rsidRPr="00B64CA9">
        <w:rPr>
          <w:rFonts w:cs="Arial"/>
        </w:rPr>
        <w:t>C</w:t>
      </w:r>
      <w:r w:rsidRPr="00B64CA9">
        <w:rPr>
          <w:rFonts w:cs="Arial"/>
          <w:vertAlign w:val="subscript"/>
        </w:rPr>
        <w:t>6584</w:t>
      </w:r>
      <w:r w:rsidRPr="00B64CA9">
        <w:rPr>
          <w:rFonts w:cs="Arial"/>
        </w:rPr>
        <w:t>H</w:t>
      </w:r>
      <w:r w:rsidRPr="00B64CA9">
        <w:rPr>
          <w:rFonts w:cs="Arial"/>
          <w:vertAlign w:val="subscript"/>
        </w:rPr>
        <w:t>10134</w:t>
      </w:r>
      <w:r w:rsidRPr="00B64CA9">
        <w:rPr>
          <w:rFonts w:cs="Arial"/>
        </w:rPr>
        <w:t>N</w:t>
      </w:r>
      <w:r w:rsidRPr="00B64CA9">
        <w:rPr>
          <w:rFonts w:cs="Arial"/>
          <w:vertAlign w:val="subscript"/>
        </w:rPr>
        <w:t>1754</w:t>
      </w:r>
      <w:r w:rsidRPr="00B64CA9">
        <w:rPr>
          <w:rFonts w:cs="Arial"/>
        </w:rPr>
        <w:t>O</w:t>
      </w:r>
      <w:r w:rsidRPr="00B64CA9">
        <w:rPr>
          <w:rFonts w:cs="Arial"/>
          <w:vertAlign w:val="subscript"/>
        </w:rPr>
        <w:t>2042</w:t>
      </w:r>
      <w:r w:rsidRPr="00B64CA9">
        <w:rPr>
          <w:rFonts w:cs="Arial"/>
        </w:rPr>
        <w:t>S</w:t>
      </w:r>
      <w:r w:rsidRPr="00B64CA9">
        <w:rPr>
          <w:rFonts w:cs="Arial"/>
          <w:vertAlign w:val="subscript"/>
        </w:rPr>
        <w:t>44</w:t>
      </w:r>
    </w:p>
    <w:p w14:paraId="71FDA6FD" w14:textId="77777777" w:rsidR="009608E9" w:rsidRPr="00B64CA9" w:rsidRDefault="009608E9" w:rsidP="002D07A3">
      <w:pPr>
        <w:jc w:val="both"/>
        <w:rPr>
          <w:rFonts w:cstheme="minorHAnsi"/>
        </w:rPr>
      </w:pPr>
      <w:r w:rsidRPr="00B64CA9">
        <w:rPr>
          <w:rFonts w:cstheme="minorHAnsi"/>
        </w:rPr>
        <w:t>Molecular weight:</w:t>
      </w:r>
      <w:r w:rsidRPr="00B64CA9">
        <w:rPr>
          <w:rFonts w:cstheme="minorHAnsi"/>
        </w:rPr>
        <w:tab/>
        <w:t xml:space="preserve">Approximately 148 </w:t>
      </w:r>
      <w:proofErr w:type="spellStart"/>
      <w:r w:rsidRPr="00B64CA9">
        <w:rPr>
          <w:rFonts w:cstheme="minorHAnsi"/>
        </w:rPr>
        <w:t>kDa</w:t>
      </w:r>
      <w:proofErr w:type="spellEnd"/>
    </w:p>
    <w:p w14:paraId="2AFC248F" w14:textId="77777777" w:rsidR="001A3992" w:rsidRPr="00B64CA9" w:rsidRDefault="001A3992" w:rsidP="002D07A3">
      <w:pPr>
        <w:pStyle w:val="Heading3"/>
        <w:spacing w:before="0" w:after="120"/>
        <w:ind w:left="0"/>
        <w:jc w:val="both"/>
        <w:rPr>
          <w:rFonts w:cstheme="minorHAnsi"/>
        </w:rPr>
      </w:pPr>
      <w:r w:rsidRPr="00B64CA9">
        <w:rPr>
          <w:rFonts w:cstheme="minorHAnsi"/>
        </w:rPr>
        <w:t>CAS number</w:t>
      </w:r>
    </w:p>
    <w:p w14:paraId="2613441D" w14:textId="77777777" w:rsidR="009608E9" w:rsidRPr="00B64CA9" w:rsidRDefault="009608E9" w:rsidP="002D07A3">
      <w:pPr>
        <w:jc w:val="both"/>
        <w:rPr>
          <w:rFonts w:cstheme="minorHAnsi"/>
        </w:rPr>
      </w:pPr>
      <w:r w:rsidRPr="00B64CA9">
        <w:rPr>
          <w:rFonts w:cstheme="minorHAnsi"/>
        </w:rPr>
        <w:t>875356-43-7 (heavy chain), 875356-44-8 (light chain)</w:t>
      </w:r>
    </w:p>
    <w:p w14:paraId="4C28CEEC" w14:textId="77777777" w:rsidR="001A3992" w:rsidRPr="00B64CA9" w:rsidRDefault="001A3992">
      <w:pPr>
        <w:pStyle w:val="Heading1"/>
        <w:spacing w:before="0" w:after="120"/>
        <w:jc w:val="both"/>
        <w:rPr>
          <w:rFonts w:cstheme="minorHAnsi"/>
        </w:rPr>
      </w:pPr>
      <w:r w:rsidRPr="00B64CA9">
        <w:rPr>
          <w:rFonts w:cstheme="minorHAnsi"/>
        </w:rPr>
        <w:t>Medicine schedule (Poisons Standard)</w:t>
      </w:r>
    </w:p>
    <w:p w14:paraId="54970B06" w14:textId="77777777" w:rsidR="00E83219" w:rsidRPr="00B64CA9" w:rsidRDefault="00E83219">
      <w:pPr>
        <w:jc w:val="both"/>
        <w:rPr>
          <w:rFonts w:cstheme="minorHAnsi"/>
        </w:rPr>
      </w:pPr>
      <w:r w:rsidRPr="00B64CA9">
        <w:rPr>
          <w:rFonts w:cstheme="minorHAnsi"/>
        </w:rPr>
        <w:t>Schedule 4 - Prescription medicine</w:t>
      </w:r>
    </w:p>
    <w:p w14:paraId="418ED679" w14:textId="77777777" w:rsidR="001A3992" w:rsidRPr="00B64CA9" w:rsidRDefault="001A3992">
      <w:pPr>
        <w:pStyle w:val="Heading1"/>
        <w:spacing w:before="0" w:after="120"/>
        <w:jc w:val="both"/>
        <w:rPr>
          <w:rFonts w:cstheme="minorHAnsi"/>
        </w:rPr>
      </w:pPr>
      <w:r w:rsidRPr="00B64CA9">
        <w:rPr>
          <w:rFonts w:cstheme="minorHAnsi"/>
        </w:rPr>
        <w:t>Sponsor</w:t>
      </w:r>
    </w:p>
    <w:p w14:paraId="1FC6AC03" w14:textId="77777777" w:rsidR="00E83219" w:rsidRPr="00B64CA9" w:rsidRDefault="00E83219">
      <w:pPr>
        <w:spacing w:after="0" w:line="240" w:lineRule="auto"/>
        <w:jc w:val="both"/>
        <w:rPr>
          <w:rFonts w:cs="Arial"/>
        </w:rPr>
      </w:pPr>
      <w:r w:rsidRPr="00B64CA9">
        <w:rPr>
          <w:rFonts w:cs="Arial"/>
        </w:rPr>
        <w:t>Novartis Pharmaceuticals Australia Pty Limited</w:t>
      </w:r>
    </w:p>
    <w:p w14:paraId="23C1B094" w14:textId="77777777" w:rsidR="00E83219" w:rsidRPr="00B64CA9" w:rsidRDefault="00E83219">
      <w:pPr>
        <w:spacing w:after="0" w:line="240" w:lineRule="auto"/>
        <w:jc w:val="both"/>
        <w:rPr>
          <w:rFonts w:cs="Arial"/>
          <w:b/>
        </w:rPr>
      </w:pPr>
      <w:r w:rsidRPr="00B64CA9">
        <w:rPr>
          <w:rFonts w:cs="Arial"/>
        </w:rPr>
        <w:t>ABN 18 004 244 160</w:t>
      </w:r>
    </w:p>
    <w:p w14:paraId="589FEE2A" w14:textId="77777777" w:rsidR="00E83219" w:rsidRPr="00B64CA9" w:rsidRDefault="00E83219">
      <w:pPr>
        <w:spacing w:after="0" w:line="240" w:lineRule="auto"/>
        <w:jc w:val="both"/>
        <w:rPr>
          <w:rFonts w:cs="Arial"/>
        </w:rPr>
      </w:pPr>
      <w:r w:rsidRPr="00B64CA9">
        <w:rPr>
          <w:rFonts w:cs="Arial"/>
        </w:rPr>
        <w:t>54 Waterloo Road</w:t>
      </w:r>
    </w:p>
    <w:p w14:paraId="0A809747" w14:textId="77777777" w:rsidR="00E83219" w:rsidRPr="00B64CA9" w:rsidRDefault="00E83219">
      <w:pPr>
        <w:spacing w:after="0" w:line="240" w:lineRule="auto"/>
        <w:jc w:val="both"/>
        <w:rPr>
          <w:rFonts w:cs="Arial"/>
          <w:b/>
        </w:rPr>
      </w:pPr>
      <w:r w:rsidRPr="00B64CA9">
        <w:rPr>
          <w:rFonts w:cs="Arial"/>
        </w:rPr>
        <w:t>Macquarie Park NSW 2113</w:t>
      </w:r>
    </w:p>
    <w:p w14:paraId="0238465B" w14:textId="77777777" w:rsidR="00E83219" w:rsidRDefault="00E83219">
      <w:pPr>
        <w:jc w:val="both"/>
        <w:rPr>
          <w:rFonts w:cs="Arial"/>
        </w:rPr>
      </w:pPr>
      <w:r w:rsidRPr="00B64CA9">
        <w:rPr>
          <w:rFonts w:cs="Arial"/>
          <w:vertAlign w:val="superscript"/>
        </w:rPr>
        <w:sym w:font="Symbol" w:char="F0D2"/>
      </w:r>
      <w:r w:rsidRPr="00B64CA9">
        <w:rPr>
          <w:rFonts w:cs="Arial"/>
        </w:rPr>
        <w:t xml:space="preserve"> = Registered Trademark</w:t>
      </w:r>
    </w:p>
    <w:p w14:paraId="43EFB014" w14:textId="77777777" w:rsidR="0070070C" w:rsidRPr="00B64CA9" w:rsidRDefault="0070070C">
      <w:pPr>
        <w:jc w:val="both"/>
      </w:pPr>
    </w:p>
    <w:p w14:paraId="5D42D0C0" w14:textId="77777777" w:rsidR="001A3992" w:rsidRPr="00B64CA9" w:rsidRDefault="001A3992">
      <w:pPr>
        <w:pStyle w:val="Heading1"/>
        <w:spacing w:before="0" w:after="120"/>
        <w:jc w:val="both"/>
        <w:rPr>
          <w:rFonts w:cstheme="minorHAnsi"/>
        </w:rPr>
      </w:pPr>
      <w:r w:rsidRPr="00B64CA9">
        <w:rPr>
          <w:rFonts w:cstheme="minorHAnsi"/>
        </w:rPr>
        <w:t xml:space="preserve">Date of first approval  </w:t>
      </w:r>
    </w:p>
    <w:p w14:paraId="674F2C4A" w14:textId="77777777" w:rsidR="00D737BF" w:rsidRPr="00B64CA9" w:rsidRDefault="00D737BF" w:rsidP="00D737BF">
      <w:pPr>
        <w:spacing w:after="0"/>
        <w:jc w:val="both"/>
        <w:rPr>
          <w:rFonts w:cs="Arial"/>
        </w:rPr>
      </w:pPr>
      <w:r w:rsidRPr="00B64CA9">
        <w:rPr>
          <w:rFonts w:cs="Arial"/>
        </w:rPr>
        <w:t>02 February 2022:</w:t>
      </w:r>
      <w:r w:rsidRPr="00B64CA9">
        <w:rPr>
          <w:rFonts w:cs="Arial"/>
        </w:rPr>
        <w:tab/>
        <w:t>COSENTYX 75 mg/0.5 mL solution for injection in prefilled syringe</w:t>
      </w:r>
    </w:p>
    <w:p w14:paraId="63630B37" w14:textId="77777777" w:rsidR="00E83219" w:rsidRPr="00B64CA9" w:rsidRDefault="00E83219">
      <w:pPr>
        <w:spacing w:after="0"/>
        <w:jc w:val="both"/>
        <w:rPr>
          <w:rFonts w:cs="Arial"/>
        </w:rPr>
      </w:pPr>
      <w:r w:rsidRPr="00B64CA9">
        <w:rPr>
          <w:rFonts w:cs="Arial"/>
        </w:rPr>
        <w:t>12 January 2015:</w:t>
      </w:r>
      <w:r w:rsidRPr="00B64CA9">
        <w:rPr>
          <w:rFonts w:cs="Arial"/>
        </w:rPr>
        <w:tab/>
        <w:t xml:space="preserve"> COSENTYX </w:t>
      </w:r>
      <w:r w:rsidR="00D61277" w:rsidRPr="00B64CA9">
        <w:rPr>
          <w:rFonts w:cs="Arial"/>
        </w:rPr>
        <w:t xml:space="preserve">150 mg </w:t>
      </w:r>
      <w:r w:rsidRPr="00B64CA9">
        <w:rPr>
          <w:rFonts w:cs="Arial"/>
        </w:rPr>
        <w:t>powder for solution*</w:t>
      </w:r>
    </w:p>
    <w:p w14:paraId="69B2323E" w14:textId="77777777" w:rsidR="00E83219" w:rsidRPr="00B64CA9" w:rsidRDefault="00E83219">
      <w:pPr>
        <w:spacing w:after="0"/>
        <w:jc w:val="both"/>
        <w:rPr>
          <w:rFonts w:cs="Arial"/>
        </w:rPr>
      </w:pPr>
      <w:r w:rsidRPr="00B64CA9">
        <w:rPr>
          <w:rFonts w:cs="Arial"/>
        </w:rPr>
        <w:t>12 January 2015:</w:t>
      </w:r>
      <w:r w:rsidRPr="00B64CA9">
        <w:rPr>
          <w:rFonts w:cs="Arial"/>
        </w:rPr>
        <w:tab/>
        <w:t xml:space="preserve"> COSENTYX </w:t>
      </w:r>
      <w:r w:rsidR="00D61277" w:rsidRPr="00B64CA9">
        <w:rPr>
          <w:rFonts w:cs="Arial"/>
        </w:rPr>
        <w:t xml:space="preserve">150 mg/1 mL solution for injection in </w:t>
      </w:r>
      <w:r w:rsidRPr="00B64CA9">
        <w:rPr>
          <w:rFonts w:cs="Arial"/>
        </w:rPr>
        <w:t>prefilled syringe</w:t>
      </w:r>
      <w:r w:rsidR="00D61277" w:rsidRPr="00B64CA9">
        <w:rPr>
          <w:rFonts w:cs="Arial"/>
        </w:rPr>
        <w:t>*</w:t>
      </w:r>
    </w:p>
    <w:p w14:paraId="743E58A0" w14:textId="77777777" w:rsidR="00E83219" w:rsidRPr="00B64CA9" w:rsidRDefault="00E83219" w:rsidP="00B64CA9">
      <w:pPr>
        <w:spacing w:after="0"/>
        <w:jc w:val="both"/>
        <w:rPr>
          <w:rFonts w:cs="Arial"/>
        </w:rPr>
      </w:pPr>
      <w:r w:rsidRPr="00B64CA9">
        <w:rPr>
          <w:rFonts w:cs="Arial"/>
        </w:rPr>
        <w:t>12 January 2015:</w:t>
      </w:r>
      <w:r w:rsidRPr="00B64CA9">
        <w:rPr>
          <w:rFonts w:cs="Arial"/>
        </w:rPr>
        <w:tab/>
        <w:t xml:space="preserve"> COSENTYX </w:t>
      </w:r>
      <w:r w:rsidR="00D61277" w:rsidRPr="00B64CA9">
        <w:rPr>
          <w:rFonts w:cs="Arial"/>
        </w:rPr>
        <w:t xml:space="preserve">150 mg/1 mL solution for injection in </w:t>
      </w:r>
      <w:r w:rsidRPr="00B64CA9">
        <w:rPr>
          <w:rFonts w:cs="Arial"/>
        </w:rPr>
        <w:t>prefilled pen</w:t>
      </w:r>
    </w:p>
    <w:p w14:paraId="16DAE5BE" w14:textId="77777777" w:rsidR="00D61277" w:rsidRPr="00B64CA9" w:rsidRDefault="00D61277" w:rsidP="00B64CA9">
      <w:pPr>
        <w:spacing w:after="0"/>
        <w:jc w:val="both"/>
        <w:rPr>
          <w:rFonts w:cs="Arial"/>
        </w:rPr>
      </w:pPr>
      <w:r w:rsidRPr="00B64CA9">
        <w:rPr>
          <w:rFonts w:cs="Arial"/>
        </w:rPr>
        <w:t>02 February 2022:</w:t>
      </w:r>
      <w:r w:rsidRPr="00B64CA9">
        <w:rPr>
          <w:rFonts w:cs="Arial"/>
        </w:rPr>
        <w:tab/>
        <w:t>COSENTYX 300 mg/2 mL solution for injection in prefilled syringe</w:t>
      </w:r>
    </w:p>
    <w:p w14:paraId="66AC67FD" w14:textId="77777777" w:rsidR="00D61277" w:rsidRPr="00B64CA9" w:rsidRDefault="00D61277" w:rsidP="00B64CA9">
      <w:pPr>
        <w:spacing w:after="0"/>
        <w:jc w:val="both"/>
        <w:rPr>
          <w:rFonts w:cs="Arial"/>
        </w:rPr>
      </w:pPr>
      <w:r w:rsidRPr="00B64CA9">
        <w:rPr>
          <w:rFonts w:cs="Arial"/>
        </w:rPr>
        <w:t>02 February 2022:</w:t>
      </w:r>
      <w:r w:rsidRPr="00B64CA9">
        <w:rPr>
          <w:rFonts w:cs="Arial"/>
        </w:rPr>
        <w:tab/>
        <w:t>COSENTYX 300 mg/2 mL solution for injection in prefilled pen</w:t>
      </w:r>
    </w:p>
    <w:p w14:paraId="7F1E3710" w14:textId="77777777" w:rsidR="00D737BF" w:rsidRPr="00B64CA9" w:rsidRDefault="00D737BF">
      <w:pPr>
        <w:jc w:val="both"/>
        <w:rPr>
          <w:rFonts w:cs="Arial"/>
        </w:rPr>
      </w:pPr>
    </w:p>
    <w:p w14:paraId="45335F11" w14:textId="77777777" w:rsidR="001A3992" w:rsidRPr="00B64CA9" w:rsidRDefault="001A3992">
      <w:pPr>
        <w:pStyle w:val="Heading1"/>
        <w:spacing w:before="0" w:after="120"/>
        <w:jc w:val="both"/>
        <w:rPr>
          <w:rFonts w:cstheme="minorHAnsi"/>
        </w:rPr>
      </w:pPr>
      <w:r w:rsidRPr="00B64CA9">
        <w:rPr>
          <w:rFonts w:cstheme="minorHAnsi"/>
        </w:rPr>
        <w:t xml:space="preserve">Date of revision </w:t>
      </w:r>
    </w:p>
    <w:p w14:paraId="5ED2EB90" w14:textId="77777777" w:rsidR="0081558E" w:rsidRPr="00B64CA9" w:rsidRDefault="006A29F4">
      <w:pPr>
        <w:jc w:val="both"/>
      </w:pPr>
      <w:r w:rsidRPr="00B64CA9">
        <w:t xml:space="preserve"> </w:t>
      </w:r>
      <w:r w:rsidR="00FB4ED7" w:rsidRPr="00B64CA9">
        <w:t>05 May 2022</w:t>
      </w:r>
    </w:p>
    <w:p w14:paraId="5CA3CBBA" w14:textId="77777777" w:rsidR="001A3992" w:rsidRPr="00B64CA9" w:rsidRDefault="001A3992" w:rsidP="0081558E">
      <w:pPr>
        <w:pStyle w:val="Heading2"/>
        <w:numPr>
          <w:ilvl w:val="0"/>
          <w:numId w:val="0"/>
        </w:numPr>
        <w:spacing w:before="0" w:after="120"/>
        <w:jc w:val="both"/>
        <w:rPr>
          <w:rFonts w:cstheme="minorHAnsi"/>
        </w:rPr>
      </w:pPr>
      <w:r w:rsidRPr="00B64CA9">
        <w:rPr>
          <w:rFonts w:cstheme="minorHAnsi"/>
        </w:rPr>
        <w:t>Summary table of changes</w:t>
      </w:r>
    </w:p>
    <w:tbl>
      <w:tblPr>
        <w:tblStyle w:val="Light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975"/>
        <w:gridCol w:w="7031"/>
      </w:tblGrid>
      <w:tr w:rsidR="00ED0937" w:rsidRPr="00B64CA9" w14:paraId="4A21C182" w14:textId="77777777" w:rsidTr="00F80ED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cBorders>
            <w:shd w:val="clear" w:color="auto" w:fill="auto"/>
            <w:vAlign w:val="center"/>
          </w:tcPr>
          <w:p w14:paraId="12CB854D" w14:textId="77777777" w:rsidR="00ED0937" w:rsidRPr="00B64CA9" w:rsidRDefault="00ED0937" w:rsidP="0081558E">
            <w:pPr>
              <w:jc w:val="both"/>
              <w:rPr>
                <w:rFonts w:cstheme="minorHAnsi"/>
                <w:sz w:val="20"/>
              </w:rPr>
            </w:pPr>
            <w:r w:rsidRPr="00B64CA9">
              <w:rPr>
                <w:rFonts w:cstheme="minorHAnsi"/>
                <w:sz w:val="20"/>
              </w:rPr>
              <w:t>Section</w:t>
            </w:r>
            <w:r w:rsidR="00F05925" w:rsidRPr="00B64CA9">
              <w:rPr>
                <w:rFonts w:cstheme="minorHAnsi"/>
                <w:sz w:val="20"/>
              </w:rPr>
              <w:t>s</w:t>
            </w:r>
            <w:r w:rsidRPr="00B64CA9">
              <w:rPr>
                <w:rFonts w:cstheme="minorHAnsi"/>
                <w:sz w:val="20"/>
              </w:rPr>
              <w:t xml:space="preserve"> Changed</w:t>
            </w:r>
          </w:p>
        </w:tc>
        <w:tc>
          <w:tcPr>
            <w:tcW w:w="7031" w:type="dxa"/>
            <w:tcBorders>
              <w:top w:val="none" w:sz="0" w:space="0" w:color="auto"/>
              <w:left w:val="none" w:sz="0" w:space="0" w:color="auto"/>
              <w:bottom w:val="none" w:sz="0" w:space="0" w:color="auto"/>
              <w:right w:val="none" w:sz="0" w:space="0" w:color="auto"/>
            </w:tcBorders>
            <w:shd w:val="clear" w:color="auto" w:fill="auto"/>
            <w:vAlign w:val="center"/>
          </w:tcPr>
          <w:p w14:paraId="24C58F93" w14:textId="77777777" w:rsidR="00ED0937" w:rsidRPr="00B64CA9" w:rsidRDefault="00ED0937" w:rsidP="0081558E">
            <w:pPr>
              <w:jc w:val="both"/>
              <w:cnfStyle w:val="100000000000" w:firstRow="1" w:lastRow="0" w:firstColumn="0" w:lastColumn="0" w:oddVBand="0" w:evenVBand="0" w:oddHBand="0" w:evenHBand="0" w:firstRowFirstColumn="0" w:firstRowLastColumn="0" w:lastRowFirstColumn="0" w:lastRowLastColumn="0"/>
              <w:rPr>
                <w:rFonts w:cstheme="minorHAnsi"/>
                <w:sz w:val="20"/>
              </w:rPr>
            </w:pPr>
            <w:r w:rsidRPr="00B64CA9">
              <w:rPr>
                <w:rFonts w:cstheme="minorHAnsi"/>
                <w:sz w:val="20"/>
              </w:rPr>
              <w:t>Summary of new information</w:t>
            </w:r>
          </w:p>
        </w:tc>
      </w:tr>
      <w:tr w:rsidR="006E1D7A" w:rsidRPr="00B64CA9" w14:paraId="553A7E1E" w14:textId="77777777" w:rsidTr="00F80ED9">
        <w:trPr>
          <w:trHeight w:val="283"/>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0C098088" w14:textId="77777777" w:rsidR="006E1D7A" w:rsidRPr="00B64CA9" w:rsidRDefault="00EA724F" w:rsidP="0081558E">
            <w:pPr>
              <w:jc w:val="both"/>
              <w:rPr>
                <w:rFonts w:ascii="Calibri" w:hAnsi="Calibri" w:cs="Calibri"/>
                <w:b w:val="0"/>
                <w:sz w:val="20"/>
              </w:rPr>
            </w:pPr>
            <w:r w:rsidRPr="00B64CA9">
              <w:rPr>
                <w:rFonts w:ascii="Calibri" w:hAnsi="Calibri" w:cs="Calibri"/>
                <w:b w:val="0"/>
                <w:sz w:val="20"/>
              </w:rPr>
              <w:t>4.2</w:t>
            </w:r>
          </w:p>
        </w:tc>
        <w:tc>
          <w:tcPr>
            <w:tcW w:w="7031" w:type="dxa"/>
            <w:shd w:val="clear" w:color="auto" w:fill="auto"/>
            <w:vAlign w:val="center"/>
          </w:tcPr>
          <w:p w14:paraId="63948EE3" w14:textId="77777777" w:rsidR="006E1D7A" w:rsidRPr="00B64CA9" w:rsidRDefault="00EA724F" w:rsidP="0081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B64CA9">
              <w:rPr>
                <w:rFonts w:ascii="Calibri" w:hAnsi="Calibri" w:cs="Calibri"/>
                <w:sz w:val="20"/>
              </w:rPr>
              <w:t>Addition of flexible dosing in adult patients with moderate to severe plaque psoriasis</w:t>
            </w:r>
          </w:p>
        </w:tc>
      </w:tr>
      <w:tr w:rsidR="00EA724F" w:rsidRPr="00B64CA9" w14:paraId="5F857BAF" w14:textId="77777777" w:rsidTr="00F80ED9">
        <w:trPr>
          <w:trHeight w:val="283"/>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40053511" w14:textId="77777777" w:rsidR="00EA724F" w:rsidRPr="00B64CA9" w:rsidRDefault="00EA724F" w:rsidP="0081558E">
            <w:pPr>
              <w:jc w:val="both"/>
              <w:rPr>
                <w:rFonts w:ascii="Calibri" w:hAnsi="Calibri" w:cs="Calibri"/>
                <w:b w:val="0"/>
                <w:sz w:val="20"/>
              </w:rPr>
            </w:pPr>
            <w:r w:rsidRPr="00B64CA9">
              <w:rPr>
                <w:rFonts w:ascii="Calibri" w:hAnsi="Calibri" w:cs="Calibri"/>
                <w:b w:val="0"/>
                <w:sz w:val="20"/>
              </w:rPr>
              <w:t>4.4</w:t>
            </w:r>
          </w:p>
        </w:tc>
        <w:tc>
          <w:tcPr>
            <w:tcW w:w="7031" w:type="dxa"/>
            <w:shd w:val="clear" w:color="auto" w:fill="auto"/>
            <w:vAlign w:val="center"/>
          </w:tcPr>
          <w:p w14:paraId="22D1A3CC" w14:textId="77777777" w:rsidR="00EA724F" w:rsidRPr="00B64CA9" w:rsidRDefault="00687112" w:rsidP="0081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B64CA9">
              <w:rPr>
                <w:rFonts w:ascii="Calibri" w:hAnsi="Calibri" w:cs="Calibri"/>
                <w:sz w:val="20"/>
              </w:rPr>
              <w:t xml:space="preserve">Safety update </w:t>
            </w:r>
          </w:p>
        </w:tc>
      </w:tr>
      <w:tr w:rsidR="00687112" w:rsidRPr="00B64CA9" w14:paraId="0D2C181A" w14:textId="77777777" w:rsidTr="00F80ED9">
        <w:trPr>
          <w:trHeight w:val="283"/>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1EE6D9B8" w14:textId="77777777" w:rsidR="00687112" w:rsidRPr="00B64CA9" w:rsidRDefault="00687112" w:rsidP="0081558E">
            <w:pPr>
              <w:jc w:val="both"/>
              <w:rPr>
                <w:rFonts w:ascii="Calibri" w:hAnsi="Calibri" w:cs="Calibri"/>
                <w:b w:val="0"/>
                <w:sz w:val="20"/>
              </w:rPr>
            </w:pPr>
            <w:r w:rsidRPr="00B64CA9">
              <w:rPr>
                <w:rFonts w:ascii="Calibri" w:hAnsi="Calibri" w:cs="Calibri"/>
                <w:b w:val="0"/>
                <w:sz w:val="20"/>
              </w:rPr>
              <w:t>4.6</w:t>
            </w:r>
          </w:p>
        </w:tc>
        <w:tc>
          <w:tcPr>
            <w:tcW w:w="7031" w:type="dxa"/>
            <w:shd w:val="clear" w:color="auto" w:fill="auto"/>
            <w:vAlign w:val="center"/>
          </w:tcPr>
          <w:p w14:paraId="193B25F6" w14:textId="77777777" w:rsidR="00687112" w:rsidRPr="00B64CA9" w:rsidRDefault="00687112" w:rsidP="0081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B64CA9">
              <w:rPr>
                <w:rFonts w:ascii="Calibri" w:hAnsi="Calibri" w:cs="Calibri"/>
                <w:sz w:val="20"/>
              </w:rPr>
              <w:t>Editorial changes</w:t>
            </w:r>
          </w:p>
        </w:tc>
      </w:tr>
      <w:tr w:rsidR="00687112" w:rsidRPr="00B64CA9" w14:paraId="720B1130" w14:textId="77777777" w:rsidTr="00F80ED9">
        <w:trPr>
          <w:trHeight w:val="283"/>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6FA546BA" w14:textId="77777777" w:rsidR="00687112" w:rsidRPr="00B64CA9" w:rsidRDefault="00687112" w:rsidP="0081558E">
            <w:pPr>
              <w:jc w:val="both"/>
              <w:rPr>
                <w:rFonts w:ascii="Calibri" w:hAnsi="Calibri" w:cs="Calibri"/>
                <w:b w:val="0"/>
                <w:sz w:val="20"/>
              </w:rPr>
            </w:pPr>
            <w:r w:rsidRPr="00B64CA9">
              <w:rPr>
                <w:rFonts w:ascii="Calibri" w:hAnsi="Calibri" w:cs="Calibri"/>
                <w:b w:val="0"/>
                <w:sz w:val="20"/>
              </w:rPr>
              <w:t>4.8</w:t>
            </w:r>
          </w:p>
        </w:tc>
        <w:tc>
          <w:tcPr>
            <w:tcW w:w="7031" w:type="dxa"/>
            <w:shd w:val="clear" w:color="auto" w:fill="auto"/>
            <w:vAlign w:val="center"/>
          </w:tcPr>
          <w:p w14:paraId="329750FF" w14:textId="77777777" w:rsidR="00687112" w:rsidRPr="00B64CA9" w:rsidRDefault="00687112" w:rsidP="0081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B64CA9">
              <w:rPr>
                <w:rFonts w:ascii="Calibri" w:hAnsi="Calibri" w:cs="Calibri"/>
                <w:sz w:val="20"/>
              </w:rPr>
              <w:t>Safety update and editorial changes</w:t>
            </w:r>
          </w:p>
        </w:tc>
      </w:tr>
      <w:tr w:rsidR="00687112" w:rsidRPr="00B64CA9" w14:paraId="1D88045D" w14:textId="77777777" w:rsidTr="00F80ED9">
        <w:trPr>
          <w:trHeight w:val="283"/>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2D9F5460" w14:textId="77777777" w:rsidR="00687112" w:rsidRPr="00B64CA9" w:rsidRDefault="00687112" w:rsidP="0081558E">
            <w:pPr>
              <w:jc w:val="both"/>
              <w:rPr>
                <w:rFonts w:ascii="Calibri" w:hAnsi="Calibri" w:cs="Calibri"/>
                <w:b w:val="0"/>
                <w:sz w:val="20"/>
              </w:rPr>
            </w:pPr>
            <w:r w:rsidRPr="00B64CA9">
              <w:rPr>
                <w:rFonts w:ascii="Calibri" w:hAnsi="Calibri" w:cs="Calibri"/>
                <w:b w:val="0"/>
                <w:sz w:val="20"/>
              </w:rPr>
              <w:t>5.1</w:t>
            </w:r>
          </w:p>
        </w:tc>
        <w:tc>
          <w:tcPr>
            <w:tcW w:w="7031" w:type="dxa"/>
            <w:shd w:val="clear" w:color="auto" w:fill="auto"/>
            <w:vAlign w:val="center"/>
          </w:tcPr>
          <w:p w14:paraId="5474BD1E" w14:textId="77777777" w:rsidR="00687112" w:rsidRPr="00B64CA9" w:rsidRDefault="00D509AD" w:rsidP="0081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B64CA9">
              <w:rPr>
                <w:rFonts w:ascii="Calibri" w:hAnsi="Calibri" w:cs="Calibri"/>
                <w:sz w:val="20"/>
              </w:rPr>
              <w:t>Addition of efficacy data from Study A2324</w:t>
            </w:r>
          </w:p>
        </w:tc>
      </w:tr>
    </w:tbl>
    <w:p w14:paraId="061C1CCF" w14:textId="77777777" w:rsidR="00960CD5" w:rsidRPr="00907AD8" w:rsidRDefault="00B52008" w:rsidP="00AC40B4">
      <w:pPr>
        <w:spacing w:after="120"/>
        <w:jc w:val="both"/>
        <w:rPr>
          <w:rFonts w:asciiTheme="majorHAnsi" w:hAnsiTheme="majorHAnsi" w:cstheme="minorHAnsi"/>
          <w:sz w:val="16"/>
          <w:szCs w:val="16"/>
        </w:rPr>
      </w:pPr>
      <w:r w:rsidRPr="00B661A5">
        <w:rPr>
          <w:rFonts w:asciiTheme="majorHAnsi" w:hAnsiTheme="majorHAnsi" w:cstheme="minorHAnsi"/>
          <w:sz w:val="16"/>
          <w:szCs w:val="16"/>
        </w:rPr>
        <w:t xml:space="preserve">Internal document code: </w:t>
      </w:r>
      <w:r w:rsidR="00367772" w:rsidRPr="00B661A5">
        <w:rPr>
          <w:rFonts w:asciiTheme="majorHAnsi" w:hAnsiTheme="majorHAnsi" w:cstheme="minorHAnsi"/>
          <w:sz w:val="16"/>
          <w:szCs w:val="16"/>
        </w:rPr>
        <w:t xml:space="preserve"> </w:t>
      </w:r>
      <w:r w:rsidR="00FB4ED7" w:rsidRPr="00B661A5">
        <w:rPr>
          <w:rFonts w:asciiTheme="majorHAnsi" w:hAnsiTheme="majorHAnsi" w:cstheme="minorHAnsi"/>
          <w:sz w:val="16"/>
          <w:szCs w:val="16"/>
        </w:rPr>
        <w:t>cos030522i</w:t>
      </w:r>
      <w:r w:rsidR="00437562" w:rsidRPr="00B661A5">
        <w:rPr>
          <w:rFonts w:asciiTheme="majorHAnsi" w:hAnsiTheme="majorHAnsi" w:cstheme="minorHAnsi"/>
          <w:sz w:val="16"/>
          <w:szCs w:val="16"/>
        </w:rPr>
        <w:t>_</w:t>
      </w:r>
      <w:r w:rsidR="006C19EA" w:rsidRPr="00B661A5">
        <w:rPr>
          <w:rFonts w:asciiTheme="majorHAnsi" w:hAnsiTheme="majorHAnsi" w:cstheme="minorHAnsi"/>
          <w:sz w:val="16"/>
          <w:szCs w:val="16"/>
        </w:rPr>
        <w:t>v2</w:t>
      </w:r>
      <w:r w:rsidR="001A25E7" w:rsidRPr="00B661A5">
        <w:rPr>
          <w:rFonts w:asciiTheme="majorHAnsi" w:hAnsiTheme="majorHAnsi" w:cstheme="minorHAnsi"/>
          <w:sz w:val="16"/>
          <w:szCs w:val="16"/>
        </w:rPr>
        <w:t xml:space="preserve"> </w:t>
      </w:r>
      <w:r w:rsidR="0081558E" w:rsidRPr="00B661A5">
        <w:rPr>
          <w:rFonts w:asciiTheme="majorHAnsi" w:hAnsiTheme="majorHAnsi" w:cstheme="minorHAnsi"/>
          <w:sz w:val="16"/>
          <w:szCs w:val="16"/>
        </w:rPr>
        <w:t xml:space="preserve">based on CDS dated </w:t>
      </w:r>
      <w:r w:rsidR="001A25E7" w:rsidRPr="00B661A5">
        <w:rPr>
          <w:rFonts w:asciiTheme="majorHAnsi" w:hAnsiTheme="majorHAnsi" w:cstheme="minorHAnsi"/>
          <w:sz w:val="16"/>
          <w:szCs w:val="16"/>
        </w:rPr>
        <w:t>31 March 2021</w:t>
      </w:r>
      <w:r w:rsidR="00A244FE" w:rsidRPr="00B661A5">
        <w:rPr>
          <w:rFonts w:asciiTheme="majorHAnsi" w:hAnsiTheme="majorHAnsi" w:cstheme="minorHAnsi"/>
          <w:sz w:val="16"/>
          <w:szCs w:val="16"/>
        </w:rPr>
        <w:t xml:space="preserve"> and 16 Dec</w:t>
      </w:r>
      <w:r w:rsidR="00FC601E" w:rsidRPr="00B661A5">
        <w:rPr>
          <w:rFonts w:asciiTheme="majorHAnsi" w:hAnsiTheme="majorHAnsi" w:cstheme="minorHAnsi"/>
          <w:sz w:val="16"/>
          <w:szCs w:val="16"/>
        </w:rPr>
        <w:t>ember</w:t>
      </w:r>
      <w:r w:rsidR="00A244FE" w:rsidRPr="00B661A5">
        <w:rPr>
          <w:rFonts w:asciiTheme="majorHAnsi" w:hAnsiTheme="majorHAnsi" w:cstheme="minorHAnsi"/>
          <w:sz w:val="16"/>
          <w:szCs w:val="16"/>
        </w:rPr>
        <w:t xml:space="preserve"> 2021</w:t>
      </w:r>
    </w:p>
    <w:sectPr w:rsidR="00960CD5" w:rsidRPr="00907AD8" w:rsidSect="0036777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BC35" w14:textId="77777777" w:rsidR="00716706" w:rsidRDefault="00716706" w:rsidP="001A3992">
      <w:pPr>
        <w:spacing w:after="0" w:line="240" w:lineRule="auto"/>
      </w:pPr>
      <w:r>
        <w:separator/>
      </w:r>
    </w:p>
  </w:endnote>
  <w:endnote w:type="continuationSeparator" w:id="0">
    <w:p w14:paraId="347CCA9F" w14:textId="77777777" w:rsidR="00716706" w:rsidRDefault="0071670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093"/>
      <w:docPartObj>
        <w:docPartGallery w:val="Page Numbers (Bottom of Page)"/>
        <w:docPartUnique/>
      </w:docPartObj>
    </w:sdtPr>
    <w:sdtEndPr>
      <w:rPr>
        <w:noProof/>
        <w:sz w:val="20"/>
      </w:rPr>
    </w:sdtEndPr>
    <w:sdtContent>
      <w:p w14:paraId="7F187E98" w14:textId="77777777" w:rsidR="00494F5C" w:rsidRPr="00B8074A" w:rsidRDefault="00494F5C" w:rsidP="00D834B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685628">
          <w:rPr>
            <w:noProof/>
            <w:sz w:val="20"/>
          </w:rPr>
          <w:t>43</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8129" w14:textId="77777777" w:rsidR="00716706" w:rsidRDefault="00716706" w:rsidP="001A3992">
      <w:pPr>
        <w:spacing w:after="0" w:line="240" w:lineRule="auto"/>
      </w:pPr>
      <w:r>
        <w:separator/>
      </w:r>
    </w:p>
  </w:footnote>
  <w:footnote w:type="continuationSeparator" w:id="0">
    <w:p w14:paraId="7CACD36E" w14:textId="77777777" w:rsidR="00716706" w:rsidRDefault="0071670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290F28" w14:paraId="021B0F71" w14:textId="77777777" w:rsidTr="00D64DC7">
      <w:tc>
        <w:tcPr>
          <w:tcW w:w="8720" w:type="dxa"/>
          <w:shd w:val="clear" w:color="auto" w:fill="E4F2E0"/>
        </w:tcPr>
        <w:p w14:paraId="6B85ABC2" w14:textId="77777777" w:rsidR="00290F28" w:rsidRPr="00290F28" w:rsidRDefault="00290F28" w:rsidP="00290F28">
          <w:pPr>
            <w:rPr>
              <w:rFonts w:asciiTheme="majorHAnsi" w:hAnsiTheme="majorHAnsi"/>
              <w:b/>
              <w:sz w:val="18"/>
              <w:szCs w:val="18"/>
            </w:rPr>
          </w:pPr>
          <w:r w:rsidRPr="00290F28">
            <w:rPr>
              <w:rFonts w:asciiTheme="majorHAnsi" w:hAnsiTheme="majorHAnsi"/>
              <w:b/>
              <w:sz w:val="18"/>
              <w:szCs w:val="18"/>
            </w:rPr>
            <w:t xml:space="preserve">Attachment 1: Product information for </w:t>
          </w:r>
          <w:proofErr w:type="spellStart"/>
          <w:r w:rsidRPr="00290F28">
            <w:rPr>
              <w:rFonts w:asciiTheme="majorHAnsi" w:hAnsiTheme="majorHAnsi"/>
              <w:b/>
              <w:sz w:val="18"/>
              <w:szCs w:val="18"/>
            </w:rPr>
            <w:t>AusPAR</w:t>
          </w:r>
          <w:proofErr w:type="spellEnd"/>
          <w:r w:rsidRPr="00290F28">
            <w:rPr>
              <w:rFonts w:asciiTheme="majorHAnsi" w:hAnsiTheme="majorHAnsi"/>
              <w:b/>
              <w:sz w:val="18"/>
              <w:szCs w:val="18"/>
            </w:rPr>
            <w:t xml:space="preserve"> - Cosentyx - </w:t>
          </w:r>
          <w:proofErr w:type="spellStart"/>
          <w:r w:rsidRPr="00290F28">
            <w:rPr>
              <w:rFonts w:asciiTheme="majorHAnsi" w:hAnsiTheme="majorHAnsi"/>
              <w:b/>
              <w:sz w:val="18"/>
              <w:szCs w:val="18"/>
            </w:rPr>
            <w:t>secukinumab</w:t>
          </w:r>
          <w:proofErr w:type="spellEnd"/>
          <w:r w:rsidRPr="00290F28">
            <w:rPr>
              <w:rFonts w:asciiTheme="majorHAnsi" w:hAnsiTheme="majorHAnsi"/>
              <w:b/>
              <w:sz w:val="18"/>
              <w:szCs w:val="18"/>
            </w:rPr>
            <w:t xml:space="preserve"> - Novartis Pharmaceuticals Australia Pty Limited PM-2021-01700-1-1 Final 24 October 2022. This is the Product Information that was approved with the submission described in this </w:t>
          </w:r>
          <w:proofErr w:type="spellStart"/>
          <w:r w:rsidRPr="00290F28">
            <w:rPr>
              <w:rFonts w:asciiTheme="majorHAnsi" w:hAnsiTheme="majorHAnsi"/>
              <w:b/>
              <w:sz w:val="18"/>
              <w:szCs w:val="18"/>
            </w:rPr>
            <w:t>AusPAR</w:t>
          </w:r>
          <w:proofErr w:type="spellEnd"/>
          <w:r w:rsidRPr="00290F28">
            <w:rPr>
              <w:rFonts w:asciiTheme="majorHAnsi" w:hAnsiTheme="majorHAnsi"/>
              <w:b/>
              <w:sz w:val="18"/>
              <w:szCs w:val="18"/>
            </w:rPr>
            <w:t>. It may have been superseded. For the most recent PI, please refer to the TGA website at &lt;</w:t>
          </w:r>
          <w:hyperlink r:id="rId1" w:history="1">
            <w:r w:rsidRPr="00290F28">
              <w:rPr>
                <w:rStyle w:val="Hyperlink"/>
                <w:rFonts w:asciiTheme="majorHAnsi" w:hAnsiTheme="majorHAnsi"/>
                <w:b/>
                <w:sz w:val="18"/>
                <w:szCs w:val="18"/>
              </w:rPr>
              <w:t>https://www.tga.gov.au/products/australian-register-therapeutic-goods-artg/product-information-one</w:t>
            </w:r>
          </w:hyperlink>
          <w:r w:rsidRPr="00290F28">
            <w:rPr>
              <w:rStyle w:val="Hyperlink"/>
              <w:rFonts w:asciiTheme="majorHAnsi" w:hAnsiTheme="majorHAnsi"/>
              <w:b/>
              <w:sz w:val="18"/>
              <w:szCs w:val="18"/>
            </w:rPr>
            <w:t>&gt;</w:t>
          </w:r>
        </w:p>
      </w:tc>
    </w:tr>
  </w:tbl>
  <w:p w14:paraId="030A6023" w14:textId="77777777" w:rsidR="00494F5C" w:rsidRDefault="00494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 o:bullet="t">
        <v:imagedata r:id="rId1" o:title=""/>
      </v:shape>
    </w:pict>
  </w:numPicBullet>
  <w:abstractNum w:abstractNumId="0" w15:restartNumberingAfterBreak="0">
    <w:nsid w:val="01166AA6"/>
    <w:multiLevelType w:val="hybridMultilevel"/>
    <w:tmpl w:val="6E0A075A"/>
    <w:lvl w:ilvl="0" w:tplc="656A0132">
      <w:start w:val="1"/>
      <w:numFmt w:val="bullet"/>
      <w:lvlText w:val=""/>
      <w:lvlPicBulletId w:val="0"/>
      <w:lvlJc w:val="left"/>
      <w:pPr>
        <w:tabs>
          <w:tab w:val="num" w:pos="720"/>
        </w:tabs>
        <w:ind w:left="720" w:hanging="360"/>
      </w:pPr>
      <w:rPr>
        <w:rFonts w:ascii="Symbol" w:hAnsi="Symbol" w:hint="default"/>
      </w:rPr>
    </w:lvl>
    <w:lvl w:ilvl="1" w:tplc="21C6F4E0" w:tentative="1">
      <w:start w:val="1"/>
      <w:numFmt w:val="bullet"/>
      <w:lvlText w:val=""/>
      <w:lvlJc w:val="left"/>
      <w:pPr>
        <w:tabs>
          <w:tab w:val="num" w:pos="1440"/>
        </w:tabs>
        <w:ind w:left="1440" w:hanging="360"/>
      </w:pPr>
      <w:rPr>
        <w:rFonts w:ascii="Symbol" w:hAnsi="Symbol" w:hint="default"/>
      </w:rPr>
    </w:lvl>
    <w:lvl w:ilvl="2" w:tplc="C8F01C0E" w:tentative="1">
      <w:start w:val="1"/>
      <w:numFmt w:val="bullet"/>
      <w:lvlText w:val=""/>
      <w:lvlJc w:val="left"/>
      <w:pPr>
        <w:tabs>
          <w:tab w:val="num" w:pos="2160"/>
        </w:tabs>
        <w:ind w:left="2160" w:hanging="360"/>
      </w:pPr>
      <w:rPr>
        <w:rFonts w:ascii="Symbol" w:hAnsi="Symbol" w:hint="default"/>
      </w:rPr>
    </w:lvl>
    <w:lvl w:ilvl="3" w:tplc="84E6E13C" w:tentative="1">
      <w:start w:val="1"/>
      <w:numFmt w:val="bullet"/>
      <w:lvlText w:val=""/>
      <w:lvlJc w:val="left"/>
      <w:pPr>
        <w:tabs>
          <w:tab w:val="num" w:pos="2880"/>
        </w:tabs>
        <w:ind w:left="2880" w:hanging="360"/>
      </w:pPr>
      <w:rPr>
        <w:rFonts w:ascii="Symbol" w:hAnsi="Symbol" w:hint="default"/>
      </w:rPr>
    </w:lvl>
    <w:lvl w:ilvl="4" w:tplc="35964B2E" w:tentative="1">
      <w:start w:val="1"/>
      <w:numFmt w:val="bullet"/>
      <w:lvlText w:val=""/>
      <w:lvlJc w:val="left"/>
      <w:pPr>
        <w:tabs>
          <w:tab w:val="num" w:pos="3600"/>
        </w:tabs>
        <w:ind w:left="3600" w:hanging="360"/>
      </w:pPr>
      <w:rPr>
        <w:rFonts w:ascii="Symbol" w:hAnsi="Symbol" w:hint="default"/>
      </w:rPr>
    </w:lvl>
    <w:lvl w:ilvl="5" w:tplc="81D65C66" w:tentative="1">
      <w:start w:val="1"/>
      <w:numFmt w:val="bullet"/>
      <w:lvlText w:val=""/>
      <w:lvlJc w:val="left"/>
      <w:pPr>
        <w:tabs>
          <w:tab w:val="num" w:pos="4320"/>
        </w:tabs>
        <w:ind w:left="4320" w:hanging="360"/>
      </w:pPr>
      <w:rPr>
        <w:rFonts w:ascii="Symbol" w:hAnsi="Symbol" w:hint="default"/>
      </w:rPr>
    </w:lvl>
    <w:lvl w:ilvl="6" w:tplc="21F0569C" w:tentative="1">
      <w:start w:val="1"/>
      <w:numFmt w:val="bullet"/>
      <w:lvlText w:val=""/>
      <w:lvlJc w:val="left"/>
      <w:pPr>
        <w:tabs>
          <w:tab w:val="num" w:pos="5040"/>
        </w:tabs>
        <w:ind w:left="5040" w:hanging="360"/>
      </w:pPr>
      <w:rPr>
        <w:rFonts w:ascii="Symbol" w:hAnsi="Symbol" w:hint="default"/>
      </w:rPr>
    </w:lvl>
    <w:lvl w:ilvl="7" w:tplc="39664978" w:tentative="1">
      <w:start w:val="1"/>
      <w:numFmt w:val="bullet"/>
      <w:lvlText w:val=""/>
      <w:lvlJc w:val="left"/>
      <w:pPr>
        <w:tabs>
          <w:tab w:val="num" w:pos="5760"/>
        </w:tabs>
        <w:ind w:left="5760" w:hanging="360"/>
      </w:pPr>
      <w:rPr>
        <w:rFonts w:ascii="Symbol" w:hAnsi="Symbol" w:hint="default"/>
      </w:rPr>
    </w:lvl>
    <w:lvl w:ilvl="8" w:tplc="D858581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976FD"/>
    <w:multiLevelType w:val="hybridMultilevel"/>
    <w:tmpl w:val="11F89C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321774"/>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096D51AB"/>
    <w:multiLevelType w:val="hybridMultilevel"/>
    <w:tmpl w:val="9B9413AE"/>
    <w:lvl w:ilvl="0" w:tplc="414A2CF2">
      <w:start w:val="9"/>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2302C"/>
    <w:multiLevelType w:val="hybridMultilevel"/>
    <w:tmpl w:val="8E92102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85ED2"/>
    <w:multiLevelType w:val="hybridMultilevel"/>
    <w:tmpl w:val="842E4F78"/>
    <w:lvl w:ilvl="0" w:tplc="5226F708">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001D6"/>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22901786"/>
    <w:multiLevelType w:val="singleLevel"/>
    <w:tmpl w:val="0A5A5804"/>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4B6279"/>
    <w:multiLevelType w:val="singleLevel"/>
    <w:tmpl w:val="7AC450D0"/>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7163CD8"/>
    <w:multiLevelType w:val="multilevel"/>
    <w:tmpl w:val="6F56D8AE"/>
    <w:lvl w:ilvl="0">
      <w:start w:val="1"/>
      <w:numFmt w:val="decimal"/>
      <w:lvlText w:val="%1"/>
      <w:lvlJc w:val="left"/>
      <w:pPr>
        <w:tabs>
          <w:tab w:val="num" w:pos="1434"/>
        </w:tabs>
        <w:ind w:left="1434"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6759FE"/>
    <w:multiLevelType w:val="hybridMultilevel"/>
    <w:tmpl w:val="92707F76"/>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2B1F7F57"/>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B7616CB"/>
    <w:multiLevelType w:val="hybridMultilevel"/>
    <w:tmpl w:val="A13ADB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E2D2AFE"/>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38B21B3"/>
    <w:multiLevelType w:val="hybridMultilevel"/>
    <w:tmpl w:val="3782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6B03"/>
    <w:multiLevelType w:val="hybridMultilevel"/>
    <w:tmpl w:val="36E6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F7676"/>
    <w:multiLevelType w:val="hybridMultilevel"/>
    <w:tmpl w:val="9D64AE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8F6D52"/>
    <w:multiLevelType w:val="hybridMultilevel"/>
    <w:tmpl w:val="55F03F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357B5D"/>
    <w:multiLevelType w:val="hybridMultilevel"/>
    <w:tmpl w:val="D0D03CD4"/>
    <w:lvl w:ilvl="0" w:tplc="414A2CF2">
      <w:start w:val="9"/>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2F59F3"/>
    <w:multiLevelType w:val="singleLevel"/>
    <w:tmpl w:val="1948671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363437B"/>
    <w:multiLevelType w:val="hybridMultilevel"/>
    <w:tmpl w:val="0E54F49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BC35D8"/>
    <w:multiLevelType w:val="hybridMultilevel"/>
    <w:tmpl w:val="B48C15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686D1A"/>
    <w:multiLevelType w:val="hybridMultilevel"/>
    <w:tmpl w:val="9D10D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80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147994"/>
    <w:multiLevelType w:val="hybridMultilevel"/>
    <w:tmpl w:val="124067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C84B5E"/>
    <w:multiLevelType w:val="hybridMultilevel"/>
    <w:tmpl w:val="287A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1"/>
  </w:num>
  <w:num w:numId="4">
    <w:abstractNumId w:val="25"/>
  </w:num>
  <w:num w:numId="5">
    <w:abstractNumId w:val="34"/>
  </w:num>
  <w:num w:numId="6">
    <w:abstractNumId w:val="30"/>
  </w:num>
  <w:num w:numId="7">
    <w:abstractNumId w:val="28"/>
  </w:num>
  <w:num w:numId="8">
    <w:abstractNumId w:val="31"/>
  </w:num>
  <w:num w:numId="9">
    <w:abstractNumId w:val="10"/>
  </w:num>
  <w:num w:numId="10">
    <w:abstractNumId w:val="27"/>
  </w:num>
  <w:num w:numId="11">
    <w:abstractNumId w:val="29"/>
  </w:num>
  <w:num w:numId="12">
    <w:abstractNumId w:val="2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6"/>
  </w:num>
  <w:num w:numId="16">
    <w:abstractNumId w:val="4"/>
  </w:num>
  <w:num w:numId="17">
    <w:abstractNumId w:val="6"/>
  </w:num>
  <w:num w:numId="18">
    <w:abstractNumId w:val="20"/>
  </w:num>
  <w:num w:numId="19">
    <w:abstractNumId w:val="7"/>
  </w:num>
  <w:num w:numId="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13"/>
  </w:num>
  <w:num w:numId="24">
    <w:abstractNumId w:val="32"/>
  </w:num>
  <w:num w:numId="25">
    <w:abstractNumId w:val="19"/>
  </w:num>
  <w:num w:numId="26">
    <w:abstractNumId w:val="18"/>
  </w:num>
  <w:num w:numId="27">
    <w:abstractNumId w:val="11"/>
  </w:num>
  <w:num w:numId="28">
    <w:abstractNumId w:val="33"/>
  </w:num>
  <w:num w:numId="29">
    <w:abstractNumId w:val="12"/>
  </w:num>
  <w:num w:numId="30">
    <w:abstractNumId w:val="0"/>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1"/>
  </w:num>
  <w:num w:numId="48">
    <w:abstractNumId w:val="14"/>
  </w:num>
  <w:num w:numId="49">
    <w:abstractNumId w:val="16"/>
  </w:num>
  <w:num w:numId="50">
    <w:abstractNumId w:val="22"/>
  </w:num>
  <w:num w:numId="51">
    <w:abstractNumId w:val="2"/>
  </w:num>
  <w:num w:numId="52">
    <w:abstractNumId w:val="23"/>
  </w:num>
  <w:num w:numId="53">
    <w:abstractNumId w:val="24"/>
  </w:num>
  <w:num w:numId="54">
    <w:abstractNumId w:val="17"/>
  </w:num>
  <w:num w:numId="5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de-CH" w:vendorID="64" w:dllVersion="6" w:nlCheck="1" w:checkStyle="0"/>
  <w:activeWritingStyle w:appName="MSWord" w:lang="fr-CH" w:vendorID="64" w:dllVersion="6" w:nlCheck="1" w:checkStyle="0"/>
  <w:activeWritingStyle w:appName="MSWord" w:lang="en-AU"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92"/>
    <w:rsid w:val="00004569"/>
    <w:rsid w:val="00010B1A"/>
    <w:rsid w:val="0001542A"/>
    <w:rsid w:val="00020B88"/>
    <w:rsid w:val="00021BF3"/>
    <w:rsid w:val="000237F3"/>
    <w:rsid w:val="00023AE8"/>
    <w:rsid w:val="00023F1F"/>
    <w:rsid w:val="000242E5"/>
    <w:rsid w:val="00025881"/>
    <w:rsid w:val="00027048"/>
    <w:rsid w:val="000329BE"/>
    <w:rsid w:val="000345AB"/>
    <w:rsid w:val="000354D8"/>
    <w:rsid w:val="0005196F"/>
    <w:rsid w:val="0005614E"/>
    <w:rsid w:val="00057818"/>
    <w:rsid w:val="0006111E"/>
    <w:rsid w:val="000640E5"/>
    <w:rsid w:val="0006695C"/>
    <w:rsid w:val="000703E2"/>
    <w:rsid w:val="00072CE8"/>
    <w:rsid w:val="0008120B"/>
    <w:rsid w:val="000813D1"/>
    <w:rsid w:val="00082480"/>
    <w:rsid w:val="0008739A"/>
    <w:rsid w:val="00090B59"/>
    <w:rsid w:val="000910BC"/>
    <w:rsid w:val="00097A02"/>
    <w:rsid w:val="00097C0A"/>
    <w:rsid w:val="000A3CD3"/>
    <w:rsid w:val="000A7909"/>
    <w:rsid w:val="000B0B0A"/>
    <w:rsid w:val="000C4A11"/>
    <w:rsid w:val="000C675B"/>
    <w:rsid w:val="000E7A20"/>
    <w:rsid w:val="000F56BB"/>
    <w:rsid w:val="001021BE"/>
    <w:rsid w:val="001076F7"/>
    <w:rsid w:val="00113790"/>
    <w:rsid w:val="00124391"/>
    <w:rsid w:val="00124540"/>
    <w:rsid w:val="0012484D"/>
    <w:rsid w:val="00124A4D"/>
    <w:rsid w:val="00125CBA"/>
    <w:rsid w:val="0013166A"/>
    <w:rsid w:val="0013490E"/>
    <w:rsid w:val="001414EC"/>
    <w:rsid w:val="00141F9B"/>
    <w:rsid w:val="00143C89"/>
    <w:rsid w:val="001472AF"/>
    <w:rsid w:val="00147AAE"/>
    <w:rsid w:val="001520C6"/>
    <w:rsid w:val="0016038E"/>
    <w:rsid w:val="001603B3"/>
    <w:rsid w:val="00167033"/>
    <w:rsid w:val="001703F5"/>
    <w:rsid w:val="0017422E"/>
    <w:rsid w:val="00184637"/>
    <w:rsid w:val="00192543"/>
    <w:rsid w:val="00193F07"/>
    <w:rsid w:val="001A2207"/>
    <w:rsid w:val="001A25E7"/>
    <w:rsid w:val="001A3359"/>
    <w:rsid w:val="001A3992"/>
    <w:rsid w:val="001B1FCD"/>
    <w:rsid w:val="001B6303"/>
    <w:rsid w:val="001C0451"/>
    <w:rsid w:val="001C4469"/>
    <w:rsid w:val="001C5D85"/>
    <w:rsid w:val="001D2C47"/>
    <w:rsid w:val="001D703B"/>
    <w:rsid w:val="001E2846"/>
    <w:rsid w:val="001E6011"/>
    <w:rsid w:val="001F4088"/>
    <w:rsid w:val="002015BA"/>
    <w:rsid w:val="0020577E"/>
    <w:rsid w:val="00206016"/>
    <w:rsid w:val="00207E1A"/>
    <w:rsid w:val="00212FB1"/>
    <w:rsid w:val="00213FD5"/>
    <w:rsid w:val="0022141A"/>
    <w:rsid w:val="00222162"/>
    <w:rsid w:val="002335C1"/>
    <w:rsid w:val="00243DB4"/>
    <w:rsid w:val="00247D3E"/>
    <w:rsid w:val="00253D7C"/>
    <w:rsid w:val="00256058"/>
    <w:rsid w:val="002630ED"/>
    <w:rsid w:val="00272A86"/>
    <w:rsid w:val="00274325"/>
    <w:rsid w:val="00282A1F"/>
    <w:rsid w:val="00290F28"/>
    <w:rsid w:val="002911FE"/>
    <w:rsid w:val="002915AB"/>
    <w:rsid w:val="00297A18"/>
    <w:rsid w:val="002B1FCB"/>
    <w:rsid w:val="002B606B"/>
    <w:rsid w:val="002C3B84"/>
    <w:rsid w:val="002C4672"/>
    <w:rsid w:val="002C7B56"/>
    <w:rsid w:val="002D07A3"/>
    <w:rsid w:val="002D5871"/>
    <w:rsid w:val="002E277D"/>
    <w:rsid w:val="002E4CC9"/>
    <w:rsid w:val="002E5230"/>
    <w:rsid w:val="002E6BF6"/>
    <w:rsid w:val="002F1E47"/>
    <w:rsid w:val="002F475F"/>
    <w:rsid w:val="002F5D9E"/>
    <w:rsid w:val="002F5FD4"/>
    <w:rsid w:val="003028BF"/>
    <w:rsid w:val="003164E0"/>
    <w:rsid w:val="003165C5"/>
    <w:rsid w:val="003241EA"/>
    <w:rsid w:val="00330D1F"/>
    <w:rsid w:val="00333A04"/>
    <w:rsid w:val="00340E86"/>
    <w:rsid w:val="003418E5"/>
    <w:rsid w:val="003506F2"/>
    <w:rsid w:val="00351695"/>
    <w:rsid w:val="003522A9"/>
    <w:rsid w:val="00353978"/>
    <w:rsid w:val="0035682E"/>
    <w:rsid w:val="00367772"/>
    <w:rsid w:val="00371153"/>
    <w:rsid w:val="0037208D"/>
    <w:rsid w:val="00373102"/>
    <w:rsid w:val="00376702"/>
    <w:rsid w:val="003775C7"/>
    <w:rsid w:val="0038603E"/>
    <w:rsid w:val="00387046"/>
    <w:rsid w:val="00394C2A"/>
    <w:rsid w:val="0039599C"/>
    <w:rsid w:val="00395DF2"/>
    <w:rsid w:val="003A2619"/>
    <w:rsid w:val="003A30D1"/>
    <w:rsid w:val="003A5E31"/>
    <w:rsid w:val="003B15C9"/>
    <w:rsid w:val="003C15BC"/>
    <w:rsid w:val="003D3F2A"/>
    <w:rsid w:val="003F0C23"/>
    <w:rsid w:val="003F1243"/>
    <w:rsid w:val="003F4210"/>
    <w:rsid w:val="003F4D90"/>
    <w:rsid w:val="003F5AED"/>
    <w:rsid w:val="003F6D16"/>
    <w:rsid w:val="004032BD"/>
    <w:rsid w:val="00412491"/>
    <w:rsid w:val="00412812"/>
    <w:rsid w:val="00417EAA"/>
    <w:rsid w:val="00431ACD"/>
    <w:rsid w:val="0043207B"/>
    <w:rsid w:val="0043628A"/>
    <w:rsid w:val="00437562"/>
    <w:rsid w:val="0043774C"/>
    <w:rsid w:val="0044524F"/>
    <w:rsid w:val="00447E85"/>
    <w:rsid w:val="00457C40"/>
    <w:rsid w:val="004620E8"/>
    <w:rsid w:val="00462710"/>
    <w:rsid w:val="00462FD0"/>
    <w:rsid w:val="00463B86"/>
    <w:rsid w:val="0047444C"/>
    <w:rsid w:val="004816F7"/>
    <w:rsid w:val="00494F5C"/>
    <w:rsid w:val="004964FD"/>
    <w:rsid w:val="00497C85"/>
    <w:rsid w:val="004A06AB"/>
    <w:rsid w:val="004A0788"/>
    <w:rsid w:val="004A2465"/>
    <w:rsid w:val="004C0272"/>
    <w:rsid w:val="004C151B"/>
    <w:rsid w:val="004C36A3"/>
    <w:rsid w:val="004C6167"/>
    <w:rsid w:val="004C7365"/>
    <w:rsid w:val="004E2907"/>
    <w:rsid w:val="004E505F"/>
    <w:rsid w:val="004E552B"/>
    <w:rsid w:val="004F201E"/>
    <w:rsid w:val="004F34B0"/>
    <w:rsid w:val="004F53D6"/>
    <w:rsid w:val="004F5ADC"/>
    <w:rsid w:val="00503ABE"/>
    <w:rsid w:val="00504EEA"/>
    <w:rsid w:val="00505132"/>
    <w:rsid w:val="0050597C"/>
    <w:rsid w:val="00511F60"/>
    <w:rsid w:val="00512BA0"/>
    <w:rsid w:val="00521C4B"/>
    <w:rsid w:val="00524A16"/>
    <w:rsid w:val="00530A34"/>
    <w:rsid w:val="00530EBE"/>
    <w:rsid w:val="0054357C"/>
    <w:rsid w:val="00545C3F"/>
    <w:rsid w:val="00557ABA"/>
    <w:rsid w:val="00564581"/>
    <w:rsid w:val="0056614B"/>
    <w:rsid w:val="00567A8A"/>
    <w:rsid w:val="00567EF3"/>
    <w:rsid w:val="00574824"/>
    <w:rsid w:val="00577B39"/>
    <w:rsid w:val="0058033B"/>
    <w:rsid w:val="005854D8"/>
    <w:rsid w:val="00592D1E"/>
    <w:rsid w:val="005A0A7A"/>
    <w:rsid w:val="005A26F4"/>
    <w:rsid w:val="005A79A2"/>
    <w:rsid w:val="005C4021"/>
    <w:rsid w:val="005C4D15"/>
    <w:rsid w:val="005D0E65"/>
    <w:rsid w:val="005E6B9F"/>
    <w:rsid w:val="005F556A"/>
    <w:rsid w:val="005F67EA"/>
    <w:rsid w:val="005F7E64"/>
    <w:rsid w:val="0061268F"/>
    <w:rsid w:val="00626B66"/>
    <w:rsid w:val="00631553"/>
    <w:rsid w:val="00655CE2"/>
    <w:rsid w:val="006702EF"/>
    <w:rsid w:val="00671CE3"/>
    <w:rsid w:val="00672D33"/>
    <w:rsid w:val="00673C3F"/>
    <w:rsid w:val="00677EC9"/>
    <w:rsid w:val="0068516D"/>
    <w:rsid w:val="00685628"/>
    <w:rsid w:val="00687112"/>
    <w:rsid w:val="00690FDD"/>
    <w:rsid w:val="00697E7F"/>
    <w:rsid w:val="006A29F4"/>
    <w:rsid w:val="006A5E96"/>
    <w:rsid w:val="006A6FCF"/>
    <w:rsid w:val="006A72CB"/>
    <w:rsid w:val="006B22D1"/>
    <w:rsid w:val="006B42AE"/>
    <w:rsid w:val="006B5C41"/>
    <w:rsid w:val="006C0D7B"/>
    <w:rsid w:val="006C19EA"/>
    <w:rsid w:val="006C282A"/>
    <w:rsid w:val="006C7191"/>
    <w:rsid w:val="006D1E5A"/>
    <w:rsid w:val="006D357C"/>
    <w:rsid w:val="006D6560"/>
    <w:rsid w:val="006D6733"/>
    <w:rsid w:val="006D67F5"/>
    <w:rsid w:val="006D6F1E"/>
    <w:rsid w:val="006E1D7A"/>
    <w:rsid w:val="006E7836"/>
    <w:rsid w:val="006F27F8"/>
    <w:rsid w:val="006F4984"/>
    <w:rsid w:val="0070070C"/>
    <w:rsid w:val="00703303"/>
    <w:rsid w:val="0071341E"/>
    <w:rsid w:val="0071362E"/>
    <w:rsid w:val="00714AC8"/>
    <w:rsid w:val="00716706"/>
    <w:rsid w:val="00724AC7"/>
    <w:rsid w:val="00726FFE"/>
    <w:rsid w:val="00733D88"/>
    <w:rsid w:val="007346E1"/>
    <w:rsid w:val="00742C11"/>
    <w:rsid w:val="007455DB"/>
    <w:rsid w:val="0075422A"/>
    <w:rsid w:val="00754A62"/>
    <w:rsid w:val="00754C9D"/>
    <w:rsid w:val="00755F00"/>
    <w:rsid w:val="007566CC"/>
    <w:rsid w:val="007627F2"/>
    <w:rsid w:val="00767457"/>
    <w:rsid w:val="0077229D"/>
    <w:rsid w:val="00773F02"/>
    <w:rsid w:val="007858F0"/>
    <w:rsid w:val="00786A52"/>
    <w:rsid w:val="007877D5"/>
    <w:rsid w:val="00791A60"/>
    <w:rsid w:val="007A2F8A"/>
    <w:rsid w:val="007A75B6"/>
    <w:rsid w:val="007C0094"/>
    <w:rsid w:val="007C7DA6"/>
    <w:rsid w:val="007D1FA3"/>
    <w:rsid w:val="007E2E97"/>
    <w:rsid w:val="007E4AF0"/>
    <w:rsid w:val="007E693C"/>
    <w:rsid w:val="007F45C2"/>
    <w:rsid w:val="007F51C6"/>
    <w:rsid w:val="0081558E"/>
    <w:rsid w:val="00822BF0"/>
    <w:rsid w:val="008260E5"/>
    <w:rsid w:val="008302EB"/>
    <w:rsid w:val="008346B7"/>
    <w:rsid w:val="008349DE"/>
    <w:rsid w:val="00835935"/>
    <w:rsid w:val="008413CF"/>
    <w:rsid w:val="008433FB"/>
    <w:rsid w:val="00844E45"/>
    <w:rsid w:val="008565DA"/>
    <w:rsid w:val="00860D6B"/>
    <w:rsid w:val="0086472C"/>
    <w:rsid w:val="0086583F"/>
    <w:rsid w:val="00866388"/>
    <w:rsid w:val="00871145"/>
    <w:rsid w:val="008823E0"/>
    <w:rsid w:val="008A42F5"/>
    <w:rsid w:val="008A66CF"/>
    <w:rsid w:val="008A6C7A"/>
    <w:rsid w:val="008A7965"/>
    <w:rsid w:val="008B3BB5"/>
    <w:rsid w:val="008B5576"/>
    <w:rsid w:val="008B5A7D"/>
    <w:rsid w:val="008C0E09"/>
    <w:rsid w:val="008D2025"/>
    <w:rsid w:val="008E247E"/>
    <w:rsid w:val="008E6F80"/>
    <w:rsid w:val="008F4547"/>
    <w:rsid w:val="008F54ED"/>
    <w:rsid w:val="00900AF7"/>
    <w:rsid w:val="00901ADE"/>
    <w:rsid w:val="00904D71"/>
    <w:rsid w:val="00906A4A"/>
    <w:rsid w:val="00907237"/>
    <w:rsid w:val="00907AD8"/>
    <w:rsid w:val="00914388"/>
    <w:rsid w:val="009156E8"/>
    <w:rsid w:val="009303C3"/>
    <w:rsid w:val="00937685"/>
    <w:rsid w:val="00950FDB"/>
    <w:rsid w:val="00951C28"/>
    <w:rsid w:val="009608E9"/>
    <w:rsid w:val="00960CD5"/>
    <w:rsid w:val="00961F70"/>
    <w:rsid w:val="009625FE"/>
    <w:rsid w:val="00966B21"/>
    <w:rsid w:val="00980D50"/>
    <w:rsid w:val="00980ECC"/>
    <w:rsid w:val="009810F4"/>
    <w:rsid w:val="0098156C"/>
    <w:rsid w:val="00982D3F"/>
    <w:rsid w:val="00983B06"/>
    <w:rsid w:val="00984CEE"/>
    <w:rsid w:val="0098570B"/>
    <w:rsid w:val="009908D8"/>
    <w:rsid w:val="009A7D08"/>
    <w:rsid w:val="009B615A"/>
    <w:rsid w:val="009B6427"/>
    <w:rsid w:val="009B727A"/>
    <w:rsid w:val="009C540B"/>
    <w:rsid w:val="009D07EB"/>
    <w:rsid w:val="009D133A"/>
    <w:rsid w:val="009D1AED"/>
    <w:rsid w:val="009D666B"/>
    <w:rsid w:val="009D7CBC"/>
    <w:rsid w:val="009E1CC2"/>
    <w:rsid w:val="009F0E42"/>
    <w:rsid w:val="00A010D3"/>
    <w:rsid w:val="00A108FB"/>
    <w:rsid w:val="00A11DC3"/>
    <w:rsid w:val="00A1224B"/>
    <w:rsid w:val="00A1560D"/>
    <w:rsid w:val="00A22371"/>
    <w:rsid w:val="00A2408C"/>
    <w:rsid w:val="00A244FE"/>
    <w:rsid w:val="00A257C0"/>
    <w:rsid w:val="00A2648E"/>
    <w:rsid w:val="00A27D7E"/>
    <w:rsid w:val="00A40CEA"/>
    <w:rsid w:val="00A423C6"/>
    <w:rsid w:val="00A6074F"/>
    <w:rsid w:val="00A64987"/>
    <w:rsid w:val="00A66DFA"/>
    <w:rsid w:val="00A72C13"/>
    <w:rsid w:val="00A74FCA"/>
    <w:rsid w:val="00A8009B"/>
    <w:rsid w:val="00A84159"/>
    <w:rsid w:val="00A90114"/>
    <w:rsid w:val="00A93A76"/>
    <w:rsid w:val="00A96B27"/>
    <w:rsid w:val="00AB2973"/>
    <w:rsid w:val="00AB3537"/>
    <w:rsid w:val="00AB6D7B"/>
    <w:rsid w:val="00AC3297"/>
    <w:rsid w:val="00AC40B4"/>
    <w:rsid w:val="00AD734A"/>
    <w:rsid w:val="00AE137B"/>
    <w:rsid w:val="00AE657B"/>
    <w:rsid w:val="00AF3517"/>
    <w:rsid w:val="00AF4E63"/>
    <w:rsid w:val="00AF5503"/>
    <w:rsid w:val="00B002AB"/>
    <w:rsid w:val="00B02EC3"/>
    <w:rsid w:val="00B04744"/>
    <w:rsid w:val="00B06B96"/>
    <w:rsid w:val="00B22049"/>
    <w:rsid w:val="00B23759"/>
    <w:rsid w:val="00B24809"/>
    <w:rsid w:val="00B25248"/>
    <w:rsid w:val="00B259D2"/>
    <w:rsid w:val="00B3321F"/>
    <w:rsid w:val="00B350C0"/>
    <w:rsid w:val="00B40634"/>
    <w:rsid w:val="00B43EAF"/>
    <w:rsid w:val="00B52008"/>
    <w:rsid w:val="00B61A8B"/>
    <w:rsid w:val="00B635C0"/>
    <w:rsid w:val="00B64CA9"/>
    <w:rsid w:val="00B661A5"/>
    <w:rsid w:val="00B77816"/>
    <w:rsid w:val="00B77E37"/>
    <w:rsid w:val="00B80E56"/>
    <w:rsid w:val="00B83784"/>
    <w:rsid w:val="00B83E25"/>
    <w:rsid w:val="00B94192"/>
    <w:rsid w:val="00B94F93"/>
    <w:rsid w:val="00B95A3F"/>
    <w:rsid w:val="00B974E9"/>
    <w:rsid w:val="00B97A64"/>
    <w:rsid w:val="00BA094B"/>
    <w:rsid w:val="00BA0AF7"/>
    <w:rsid w:val="00BA36D8"/>
    <w:rsid w:val="00BB2D19"/>
    <w:rsid w:val="00BB46BA"/>
    <w:rsid w:val="00BC6DA9"/>
    <w:rsid w:val="00BD69F4"/>
    <w:rsid w:val="00BE7FD1"/>
    <w:rsid w:val="00C03461"/>
    <w:rsid w:val="00C07862"/>
    <w:rsid w:val="00C104FD"/>
    <w:rsid w:val="00C10956"/>
    <w:rsid w:val="00C11994"/>
    <w:rsid w:val="00C119E0"/>
    <w:rsid w:val="00C12690"/>
    <w:rsid w:val="00C135A5"/>
    <w:rsid w:val="00C200C2"/>
    <w:rsid w:val="00C227CD"/>
    <w:rsid w:val="00C27E32"/>
    <w:rsid w:val="00C31C9E"/>
    <w:rsid w:val="00C31DA7"/>
    <w:rsid w:val="00C34100"/>
    <w:rsid w:val="00C40E8A"/>
    <w:rsid w:val="00C42393"/>
    <w:rsid w:val="00C47072"/>
    <w:rsid w:val="00C5093D"/>
    <w:rsid w:val="00C55AEF"/>
    <w:rsid w:val="00C57267"/>
    <w:rsid w:val="00C6319D"/>
    <w:rsid w:val="00C64E0D"/>
    <w:rsid w:val="00C6506A"/>
    <w:rsid w:val="00C650CF"/>
    <w:rsid w:val="00C73D3A"/>
    <w:rsid w:val="00C73D6B"/>
    <w:rsid w:val="00C91B2B"/>
    <w:rsid w:val="00C947A4"/>
    <w:rsid w:val="00C96994"/>
    <w:rsid w:val="00CA0576"/>
    <w:rsid w:val="00CA1F18"/>
    <w:rsid w:val="00CA1F8F"/>
    <w:rsid w:val="00CA303E"/>
    <w:rsid w:val="00CA6CCF"/>
    <w:rsid w:val="00CB0A7D"/>
    <w:rsid w:val="00CB5E8E"/>
    <w:rsid w:val="00CC4EB2"/>
    <w:rsid w:val="00CC78C5"/>
    <w:rsid w:val="00CD2BEB"/>
    <w:rsid w:val="00CE20CB"/>
    <w:rsid w:val="00CF6F73"/>
    <w:rsid w:val="00D0095D"/>
    <w:rsid w:val="00D01761"/>
    <w:rsid w:val="00D01EB6"/>
    <w:rsid w:val="00D125DE"/>
    <w:rsid w:val="00D20C41"/>
    <w:rsid w:val="00D26EC6"/>
    <w:rsid w:val="00D3115F"/>
    <w:rsid w:val="00D35965"/>
    <w:rsid w:val="00D37D38"/>
    <w:rsid w:val="00D44BA0"/>
    <w:rsid w:val="00D45099"/>
    <w:rsid w:val="00D509AD"/>
    <w:rsid w:val="00D52CE3"/>
    <w:rsid w:val="00D61277"/>
    <w:rsid w:val="00D63F42"/>
    <w:rsid w:val="00D737BF"/>
    <w:rsid w:val="00D834B1"/>
    <w:rsid w:val="00D85277"/>
    <w:rsid w:val="00D86B64"/>
    <w:rsid w:val="00D926FD"/>
    <w:rsid w:val="00DA1CD8"/>
    <w:rsid w:val="00DA2E46"/>
    <w:rsid w:val="00DA5A69"/>
    <w:rsid w:val="00DB3AE8"/>
    <w:rsid w:val="00DC2111"/>
    <w:rsid w:val="00DC3255"/>
    <w:rsid w:val="00DC4A2E"/>
    <w:rsid w:val="00DC5DED"/>
    <w:rsid w:val="00DC7A21"/>
    <w:rsid w:val="00DD1E5A"/>
    <w:rsid w:val="00DD3737"/>
    <w:rsid w:val="00DD3B1C"/>
    <w:rsid w:val="00DD49CA"/>
    <w:rsid w:val="00DD64F5"/>
    <w:rsid w:val="00DE3BC9"/>
    <w:rsid w:val="00DE41B3"/>
    <w:rsid w:val="00DF5E99"/>
    <w:rsid w:val="00DF625A"/>
    <w:rsid w:val="00DF655B"/>
    <w:rsid w:val="00E00A33"/>
    <w:rsid w:val="00E02A4B"/>
    <w:rsid w:val="00E1362D"/>
    <w:rsid w:val="00E20349"/>
    <w:rsid w:val="00E232D6"/>
    <w:rsid w:val="00E30F42"/>
    <w:rsid w:val="00E32595"/>
    <w:rsid w:val="00E35C14"/>
    <w:rsid w:val="00E40108"/>
    <w:rsid w:val="00E40EC1"/>
    <w:rsid w:val="00E63F3E"/>
    <w:rsid w:val="00E67502"/>
    <w:rsid w:val="00E74A56"/>
    <w:rsid w:val="00E754C4"/>
    <w:rsid w:val="00E7649D"/>
    <w:rsid w:val="00E83219"/>
    <w:rsid w:val="00E84E6E"/>
    <w:rsid w:val="00E86D0D"/>
    <w:rsid w:val="00E94F66"/>
    <w:rsid w:val="00E97871"/>
    <w:rsid w:val="00EA3164"/>
    <w:rsid w:val="00EA724F"/>
    <w:rsid w:val="00EB0EA3"/>
    <w:rsid w:val="00EB2484"/>
    <w:rsid w:val="00EB2D5A"/>
    <w:rsid w:val="00ED0080"/>
    <w:rsid w:val="00ED0937"/>
    <w:rsid w:val="00EE366A"/>
    <w:rsid w:val="00EE421D"/>
    <w:rsid w:val="00EE6413"/>
    <w:rsid w:val="00EE725A"/>
    <w:rsid w:val="00F05622"/>
    <w:rsid w:val="00F05843"/>
    <w:rsid w:val="00F05925"/>
    <w:rsid w:val="00F12AE5"/>
    <w:rsid w:val="00F14DD5"/>
    <w:rsid w:val="00F15667"/>
    <w:rsid w:val="00F2317B"/>
    <w:rsid w:val="00F25D82"/>
    <w:rsid w:val="00F5122A"/>
    <w:rsid w:val="00F52032"/>
    <w:rsid w:val="00F62A4F"/>
    <w:rsid w:val="00F712D4"/>
    <w:rsid w:val="00F76296"/>
    <w:rsid w:val="00F80ED9"/>
    <w:rsid w:val="00F82E88"/>
    <w:rsid w:val="00F84EA0"/>
    <w:rsid w:val="00F878DF"/>
    <w:rsid w:val="00F9049D"/>
    <w:rsid w:val="00F96DF0"/>
    <w:rsid w:val="00F96E07"/>
    <w:rsid w:val="00FA0EF2"/>
    <w:rsid w:val="00FB21A6"/>
    <w:rsid w:val="00FB4ED7"/>
    <w:rsid w:val="00FB5C00"/>
    <w:rsid w:val="00FC0980"/>
    <w:rsid w:val="00FC1162"/>
    <w:rsid w:val="00FC1C14"/>
    <w:rsid w:val="00FC601E"/>
    <w:rsid w:val="00FC69A8"/>
    <w:rsid w:val="00FC7DD1"/>
    <w:rsid w:val="00FD3682"/>
    <w:rsid w:val="00FD3E37"/>
    <w:rsid w:val="00FD4CE2"/>
    <w:rsid w:val="00FD61E5"/>
    <w:rsid w:val="00FD6A17"/>
    <w:rsid w:val="00FD6A5E"/>
    <w:rsid w:val="00FE59EB"/>
    <w:rsid w:val="00FE6067"/>
    <w:rsid w:val="00FF0F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9F4F2"/>
  <w15:docId w15:val="{53377FE0-8D71-4BF1-B288-6F67A5E8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DO NOT USE"/>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aliases w:val="DO NOT USE Char"/>
    <w:basedOn w:val="DefaultParagraphFont"/>
    <w:link w:val="Heading5"/>
    <w:uiPriority w:val="9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Comment Text Char1 Char,Comment Text Char Char Char,Comment Text Char1,Comment Text Char Char,Comment Text Char Char1,Char Char,Char,Testo commento, Car17, Car17 Car, Char Char Char, Char Char1,Annotationtext,Comment Text Char2 Char,Car17"/>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Comment Text Char1 Char Char,Comment Text Char Char Char Char,Comment Text Char1 Char1,Comment Text Char Char Char1,Comment Text Char Char1 Char,Char Char Char,Char Char1,Testo commento Char, Car17 Char, Car17 Car Char, Char Char1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character" w:styleId="Emphasis">
    <w:name w:val="Emphasis"/>
    <w:basedOn w:val="DefaultParagraphFont"/>
    <w:qFormat/>
    <w:rsid w:val="008A42F5"/>
    <w:rPr>
      <w:i/>
      <w:iCs/>
    </w:rPr>
  </w:style>
  <w:style w:type="paragraph" w:customStyle="1" w:styleId="Text">
    <w:name w:val="Text"/>
    <w:aliases w:val="Graphic,Graphic Char Char,Graphic Char Char Char Char Char,Graphic Char Char Char Char Char Char Char C,notic,Text_10394,non tochic,Italic,graphics,本文,JP Body Text,Text_20957,Graphic + Bold,graphic"/>
    <w:basedOn w:val="Normal"/>
    <w:link w:val="TextChar"/>
    <w:qFormat/>
    <w:rsid w:val="00AF4E63"/>
    <w:pPr>
      <w:widowControl w:val="0"/>
      <w:autoSpaceDE w:val="0"/>
      <w:autoSpaceDN w:val="0"/>
      <w:adjustRightInd w:val="0"/>
      <w:spacing w:after="0" w:line="240" w:lineRule="auto"/>
    </w:pPr>
    <w:rPr>
      <w:rFonts w:ascii="Times New Roman" w:eastAsia="Times New Roman" w:hAnsi="Times New Roman" w:cs="Times New Roman"/>
      <w:sz w:val="24"/>
      <w:szCs w:val="20"/>
      <w:lang w:bidi="th-TH"/>
    </w:rPr>
  </w:style>
  <w:style w:type="paragraph" w:customStyle="1" w:styleId="Table">
    <w:name w:val="Table"/>
    <w:aliases w:val="10 pt  Bold,9 pt,10 pt,9 pt Char Char,Normal + (Latin) Arial,(Complex) Arial,table text 10 pt + Arial,Bold,Normal + Courier New,9pt,9,After:  1 pt,Line spacing:  Exactly 9 pt,10,legendpt,Table pt,Courier New,Not Bold,Text + Courier New,legendt,Aut"/>
    <w:basedOn w:val="Normal"/>
    <w:link w:val="TableChar"/>
    <w:autoRedefine/>
    <w:qFormat/>
    <w:rsid w:val="00E1362D"/>
    <w:pPr>
      <w:keepLines/>
      <w:widowControl w:val="0"/>
      <w:tabs>
        <w:tab w:val="left" w:pos="284"/>
      </w:tabs>
      <w:autoSpaceDE w:val="0"/>
      <w:autoSpaceDN w:val="0"/>
      <w:adjustRightInd w:val="0"/>
      <w:spacing w:before="20" w:after="20" w:line="240" w:lineRule="auto"/>
      <w:ind w:left="224" w:firstLine="22"/>
    </w:pPr>
    <w:rPr>
      <w:rFonts w:ascii="Arial" w:eastAsia="SimSun" w:hAnsi="Arial" w:cs="Arial"/>
      <w:b/>
      <w:bCs/>
      <w:sz w:val="18"/>
      <w:szCs w:val="19"/>
      <w:lang w:eastAsia="zh-CN" w:bidi="th-TH"/>
    </w:rPr>
  </w:style>
  <w:style w:type="character" w:customStyle="1" w:styleId="TextChar">
    <w:name w:val="Text Char"/>
    <w:basedOn w:val="DefaultParagraphFont"/>
    <w:link w:val="Text"/>
    <w:locked/>
    <w:rsid w:val="00AF4E63"/>
    <w:rPr>
      <w:rFonts w:ascii="Times New Roman" w:eastAsia="Times New Roman" w:hAnsi="Times New Roman" w:cs="Times New Roman"/>
      <w:sz w:val="24"/>
      <w:szCs w:val="20"/>
      <w:lang w:bidi="th-TH"/>
    </w:rPr>
  </w:style>
  <w:style w:type="table" w:styleId="TableGrid">
    <w:name w:val="Table Grid"/>
    <w:basedOn w:val="TableNormal"/>
    <w:uiPriority w:val="59"/>
    <w:rsid w:val="00AF4E63"/>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9pt Char,9 Char,8 pt Char,bold Char,Bold Char,Arial Char,Not Italic Char,10 Char,Normal + Courier New Char,Italic Char,Justified Char,Left:  0&quot; Char,Hanging:  0.67&quot; Char,Be... Char,Table pt Char"/>
    <w:basedOn w:val="DefaultParagraphFont"/>
    <w:link w:val="Table"/>
    <w:locked/>
    <w:rsid w:val="00E1362D"/>
    <w:rPr>
      <w:rFonts w:ascii="Arial" w:eastAsia="SimSun" w:hAnsi="Arial" w:cs="Arial"/>
      <w:b/>
      <w:bCs/>
      <w:sz w:val="18"/>
      <w:szCs w:val="19"/>
      <w:lang w:eastAsia="zh-CN" w:bidi="th-TH"/>
    </w:rPr>
  </w:style>
  <w:style w:type="character" w:styleId="PageNumber">
    <w:name w:val="page number"/>
    <w:basedOn w:val="DefaultParagraphFont"/>
    <w:uiPriority w:val="99"/>
    <w:rsid w:val="00F62A4F"/>
    <w:rPr>
      <w:rFonts w:cs="Times New Roman"/>
    </w:rPr>
  </w:style>
  <w:style w:type="table" w:customStyle="1" w:styleId="TableGrid4">
    <w:name w:val="Table Grid4"/>
    <w:basedOn w:val="TableNormal"/>
    <w:next w:val="TableGrid"/>
    <w:uiPriority w:val="59"/>
    <w:rsid w:val="00F6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421D"/>
    <w:rPr>
      <w:rFonts w:asciiTheme="minorHAnsi" w:hAnsiTheme="minorHAnsi"/>
      <w:b/>
      <w:bCs/>
    </w:rPr>
  </w:style>
  <w:style w:type="character" w:customStyle="1" w:styleId="CommentSubjectChar">
    <w:name w:val="Comment Subject Char"/>
    <w:basedOn w:val="CommentTextChar"/>
    <w:link w:val="CommentSubject"/>
    <w:uiPriority w:val="99"/>
    <w:semiHidden/>
    <w:rsid w:val="00EE421D"/>
    <w:rPr>
      <w:rFonts w:ascii="Cambria" w:hAnsi="Cambria"/>
      <w:b/>
      <w:bCs/>
      <w:sz w:val="20"/>
      <w:szCs w:val="20"/>
    </w:rPr>
  </w:style>
  <w:style w:type="paragraph" w:customStyle="1" w:styleId="Nottoc-headings">
    <w:name w:val="Not toc-headings"/>
    <w:basedOn w:val="Normal"/>
    <w:next w:val="Text"/>
    <w:link w:val="Nottoc-headingsChar"/>
    <w:rsid w:val="00EE421D"/>
    <w:pPr>
      <w:keepNext/>
      <w:keepLines/>
      <w:widowControl w:val="0"/>
      <w:autoSpaceDE w:val="0"/>
      <w:autoSpaceDN w:val="0"/>
      <w:adjustRightInd w:val="0"/>
      <w:spacing w:before="240" w:after="60" w:line="240" w:lineRule="auto"/>
      <w:ind w:left="1701" w:hanging="1701"/>
    </w:pPr>
    <w:rPr>
      <w:rFonts w:ascii="Arial" w:eastAsia="Times New Roman" w:hAnsi="Arial" w:cs="Times New Roman"/>
      <w:sz w:val="24"/>
      <w:szCs w:val="20"/>
      <w:lang w:bidi="th-TH"/>
    </w:rPr>
  </w:style>
  <w:style w:type="character" w:customStyle="1" w:styleId="Nottoc-headingsChar">
    <w:name w:val="Not toc-headings Char"/>
    <w:basedOn w:val="DefaultParagraphFont"/>
    <w:link w:val="Nottoc-headings"/>
    <w:locked/>
    <w:rsid w:val="00EE421D"/>
    <w:rPr>
      <w:rFonts w:ascii="Arial" w:eastAsia="Times New Roman" w:hAnsi="Arial" w:cs="Times New Roman"/>
      <w:sz w:val="24"/>
      <w:szCs w:val="20"/>
      <w:lang w:bidi="th-TH"/>
    </w:rPr>
  </w:style>
  <w:style w:type="paragraph" w:styleId="Revision">
    <w:name w:val="Revision"/>
    <w:hidden/>
    <w:uiPriority w:val="99"/>
    <w:semiHidden/>
    <w:rsid w:val="00010B1A"/>
    <w:pPr>
      <w:spacing w:after="0" w:line="240" w:lineRule="auto"/>
    </w:pPr>
  </w:style>
  <w:style w:type="paragraph" w:customStyle="1" w:styleId="Default">
    <w:name w:val="Default"/>
    <w:rsid w:val="00253D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end">
    <w:name w:val="Legend"/>
    <w:basedOn w:val="Table"/>
    <w:link w:val="LegendChar"/>
    <w:rsid w:val="00AC3297"/>
    <w:pPr>
      <w:spacing w:before="40"/>
      <w:ind w:left="0" w:firstLine="0"/>
    </w:pPr>
    <w:rPr>
      <w:rFonts w:eastAsia="MS Mincho"/>
      <w:b w:val="0"/>
      <w:sz w:val="20"/>
      <w:lang w:eastAsia="en-US"/>
    </w:rPr>
  </w:style>
  <w:style w:type="paragraph" w:customStyle="1" w:styleId="Listlevel1">
    <w:name w:val="List level 1"/>
    <w:basedOn w:val="Normal"/>
    <w:link w:val="Listlevel1Char"/>
    <w:rsid w:val="00BB46BA"/>
    <w:pPr>
      <w:spacing w:before="40" w:after="0" w:line="240" w:lineRule="auto"/>
      <w:ind w:left="425" w:hanging="425"/>
    </w:pPr>
    <w:rPr>
      <w:rFonts w:ascii="Times New Roman" w:eastAsia="MS Mincho" w:hAnsi="Times New Roman" w:cs="Times New Roman"/>
      <w:sz w:val="24"/>
      <w:szCs w:val="20"/>
      <w:lang w:val="en-US" w:eastAsia="zh-CN"/>
    </w:rPr>
  </w:style>
  <w:style w:type="character" w:customStyle="1" w:styleId="Listlevel1Char">
    <w:name w:val="List level 1 Char"/>
    <w:link w:val="Listlevel1"/>
    <w:locked/>
    <w:rsid w:val="00BB46BA"/>
    <w:rPr>
      <w:rFonts w:ascii="Times New Roman" w:eastAsia="MS Mincho" w:hAnsi="Times New Roman" w:cs="Times New Roman"/>
      <w:sz w:val="24"/>
      <w:szCs w:val="20"/>
      <w:lang w:val="en-US" w:eastAsia="zh-CN"/>
    </w:rPr>
  </w:style>
  <w:style w:type="table" w:customStyle="1" w:styleId="TableGrid5">
    <w:name w:val="Table Grid5"/>
    <w:basedOn w:val="TableNormal"/>
    <w:next w:val="TableGrid"/>
    <w:uiPriority w:val="59"/>
    <w:rsid w:val="00160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6F2"/>
    <w:pPr>
      <w:spacing w:after="0" w:line="240" w:lineRule="auto"/>
    </w:pPr>
  </w:style>
  <w:style w:type="paragraph" w:customStyle="1" w:styleId="Firstpageinfo">
    <w:name w:val="Firstpageinfo"/>
    <w:basedOn w:val="Heading5"/>
    <w:link w:val="FirstpageinfoChar"/>
    <w:rsid w:val="00192543"/>
    <w:pPr>
      <w:numPr>
        <w:ilvl w:val="0"/>
        <w:numId w:val="0"/>
      </w:numPr>
      <w:spacing w:before="240" w:line="240" w:lineRule="auto"/>
      <w:outlineLvl w:val="9"/>
    </w:pPr>
    <w:rPr>
      <w:rFonts w:ascii="Arial" w:eastAsia="MS Gothic" w:hAnsi="Arial" w:cs="Arial"/>
      <w:color w:val="auto"/>
      <w:sz w:val="24"/>
      <w:szCs w:val="20"/>
      <w:lang w:val="en-US" w:eastAsia="zh-CN"/>
    </w:rPr>
  </w:style>
  <w:style w:type="character" w:customStyle="1" w:styleId="FirstpageinfoChar">
    <w:name w:val="Firstpageinfo Char"/>
    <w:link w:val="Firstpageinfo"/>
    <w:rsid w:val="00192543"/>
    <w:rPr>
      <w:rFonts w:ascii="Arial" w:eastAsia="MS Gothic" w:hAnsi="Arial" w:cs="Arial"/>
      <w:sz w:val="24"/>
      <w:szCs w:val="20"/>
      <w:lang w:val="en-US" w:eastAsia="zh-CN"/>
    </w:rPr>
  </w:style>
  <w:style w:type="character" w:customStyle="1" w:styleId="LegendChar">
    <w:name w:val="Legend Char"/>
    <w:link w:val="Legend"/>
    <w:rsid w:val="00AF3517"/>
    <w:rPr>
      <w:rFonts w:ascii="Arial" w:eastAsia="MS Mincho" w:hAnsi="Arial" w:cs="Arial"/>
      <w:bCs/>
      <w:sz w:val="20"/>
      <w:szCs w:val="19"/>
      <w:lang w:bidi="th-TH"/>
    </w:rPr>
  </w:style>
  <w:style w:type="character" w:customStyle="1" w:styleId="ReferenceChar">
    <w:name w:val="Reference Char"/>
    <w:link w:val="Reference"/>
    <w:locked/>
    <w:rsid w:val="003F1243"/>
    <w:rPr>
      <w:rFonts w:ascii="MS Mincho" w:eastAsia="MS Mincho" w:hAnsi="MS Mincho"/>
      <w:sz w:val="24"/>
      <w:lang w:eastAsia="zh-CN"/>
    </w:rPr>
  </w:style>
  <w:style w:type="paragraph" w:customStyle="1" w:styleId="Reference">
    <w:name w:val="Reference"/>
    <w:basedOn w:val="Normal"/>
    <w:link w:val="ReferenceChar"/>
    <w:rsid w:val="003F1243"/>
    <w:pPr>
      <w:spacing w:before="80" w:after="60" w:line="240" w:lineRule="auto"/>
    </w:pPr>
    <w:rPr>
      <w:rFonts w:ascii="MS Mincho" w:eastAsia="MS Mincho" w:hAnsi="MS Mincho"/>
      <w:sz w:val="24"/>
      <w:lang w:eastAsia="zh-CN"/>
    </w:rPr>
  </w:style>
  <w:style w:type="table" w:customStyle="1" w:styleId="TableGrid1">
    <w:name w:val="Table Grid1"/>
    <w:basedOn w:val="TableNormal"/>
    <w:next w:val="TableGrid"/>
    <w:rsid w:val="005A26F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82684">
      <w:bodyDiv w:val="1"/>
      <w:marLeft w:val="0"/>
      <w:marRight w:val="0"/>
      <w:marTop w:val="0"/>
      <w:marBottom w:val="0"/>
      <w:divBdr>
        <w:top w:val="none" w:sz="0" w:space="0" w:color="auto"/>
        <w:left w:val="none" w:sz="0" w:space="0" w:color="auto"/>
        <w:bottom w:val="none" w:sz="0" w:space="0" w:color="auto"/>
        <w:right w:val="none" w:sz="0" w:space="0" w:color="auto"/>
      </w:divBdr>
    </w:div>
    <w:div w:id="285308344">
      <w:bodyDiv w:val="1"/>
      <w:marLeft w:val="0"/>
      <w:marRight w:val="0"/>
      <w:marTop w:val="0"/>
      <w:marBottom w:val="0"/>
      <w:divBdr>
        <w:top w:val="none" w:sz="0" w:space="0" w:color="auto"/>
        <w:left w:val="none" w:sz="0" w:space="0" w:color="auto"/>
        <w:bottom w:val="none" w:sz="0" w:space="0" w:color="auto"/>
        <w:right w:val="none" w:sz="0" w:space="0" w:color="auto"/>
      </w:divBdr>
    </w:div>
    <w:div w:id="430205405">
      <w:bodyDiv w:val="1"/>
      <w:marLeft w:val="0"/>
      <w:marRight w:val="0"/>
      <w:marTop w:val="0"/>
      <w:marBottom w:val="0"/>
      <w:divBdr>
        <w:top w:val="none" w:sz="0" w:space="0" w:color="auto"/>
        <w:left w:val="none" w:sz="0" w:space="0" w:color="auto"/>
        <w:bottom w:val="none" w:sz="0" w:space="0" w:color="auto"/>
        <w:right w:val="none" w:sz="0" w:space="0" w:color="auto"/>
      </w:divBdr>
    </w:div>
    <w:div w:id="495152092">
      <w:bodyDiv w:val="1"/>
      <w:marLeft w:val="0"/>
      <w:marRight w:val="0"/>
      <w:marTop w:val="0"/>
      <w:marBottom w:val="0"/>
      <w:divBdr>
        <w:top w:val="none" w:sz="0" w:space="0" w:color="auto"/>
        <w:left w:val="none" w:sz="0" w:space="0" w:color="auto"/>
        <w:bottom w:val="none" w:sz="0" w:space="0" w:color="auto"/>
        <w:right w:val="none" w:sz="0" w:space="0" w:color="auto"/>
      </w:divBdr>
    </w:div>
    <w:div w:id="776483767">
      <w:bodyDiv w:val="1"/>
      <w:marLeft w:val="0"/>
      <w:marRight w:val="0"/>
      <w:marTop w:val="0"/>
      <w:marBottom w:val="0"/>
      <w:divBdr>
        <w:top w:val="none" w:sz="0" w:space="0" w:color="auto"/>
        <w:left w:val="none" w:sz="0" w:space="0" w:color="auto"/>
        <w:bottom w:val="none" w:sz="0" w:space="0" w:color="auto"/>
        <w:right w:val="none" w:sz="0" w:space="0" w:color="auto"/>
      </w:divBdr>
    </w:div>
    <w:div w:id="785082313">
      <w:bodyDiv w:val="1"/>
      <w:marLeft w:val="0"/>
      <w:marRight w:val="0"/>
      <w:marTop w:val="0"/>
      <w:marBottom w:val="0"/>
      <w:divBdr>
        <w:top w:val="none" w:sz="0" w:space="0" w:color="auto"/>
        <w:left w:val="none" w:sz="0" w:space="0" w:color="auto"/>
        <w:bottom w:val="none" w:sz="0" w:space="0" w:color="auto"/>
        <w:right w:val="none" w:sz="0" w:space="0" w:color="auto"/>
      </w:divBdr>
    </w:div>
    <w:div w:id="1259296206">
      <w:bodyDiv w:val="1"/>
      <w:marLeft w:val="0"/>
      <w:marRight w:val="0"/>
      <w:marTop w:val="0"/>
      <w:marBottom w:val="0"/>
      <w:divBdr>
        <w:top w:val="none" w:sz="0" w:space="0" w:color="auto"/>
        <w:left w:val="none" w:sz="0" w:space="0" w:color="auto"/>
        <w:bottom w:val="none" w:sz="0" w:space="0" w:color="auto"/>
        <w:right w:val="none" w:sz="0" w:space="0" w:color="auto"/>
      </w:divBdr>
    </w:div>
    <w:div w:id="1275403123">
      <w:bodyDiv w:val="1"/>
      <w:marLeft w:val="0"/>
      <w:marRight w:val="0"/>
      <w:marTop w:val="0"/>
      <w:marBottom w:val="0"/>
      <w:divBdr>
        <w:top w:val="none" w:sz="0" w:space="0" w:color="auto"/>
        <w:left w:val="none" w:sz="0" w:space="0" w:color="auto"/>
        <w:bottom w:val="none" w:sz="0" w:space="0" w:color="auto"/>
        <w:right w:val="none" w:sz="0" w:space="0" w:color="auto"/>
      </w:divBdr>
    </w:div>
    <w:div w:id="1370453284">
      <w:bodyDiv w:val="1"/>
      <w:marLeft w:val="0"/>
      <w:marRight w:val="0"/>
      <w:marTop w:val="0"/>
      <w:marBottom w:val="0"/>
      <w:divBdr>
        <w:top w:val="none" w:sz="0" w:space="0" w:color="auto"/>
        <w:left w:val="none" w:sz="0" w:space="0" w:color="auto"/>
        <w:bottom w:val="none" w:sz="0" w:space="0" w:color="auto"/>
        <w:right w:val="none" w:sz="0" w:space="0" w:color="auto"/>
      </w:divBdr>
    </w:div>
    <w:div w:id="1686127284">
      <w:bodyDiv w:val="1"/>
      <w:marLeft w:val="0"/>
      <w:marRight w:val="0"/>
      <w:marTop w:val="0"/>
      <w:marBottom w:val="0"/>
      <w:divBdr>
        <w:top w:val="none" w:sz="0" w:space="0" w:color="auto"/>
        <w:left w:val="none" w:sz="0" w:space="0" w:color="auto"/>
        <w:bottom w:val="none" w:sz="0" w:space="0" w:color="auto"/>
        <w:right w:val="none" w:sz="0" w:space="0" w:color="auto"/>
      </w:divBdr>
    </w:div>
    <w:div w:id="1849443877">
      <w:bodyDiv w:val="1"/>
      <w:marLeft w:val="0"/>
      <w:marRight w:val="0"/>
      <w:marTop w:val="0"/>
      <w:marBottom w:val="0"/>
      <w:divBdr>
        <w:top w:val="none" w:sz="0" w:space="0" w:color="auto"/>
        <w:left w:val="none" w:sz="0" w:space="0" w:color="auto"/>
        <w:bottom w:val="none" w:sz="0" w:space="0" w:color="auto"/>
        <w:right w:val="none" w:sz="0" w:space="0" w:color="auto"/>
      </w:divBdr>
    </w:div>
    <w:div w:id="2074354768">
      <w:bodyDiv w:val="1"/>
      <w:marLeft w:val="0"/>
      <w:marRight w:val="0"/>
      <w:marTop w:val="0"/>
      <w:marBottom w:val="0"/>
      <w:divBdr>
        <w:top w:val="none" w:sz="0" w:space="0" w:color="auto"/>
        <w:left w:val="none" w:sz="0" w:space="0" w:color="auto"/>
        <w:bottom w:val="none" w:sz="0" w:space="0" w:color="auto"/>
        <w:right w:val="none" w:sz="0" w:space="0" w:color="auto"/>
      </w:divBdr>
    </w:div>
    <w:div w:id="210406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6079BCE21C9C46934165693479FB40" ma:contentTypeVersion="8" ma:contentTypeDescription="Create a new document." ma:contentTypeScope="" ma:versionID="0a52ec1bb8988531ce7d93ac34d8861f">
  <xsd:schema xmlns:xsd="http://www.w3.org/2001/XMLSchema" xmlns:xs="http://www.w3.org/2001/XMLSchema" xmlns:p="http://schemas.microsoft.com/office/2006/metadata/properties" xmlns:ns3="1cd1d2fd-1ed7-44e9-8467-eca074a474b1" targetNamespace="http://schemas.microsoft.com/office/2006/metadata/properties" ma:root="true" ma:fieldsID="a4d6763428d3570a08c392faf5eeaa1c" ns3:_="">
    <xsd:import namespace="1cd1d2fd-1ed7-44e9-8467-eca074a474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1d2fd-1ed7-44e9-8467-eca074a47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21BBA-6934-4683-8ACA-535AA9773B77}">
  <ds:schemaRefs>
    <ds:schemaRef ds:uri="http://schemas.microsoft.com/sharepoint/v3/contenttype/forms"/>
  </ds:schemaRefs>
</ds:datastoreItem>
</file>

<file path=customXml/itemProps2.xml><?xml version="1.0" encoding="utf-8"?>
<ds:datastoreItem xmlns:ds="http://schemas.openxmlformats.org/officeDocument/2006/customXml" ds:itemID="{89516B1E-81A6-41BC-8F2F-A7BF64F68A53}">
  <ds:schemaRefs>
    <ds:schemaRef ds:uri="http://schemas.openxmlformats.org/officeDocument/2006/bibliography"/>
  </ds:schemaRefs>
</ds:datastoreItem>
</file>

<file path=customXml/itemProps3.xml><?xml version="1.0" encoding="utf-8"?>
<ds:datastoreItem xmlns:ds="http://schemas.openxmlformats.org/officeDocument/2006/customXml" ds:itemID="{D2F9BA3E-773B-447B-B3F3-83FFA40C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1d2fd-1ed7-44e9-8467-eca074a47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72A2C-AB4F-4033-8D01-6DA89D701E09}">
  <ds:schemaRefs>
    <ds:schemaRef ds:uri="http://purl.org/dc/terms/"/>
    <ds:schemaRef ds:uri="1cd1d2fd-1ed7-44e9-8467-eca074a474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17729</Words>
  <Characters>91838</Characters>
  <Application>Microsoft Office Word</Application>
  <DocSecurity>0</DocSecurity>
  <Lines>1836</Lines>
  <Paragraphs>913</Paragraphs>
  <ScaleCrop>false</ScaleCrop>
  <HeadingPairs>
    <vt:vector size="2" baseType="variant">
      <vt:variant>
        <vt:lpstr>Title</vt:lpstr>
      </vt:variant>
      <vt:variant>
        <vt:i4>1</vt:i4>
      </vt:variant>
    </vt:vector>
  </HeadingPairs>
  <TitlesOfParts>
    <vt:vector size="1" baseType="lpstr">
      <vt:lpstr>AusPAR Attachment 1: Product Information for Cosentyx</vt:lpstr>
    </vt:vector>
  </TitlesOfParts>
  <Company/>
  <LinksUpToDate>false</LinksUpToDate>
  <CharactersWithSpaces>108654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Cosentyx</dc:title>
  <dc:creator>Novartis Pharmaceuticals Australia Pty Limited</dc:creator>
  <cp:lastModifiedBy>PITKIN, Brendan</cp:lastModifiedBy>
  <cp:revision>4</cp:revision>
  <cp:lastPrinted>2022-05-05T23:46:00Z</cp:lastPrinted>
  <dcterms:created xsi:type="dcterms:W3CDTF">2022-07-13T02:45:00Z</dcterms:created>
  <dcterms:modified xsi:type="dcterms:W3CDTF">2022-11-04T03:13:00Z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vt:lpwstr>Business Use Only</vt:lpwstr>
  </property>
  <property fmtid="{D5CDD505-2E9C-101B-9397-08002B2CF9AE}" pid="3" name="ContentTypeId">
    <vt:lpwstr>0x010100FC6079BCE21C9C46934165693479FB40</vt:lpwstr>
  </property>
  <property fmtid="{D5CDD505-2E9C-101B-9397-08002B2CF9AE}" pid="4" name="MSIP_Label_4929bff8-5b33-42aa-95d2-28f72e792cb0_Enabled">
    <vt:lpwstr>true</vt:lpwstr>
  </property>
  <property fmtid="{D5CDD505-2E9C-101B-9397-08002B2CF9AE}" pid="5" name="MSIP_Label_4929bff8-5b33-42aa-95d2-28f72e792cb0_SetDate">
    <vt:lpwstr>2021-04-15T04:26:59Z</vt:lpwstr>
  </property>
  <property fmtid="{D5CDD505-2E9C-101B-9397-08002B2CF9AE}" pid="6" name="MSIP_Label_4929bff8-5b33-42aa-95d2-28f72e792cb0_Method">
    <vt:lpwstr>Standard</vt:lpwstr>
  </property>
  <property fmtid="{D5CDD505-2E9C-101B-9397-08002B2CF9AE}" pid="7" name="MSIP_Label_4929bff8-5b33-42aa-95d2-28f72e792cb0_Name">
    <vt:lpwstr>Internal</vt:lpwstr>
  </property>
  <property fmtid="{D5CDD505-2E9C-101B-9397-08002B2CF9AE}" pid="8" name="MSIP_Label_4929bff8-5b33-42aa-95d2-28f72e792cb0_SiteId">
    <vt:lpwstr>f35a6974-607f-47d4-82d7-ff31d7dc53a5</vt:lpwstr>
  </property>
  <property fmtid="{D5CDD505-2E9C-101B-9397-08002B2CF9AE}" pid="9" name="MSIP_Label_4929bff8-5b33-42aa-95d2-28f72e792cb0_ActionId">
    <vt:lpwstr/>
  </property>
  <property fmtid="{D5CDD505-2E9C-101B-9397-08002B2CF9AE}" pid="10" name="MSIP_Label_4929bff8-5b33-42aa-95d2-28f72e792cb0_ContentBits">
    <vt:lpwstr>0</vt:lpwstr>
  </property>
</Properties>
</file>