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text" w:horzAnchor="margin" w:tblpY="9863"/>
        <w:tblOverlap w:val="never"/>
        <w:tblW w:w="3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tblGrid>
      <w:tr w:rsidR="008E7846" w:rsidRPr="00481594" w14:paraId="52BDD9FB" w14:textId="77777777" w:rsidTr="00BF1190">
        <w:trPr>
          <w:trHeight w:val="1863"/>
        </w:trPr>
        <w:tc>
          <w:tcPr>
            <w:tcW w:w="3652" w:type="dxa"/>
            <w:tcBorders>
              <w:top w:val="nil"/>
              <w:left w:val="nil"/>
              <w:bottom w:val="nil"/>
              <w:right w:val="nil"/>
            </w:tcBorders>
          </w:tcPr>
          <w:p w14:paraId="48ADE884" w14:textId="363253B7" w:rsidR="008E7846" w:rsidRPr="00481594" w:rsidRDefault="00A65383" w:rsidP="00F931CE">
            <w:pPr>
              <w:pStyle w:val="Date"/>
              <w:framePr w:hSpace="0" w:wrap="auto" w:vAnchor="margin" w:hAnchor="text" w:yAlign="inline"/>
              <w:suppressOverlap w:val="0"/>
            </w:pPr>
            <w:r w:rsidRPr="00481594">
              <w:t>October</w:t>
            </w:r>
            <w:r w:rsidR="00AF6AC9" w:rsidRPr="00481594">
              <w:t xml:space="preserve"> </w:t>
            </w:r>
            <w:r w:rsidR="00D01E21" w:rsidRPr="00481594">
              <w:t>2022</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481594" w14:paraId="03F7B556" w14:textId="77777777" w:rsidTr="0032583B">
        <w:trPr>
          <w:trHeight w:val="868"/>
        </w:trPr>
        <w:tc>
          <w:tcPr>
            <w:tcW w:w="9079" w:type="dxa"/>
          </w:tcPr>
          <w:p w14:paraId="58605DB4" w14:textId="5EC0DAC6" w:rsidR="0032583B" w:rsidRPr="00481594" w:rsidRDefault="0032583B" w:rsidP="00F931CE">
            <w:pPr>
              <w:pStyle w:val="Title"/>
              <w:framePr w:hSpace="0" w:wrap="auto" w:vAnchor="margin" w:yAlign="inline"/>
            </w:pPr>
            <w:r w:rsidRPr="00481594">
              <w:t>Australian Public Assessment Report for</w:t>
            </w:r>
            <w:r w:rsidR="00AF2313" w:rsidRPr="00481594">
              <w:t xml:space="preserve"> </w:t>
            </w:r>
            <w:proofErr w:type="spellStart"/>
            <w:r w:rsidR="00D01E21" w:rsidRPr="00481594">
              <w:t>Vaxneuvance</w:t>
            </w:r>
            <w:proofErr w:type="spellEnd"/>
          </w:p>
        </w:tc>
      </w:tr>
      <w:tr w:rsidR="0032583B" w:rsidRPr="00481594" w14:paraId="46BF5792" w14:textId="77777777" w:rsidTr="0032583B">
        <w:tc>
          <w:tcPr>
            <w:tcW w:w="9079" w:type="dxa"/>
          </w:tcPr>
          <w:p w14:paraId="50F449C8" w14:textId="0545E9EE" w:rsidR="0032583B" w:rsidRPr="00481594" w:rsidRDefault="00BB75D6" w:rsidP="00F931CE">
            <w:pPr>
              <w:pStyle w:val="Subtitle"/>
              <w:framePr w:hSpace="0" w:wrap="auto" w:vAnchor="margin" w:yAlign="inline"/>
            </w:pPr>
            <w:r w:rsidRPr="00481594">
              <w:t>Active ingredient</w:t>
            </w:r>
            <w:r w:rsidR="0032583B" w:rsidRPr="00481594">
              <w:t xml:space="preserve">: </w:t>
            </w:r>
            <w:r w:rsidR="000166AA" w:rsidRPr="00481594">
              <w:t>P</w:t>
            </w:r>
            <w:r w:rsidR="00015688" w:rsidRPr="00481594">
              <w:t>neumococcal 15-valent conjugate vaccine</w:t>
            </w:r>
            <w:r w:rsidR="00041234" w:rsidRPr="00481594">
              <w:t xml:space="preserve"> (CRM</w:t>
            </w:r>
            <w:r w:rsidR="00041234" w:rsidRPr="00481594">
              <w:rPr>
                <w:vertAlign w:val="subscript"/>
              </w:rPr>
              <w:t>197</w:t>
            </w:r>
            <w:r w:rsidR="00041234" w:rsidRPr="00481594">
              <w:t xml:space="preserve"> protein), adsorbed</w:t>
            </w:r>
          </w:p>
        </w:tc>
      </w:tr>
      <w:tr w:rsidR="0032583B" w:rsidRPr="00481594" w14:paraId="56B06C7A" w14:textId="77777777" w:rsidTr="0032583B">
        <w:trPr>
          <w:trHeight w:val="486"/>
        </w:trPr>
        <w:tc>
          <w:tcPr>
            <w:tcW w:w="9079" w:type="dxa"/>
          </w:tcPr>
          <w:p w14:paraId="358F54AE" w14:textId="24F20F61" w:rsidR="0032583B" w:rsidRPr="00481594" w:rsidRDefault="00460036" w:rsidP="009556D7">
            <w:pPr>
              <w:pStyle w:val="Subtitle"/>
              <w:framePr w:hSpace="0" w:wrap="auto" w:vAnchor="margin" w:yAlign="inline"/>
            </w:pPr>
            <w:r w:rsidRPr="00481594">
              <w:t xml:space="preserve">Sponsor: </w:t>
            </w:r>
            <w:r w:rsidR="00D01E21" w:rsidRPr="00481594">
              <w:t>Merck Sharp &amp; Dohme (Australia) Pty Ltd</w:t>
            </w:r>
          </w:p>
        </w:tc>
      </w:tr>
    </w:tbl>
    <w:p w14:paraId="7CBFADBF" w14:textId="77777777" w:rsidR="008E7846" w:rsidRPr="00481594" w:rsidRDefault="008E7846" w:rsidP="0043253B">
      <w:pPr>
        <w:pStyle w:val="NonTOCHeading2"/>
        <w:pageBreakBefore/>
      </w:pPr>
      <w:r w:rsidRPr="00481594">
        <w:lastRenderedPageBreak/>
        <w:t>About the Therapeutic Goods Administration (TGA)</w:t>
      </w:r>
    </w:p>
    <w:p w14:paraId="60797C7C" w14:textId="77777777" w:rsidR="00AF2313" w:rsidRPr="00481594" w:rsidRDefault="00AF2313" w:rsidP="00AF2313">
      <w:pPr>
        <w:pStyle w:val="ListBullet"/>
      </w:pPr>
      <w:r w:rsidRPr="00481594">
        <w:t>The Therapeutic Goods Administration (TGA) is part of the Australian Government Department of Health and is responsible for regulating therapeutic goods, including medicines, medical devices, and biologicals.</w:t>
      </w:r>
    </w:p>
    <w:p w14:paraId="2FA983E1" w14:textId="77777777" w:rsidR="00AF2313" w:rsidRPr="00481594" w:rsidRDefault="00AF2313" w:rsidP="00AF2313">
      <w:pPr>
        <w:pStyle w:val="ListBullet"/>
      </w:pPr>
      <w:r w:rsidRPr="00481594">
        <w:t xml:space="preserve">The TGA administers the </w:t>
      </w:r>
      <w:r w:rsidRPr="00481594">
        <w:rPr>
          <w:i/>
          <w:iCs/>
        </w:rPr>
        <w:t>Therapeutic Goods Act 1989</w:t>
      </w:r>
      <w:r w:rsidRPr="00481594">
        <w:t xml:space="preserve"> (the Act), applying a risk management approach designed to ensure therapeutic goods supplied in Australia meet acceptable standards of quality, </w:t>
      </w:r>
      <w:r w:rsidR="00CC5044" w:rsidRPr="00481594">
        <w:t>safety,</w:t>
      </w:r>
      <w:r w:rsidRPr="00481594">
        <w:t xml:space="preserve"> and efficacy.</w:t>
      </w:r>
    </w:p>
    <w:p w14:paraId="1535189F" w14:textId="77777777" w:rsidR="00AF2313" w:rsidRPr="00481594" w:rsidRDefault="00AF2313" w:rsidP="00AF2313">
      <w:pPr>
        <w:pStyle w:val="ListBullet"/>
      </w:pPr>
      <w:r w:rsidRPr="00481594">
        <w:t>The work of the TGA is based on applying scientific and clinical expertise to decision-making, to ensure that the benefits to the Australian public outweigh any risks associated with the use of therapeutic goods.</w:t>
      </w:r>
    </w:p>
    <w:p w14:paraId="30FE42FC" w14:textId="77777777" w:rsidR="00AF2313" w:rsidRPr="00481594" w:rsidRDefault="00AF2313" w:rsidP="00AF2313">
      <w:pPr>
        <w:pStyle w:val="ListBullet"/>
      </w:pPr>
      <w:r w:rsidRPr="00481594">
        <w:t>The TGA relies on the public, healthcare professionals and industry to report problems with therapeutic goods. The TGA investigates reports received to determine any necessary regulatory action.</w:t>
      </w:r>
    </w:p>
    <w:p w14:paraId="255C925E" w14:textId="0838115C" w:rsidR="00AF2313" w:rsidRPr="00481594" w:rsidRDefault="00AF2313" w:rsidP="00AF2313">
      <w:pPr>
        <w:pStyle w:val="ListBullet"/>
      </w:pPr>
      <w:r w:rsidRPr="00481594">
        <w:t xml:space="preserve">To report a problem with a therapeutic good, please see the information on the </w:t>
      </w:r>
      <w:hyperlink r:id="rId11" w:history="1">
        <w:r w:rsidRPr="00481594">
          <w:rPr>
            <w:rStyle w:val="Hyperlink"/>
          </w:rPr>
          <w:t>TGA website</w:t>
        </w:r>
      </w:hyperlink>
      <w:r w:rsidRPr="00481594">
        <w:t>.</w:t>
      </w:r>
    </w:p>
    <w:p w14:paraId="6B67EB4D" w14:textId="77777777" w:rsidR="008E7846" w:rsidRPr="00481594" w:rsidRDefault="008E7846" w:rsidP="00875A6B">
      <w:pPr>
        <w:pStyle w:val="NonTOCHeading2"/>
      </w:pPr>
      <w:r w:rsidRPr="00481594">
        <w:t xml:space="preserve">About </w:t>
      </w:r>
      <w:proofErr w:type="spellStart"/>
      <w:r w:rsidRPr="00481594">
        <w:t>AusPARs</w:t>
      </w:r>
      <w:proofErr w:type="spellEnd"/>
    </w:p>
    <w:p w14:paraId="0CBAC9EF" w14:textId="69FEB643" w:rsidR="00AF2313" w:rsidRPr="00481594" w:rsidRDefault="00AF2313" w:rsidP="00AF2313">
      <w:pPr>
        <w:pStyle w:val="ListBullet"/>
      </w:pPr>
      <w:r w:rsidRPr="00481594">
        <w:t>The Australian Public Assessment Report (</w:t>
      </w:r>
      <w:proofErr w:type="spellStart"/>
      <w:r w:rsidRPr="00481594">
        <w:t>AusPAR</w:t>
      </w:r>
      <w:proofErr w:type="spellEnd"/>
      <w:r w:rsidRPr="00481594">
        <w:t xml:space="preserve">) provides information about the evaluation of a prescription medicine and the considerations that led the TGA to approve or not approve a prescription medicine submission. Further information can be found in </w:t>
      </w:r>
      <w:hyperlink r:id="rId12">
        <w:r w:rsidRPr="00481594">
          <w:rPr>
            <w:rStyle w:val="Hyperlink"/>
          </w:rPr>
          <w:t>Australian Public Assessment Report (</w:t>
        </w:r>
        <w:proofErr w:type="spellStart"/>
        <w:r w:rsidRPr="00481594">
          <w:rPr>
            <w:rStyle w:val="Hyperlink"/>
          </w:rPr>
          <w:t>AusPAR</w:t>
        </w:r>
        <w:proofErr w:type="spellEnd"/>
        <w:r w:rsidRPr="00481594">
          <w:rPr>
            <w:rStyle w:val="Hyperlink"/>
          </w:rPr>
          <w:t>) guidance</w:t>
        </w:r>
      </w:hyperlink>
      <w:r w:rsidRPr="00481594">
        <w:t>.</w:t>
      </w:r>
    </w:p>
    <w:p w14:paraId="74E18B18" w14:textId="77777777" w:rsidR="00AF2313" w:rsidRPr="00481594" w:rsidRDefault="00AF2313" w:rsidP="00AF2313">
      <w:pPr>
        <w:pStyle w:val="ListBullet"/>
      </w:pPr>
      <w:proofErr w:type="spellStart"/>
      <w:r w:rsidRPr="00481594">
        <w:t>AusPARs</w:t>
      </w:r>
      <w:proofErr w:type="spellEnd"/>
      <w:r w:rsidRPr="00481594">
        <w:t xml:space="preserve"> are prepared and published by the TGA.</w:t>
      </w:r>
    </w:p>
    <w:p w14:paraId="0BA21D8B" w14:textId="77777777" w:rsidR="00AF2313" w:rsidRPr="00481594" w:rsidRDefault="00AF2313" w:rsidP="00AF2313">
      <w:pPr>
        <w:pStyle w:val="ListBullet"/>
      </w:pPr>
      <w:proofErr w:type="spellStart"/>
      <w:r w:rsidRPr="00481594">
        <w:t>AusPARs</w:t>
      </w:r>
      <w:proofErr w:type="spellEnd"/>
      <w:r w:rsidRPr="00481594">
        <w:t xml:space="preserve"> are static documents that provide information that relates to a submission at a particular point in time.</w:t>
      </w:r>
      <w:r w:rsidR="008110BC" w:rsidRPr="00481594">
        <w:t xml:space="preserve"> The publication of an </w:t>
      </w:r>
      <w:proofErr w:type="spellStart"/>
      <w:r w:rsidR="008110BC" w:rsidRPr="00481594">
        <w:t>AusPAR</w:t>
      </w:r>
      <w:proofErr w:type="spellEnd"/>
      <w:r w:rsidR="008110BC" w:rsidRPr="00481594">
        <w:t xml:space="preserve"> is an important part of the transparency of the TGA’s decision-making process.</w:t>
      </w:r>
    </w:p>
    <w:p w14:paraId="655420DB" w14:textId="77777777" w:rsidR="00AF2313" w:rsidRPr="00481594" w:rsidRDefault="00AF2313" w:rsidP="00AF2313">
      <w:pPr>
        <w:pStyle w:val="ListBullet"/>
      </w:pPr>
      <w:r w:rsidRPr="00481594">
        <w:t xml:space="preserve">A new </w:t>
      </w:r>
      <w:proofErr w:type="spellStart"/>
      <w:r w:rsidRPr="00481594">
        <w:t>AusPAR</w:t>
      </w:r>
      <w:proofErr w:type="spellEnd"/>
      <w:r w:rsidRPr="00481594">
        <w:t xml:space="preserve"> may be provided to reflect changes to indications or major variations to a prescription medicine subject to evaluation by the TGA.</w:t>
      </w:r>
    </w:p>
    <w:p w14:paraId="677D56B6" w14:textId="77777777" w:rsidR="00924482" w:rsidRPr="00481594" w:rsidRDefault="00924482" w:rsidP="00F54B65">
      <w:pPr>
        <w:pStyle w:val="LegalSubheading"/>
        <w:spacing w:before="3120"/>
      </w:pPr>
      <w:r w:rsidRPr="00481594">
        <w:t>Copyright</w:t>
      </w:r>
    </w:p>
    <w:p w14:paraId="4E746633" w14:textId="6BA30FE1" w:rsidR="00924482" w:rsidRPr="00481594" w:rsidRDefault="00924482" w:rsidP="00924482">
      <w:pPr>
        <w:pStyle w:val="LegalCopy"/>
      </w:pPr>
      <w:r w:rsidRPr="00481594">
        <w:rPr>
          <w:rFonts w:cs="Arial"/>
          <w:lang w:val="en-GB"/>
        </w:rPr>
        <w:t>© Commonwealth of Australia 20</w:t>
      </w:r>
      <w:r w:rsidR="00460036" w:rsidRPr="00481594">
        <w:rPr>
          <w:rFonts w:cs="Arial"/>
          <w:lang w:val="en-GB"/>
        </w:rPr>
        <w:t>2</w:t>
      </w:r>
      <w:r w:rsidR="00AF2313" w:rsidRPr="00481594">
        <w:rPr>
          <w:rFonts w:cs="Arial"/>
          <w:lang w:val="en-GB"/>
        </w:rPr>
        <w:t>2</w:t>
      </w:r>
      <w:r w:rsidRPr="00481594">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481594">
        <w:rPr>
          <w:rFonts w:cs="Arial"/>
          <w:i/>
          <w:lang w:val="en-GB"/>
        </w:rPr>
        <w:t>Copyright Act 1968</w:t>
      </w:r>
      <w:r w:rsidRPr="00481594">
        <w:rPr>
          <w:rFonts w:cs="Arial"/>
          <w:lang w:val="en-GB"/>
        </w:rPr>
        <w:t xml:space="preserve"> or allowed by this copyright notice, all other rights are </w:t>
      </w:r>
      <w:r w:rsidR="00EB36D6" w:rsidRPr="00481594">
        <w:rPr>
          <w:rFonts w:cs="Arial"/>
          <w:lang w:val="en-GB"/>
        </w:rPr>
        <w:t>reserved,</w:t>
      </w:r>
      <w:r w:rsidRPr="00481594">
        <w:rPr>
          <w:rFonts w:cs="Arial"/>
          <w:lang w:val="en-GB"/>
        </w:rPr>
        <w:t xml:space="preserve">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481594">
        <w:rPr>
          <w:rFonts w:cs="Arial"/>
          <w:lang w:val="en-GB"/>
        </w:rPr>
        <w:t>Woden</w:t>
      </w:r>
      <w:proofErr w:type="spellEnd"/>
      <w:r w:rsidRPr="00481594">
        <w:rPr>
          <w:rFonts w:cs="Arial"/>
          <w:lang w:val="en-GB"/>
        </w:rPr>
        <w:t xml:space="preserve"> ACT 2606 or emailed to &lt;</w:t>
      </w:r>
      <w:hyperlink r:id="rId13" w:history="1">
        <w:r w:rsidRPr="00481594">
          <w:rPr>
            <w:rStyle w:val="Hyperlink"/>
            <w:rFonts w:cs="Arial"/>
            <w:lang w:val="en-GB"/>
          </w:rPr>
          <w:t>tga.copyright@tga.gov.au</w:t>
        </w:r>
      </w:hyperlink>
      <w:r w:rsidRPr="00481594">
        <w:rPr>
          <w:rFonts w:cs="Arial"/>
        </w:rPr>
        <w:t>&gt;.</w:t>
      </w:r>
    </w:p>
    <w:p w14:paraId="62818373" w14:textId="77777777" w:rsidR="00924482" w:rsidRPr="00481594" w:rsidRDefault="00924482" w:rsidP="00924482">
      <w:pPr>
        <w:pStyle w:val="LegalCopy"/>
        <w:sectPr w:rsidR="00924482" w:rsidRPr="00481594" w:rsidSect="003D1E62">
          <w:headerReference w:type="default" r:id="rId14"/>
          <w:footerReference w:type="default" r:id="rId15"/>
          <w:headerReference w:type="first" r:id="rId16"/>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Cs w:val="0"/>
        </w:rPr>
      </w:sdtEndPr>
      <w:sdtContent>
        <w:p w14:paraId="1D9CB336" w14:textId="77777777" w:rsidR="0089635C" w:rsidRPr="00481594" w:rsidRDefault="0089635C" w:rsidP="0043253B">
          <w:pPr>
            <w:pStyle w:val="Contents"/>
            <w:pageBreakBefore/>
          </w:pPr>
          <w:r w:rsidRPr="00481594">
            <w:t>Contents</w:t>
          </w:r>
        </w:p>
        <w:p w14:paraId="2126194A" w14:textId="64E4F38F" w:rsidR="00190330" w:rsidRDefault="00C525A2">
          <w:pPr>
            <w:pStyle w:val="TOC1"/>
            <w:rPr>
              <w:rFonts w:asciiTheme="minorHAnsi" w:eastAsiaTheme="minorEastAsia" w:hAnsiTheme="minorHAnsi" w:cstheme="minorBidi"/>
              <w:b w:val="0"/>
              <w:noProof/>
              <w:sz w:val="22"/>
              <w:lang w:eastAsia="en-AU"/>
            </w:rPr>
          </w:pPr>
          <w:r w:rsidRPr="00481594">
            <w:fldChar w:fldCharType="begin"/>
          </w:r>
          <w:r w:rsidRPr="00481594">
            <w:instrText xml:space="preserve"> TOC \h \z \t "Heading 2,1,Heading 3,2" </w:instrText>
          </w:r>
          <w:r w:rsidRPr="00481594">
            <w:fldChar w:fldCharType="separate"/>
          </w:r>
          <w:hyperlink w:anchor="_Toc116652727" w:history="1">
            <w:r w:rsidR="00190330" w:rsidRPr="00E9385D">
              <w:rPr>
                <w:rStyle w:val="Hyperlink"/>
                <w:noProof/>
              </w:rPr>
              <w:t>List of abbreviations</w:t>
            </w:r>
            <w:r w:rsidR="00190330">
              <w:rPr>
                <w:noProof/>
                <w:webHidden/>
              </w:rPr>
              <w:tab/>
            </w:r>
            <w:r w:rsidR="00190330">
              <w:rPr>
                <w:noProof/>
                <w:webHidden/>
              </w:rPr>
              <w:fldChar w:fldCharType="begin"/>
            </w:r>
            <w:r w:rsidR="00190330">
              <w:rPr>
                <w:noProof/>
                <w:webHidden/>
              </w:rPr>
              <w:instrText xml:space="preserve"> PAGEREF _Toc116652727 \h </w:instrText>
            </w:r>
            <w:r w:rsidR="00190330">
              <w:rPr>
                <w:noProof/>
                <w:webHidden/>
              </w:rPr>
            </w:r>
            <w:r w:rsidR="00190330">
              <w:rPr>
                <w:noProof/>
                <w:webHidden/>
              </w:rPr>
              <w:fldChar w:fldCharType="separate"/>
            </w:r>
            <w:r w:rsidR="00901068">
              <w:rPr>
                <w:noProof/>
                <w:webHidden/>
              </w:rPr>
              <w:t>4</w:t>
            </w:r>
            <w:r w:rsidR="00190330">
              <w:rPr>
                <w:noProof/>
                <w:webHidden/>
              </w:rPr>
              <w:fldChar w:fldCharType="end"/>
            </w:r>
          </w:hyperlink>
        </w:p>
        <w:p w14:paraId="4DA4DEFC" w14:textId="05BAE064" w:rsidR="00190330" w:rsidRDefault="00901068">
          <w:pPr>
            <w:pStyle w:val="TOC1"/>
            <w:rPr>
              <w:rFonts w:asciiTheme="minorHAnsi" w:eastAsiaTheme="minorEastAsia" w:hAnsiTheme="minorHAnsi" w:cstheme="minorBidi"/>
              <w:b w:val="0"/>
              <w:noProof/>
              <w:sz w:val="22"/>
              <w:lang w:eastAsia="en-AU"/>
            </w:rPr>
          </w:pPr>
          <w:hyperlink w:anchor="_Toc116652728" w:history="1">
            <w:r w:rsidR="00190330" w:rsidRPr="00E9385D">
              <w:rPr>
                <w:rStyle w:val="Hyperlink"/>
                <w:noProof/>
              </w:rPr>
              <w:t>Product submission</w:t>
            </w:r>
            <w:r w:rsidR="00190330">
              <w:rPr>
                <w:noProof/>
                <w:webHidden/>
              </w:rPr>
              <w:tab/>
            </w:r>
            <w:r w:rsidR="00190330">
              <w:rPr>
                <w:noProof/>
                <w:webHidden/>
              </w:rPr>
              <w:fldChar w:fldCharType="begin"/>
            </w:r>
            <w:r w:rsidR="00190330">
              <w:rPr>
                <w:noProof/>
                <w:webHidden/>
              </w:rPr>
              <w:instrText xml:space="preserve"> PAGEREF _Toc116652728 \h </w:instrText>
            </w:r>
            <w:r w:rsidR="00190330">
              <w:rPr>
                <w:noProof/>
                <w:webHidden/>
              </w:rPr>
            </w:r>
            <w:r w:rsidR="00190330">
              <w:rPr>
                <w:noProof/>
                <w:webHidden/>
              </w:rPr>
              <w:fldChar w:fldCharType="separate"/>
            </w:r>
            <w:r>
              <w:rPr>
                <w:noProof/>
                <w:webHidden/>
              </w:rPr>
              <w:t>6</w:t>
            </w:r>
            <w:r w:rsidR="00190330">
              <w:rPr>
                <w:noProof/>
                <w:webHidden/>
              </w:rPr>
              <w:fldChar w:fldCharType="end"/>
            </w:r>
          </w:hyperlink>
        </w:p>
        <w:p w14:paraId="490B3EBD" w14:textId="64088F2D" w:rsidR="00190330" w:rsidRDefault="00901068">
          <w:pPr>
            <w:pStyle w:val="TOC2"/>
            <w:rPr>
              <w:rFonts w:asciiTheme="minorHAnsi" w:eastAsiaTheme="minorEastAsia" w:hAnsiTheme="minorHAnsi" w:cstheme="minorBidi"/>
              <w:b w:val="0"/>
              <w:noProof/>
              <w:sz w:val="22"/>
              <w:lang w:eastAsia="en-AU"/>
            </w:rPr>
          </w:pPr>
          <w:hyperlink w:anchor="_Toc116652729" w:history="1">
            <w:r w:rsidR="00190330" w:rsidRPr="00E9385D">
              <w:rPr>
                <w:rStyle w:val="Hyperlink"/>
                <w:noProof/>
                <w:lang w:eastAsia="en-AU"/>
              </w:rPr>
              <w:t>Submission details</w:t>
            </w:r>
            <w:r w:rsidR="00190330">
              <w:rPr>
                <w:noProof/>
                <w:webHidden/>
              </w:rPr>
              <w:tab/>
            </w:r>
            <w:r w:rsidR="00190330">
              <w:rPr>
                <w:noProof/>
                <w:webHidden/>
              </w:rPr>
              <w:fldChar w:fldCharType="begin"/>
            </w:r>
            <w:r w:rsidR="00190330">
              <w:rPr>
                <w:noProof/>
                <w:webHidden/>
              </w:rPr>
              <w:instrText xml:space="preserve"> PAGEREF _Toc116652729 \h </w:instrText>
            </w:r>
            <w:r w:rsidR="00190330">
              <w:rPr>
                <w:noProof/>
                <w:webHidden/>
              </w:rPr>
            </w:r>
            <w:r w:rsidR="00190330">
              <w:rPr>
                <w:noProof/>
                <w:webHidden/>
              </w:rPr>
              <w:fldChar w:fldCharType="separate"/>
            </w:r>
            <w:r>
              <w:rPr>
                <w:noProof/>
                <w:webHidden/>
              </w:rPr>
              <w:t>6</w:t>
            </w:r>
            <w:r w:rsidR="00190330">
              <w:rPr>
                <w:noProof/>
                <w:webHidden/>
              </w:rPr>
              <w:fldChar w:fldCharType="end"/>
            </w:r>
          </w:hyperlink>
        </w:p>
        <w:p w14:paraId="4F72C6A7" w14:textId="60D931C4" w:rsidR="00190330" w:rsidRDefault="00901068">
          <w:pPr>
            <w:pStyle w:val="TOC2"/>
            <w:rPr>
              <w:rFonts w:asciiTheme="minorHAnsi" w:eastAsiaTheme="minorEastAsia" w:hAnsiTheme="minorHAnsi" w:cstheme="minorBidi"/>
              <w:b w:val="0"/>
              <w:noProof/>
              <w:sz w:val="22"/>
              <w:lang w:eastAsia="en-AU"/>
            </w:rPr>
          </w:pPr>
          <w:hyperlink w:anchor="_Toc116652730" w:history="1">
            <w:r w:rsidR="00190330" w:rsidRPr="00E9385D">
              <w:rPr>
                <w:rStyle w:val="Hyperlink"/>
                <w:noProof/>
              </w:rPr>
              <w:t>Product background</w:t>
            </w:r>
            <w:r w:rsidR="00190330">
              <w:rPr>
                <w:noProof/>
                <w:webHidden/>
              </w:rPr>
              <w:tab/>
            </w:r>
            <w:r w:rsidR="00190330">
              <w:rPr>
                <w:noProof/>
                <w:webHidden/>
              </w:rPr>
              <w:fldChar w:fldCharType="begin"/>
            </w:r>
            <w:r w:rsidR="00190330">
              <w:rPr>
                <w:noProof/>
                <w:webHidden/>
              </w:rPr>
              <w:instrText xml:space="preserve"> PAGEREF _Toc116652730 \h </w:instrText>
            </w:r>
            <w:r w:rsidR="00190330">
              <w:rPr>
                <w:noProof/>
                <w:webHidden/>
              </w:rPr>
            </w:r>
            <w:r w:rsidR="00190330">
              <w:rPr>
                <w:noProof/>
                <w:webHidden/>
              </w:rPr>
              <w:fldChar w:fldCharType="separate"/>
            </w:r>
            <w:r>
              <w:rPr>
                <w:noProof/>
                <w:webHidden/>
              </w:rPr>
              <w:t>7</w:t>
            </w:r>
            <w:r w:rsidR="00190330">
              <w:rPr>
                <w:noProof/>
                <w:webHidden/>
              </w:rPr>
              <w:fldChar w:fldCharType="end"/>
            </w:r>
          </w:hyperlink>
        </w:p>
        <w:p w14:paraId="013BE763" w14:textId="7414EA7B" w:rsidR="00190330" w:rsidRDefault="00901068">
          <w:pPr>
            <w:pStyle w:val="TOC2"/>
            <w:rPr>
              <w:rFonts w:asciiTheme="minorHAnsi" w:eastAsiaTheme="minorEastAsia" w:hAnsiTheme="minorHAnsi" w:cstheme="minorBidi"/>
              <w:b w:val="0"/>
              <w:noProof/>
              <w:sz w:val="22"/>
              <w:lang w:eastAsia="en-AU"/>
            </w:rPr>
          </w:pPr>
          <w:hyperlink w:anchor="_Toc116652731" w:history="1">
            <w:r w:rsidR="00190330" w:rsidRPr="00E9385D">
              <w:rPr>
                <w:rStyle w:val="Hyperlink"/>
                <w:noProof/>
              </w:rPr>
              <w:t>Regulatory status</w:t>
            </w:r>
            <w:r w:rsidR="00190330">
              <w:rPr>
                <w:noProof/>
                <w:webHidden/>
              </w:rPr>
              <w:tab/>
            </w:r>
            <w:r w:rsidR="00190330">
              <w:rPr>
                <w:noProof/>
                <w:webHidden/>
              </w:rPr>
              <w:fldChar w:fldCharType="begin"/>
            </w:r>
            <w:r w:rsidR="00190330">
              <w:rPr>
                <w:noProof/>
                <w:webHidden/>
              </w:rPr>
              <w:instrText xml:space="preserve"> PAGEREF _Toc116652731 \h </w:instrText>
            </w:r>
            <w:r w:rsidR="00190330">
              <w:rPr>
                <w:noProof/>
                <w:webHidden/>
              </w:rPr>
            </w:r>
            <w:r w:rsidR="00190330">
              <w:rPr>
                <w:noProof/>
                <w:webHidden/>
              </w:rPr>
              <w:fldChar w:fldCharType="separate"/>
            </w:r>
            <w:r>
              <w:rPr>
                <w:noProof/>
                <w:webHidden/>
              </w:rPr>
              <w:t>8</w:t>
            </w:r>
            <w:r w:rsidR="00190330">
              <w:rPr>
                <w:noProof/>
                <w:webHidden/>
              </w:rPr>
              <w:fldChar w:fldCharType="end"/>
            </w:r>
          </w:hyperlink>
        </w:p>
        <w:p w14:paraId="722877F6" w14:textId="13CD20A4" w:rsidR="00190330" w:rsidRDefault="00901068">
          <w:pPr>
            <w:pStyle w:val="TOC2"/>
            <w:rPr>
              <w:rFonts w:asciiTheme="minorHAnsi" w:eastAsiaTheme="minorEastAsia" w:hAnsiTheme="minorHAnsi" w:cstheme="minorBidi"/>
              <w:b w:val="0"/>
              <w:noProof/>
              <w:sz w:val="22"/>
              <w:lang w:eastAsia="en-AU"/>
            </w:rPr>
          </w:pPr>
          <w:hyperlink w:anchor="_Toc116652732" w:history="1">
            <w:r w:rsidR="00190330" w:rsidRPr="00E9385D">
              <w:rPr>
                <w:rStyle w:val="Hyperlink"/>
                <w:noProof/>
              </w:rPr>
              <w:t>Product Information</w:t>
            </w:r>
            <w:r w:rsidR="00190330">
              <w:rPr>
                <w:noProof/>
                <w:webHidden/>
              </w:rPr>
              <w:tab/>
            </w:r>
            <w:r w:rsidR="00190330">
              <w:rPr>
                <w:noProof/>
                <w:webHidden/>
              </w:rPr>
              <w:fldChar w:fldCharType="begin"/>
            </w:r>
            <w:r w:rsidR="00190330">
              <w:rPr>
                <w:noProof/>
                <w:webHidden/>
              </w:rPr>
              <w:instrText xml:space="preserve"> PAGEREF _Toc116652732 \h </w:instrText>
            </w:r>
            <w:r w:rsidR="00190330">
              <w:rPr>
                <w:noProof/>
                <w:webHidden/>
              </w:rPr>
            </w:r>
            <w:r w:rsidR="00190330">
              <w:rPr>
                <w:noProof/>
                <w:webHidden/>
              </w:rPr>
              <w:fldChar w:fldCharType="separate"/>
            </w:r>
            <w:r>
              <w:rPr>
                <w:noProof/>
                <w:webHidden/>
              </w:rPr>
              <w:t>9</w:t>
            </w:r>
            <w:r w:rsidR="00190330">
              <w:rPr>
                <w:noProof/>
                <w:webHidden/>
              </w:rPr>
              <w:fldChar w:fldCharType="end"/>
            </w:r>
          </w:hyperlink>
        </w:p>
        <w:p w14:paraId="158EFEA6" w14:textId="6CDE45D7" w:rsidR="00190330" w:rsidRDefault="00901068">
          <w:pPr>
            <w:pStyle w:val="TOC1"/>
            <w:rPr>
              <w:rFonts w:asciiTheme="minorHAnsi" w:eastAsiaTheme="minorEastAsia" w:hAnsiTheme="minorHAnsi" w:cstheme="minorBidi"/>
              <w:b w:val="0"/>
              <w:noProof/>
              <w:sz w:val="22"/>
              <w:lang w:eastAsia="en-AU"/>
            </w:rPr>
          </w:pPr>
          <w:hyperlink w:anchor="_Toc116652733" w:history="1">
            <w:r w:rsidR="00190330" w:rsidRPr="00E9385D">
              <w:rPr>
                <w:rStyle w:val="Hyperlink"/>
                <w:noProof/>
              </w:rPr>
              <w:t>Registration timeline</w:t>
            </w:r>
            <w:r w:rsidR="00190330">
              <w:rPr>
                <w:noProof/>
                <w:webHidden/>
              </w:rPr>
              <w:tab/>
            </w:r>
            <w:r w:rsidR="00190330">
              <w:rPr>
                <w:noProof/>
                <w:webHidden/>
              </w:rPr>
              <w:fldChar w:fldCharType="begin"/>
            </w:r>
            <w:r w:rsidR="00190330">
              <w:rPr>
                <w:noProof/>
                <w:webHidden/>
              </w:rPr>
              <w:instrText xml:space="preserve"> PAGEREF _Toc116652733 \h </w:instrText>
            </w:r>
            <w:r w:rsidR="00190330">
              <w:rPr>
                <w:noProof/>
                <w:webHidden/>
              </w:rPr>
            </w:r>
            <w:r w:rsidR="00190330">
              <w:rPr>
                <w:noProof/>
                <w:webHidden/>
              </w:rPr>
              <w:fldChar w:fldCharType="separate"/>
            </w:r>
            <w:r>
              <w:rPr>
                <w:noProof/>
                <w:webHidden/>
              </w:rPr>
              <w:t>9</w:t>
            </w:r>
            <w:r w:rsidR="00190330">
              <w:rPr>
                <w:noProof/>
                <w:webHidden/>
              </w:rPr>
              <w:fldChar w:fldCharType="end"/>
            </w:r>
          </w:hyperlink>
        </w:p>
        <w:p w14:paraId="29CBE313" w14:textId="27205E6E" w:rsidR="00190330" w:rsidRDefault="00901068">
          <w:pPr>
            <w:pStyle w:val="TOC1"/>
            <w:rPr>
              <w:rFonts w:asciiTheme="minorHAnsi" w:eastAsiaTheme="minorEastAsia" w:hAnsiTheme="minorHAnsi" w:cstheme="minorBidi"/>
              <w:b w:val="0"/>
              <w:noProof/>
              <w:sz w:val="22"/>
              <w:lang w:eastAsia="en-AU"/>
            </w:rPr>
          </w:pPr>
          <w:hyperlink w:anchor="_Toc116652734" w:history="1">
            <w:r w:rsidR="00190330" w:rsidRPr="00E9385D">
              <w:rPr>
                <w:rStyle w:val="Hyperlink"/>
                <w:noProof/>
              </w:rPr>
              <w:t>Submission overview and risk/benefit assessment</w:t>
            </w:r>
            <w:r w:rsidR="00190330">
              <w:rPr>
                <w:noProof/>
                <w:webHidden/>
              </w:rPr>
              <w:tab/>
            </w:r>
            <w:r w:rsidR="00190330">
              <w:rPr>
                <w:noProof/>
                <w:webHidden/>
              </w:rPr>
              <w:fldChar w:fldCharType="begin"/>
            </w:r>
            <w:r w:rsidR="00190330">
              <w:rPr>
                <w:noProof/>
                <w:webHidden/>
              </w:rPr>
              <w:instrText xml:space="preserve"> PAGEREF _Toc116652734 \h </w:instrText>
            </w:r>
            <w:r w:rsidR="00190330">
              <w:rPr>
                <w:noProof/>
                <w:webHidden/>
              </w:rPr>
            </w:r>
            <w:r w:rsidR="00190330">
              <w:rPr>
                <w:noProof/>
                <w:webHidden/>
              </w:rPr>
              <w:fldChar w:fldCharType="separate"/>
            </w:r>
            <w:r>
              <w:rPr>
                <w:noProof/>
                <w:webHidden/>
              </w:rPr>
              <w:t>10</w:t>
            </w:r>
            <w:r w:rsidR="00190330">
              <w:rPr>
                <w:noProof/>
                <w:webHidden/>
              </w:rPr>
              <w:fldChar w:fldCharType="end"/>
            </w:r>
          </w:hyperlink>
        </w:p>
        <w:p w14:paraId="0DD30F4C" w14:textId="4CDCC3CA" w:rsidR="00190330" w:rsidRDefault="00901068">
          <w:pPr>
            <w:pStyle w:val="TOC2"/>
            <w:rPr>
              <w:rFonts w:asciiTheme="minorHAnsi" w:eastAsiaTheme="minorEastAsia" w:hAnsiTheme="minorHAnsi" w:cstheme="minorBidi"/>
              <w:b w:val="0"/>
              <w:noProof/>
              <w:sz w:val="22"/>
              <w:lang w:eastAsia="en-AU"/>
            </w:rPr>
          </w:pPr>
          <w:hyperlink w:anchor="_Toc116652735" w:history="1">
            <w:r w:rsidR="00190330" w:rsidRPr="00E9385D">
              <w:rPr>
                <w:rStyle w:val="Hyperlink"/>
                <w:noProof/>
              </w:rPr>
              <w:t>Quality</w:t>
            </w:r>
            <w:r w:rsidR="00190330">
              <w:rPr>
                <w:noProof/>
                <w:webHidden/>
              </w:rPr>
              <w:tab/>
            </w:r>
            <w:r w:rsidR="00190330">
              <w:rPr>
                <w:noProof/>
                <w:webHidden/>
              </w:rPr>
              <w:fldChar w:fldCharType="begin"/>
            </w:r>
            <w:r w:rsidR="00190330">
              <w:rPr>
                <w:noProof/>
                <w:webHidden/>
              </w:rPr>
              <w:instrText xml:space="preserve"> PAGEREF _Toc116652735 \h </w:instrText>
            </w:r>
            <w:r w:rsidR="00190330">
              <w:rPr>
                <w:noProof/>
                <w:webHidden/>
              </w:rPr>
            </w:r>
            <w:r w:rsidR="00190330">
              <w:rPr>
                <w:noProof/>
                <w:webHidden/>
              </w:rPr>
              <w:fldChar w:fldCharType="separate"/>
            </w:r>
            <w:r>
              <w:rPr>
                <w:noProof/>
                <w:webHidden/>
              </w:rPr>
              <w:t>10</w:t>
            </w:r>
            <w:r w:rsidR="00190330">
              <w:rPr>
                <w:noProof/>
                <w:webHidden/>
              </w:rPr>
              <w:fldChar w:fldCharType="end"/>
            </w:r>
          </w:hyperlink>
        </w:p>
        <w:p w14:paraId="74FE7D58" w14:textId="57F2816D" w:rsidR="00190330" w:rsidRDefault="00901068">
          <w:pPr>
            <w:pStyle w:val="TOC2"/>
            <w:rPr>
              <w:rFonts w:asciiTheme="minorHAnsi" w:eastAsiaTheme="minorEastAsia" w:hAnsiTheme="minorHAnsi" w:cstheme="minorBidi"/>
              <w:b w:val="0"/>
              <w:noProof/>
              <w:sz w:val="22"/>
              <w:lang w:eastAsia="en-AU"/>
            </w:rPr>
          </w:pPr>
          <w:hyperlink w:anchor="_Toc116652736" w:history="1">
            <w:r w:rsidR="00190330" w:rsidRPr="00E9385D">
              <w:rPr>
                <w:rStyle w:val="Hyperlink"/>
                <w:noProof/>
              </w:rPr>
              <w:t>Nonclinical</w:t>
            </w:r>
            <w:r w:rsidR="00190330">
              <w:rPr>
                <w:noProof/>
                <w:webHidden/>
              </w:rPr>
              <w:tab/>
            </w:r>
            <w:r w:rsidR="00190330">
              <w:rPr>
                <w:noProof/>
                <w:webHidden/>
              </w:rPr>
              <w:fldChar w:fldCharType="begin"/>
            </w:r>
            <w:r w:rsidR="00190330">
              <w:rPr>
                <w:noProof/>
                <w:webHidden/>
              </w:rPr>
              <w:instrText xml:space="preserve"> PAGEREF _Toc116652736 \h </w:instrText>
            </w:r>
            <w:r w:rsidR="00190330">
              <w:rPr>
                <w:noProof/>
                <w:webHidden/>
              </w:rPr>
            </w:r>
            <w:r w:rsidR="00190330">
              <w:rPr>
                <w:noProof/>
                <w:webHidden/>
              </w:rPr>
              <w:fldChar w:fldCharType="separate"/>
            </w:r>
            <w:r>
              <w:rPr>
                <w:noProof/>
                <w:webHidden/>
              </w:rPr>
              <w:t>12</w:t>
            </w:r>
            <w:r w:rsidR="00190330">
              <w:rPr>
                <w:noProof/>
                <w:webHidden/>
              </w:rPr>
              <w:fldChar w:fldCharType="end"/>
            </w:r>
          </w:hyperlink>
        </w:p>
        <w:p w14:paraId="621B95A6" w14:textId="2C57A3BF" w:rsidR="00190330" w:rsidRDefault="00901068">
          <w:pPr>
            <w:pStyle w:val="TOC2"/>
            <w:rPr>
              <w:rFonts w:asciiTheme="minorHAnsi" w:eastAsiaTheme="minorEastAsia" w:hAnsiTheme="minorHAnsi" w:cstheme="minorBidi"/>
              <w:b w:val="0"/>
              <w:noProof/>
              <w:sz w:val="22"/>
              <w:lang w:eastAsia="en-AU"/>
            </w:rPr>
          </w:pPr>
          <w:hyperlink w:anchor="_Toc116652737" w:history="1">
            <w:r w:rsidR="00190330" w:rsidRPr="00E9385D">
              <w:rPr>
                <w:rStyle w:val="Hyperlink"/>
                <w:noProof/>
              </w:rPr>
              <w:t>Clinical</w:t>
            </w:r>
            <w:r w:rsidR="00190330">
              <w:rPr>
                <w:noProof/>
                <w:webHidden/>
              </w:rPr>
              <w:tab/>
            </w:r>
            <w:r w:rsidR="00190330">
              <w:rPr>
                <w:noProof/>
                <w:webHidden/>
              </w:rPr>
              <w:fldChar w:fldCharType="begin"/>
            </w:r>
            <w:r w:rsidR="00190330">
              <w:rPr>
                <w:noProof/>
                <w:webHidden/>
              </w:rPr>
              <w:instrText xml:space="preserve"> PAGEREF _Toc116652737 \h </w:instrText>
            </w:r>
            <w:r w:rsidR="00190330">
              <w:rPr>
                <w:noProof/>
                <w:webHidden/>
              </w:rPr>
            </w:r>
            <w:r w:rsidR="00190330">
              <w:rPr>
                <w:noProof/>
                <w:webHidden/>
              </w:rPr>
              <w:fldChar w:fldCharType="separate"/>
            </w:r>
            <w:r>
              <w:rPr>
                <w:noProof/>
                <w:webHidden/>
              </w:rPr>
              <w:t>13</w:t>
            </w:r>
            <w:r w:rsidR="00190330">
              <w:rPr>
                <w:noProof/>
                <w:webHidden/>
              </w:rPr>
              <w:fldChar w:fldCharType="end"/>
            </w:r>
          </w:hyperlink>
        </w:p>
        <w:p w14:paraId="5748E4BC" w14:textId="70E3960C" w:rsidR="00190330" w:rsidRDefault="00901068">
          <w:pPr>
            <w:pStyle w:val="TOC2"/>
            <w:rPr>
              <w:rFonts w:asciiTheme="minorHAnsi" w:eastAsiaTheme="minorEastAsia" w:hAnsiTheme="minorHAnsi" w:cstheme="minorBidi"/>
              <w:b w:val="0"/>
              <w:noProof/>
              <w:sz w:val="22"/>
              <w:lang w:eastAsia="en-AU"/>
            </w:rPr>
          </w:pPr>
          <w:hyperlink w:anchor="_Toc116652738" w:history="1">
            <w:r w:rsidR="00190330" w:rsidRPr="00E9385D">
              <w:rPr>
                <w:rStyle w:val="Hyperlink"/>
                <w:noProof/>
                <w:lang w:eastAsia="en-AU"/>
              </w:rPr>
              <w:t>Risk management plan</w:t>
            </w:r>
            <w:r w:rsidR="00190330">
              <w:rPr>
                <w:noProof/>
                <w:webHidden/>
              </w:rPr>
              <w:tab/>
            </w:r>
            <w:r w:rsidR="00190330">
              <w:rPr>
                <w:noProof/>
                <w:webHidden/>
              </w:rPr>
              <w:fldChar w:fldCharType="begin"/>
            </w:r>
            <w:r w:rsidR="00190330">
              <w:rPr>
                <w:noProof/>
                <w:webHidden/>
              </w:rPr>
              <w:instrText xml:space="preserve"> PAGEREF _Toc116652738 \h </w:instrText>
            </w:r>
            <w:r w:rsidR="00190330">
              <w:rPr>
                <w:noProof/>
                <w:webHidden/>
              </w:rPr>
            </w:r>
            <w:r w:rsidR="00190330">
              <w:rPr>
                <w:noProof/>
                <w:webHidden/>
              </w:rPr>
              <w:fldChar w:fldCharType="separate"/>
            </w:r>
            <w:r>
              <w:rPr>
                <w:noProof/>
                <w:webHidden/>
              </w:rPr>
              <w:t>62</w:t>
            </w:r>
            <w:r w:rsidR="00190330">
              <w:rPr>
                <w:noProof/>
                <w:webHidden/>
              </w:rPr>
              <w:fldChar w:fldCharType="end"/>
            </w:r>
          </w:hyperlink>
        </w:p>
        <w:p w14:paraId="227BDB90" w14:textId="5E1632F3" w:rsidR="00190330" w:rsidRDefault="00901068">
          <w:pPr>
            <w:pStyle w:val="TOC2"/>
            <w:rPr>
              <w:rFonts w:asciiTheme="minorHAnsi" w:eastAsiaTheme="minorEastAsia" w:hAnsiTheme="minorHAnsi" w:cstheme="minorBidi"/>
              <w:b w:val="0"/>
              <w:noProof/>
              <w:sz w:val="22"/>
              <w:lang w:eastAsia="en-AU"/>
            </w:rPr>
          </w:pPr>
          <w:hyperlink w:anchor="_Toc116652739" w:history="1">
            <w:r w:rsidR="00190330" w:rsidRPr="00E9385D">
              <w:rPr>
                <w:rStyle w:val="Hyperlink"/>
                <w:noProof/>
              </w:rPr>
              <w:t>Risk-benefit analysis</w:t>
            </w:r>
            <w:r w:rsidR="00190330">
              <w:rPr>
                <w:noProof/>
                <w:webHidden/>
              </w:rPr>
              <w:tab/>
            </w:r>
            <w:r w:rsidR="00190330">
              <w:rPr>
                <w:noProof/>
                <w:webHidden/>
              </w:rPr>
              <w:fldChar w:fldCharType="begin"/>
            </w:r>
            <w:r w:rsidR="00190330">
              <w:rPr>
                <w:noProof/>
                <w:webHidden/>
              </w:rPr>
              <w:instrText xml:space="preserve"> PAGEREF _Toc116652739 \h </w:instrText>
            </w:r>
            <w:r w:rsidR="00190330">
              <w:rPr>
                <w:noProof/>
                <w:webHidden/>
              </w:rPr>
            </w:r>
            <w:r w:rsidR="00190330">
              <w:rPr>
                <w:noProof/>
                <w:webHidden/>
              </w:rPr>
              <w:fldChar w:fldCharType="separate"/>
            </w:r>
            <w:r>
              <w:rPr>
                <w:noProof/>
                <w:webHidden/>
              </w:rPr>
              <w:t>63</w:t>
            </w:r>
            <w:r w:rsidR="00190330">
              <w:rPr>
                <w:noProof/>
                <w:webHidden/>
              </w:rPr>
              <w:fldChar w:fldCharType="end"/>
            </w:r>
          </w:hyperlink>
        </w:p>
        <w:p w14:paraId="04A2DFEF" w14:textId="07E2032F" w:rsidR="00190330" w:rsidRDefault="00901068">
          <w:pPr>
            <w:pStyle w:val="TOC1"/>
            <w:rPr>
              <w:rFonts w:asciiTheme="minorHAnsi" w:eastAsiaTheme="minorEastAsia" w:hAnsiTheme="minorHAnsi" w:cstheme="minorBidi"/>
              <w:b w:val="0"/>
              <w:noProof/>
              <w:sz w:val="22"/>
              <w:lang w:eastAsia="en-AU"/>
            </w:rPr>
          </w:pPr>
          <w:hyperlink w:anchor="_Toc116652740" w:history="1">
            <w:r w:rsidR="00190330" w:rsidRPr="00E9385D">
              <w:rPr>
                <w:rStyle w:val="Hyperlink"/>
                <w:noProof/>
              </w:rPr>
              <w:t>Outcome</w:t>
            </w:r>
            <w:r w:rsidR="00190330">
              <w:rPr>
                <w:noProof/>
                <w:webHidden/>
              </w:rPr>
              <w:tab/>
            </w:r>
            <w:r w:rsidR="00190330">
              <w:rPr>
                <w:noProof/>
                <w:webHidden/>
              </w:rPr>
              <w:fldChar w:fldCharType="begin"/>
            </w:r>
            <w:r w:rsidR="00190330">
              <w:rPr>
                <w:noProof/>
                <w:webHidden/>
              </w:rPr>
              <w:instrText xml:space="preserve"> PAGEREF _Toc116652740 \h </w:instrText>
            </w:r>
            <w:r w:rsidR="00190330">
              <w:rPr>
                <w:noProof/>
                <w:webHidden/>
              </w:rPr>
            </w:r>
            <w:r w:rsidR="00190330">
              <w:rPr>
                <w:noProof/>
                <w:webHidden/>
              </w:rPr>
              <w:fldChar w:fldCharType="separate"/>
            </w:r>
            <w:r>
              <w:rPr>
                <w:noProof/>
                <w:webHidden/>
              </w:rPr>
              <w:t>65</w:t>
            </w:r>
            <w:r w:rsidR="00190330">
              <w:rPr>
                <w:noProof/>
                <w:webHidden/>
              </w:rPr>
              <w:fldChar w:fldCharType="end"/>
            </w:r>
          </w:hyperlink>
        </w:p>
        <w:p w14:paraId="77758546" w14:textId="68597A49" w:rsidR="00190330" w:rsidRDefault="00901068">
          <w:pPr>
            <w:pStyle w:val="TOC2"/>
            <w:rPr>
              <w:rFonts w:asciiTheme="minorHAnsi" w:eastAsiaTheme="minorEastAsia" w:hAnsiTheme="minorHAnsi" w:cstheme="minorBidi"/>
              <w:b w:val="0"/>
              <w:noProof/>
              <w:sz w:val="22"/>
              <w:lang w:eastAsia="en-AU"/>
            </w:rPr>
          </w:pPr>
          <w:hyperlink w:anchor="_Toc116652741" w:history="1">
            <w:r w:rsidR="00190330" w:rsidRPr="00E9385D">
              <w:rPr>
                <w:rStyle w:val="Hyperlink"/>
                <w:noProof/>
              </w:rPr>
              <w:t>Specific conditions of registration applying to these goods</w:t>
            </w:r>
            <w:r w:rsidR="00190330">
              <w:rPr>
                <w:noProof/>
                <w:webHidden/>
              </w:rPr>
              <w:tab/>
            </w:r>
            <w:r w:rsidR="00190330">
              <w:rPr>
                <w:noProof/>
                <w:webHidden/>
              </w:rPr>
              <w:fldChar w:fldCharType="begin"/>
            </w:r>
            <w:r w:rsidR="00190330">
              <w:rPr>
                <w:noProof/>
                <w:webHidden/>
              </w:rPr>
              <w:instrText xml:space="preserve"> PAGEREF _Toc116652741 \h </w:instrText>
            </w:r>
            <w:r w:rsidR="00190330">
              <w:rPr>
                <w:noProof/>
                <w:webHidden/>
              </w:rPr>
            </w:r>
            <w:r w:rsidR="00190330">
              <w:rPr>
                <w:noProof/>
                <w:webHidden/>
              </w:rPr>
              <w:fldChar w:fldCharType="separate"/>
            </w:r>
            <w:r>
              <w:rPr>
                <w:noProof/>
                <w:webHidden/>
              </w:rPr>
              <w:t>65</w:t>
            </w:r>
            <w:r w:rsidR="00190330">
              <w:rPr>
                <w:noProof/>
                <w:webHidden/>
              </w:rPr>
              <w:fldChar w:fldCharType="end"/>
            </w:r>
          </w:hyperlink>
        </w:p>
        <w:p w14:paraId="7286CA22" w14:textId="3FDF6B96" w:rsidR="00190330" w:rsidRDefault="00901068">
          <w:pPr>
            <w:pStyle w:val="TOC1"/>
            <w:rPr>
              <w:rFonts w:asciiTheme="minorHAnsi" w:eastAsiaTheme="minorEastAsia" w:hAnsiTheme="minorHAnsi" w:cstheme="minorBidi"/>
              <w:b w:val="0"/>
              <w:noProof/>
              <w:sz w:val="22"/>
              <w:lang w:eastAsia="en-AU"/>
            </w:rPr>
          </w:pPr>
          <w:hyperlink w:anchor="_Toc116652742" w:history="1">
            <w:r w:rsidR="00190330" w:rsidRPr="00E9385D">
              <w:rPr>
                <w:rStyle w:val="Hyperlink"/>
                <w:noProof/>
              </w:rPr>
              <w:t>Attachment 1. Product Information</w:t>
            </w:r>
            <w:r w:rsidR="00190330">
              <w:rPr>
                <w:noProof/>
                <w:webHidden/>
              </w:rPr>
              <w:tab/>
            </w:r>
            <w:r w:rsidR="00190330">
              <w:rPr>
                <w:noProof/>
                <w:webHidden/>
              </w:rPr>
              <w:fldChar w:fldCharType="begin"/>
            </w:r>
            <w:r w:rsidR="00190330">
              <w:rPr>
                <w:noProof/>
                <w:webHidden/>
              </w:rPr>
              <w:instrText xml:space="preserve"> PAGEREF _Toc116652742 \h </w:instrText>
            </w:r>
            <w:r w:rsidR="00190330">
              <w:rPr>
                <w:noProof/>
                <w:webHidden/>
              </w:rPr>
            </w:r>
            <w:r w:rsidR="00190330">
              <w:rPr>
                <w:noProof/>
                <w:webHidden/>
              </w:rPr>
              <w:fldChar w:fldCharType="separate"/>
            </w:r>
            <w:r>
              <w:rPr>
                <w:noProof/>
                <w:webHidden/>
              </w:rPr>
              <w:t>67</w:t>
            </w:r>
            <w:r w:rsidR="00190330">
              <w:rPr>
                <w:noProof/>
                <w:webHidden/>
              </w:rPr>
              <w:fldChar w:fldCharType="end"/>
            </w:r>
          </w:hyperlink>
        </w:p>
        <w:p w14:paraId="11AB49DF" w14:textId="3805765C" w:rsidR="003A7F6C" w:rsidRPr="00481594" w:rsidRDefault="00C525A2" w:rsidP="00EB36D6">
          <w:r w:rsidRPr="00481594">
            <w:fldChar w:fldCharType="end"/>
          </w:r>
        </w:p>
      </w:sdtContent>
    </w:sdt>
    <w:bookmarkStart w:id="2" w:name="_Toc314842482" w:displacedByCustomXml="prev"/>
    <w:p w14:paraId="733DA1FC" w14:textId="77777777" w:rsidR="00FD119B" w:rsidRPr="00481594" w:rsidRDefault="00FD119B">
      <w:pPr>
        <w:spacing w:before="0" w:after="200" w:line="0" w:lineRule="auto"/>
      </w:pPr>
      <w:r w:rsidRPr="00481594">
        <w:br w:type="page"/>
      </w:r>
    </w:p>
    <w:p w14:paraId="1E7C46AC" w14:textId="77777777" w:rsidR="00AF2313" w:rsidRPr="00481594" w:rsidRDefault="00AF2313" w:rsidP="00AF2313">
      <w:pPr>
        <w:pStyle w:val="Heading2"/>
      </w:pPr>
      <w:bookmarkStart w:id="3" w:name="_Toc98931917"/>
      <w:bookmarkStart w:id="4" w:name="_Toc116652727"/>
      <w:r w:rsidRPr="00481594">
        <w:lastRenderedPageBreak/>
        <w:t>List of abbreviations</w:t>
      </w:r>
      <w:bookmarkEnd w:id="3"/>
      <w:bookmarkEnd w:id="4"/>
    </w:p>
    <w:tbl>
      <w:tblPr>
        <w:tblStyle w:val="TableTGAblue"/>
        <w:tblW w:w="5000" w:type="pct"/>
        <w:tblLook w:val="04A0" w:firstRow="1" w:lastRow="0" w:firstColumn="1" w:lastColumn="0" w:noHBand="0" w:noVBand="1"/>
      </w:tblPr>
      <w:tblGrid>
        <w:gridCol w:w="1719"/>
        <w:gridCol w:w="1196"/>
        <w:gridCol w:w="5569"/>
      </w:tblGrid>
      <w:tr w:rsidR="00AF2313" w:rsidRPr="00481594" w14:paraId="0D96AB83" w14:textId="77777777" w:rsidTr="00AF2313">
        <w:trPr>
          <w:cnfStyle w:val="100000000000" w:firstRow="1" w:lastRow="0" w:firstColumn="0" w:lastColumn="0" w:oddVBand="0" w:evenVBand="0" w:oddHBand="0" w:evenHBand="0" w:firstRowFirstColumn="0" w:firstRowLastColumn="0" w:lastRowFirstColumn="0" w:lastRowLastColumn="0"/>
          <w:cantSplit/>
        </w:trPr>
        <w:tc>
          <w:tcPr>
            <w:tcW w:w="1718" w:type="pct"/>
            <w:gridSpan w:val="2"/>
            <w:hideMark/>
          </w:tcPr>
          <w:p w14:paraId="721C9A89" w14:textId="77777777" w:rsidR="00AF2313" w:rsidRPr="00481594" w:rsidRDefault="00AF2313">
            <w:pPr>
              <w:rPr>
                <w:color w:val="FFFFFF"/>
              </w:rPr>
            </w:pPr>
            <w:r w:rsidRPr="00481594">
              <w:t>Abbreviation</w:t>
            </w:r>
          </w:p>
        </w:tc>
        <w:tc>
          <w:tcPr>
            <w:tcW w:w="3282" w:type="pct"/>
            <w:hideMark/>
          </w:tcPr>
          <w:p w14:paraId="4E6180CA" w14:textId="77777777" w:rsidR="00AF2313" w:rsidRPr="00481594" w:rsidRDefault="00AF2313">
            <w:r w:rsidRPr="00481594">
              <w:t>Meaning</w:t>
            </w:r>
          </w:p>
        </w:tc>
      </w:tr>
      <w:tr w:rsidR="0044374C" w:rsidRPr="00481594" w14:paraId="5ECEFE4B" w14:textId="77777777" w:rsidTr="0044374C">
        <w:trPr>
          <w:cantSplit/>
        </w:trPr>
        <w:tc>
          <w:tcPr>
            <w:tcW w:w="1013" w:type="pct"/>
            <w:tcBorders>
              <w:top w:val="single" w:sz="8" w:space="0" w:color="002C47"/>
              <w:left w:val="single" w:sz="8" w:space="0" w:color="002C47"/>
              <w:bottom w:val="single" w:sz="8" w:space="0" w:color="002C47"/>
              <w:right w:val="single" w:sz="8" w:space="0" w:color="002C47"/>
            </w:tcBorders>
          </w:tcPr>
          <w:p w14:paraId="6D0633BF" w14:textId="1057F08F" w:rsidR="0044374C" w:rsidRPr="00481594" w:rsidRDefault="0044374C" w:rsidP="0044374C">
            <w:r w:rsidRPr="00481594">
              <w:t>ACV</w:t>
            </w:r>
          </w:p>
        </w:tc>
        <w:tc>
          <w:tcPr>
            <w:tcW w:w="3987" w:type="pct"/>
            <w:gridSpan w:val="2"/>
            <w:tcBorders>
              <w:top w:val="single" w:sz="8" w:space="0" w:color="002C47"/>
              <w:left w:val="single" w:sz="8" w:space="0" w:color="002C47"/>
              <w:bottom w:val="single" w:sz="8" w:space="0" w:color="002C47"/>
              <w:right w:val="single" w:sz="8" w:space="0" w:color="002C47"/>
            </w:tcBorders>
          </w:tcPr>
          <w:p w14:paraId="21FC156F" w14:textId="18B45FBD" w:rsidR="0044374C" w:rsidRPr="00481594" w:rsidRDefault="0044374C" w:rsidP="0044374C">
            <w:r w:rsidRPr="00481594">
              <w:t>Advisory Committee on Vaccines</w:t>
            </w:r>
          </w:p>
        </w:tc>
      </w:tr>
      <w:tr w:rsidR="0044374C" w:rsidRPr="00481594" w14:paraId="31CE89E2" w14:textId="77777777" w:rsidTr="0044374C">
        <w:trPr>
          <w:cantSplit/>
        </w:trPr>
        <w:tc>
          <w:tcPr>
            <w:tcW w:w="1013" w:type="pct"/>
            <w:tcBorders>
              <w:top w:val="single" w:sz="8" w:space="0" w:color="002C47"/>
              <w:left w:val="single" w:sz="8" w:space="0" w:color="002C47"/>
              <w:bottom w:val="single" w:sz="8" w:space="0" w:color="002C47"/>
              <w:right w:val="single" w:sz="8" w:space="0" w:color="002C47"/>
            </w:tcBorders>
          </w:tcPr>
          <w:p w14:paraId="45FE5B36" w14:textId="5AC99B91" w:rsidR="0044374C" w:rsidRPr="00481594" w:rsidRDefault="0044374C" w:rsidP="0044374C">
            <w:r w:rsidRPr="00481594">
              <w:t>AE</w:t>
            </w:r>
          </w:p>
        </w:tc>
        <w:tc>
          <w:tcPr>
            <w:tcW w:w="3987" w:type="pct"/>
            <w:gridSpan w:val="2"/>
            <w:tcBorders>
              <w:top w:val="single" w:sz="8" w:space="0" w:color="002C47"/>
              <w:left w:val="single" w:sz="8" w:space="0" w:color="002C47"/>
              <w:bottom w:val="single" w:sz="8" w:space="0" w:color="002C47"/>
              <w:right w:val="single" w:sz="8" w:space="0" w:color="002C47"/>
            </w:tcBorders>
          </w:tcPr>
          <w:p w14:paraId="49FE09E6" w14:textId="0361F594" w:rsidR="0044374C" w:rsidRPr="00481594" w:rsidRDefault="0044374C" w:rsidP="0044374C">
            <w:r w:rsidRPr="00481594">
              <w:t>Adverse event</w:t>
            </w:r>
          </w:p>
        </w:tc>
      </w:tr>
      <w:tr w:rsidR="0044374C" w:rsidRPr="00481594" w14:paraId="3F2BC1B6" w14:textId="77777777" w:rsidTr="0044374C">
        <w:trPr>
          <w:cantSplit/>
        </w:trPr>
        <w:tc>
          <w:tcPr>
            <w:tcW w:w="1013" w:type="pct"/>
            <w:tcBorders>
              <w:top w:val="single" w:sz="8" w:space="0" w:color="002C47"/>
              <w:left w:val="single" w:sz="8" w:space="0" w:color="002C47"/>
              <w:bottom w:val="single" w:sz="8" w:space="0" w:color="002C47"/>
              <w:right w:val="single" w:sz="8" w:space="0" w:color="002C47"/>
            </w:tcBorders>
          </w:tcPr>
          <w:p w14:paraId="5B8C67F6" w14:textId="6016D175" w:rsidR="0044374C" w:rsidRPr="00481594" w:rsidRDefault="0044374C" w:rsidP="0044374C">
            <w:r w:rsidRPr="00481594">
              <w:t>ARGPM</w:t>
            </w:r>
          </w:p>
        </w:tc>
        <w:tc>
          <w:tcPr>
            <w:tcW w:w="3987" w:type="pct"/>
            <w:gridSpan w:val="2"/>
            <w:tcBorders>
              <w:top w:val="single" w:sz="8" w:space="0" w:color="002C47"/>
              <w:left w:val="single" w:sz="8" w:space="0" w:color="002C47"/>
              <w:bottom w:val="single" w:sz="8" w:space="0" w:color="002C47"/>
              <w:right w:val="single" w:sz="8" w:space="0" w:color="002C47"/>
            </w:tcBorders>
          </w:tcPr>
          <w:p w14:paraId="347D1F6F" w14:textId="666E532A" w:rsidR="0044374C" w:rsidRPr="00481594" w:rsidRDefault="0044374C" w:rsidP="0044374C">
            <w:r w:rsidRPr="00481594">
              <w:t>Australian Regulatory Guidelines for Prescription Medicines</w:t>
            </w:r>
          </w:p>
        </w:tc>
      </w:tr>
      <w:tr w:rsidR="0044374C" w:rsidRPr="00481594" w14:paraId="37216E51" w14:textId="77777777" w:rsidTr="0044374C">
        <w:trPr>
          <w:cantSplit/>
        </w:trPr>
        <w:tc>
          <w:tcPr>
            <w:tcW w:w="1013" w:type="pct"/>
            <w:tcBorders>
              <w:top w:val="single" w:sz="8" w:space="0" w:color="002C47"/>
              <w:left w:val="single" w:sz="8" w:space="0" w:color="002C47"/>
              <w:bottom w:val="single" w:sz="8" w:space="0" w:color="002C47"/>
              <w:right w:val="single" w:sz="8" w:space="0" w:color="002C47"/>
            </w:tcBorders>
          </w:tcPr>
          <w:p w14:paraId="0CB33B89" w14:textId="31794E0C" w:rsidR="0044374C" w:rsidRPr="00481594" w:rsidRDefault="0044374C" w:rsidP="0044374C">
            <w:r w:rsidRPr="00481594">
              <w:t>ARTG</w:t>
            </w:r>
          </w:p>
        </w:tc>
        <w:tc>
          <w:tcPr>
            <w:tcW w:w="3987" w:type="pct"/>
            <w:gridSpan w:val="2"/>
            <w:tcBorders>
              <w:top w:val="single" w:sz="8" w:space="0" w:color="002C47"/>
              <w:left w:val="single" w:sz="8" w:space="0" w:color="002C47"/>
              <w:bottom w:val="single" w:sz="8" w:space="0" w:color="002C47"/>
              <w:right w:val="single" w:sz="8" w:space="0" w:color="002C47"/>
            </w:tcBorders>
          </w:tcPr>
          <w:p w14:paraId="52FFB722" w14:textId="15B3E965" w:rsidR="0044374C" w:rsidRPr="00481594" w:rsidRDefault="0044374C" w:rsidP="0044374C">
            <w:r w:rsidRPr="00481594">
              <w:t>Australian Register of Therapeutic Goods</w:t>
            </w:r>
          </w:p>
        </w:tc>
      </w:tr>
      <w:tr w:rsidR="0044374C" w:rsidRPr="00481594" w14:paraId="03FE589A" w14:textId="77777777" w:rsidTr="0044374C">
        <w:trPr>
          <w:cantSplit/>
        </w:trPr>
        <w:tc>
          <w:tcPr>
            <w:tcW w:w="1013" w:type="pct"/>
            <w:tcBorders>
              <w:top w:val="single" w:sz="8" w:space="0" w:color="002C47"/>
              <w:left w:val="single" w:sz="8" w:space="0" w:color="002C47"/>
              <w:bottom w:val="single" w:sz="8" w:space="0" w:color="002C47"/>
              <w:right w:val="single" w:sz="8" w:space="0" w:color="002C47"/>
            </w:tcBorders>
          </w:tcPr>
          <w:p w14:paraId="1891E089" w14:textId="320D82A9" w:rsidR="0044374C" w:rsidRPr="00481594" w:rsidRDefault="0044374C" w:rsidP="0044374C">
            <w:r w:rsidRPr="00481594">
              <w:t>ASA</w:t>
            </w:r>
          </w:p>
        </w:tc>
        <w:tc>
          <w:tcPr>
            <w:tcW w:w="3987" w:type="pct"/>
            <w:gridSpan w:val="2"/>
            <w:tcBorders>
              <w:top w:val="single" w:sz="8" w:space="0" w:color="002C47"/>
              <w:left w:val="single" w:sz="8" w:space="0" w:color="002C47"/>
              <w:bottom w:val="single" w:sz="8" w:space="0" w:color="002C47"/>
              <w:right w:val="single" w:sz="8" w:space="0" w:color="002C47"/>
            </w:tcBorders>
          </w:tcPr>
          <w:p w14:paraId="2F5FA9B5" w14:textId="4B5A655C" w:rsidR="0044374C" w:rsidRPr="00481594" w:rsidRDefault="0044374C" w:rsidP="0044374C">
            <w:r w:rsidRPr="00481594">
              <w:t>Australia specific annex</w:t>
            </w:r>
          </w:p>
        </w:tc>
      </w:tr>
      <w:tr w:rsidR="0044374C" w:rsidRPr="00481594" w14:paraId="337AC459" w14:textId="77777777" w:rsidTr="0044374C">
        <w:trPr>
          <w:cantSplit/>
        </w:trPr>
        <w:tc>
          <w:tcPr>
            <w:tcW w:w="1013" w:type="pct"/>
            <w:tcBorders>
              <w:top w:val="single" w:sz="8" w:space="0" w:color="002C47"/>
              <w:left w:val="single" w:sz="8" w:space="0" w:color="002C47"/>
              <w:bottom w:val="single" w:sz="8" w:space="0" w:color="002C47"/>
              <w:right w:val="single" w:sz="8" w:space="0" w:color="002C47"/>
            </w:tcBorders>
          </w:tcPr>
          <w:p w14:paraId="4F99C93C" w14:textId="65EF5DB3" w:rsidR="0044374C" w:rsidRPr="00481594" w:rsidRDefault="0044374C" w:rsidP="0044374C">
            <w:r w:rsidRPr="00481594">
              <w:t>CAIH</w:t>
            </w:r>
          </w:p>
        </w:tc>
        <w:tc>
          <w:tcPr>
            <w:tcW w:w="3987" w:type="pct"/>
            <w:gridSpan w:val="2"/>
            <w:tcBorders>
              <w:top w:val="single" w:sz="8" w:space="0" w:color="002C47"/>
              <w:left w:val="single" w:sz="8" w:space="0" w:color="002C47"/>
              <w:bottom w:val="single" w:sz="8" w:space="0" w:color="002C47"/>
              <w:right w:val="single" w:sz="8" w:space="0" w:color="002C47"/>
            </w:tcBorders>
          </w:tcPr>
          <w:p w14:paraId="59C9F2F7" w14:textId="46393AEA" w:rsidR="0044374C" w:rsidRPr="00481594" w:rsidRDefault="00C40C2D" w:rsidP="0044374C">
            <w:r w:rsidRPr="00481594">
              <w:t xml:space="preserve">(John Hopkins) </w:t>
            </w:r>
            <w:proofErr w:type="spellStart"/>
            <w:r w:rsidR="0044374C" w:rsidRPr="00481594">
              <w:t>Cente</w:t>
            </w:r>
            <w:r w:rsidRPr="00481594">
              <w:t>r</w:t>
            </w:r>
            <w:proofErr w:type="spellEnd"/>
            <w:r w:rsidR="0044374C" w:rsidRPr="00481594">
              <w:t xml:space="preserve"> for American Indian Health (United States of America)</w:t>
            </w:r>
          </w:p>
        </w:tc>
      </w:tr>
      <w:tr w:rsidR="0044374C" w:rsidRPr="00481594" w14:paraId="0B01B8BC" w14:textId="77777777" w:rsidTr="00AF2313">
        <w:trPr>
          <w:cantSplit/>
        </w:trPr>
        <w:tc>
          <w:tcPr>
            <w:tcW w:w="1013" w:type="pct"/>
            <w:tcBorders>
              <w:top w:val="single" w:sz="8" w:space="0" w:color="002C47"/>
              <w:left w:val="single" w:sz="8" w:space="0" w:color="002C47"/>
              <w:bottom w:val="single" w:sz="8" w:space="0" w:color="002C47"/>
              <w:right w:val="single" w:sz="8" w:space="0" w:color="002C47"/>
            </w:tcBorders>
          </w:tcPr>
          <w:p w14:paraId="07CB6347" w14:textId="03984AB5" w:rsidR="0044374C" w:rsidRPr="00481594" w:rsidRDefault="0044374C" w:rsidP="0044374C">
            <w:pPr>
              <w:rPr>
                <w:color w:val="000000"/>
              </w:rPr>
            </w:pPr>
            <w:r w:rsidRPr="00481594">
              <w:t>CD4</w:t>
            </w:r>
          </w:p>
        </w:tc>
        <w:tc>
          <w:tcPr>
            <w:tcW w:w="3987" w:type="pct"/>
            <w:gridSpan w:val="2"/>
            <w:tcBorders>
              <w:top w:val="single" w:sz="8" w:space="0" w:color="002C47"/>
              <w:left w:val="single" w:sz="8" w:space="0" w:color="002C47"/>
              <w:bottom w:val="single" w:sz="8" w:space="0" w:color="002C47"/>
              <w:right w:val="single" w:sz="8" w:space="0" w:color="002C47"/>
            </w:tcBorders>
          </w:tcPr>
          <w:p w14:paraId="20AC3F36" w14:textId="0476B276" w:rsidR="0044374C" w:rsidRPr="00481594" w:rsidRDefault="0044374C" w:rsidP="0044374C">
            <w:pPr>
              <w:rPr>
                <w:color w:val="000000"/>
              </w:rPr>
            </w:pPr>
            <w:r w:rsidRPr="00481594">
              <w:t>Cluster of differentiation 4</w:t>
            </w:r>
          </w:p>
        </w:tc>
      </w:tr>
      <w:tr w:rsidR="0044374C" w:rsidRPr="00481594" w14:paraId="4F54DEDC"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5C18CE06" w14:textId="58A90EE4" w:rsidR="0044374C" w:rsidRPr="00481594" w:rsidRDefault="0044374C" w:rsidP="0044374C">
            <w:r w:rsidRPr="00481594">
              <w:t>CHMP</w:t>
            </w:r>
          </w:p>
        </w:tc>
        <w:tc>
          <w:tcPr>
            <w:tcW w:w="3987" w:type="pct"/>
            <w:gridSpan w:val="2"/>
            <w:tcBorders>
              <w:top w:val="single" w:sz="8" w:space="0" w:color="002C47"/>
              <w:left w:val="single" w:sz="8" w:space="0" w:color="002C47"/>
              <w:bottom w:val="single" w:sz="8" w:space="0" w:color="002C47"/>
              <w:right w:val="single" w:sz="8" w:space="0" w:color="002C47"/>
            </w:tcBorders>
          </w:tcPr>
          <w:p w14:paraId="3EA4B231" w14:textId="68AD193E" w:rsidR="0044374C" w:rsidRPr="00481594" w:rsidRDefault="0044374C" w:rsidP="0044374C">
            <w:r w:rsidRPr="00481594">
              <w:t>Committee for Medicinal Products for Human Use (European Union)</w:t>
            </w:r>
          </w:p>
        </w:tc>
      </w:tr>
      <w:tr w:rsidR="0044374C" w:rsidRPr="00481594" w14:paraId="746B1E85"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05F68EB1" w14:textId="53AE4640" w:rsidR="0044374C" w:rsidRPr="00481594" w:rsidRDefault="0044374C" w:rsidP="0044374C">
            <w:pPr>
              <w:rPr>
                <w:color w:val="000000"/>
              </w:rPr>
            </w:pPr>
            <w:r w:rsidRPr="00481594">
              <w:t>CI</w:t>
            </w:r>
          </w:p>
        </w:tc>
        <w:tc>
          <w:tcPr>
            <w:tcW w:w="3987" w:type="pct"/>
            <w:gridSpan w:val="2"/>
            <w:tcBorders>
              <w:top w:val="single" w:sz="8" w:space="0" w:color="002C47"/>
              <w:left w:val="single" w:sz="8" w:space="0" w:color="002C47"/>
              <w:bottom w:val="single" w:sz="8" w:space="0" w:color="002C47"/>
              <w:right w:val="single" w:sz="8" w:space="0" w:color="002C47"/>
            </w:tcBorders>
          </w:tcPr>
          <w:p w14:paraId="5ECCDDF0" w14:textId="5FC9E036" w:rsidR="0044374C" w:rsidRPr="00481594" w:rsidRDefault="0044374C" w:rsidP="0044374C">
            <w:r w:rsidRPr="00481594">
              <w:t>Confidence interval</w:t>
            </w:r>
          </w:p>
        </w:tc>
      </w:tr>
      <w:tr w:rsidR="0044374C" w:rsidRPr="00481594" w14:paraId="01B72CC5"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10D64218" w14:textId="6B3D2DB2" w:rsidR="0044374C" w:rsidRPr="00481594" w:rsidRDefault="0044374C" w:rsidP="0044374C">
            <w:r w:rsidRPr="00481594">
              <w:t>CMI</w:t>
            </w:r>
          </w:p>
        </w:tc>
        <w:tc>
          <w:tcPr>
            <w:tcW w:w="3987" w:type="pct"/>
            <w:gridSpan w:val="2"/>
            <w:tcBorders>
              <w:top w:val="single" w:sz="8" w:space="0" w:color="002C47"/>
              <w:left w:val="single" w:sz="8" w:space="0" w:color="002C47"/>
              <w:bottom w:val="single" w:sz="8" w:space="0" w:color="002C47"/>
              <w:right w:val="single" w:sz="8" w:space="0" w:color="002C47"/>
            </w:tcBorders>
          </w:tcPr>
          <w:p w14:paraId="06B25017" w14:textId="250F0559" w:rsidR="0044374C" w:rsidRPr="00481594" w:rsidRDefault="0044374C" w:rsidP="0044374C">
            <w:r w:rsidRPr="00481594">
              <w:t>Consumer Medicines Information</w:t>
            </w:r>
          </w:p>
        </w:tc>
      </w:tr>
      <w:tr w:rsidR="0044374C" w:rsidRPr="00481594" w14:paraId="0E2EB4D6"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1FA8FDD8" w14:textId="30DC3907" w:rsidR="0044374C" w:rsidRPr="00481594" w:rsidRDefault="0044374C" w:rsidP="0044374C">
            <w:r w:rsidRPr="00481594">
              <w:t>CPD</w:t>
            </w:r>
          </w:p>
        </w:tc>
        <w:tc>
          <w:tcPr>
            <w:tcW w:w="3987" w:type="pct"/>
            <w:gridSpan w:val="2"/>
            <w:tcBorders>
              <w:top w:val="single" w:sz="8" w:space="0" w:color="002C47"/>
              <w:left w:val="single" w:sz="8" w:space="0" w:color="002C47"/>
              <w:bottom w:val="single" w:sz="8" w:space="0" w:color="002C47"/>
              <w:right w:val="single" w:sz="8" w:space="0" w:color="002C47"/>
            </w:tcBorders>
          </w:tcPr>
          <w:p w14:paraId="311F05CF" w14:textId="0B849FBB" w:rsidR="0044374C" w:rsidRPr="00481594" w:rsidRDefault="0044374C" w:rsidP="0044374C">
            <w:r w:rsidRPr="00481594">
              <w:t>Certified Product Details</w:t>
            </w:r>
          </w:p>
        </w:tc>
      </w:tr>
      <w:tr w:rsidR="0044374C" w:rsidRPr="00481594" w14:paraId="3D495932"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1239005A" w14:textId="41EFADFA" w:rsidR="0044374C" w:rsidRPr="00481594" w:rsidRDefault="0044374C" w:rsidP="0044374C">
            <w:r w:rsidRPr="00481594">
              <w:t>CRM</w:t>
            </w:r>
            <w:r w:rsidRPr="00481594">
              <w:rPr>
                <w:vertAlign w:val="subscript"/>
              </w:rPr>
              <w:t>197</w:t>
            </w:r>
          </w:p>
        </w:tc>
        <w:tc>
          <w:tcPr>
            <w:tcW w:w="3987" w:type="pct"/>
            <w:gridSpan w:val="2"/>
            <w:tcBorders>
              <w:top w:val="single" w:sz="8" w:space="0" w:color="002C47"/>
              <w:left w:val="single" w:sz="8" w:space="0" w:color="002C47"/>
              <w:bottom w:val="single" w:sz="8" w:space="0" w:color="002C47"/>
              <w:right w:val="single" w:sz="8" w:space="0" w:color="002C47"/>
            </w:tcBorders>
          </w:tcPr>
          <w:p w14:paraId="2FCF42FB" w14:textId="22F22F5B" w:rsidR="0044374C" w:rsidRPr="00481594" w:rsidRDefault="0044374C" w:rsidP="0044374C">
            <w:r w:rsidRPr="00481594">
              <w:t>Cross reactive material 197</w:t>
            </w:r>
          </w:p>
        </w:tc>
      </w:tr>
      <w:tr w:rsidR="0044374C" w:rsidRPr="00481594" w14:paraId="465E7F6D"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7266E34F" w14:textId="324B556F" w:rsidR="0044374C" w:rsidRPr="00481594" w:rsidRDefault="0044374C" w:rsidP="0044374C">
            <w:r w:rsidRPr="00481594">
              <w:t>DLP</w:t>
            </w:r>
          </w:p>
        </w:tc>
        <w:tc>
          <w:tcPr>
            <w:tcW w:w="3987" w:type="pct"/>
            <w:gridSpan w:val="2"/>
            <w:tcBorders>
              <w:top w:val="single" w:sz="8" w:space="0" w:color="002C47"/>
              <w:left w:val="single" w:sz="8" w:space="0" w:color="002C47"/>
              <w:bottom w:val="single" w:sz="8" w:space="0" w:color="002C47"/>
              <w:right w:val="single" w:sz="8" w:space="0" w:color="002C47"/>
            </w:tcBorders>
          </w:tcPr>
          <w:p w14:paraId="702B40B6" w14:textId="0F195F31" w:rsidR="0044374C" w:rsidRPr="00481594" w:rsidRDefault="0044374C" w:rsidP="0044374C">
            <w:r w:rsidRPr="00481594">
              <w:t>Data lock point</w:t>
            </w:r>
          </w:p>
        </w:tc>
      </w:tr>
      <w:tr w:rsidR="0044374C" w:rsidRPr="00481594" w14:paraId="17971B5D"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0D1F52E6" w14:textId="1B018585" w:rsidR="0044374C" w:rsidRPr="00481594" w:rsidRDefault="0044374C" w:rsidP="0044374C">
            <w:r w:rsidRPr="00481594">
              <w:t>EMA</w:t>
            </w:r>
          </w:p>
        </w:tc>
        <w:tc>
          <w:tcPr>
            <w:tcW w:w="3987" w:type="pct"/>
            <w:gridSpan w:val="2"/>
            <w:tcBorders>
              <w:top w:val="single" w:sz="8" w:space="0" w:color="002C47"/>
              <w:left w:val="single" w:sz="8" w:space="0" w:color="002C47"/>
              <w:bottom w:val="single" w:sz="8" w:space="0" w:color="002C47"/>
              <w:right w:val="single" w:sz="8" w:space="0" w:color="002C47"/>
            </w:tcBorders>
          </w:tcPr>
          <w:p w14:paraId="05BBFAF4" w14:textId="246C04C7" w:rsidR="0044374C" w:rsidRPr="00481594" w:rsidRDefault="0044374C" w:rsidP="0044374C">
            <w:r w:rsidRPr="00481594">
              <w:t>European Medicines Agency (European Union)</w:t>
            </w:r>
          </w:p>
        </w:tc>
      </w:tr>
      <w:tr w:rsidR="0044374C" w:rsidRPr="00481594" w14:paraId="4C71887C"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1AD3C23B" w14:textId="3A8DD324" w:rsidR="0044374C" w:rsidRPr="00481594" w:rsidRDefault="0044374C" w:rsidP="0044374C">
            <w:r w:rsidRPr="00481594">
              <w:t>EMEA</w:t>
            </w:r>
          </w:p>
        </w:tc>
        <w:tc>
          <w:tcPr>
            <w:tcW w:w="3987" w:type="pct"/>
            <w:gridSpan w:val="2"/>
            <w:tcBorders>
              <w:top w:val="single" w:sz="8" w:space="0" w:color="002C47"/>
              <w:left w:val="single" w:sz="8" w:space="0" w:color="002C47"/>
              <w:bottom w:val="single" w:sz="8" w:space="0" w:color="002C47"/>
              <w:right w:val="single" w:sz="8" w:space="0" w:color="002C47"/>
            </w:tcBorders>
          </w:tcPr>
          <w:p w14:paraId="48CF1BFD" w14:textId="6DE9DA9A" w:rsidR="0044374C" w:rsidRPr="00481594" w:rsidRDefault="0044374C" w:rsidP="0044374C">
            <w:r w:rsidRPr="00481594">
              <w:t>European Medicines Evaluation Agency (European Union)</w:t>
            </w:r>
          </w:p>
        </w:tc>
      </w:tr>
      <w:tr w:rsidR="0044374C" w:rsidRPr="00481594" w14:paraId="23733CE5"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4A0EE271" w14:textId="16F3EC3E" w:rsidR="0044374C" w:rsidRPr="00481594" w:rsidRDefault="0044374C" w:rsidP="0044374C">
            <w:r w:rsidRPr="00481594">
              <w:t>EU</w:t>
            </w:r>
          </w:p>
        </w:tc>
        <w:tc>
          <w:tcPr>
            <w:tcW w:w="3987" w:type="pct"/>
            <w:gridSpan w:val="2"/>
            <w:tcBorders>
              <w:top w:val="single" w:sz="8" w:space="0" w:color="002C47"/>
              <w:left w:val="single" w:sz="8" w:space="0" w:color="002C47"/>
              <w:bottom w:val="single" w:sz="8" w:space="0" w:color="002C47"/>
              <w:right w:val="single" w:sz="8" w:space="0" w:color="002C47"/>
            </w:tcBorders>
          </w:tcPr>
          <w:p w14:paraId="3811F1BA" w14:textId="26BAD234" w:rsidR="0044374C" w:rsidRPr="00481594" w:rsidRDefault="0044374C" w:rsidP="0044374C">
            <w:r w:rsidRPr="00481594">
              <w:t>European Union</w:t>
            </w:r>
          </w:p>
        </w:tc>
      </w:tr>
      <w:tr w:rsidR="0044374C" w:rsidRPr="00481594" w14:paraId="1DD8A8DE"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706C0F17" w14:textId="1BD2FC61" w:rsidR="0044374C" w:rsidRPr="00481594" w:rsidRDefault="0044374C" w:rsidP="0044374C">
            <w:r w:rsidRPr="00481594">
              <w:t>FDA</w:t>
            </w:r>
          </w:p>
        </w:tc>
        <w:tc>
          <w:tcPr>
            <w:tcW w:w="3987" w:type="pct"/>
            <w:gridSpan w:val="2"/>
            <w:tcBorders>
              <w:top w:val="single" w:sz="8" w:space="0" w:color="002C47"/>
              <w:left w:val="single" w:sz="8" w:space="0" w:color="002C47"/>
              <w:bottom w:val="single" w:sz="8" w:space="0" w:color="002C47"/>
              <w:right w:val="single" w:sz="8" w:space="0" w:color="002C47"/>
            </w:tcBorders>
          </w:tcPr>
          <w:p w14:paraId="7C8BE4E2" w14:textId="0828E3C4" w:rsidR="0044374C" w:rsidRPr="00481594" w:rsidRDefault="0044374C" w:rsidP="0044374C">
            <w:r w:rsidRPr="00481594">
              <w:t>Food and Drug Administration (United States of America)</w:t>
            </w:r>
          </w:p>
        </w:tc>
      </w:tr>
      <w:tr w:rsidR="0044374C" w:rsidRPr="00481594" w14:paraId="5A1A83A5"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053A3860" w14:textId="463949E0" w:rsidR="0044374C" w:rsidRPr="00481594" w:rsidRDefault="0044374C" w:rsidP="0044374C">
            <w:r w:rsidRPr="00481594">
              <w:t>GLP</w:t>
            </w:r>
          </w:p>
        </w:tc>
        <w:tc>
          <w:tcPr>
            <w:tcW w:w="3987" w:type="pct"/>
            <w:gridSpan w:val="2"/>
            <w:tcBorders>
              <w:top w:val="single" w:sz="8" w:space="0" w:color="002C47"/>
              <w:left w:val="single" w:sz="8" w:space="0" w:color="002C47"/>
              <w:bottom w:val="single" w:sz="8" w:space="0" w:color="002C47"/>
              <w:right w:val="single" w:sz="8" w:space="0" w:color="002C47"/>
            </w:tcBorders>
          </w:tcPr>
          <w:p w14:paraId="2591814F" w14:textId="457DEDD9" w:rsidR="0044374C" w:rsidRPr="00481594" w:rsidRDefault="0044374C" w:rsidP="0044374C">
            <w:r w:rsidRPr="00481594">
              <w:t>Good Laboratory Practice</w:t>
            </w:r>
            <w:r w:rsidR="00643DD0" w:rsidRPr="00481594">
              <w:t>(s)</w:t>
            </w:r>
          </w:p>
        </w:tc>
      </w:tr>
      <w:tr w:rsidR="0044374C" w:rsidRPr="00481594" w14:paraId="1AB635E1"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30F3D61D" w14:textId="5B3DBAE6" w:rsidR="0044374C" w:rsidRPr="00481594" w:rsidRDefault="0044374C" w:rsidP="0044374C">
            <w:r w:rsidRPr="00481594">
              <w:t>GMC</w:t>
            </w:r>
          </w:p>
        </w:tc>
        <w:tc>
          <w:tcPr>
            <w:tcW w:w="3987" w:type="pct"/>
            <w:gridSpan w:val="2"/>
            <w:tcBorders>
              <w:top w:val="single" w:sz="8" w:space="0" w:color="002C47"/>
              <w:left w:val="single" w:sz="8" w:space="0" w:color="002C47"/>
              <w:bottom w:val="single" w:sz="8" w:space="0" w:color="002C47"/>
              <w:right w:val="single" w:sz="8" w:space="0" w:color="002C47"/>
            </w:tcBorders>
          </w:tcPr>
          <w:p w14:paraId="1569E656" w14:textId="6A37F24D" w:rsidR="0044374C" w:rsidRPr="00481594" w:rsidRDefault="0044374C" w:rsidP="0044374C">
            <w:r w:rsidRPr="00481594">
              <w:t>Geometric mean concentration</w:t>
            </w:r>
          </w:p>
        </w:tc>
      </w:tr>
      <w:tr w:rsidR="0044374C" w:rsidRPr="00481594" w14:paraId="393BA7E4"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4B7CECEC" w14:textId="40A4ABD9" w:rsidR="0044374C" w:rsidRPr="00481594" w:rsidRDefault="0044374C" w:rsidP="0044374C">
            <w:r w:rsidRPr="00481594">
              <w:t>GMFR</w:t>
            </w:r>
          </w:p>
        </w:tc>
        <w:tc>
          <w:tcPr>
            <w:tcW w:w="3987" w:type="pct"/>
            <w:gridSpan w:val="2"/>
            <w:tcBorders>
              <w:top w:val="single" w:sz="8" w:space="0" w:color="002C47"/>
              <w:left w:val="single" w:sz="8" w:space="0" w:color="002C47"/>
              <w:bottom w:val="single" w:sz="8" w:space="0" w:color="002C47"/>
              <w:right w:val="single" w:sz="8" w:space="0" w:color="002C47"/>
            </w:tcBorders>
          </w:tcPr>
          <w:p w14:paraId="129A0197" w14:textId="08616B64" w:rsidR="0044374C" w:rsidRPr="00481594" w:rsidRDefault="0044374C" w:rsidP="0044374C">
            <w:r w:rsidRPr="00481594">
              <w:t>Geometric mean fold rise</w:t>
            </w:r>
          </w:p>
        </w:tc>
      </w:tr>
      <w:tr w:rsidR="0044374C" w:rsidRPr="00481594" w14:paraId="4D57D811"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2A4A9E7C" w14:textId="3E08E85B" w:rsidR="0044374C" w:rsidRPr="00481594" w:rsidRDefault="0044374C" w:rsidP="0044374C">
            <w:r w:rsidRPr="00481594">
              <w:t>GMT</w:t>
            </w:r>
          </w:p>
        </w:tc>
        <w:tc>
          <w:tcPr>
            <w:tcW w:w="3987" w:type="pct"/>
            <w:gridSpan w:val="2"/>
            <w:tcBorders>
              <w:top w:val="single" w:sz="8" w:space="0" w:color="002C47"/>
              <w:left w:val="single" w:sz="8" w:space="0" w:color="002C47"/>
              <w:bottom w:val="single" w:sz="8" w:space="0" w:color="002C47"/>
              <w:right w:val="single" w:sz="8" w:space="0" w:color="002C47"/>
            </w:tcBorders>
          </w:tcPr>
          <w:p w14:paraId="0BAED617" w14:textId="76C6BF46" w:rsidR="0044374C" w:rsidRPr="00481594" w:rsidRDefault="0044374C" w:rsidP="0044374C">
            <w:r w:rsidRPr="00481594">
              <w:t>Geometric mean titre</w:t>
            </w:r>
          </w:p>
        </w:tc>
      </w:tr>
      <w:tr w:rsidR="0044374C" w:rsidRPr="00481594" w14:paraId="53A99BE5"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0C1C24C2" w14:textId="7B66790D" w:rsidR="00A65383" w:rsidRPr="00481594" w:rsidRDefault="0044374C" w:rsidP="00A65383">
            <w:r w:rsidRPr="00481594">
              <w:t>GVP</w:t>
            </w:r>
          </w:p>
        </w:tc>
        <w:tc>
          <w:tcPr>
            <w:tcW w:w="3987" w:type="pct"/>
            <w:gridSpan w:val="2"/>
            <w:tcBorders>
              <w:top w:val="single" w:sz="8" w:space="0" w:color="002C47"/>
              <w:left w:val="single" w:sz="8" w:space="0" w:color="002C47"/>
              <w:bottom w:val="single" w:sz="8" w:space="0" w:color="002C47"/>
              <w:right w:val="single" w:sz="8" w:space="0" w:color="002C47"/>
            </w:tcBorders>
          </w:tcPr>
          <w:p w14:paraId="2EBAE9D7" w14:textId="12E94217" w:rsidR="0044374C" w:rsidRPr="00481594" w:rsidRDefault="0044374C" w:rsidP="0044374C">
            <w:r w:rsidRPr="00481594">
              <w:t>Good Pharmacovigilance Practice</w:t>
            </w:r>
            <w:r w:rsidR="00643DD0" w:rsidRPr="00481594">
              <w:t>(</w:t>
            </w:r>
            <w:r w:rsidRPr="00481594">
              <w:t>s</w:t>
            </w:r>
            <w:r w:rsidR="00643DD0" w:rsidRPr="00481594">
              <w:t>)</w:t>
            </w:r>
          </w:p>
        </w:tc>
      </w:tr>
      <w:tr w:rsidR="0044374C" w:rsidRPr="00481594" w14:paraId="78360404"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261BB1D2" w14:textId="7834CDC6" w:rsidR="00A65383" w:rsidRPr="00481594" w:rsidRDefault="0044374C" w:rsidP="00A65383">
            <w:r w:rsidRPr="00481594">
              <w:t>HIV</w:t>
            </w:r>
          </w:p>
        </w:tc>
        <w:tc>
          <w:tcPr>
            <w:tcW w:w="3987" w:type="pct"/>
            <w:gridSpan w:val="2"/>
            <w:tcBorders>
              <w:top w:val="single" w:sz="8" w:space="0" w:color="002C47"/>
              <w:left w:val="single" w:sz="8" w:space="0" w:color="002C47"/>
              <w:bottom w:val="single" w:sz="8" w:space="0" w:color="002C47"/>
              <w:right w:val="single" w:sz="8" w:space="0" w:color="002C47"/>
            </w:tcBorders>
          </w:tcPr>
          <w:p w14:paraId="0F818E1F" w14:textId="2F8F015E" w:rsidR="0044374C" w:rsidRPr="00481594" w:rsidRDefault="0044374C" w:rsidP="0044374C">
            <w:r w:rsidRPr="00481594">
              <w:t>Human immunodeficiency virus</w:t>
            </w:r>
          </w:p>
        </w:tc>
      </w:tr>
      <w:tr w:rsidR="00495D46" w:rsidRPr="00481594" w14:paraId="2908EBA8"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272A1874" w14:textId="1CC721C3" w:rsidR="00A65383" w:rsidRPr="00481594" w:rsidRDefault="00495D46" w:rsidP="00A65383">
            <w:r w:rsidRPr="00481594">
              <w:t>ICH</w:t>
            </w:r>
          </w:p>
        </w:tc>
        <w:tc>
          <w:tcPr>
            <w:tcW w:w="3987" w:type="pct"/>
            <w:gridSpan w:val="2"/>
            <w:tcBorders>
              <w:top w:val="single" w:sz="8" w:space="0" w:color="002C47"/>
              <w:left w:val="single" w:sz="8" w:space="0" w:color="002C47"/>
              <w:bottom w:val="single" w:sz="8" w:space="0" w:color="002C47"/>
              <w:right w:val="single" w:sz="8" w:space="0" w:color="002C47"/>
            </w:tcBorders>
          </w:tcPr>
          <w:p w14:paraId="14F8D4D0" w14:textId="23113525" w:rsidR="00495D46" w:rsidRPr="00481594" w:rsidRDefault="00495D46" w:rsidP="0044374C">
            <w:r w:rsidRPr="00481594">
              <w:t>International Council for Harmonisation</w:t>
            </w:r>
          </w:p>
        </w:tc>
      </w:tr>
      <w:tr w:rsidR="0044374C" w:rsidRPr="00481594" w14:paraId="54B971E2"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5C1D9FD0" w14:textId="6952D054" w:rsidR="0044374C" w:rsidRPr="00481594" w:rsidRDefault="0044374C" w:rsidP="0044374C">
            <w:r w:rsidRPr="00481594">
              <w:lastRenderedPageBreak/>
              <w:t>IgG</w:t>
            </w:r>
          </w:p>
        </w:tc>
        <w:tc>
          <w:tcPr>
            <w:tcW w:w="3987" w:type="pct"/>
            <w:gridSpan w:val="2"/>
            <w:tcBorders>
              <w:top w:val="single" w:sz="8" w:space="0" w:color="002C47"/>
              <w:left w:val="single" w:sz="8" w:space="0" w:color="002C47"/>
              <w:bottom w:val="single" w:sz="8" w:space="0" w:color="002C47"/>
              <w:right w:val="single" w:sz="8" w:space="0" w:color="002C47"/>
            </w:tcBorders>
          </w:tcPr>
          <w:p w14:paraId="7788C34E" w14:textId="290F0F91" w:rsidR="0044374C" w:rsidRPr="00481594" w:rsidRDefault="0044374C" w:rsidP="0044374C">
            <w:r w:rsidRPr="00481594">
              <w:t>Immunoglobulin G</w:t>
            </w:r>
          </w:p>
        </w:tc>
      </w:tr>
      <w:tr w:rsidR="0044374C" w:rsidRPr="00481594" w14:paraId="26732B43"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0843EE8B" w14:textId="2B4F607D" w:rsidR="0044374C" w:rsidRPr="00481594" w:rsidRDefault="0044374C" w:rsidP="0044374C">
            <w:r w:rsidRPr="00481594">
              <w:t>OCABR</w:t>
            </w:r>
          </w:p>
        </w:tc>
        <w:tc>
          <w:tcPr>
            <w:tcW w:w="3987" w:type="pct"/>
            <w:gridSpan w:val="2"/>
            <w:tcBorders>
              <w:top w:val="single" w:sz="8" w:space="0" w:color="002C47"/>
              <w:left w:val="single" w:sz="8" w:space="0" w:color="002C47"/>
              <w:bottom w:val="single" w:sz="8" w:space="0" w:color="002C47"/>
              <w:right w:val="single" w:sz="8" w:space="0" w:color="002C47"/>
            </w:tcBorders>
          </w:tcPr>
          <w:p w14:paraId="3122FDE6" w14:textId="1F356943" w:rsidR="0044374C" w:rsidRPr="00481594" w:rsidRDefault="0044374C" w:rsidP="0044374C">
            <w:r w:rsidRPr="00481594">
              <w:t>Official Control Authority Batch Release (European Union)</w:t>
            </w:r>
          </w:p>
        </w:tc>
      </w:tr>
      <w:tr w:rsidR="0044374C" w:rsidRPr="00481594" w14:paraId="358AB03A"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49E06568" w14:textId="249762C9" w:rsidR="0044374C" w:rsidRPr="00481594" w:rsidRDefault="0044374C" w:rsidP="0044374C">
            <w:r w:rsidRPr="00481594">
              <w:t>OPA</w:t>
            </w:r>
          </w:p>
        </w:tc>
        <w:tc>
          <w:tcPr>
            <w:tcW w:w="3987" w:type="pct"/>
            <w:gridSpan w:val="2"/>
            <w:tcBorders>
              <w:top w:val="single" w:sz="8" w:space="0" w:color="002C47"/>
              <w:left w:val="single" w:sz="8" w:space="0" w:color="002C47"/>
              <w:bottom w:val="single" w:sz="8" w:space="0" w:color="002C47"/>
              <w:right w:val="single" w:sz="8" w:space="0" w:color="002C47"/>
            </w:tcBorders>
          </w:tcPr>
          <w:p w14:paraId="409F2CE9" w14:textId="5EB577F5" w:rsidR="0044374C" w:rsidRPr="00481594" w:rsidRDefault="0044374C" w:rsidP="0044374C">
            <w:r w:rsidRPr="00481594">
              <w:t>Opsonophagocytic activity</w:t>
            </w:r>
          </w:p>
        </w:tc>
      </w:tr>
      <w:tr w:rsidR="0044374C" w:rsidRPr="00481594" w14:paraId="65FE5AEA"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45C48141" w14:textId="69F2B293" w:rsidR="0044374C" w:rsidRPr="00481594" w:rsidRDefault="0044374C" w:rsidP="0044374C">
            <w:r w:rsidRPr="00481594">
              <w:t>PDF</w:t>
            </w:r>
          </w:p>
        </w:tc>
        <w:tc>
          <w:tcPr>
            <w:tcW w:w="3987" w:type="pct"/>
            <w:gridSpan w:val="2"/>
            <w:tcBorders>
              <w:top w:val="single" w:sz="8" w:space="0" w:color="002C47"/>
              <w:left w:val="single" w:sz="8" w:space="0" w:color="002C47"/>
              <w:bottom w:val="single" w:sz="8" w:space="0" w:color="002C47"/>
              <w:right w:val="single" w:sz="8" w:space="0" w:color="002C47"/>
            </w:tcBorders>
          </w:tcPr>
          <w:p w14:paraId="1E9F72A8" w14:textId="1EB99D00" w:rsidR="0044374C" w:rsidRPr="00481594" w:rsidRDefault="0044374C" w:rsidP="0044374C">
            <w:r w:rsidRPr="00481594">
              <w:t>Portable document format</w:t>
            </w:r>
          </w:p>
        </w:tc>
      </w:tr>
      <w:tr w:rsidR="0044374C" w:rsidRPr="00481594" w14:paraId="7A33563A"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1E55A3DE" w14:textId="1E7FE5E9" w:rsidR="0044374C" w:rsidRPr="00481594" w:rsidRDefault="0044374C" w:rsidP="0044374C">
            <w:r w:rsidRPr="00481594">
              <w:t>PI</w:t>
            </w:r>
          </w:p>
        </w:tc>
        <w:tc>
          <w:tcPr>
            <w:tcW w:w="3987" w:type="pct"/>
            <w:gridSpan w:val="2"/>
            <w:tcBorders>
              <w:top w:val="single" w:sz="8" w:space="0" w:color="002C47"/>
              <w:left w:val="single" w:sz="8" w:space="0" w:color="002C47"/>
              <w:bottom w:val="single" w:sz="8" w:space="0" w:color="002C47"/>
              <w:right w:val="single" w:sz="8" w:space="0" w:color="002C47"/>
            </w:tcBorders>
          </w:tcPr>
          <w:p w14:paraId="567C50C4" w14:textId="2BA3D26B" w:rsidR="0044374C" w:rsidRPr="00481594" w:rsidRDefault="0044374C" w:rsidP="0044374C">
            <w:r w:rsidRPr="00481594">
              <w:t>Product Information</w:t>
            </w:r>
          </w:p>
        </w:tc>
      </w:tr>
      <w:tr w:rsidR="0044374C" w:rsidRPr="00481594" w14:paraId="27C2F897"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65DB4820" w14:textId="7DC77911" w:rsidR="0044374C" w:rsidRPr="00481594" w:rsidRDefault="0044374C" w:rsidP="0044374C">
            <w:r w:rsidRPr="00481594">
              <w:t>PSUR</w:t>
            </w:r>
          </w:p>
        </w:tc>
        <w:tc>
          <w:tcPr>
            <w:tcW w:w="3987" w:type="pct"/>
            <w:gridSpan w:val="2"/>
            <w:tcBorders>
              <w:top w:val="single" w:sz="8" w:space="0" w:color="002C47"/>
              <w:left w:val="single" w:sz="8" w:space="0" w:color="002C47"/>
              <w:bottom w:val="single" w:sz="8" w:space="0" w:color="002C47"/>
              <w:right w:val="single" w:sz="8" w:space="0" w:color="002C47"/>
            </w:tcBorders>
          </w:tcPr>
          <w:p w14:paraId="286AE43E" w14:textId="687C7490" w:rsidR="0044374C" w:rsidRPr="00481594" w:rsidRDefault="0044374C" w:rsidP="0044374C">
            <w:r w:rsidRPr="00481594">
              <w:t>Periodic safety update report</w:t>
            </w:r>
          </w:p>
        </w:tc>
      </w:tr>
      <w:tr w:rsidR="0044374C" w:rsidRPr="00481594" w14:paraId="5FCEFA92"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252D7B00" w14:textId="226F981F" w:rsidR="0044374C" w:rsidRPr="00481594" w:rsidRDefault="0044374C" w:rsidP="0044374C">
            <w:r w:rsidRPr="00481594">
              <w:t>RMP</w:t>
            </w:r>
          </w:p>
        </w:tc>
        <w:tc>
          <w:tcPr>
            <w:tcW w:w="3987" w:type="pct"/>
            <w:gridSpan w:val="2"/>
            <w:tcBorders>
              <w:top w:val="single" w:sz="8" w:space="0" w:color="002C47"/>
              <w:left w:val="single" w:sz="8" w:space="0" w:color="002C47"/>
              <w:bottom w:val="single" w:sz="8" w:space="0" w:color="002C47"/>
              <w:right w:val="single" w:sz="8" w:space="0" w:color="002C47"/>
            </w:tcBorders>
          </w:tcPr>
          <w:p w14:paraId="5CD483BE" w14:textId="2E2B9203" w:rsidR="0044374C" w:rsidRPr="00481594" w:rsidRDefault="0044374C" w:rsidP="0044374C">
            <w:r w:rsidRPr="00481594">
              <w:t>Risk management plan</w:t>
            </w:r>
          </w:p>
        </w:tc>
      </w:tr>
      <w:tr w:rsidR="0044374C" w:rsidRPr="00481594" w14:paraId="463C3163"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25F30ABE" w14:textId="0E3F7D68" w:rsidR="0044374C" w:rsidRPr="00481594" w:rsidRDefault="0044374C" w:rsidP="0044374C">
            <w:r w:rsidRPr="00481594">
              <w:t>SAE</w:t>
            </w:r>
          </w:p>
        </w:tc>
        <w:tc>
          <w:tcPr>
            <w:tcW w:w="3987" w:type="pct"/>
            <w:gridSpan w:val="2"/>
            <w:tcBorders>
              <w:top w:val="single" w:sz="8" w:space="0" w:color="002C47"/>
              <w:left w:val="single" w:sz="8" w:space="0" w:color="002C47"/>
              <w:bottom w:val="single" w:sz="8" w:space="0" w:color="002C47"/>
              <w:right w:val="single" w:sz="8" w:space="0" w:color="002C47"/>
            </w:tcBorders>
          </w:tcPr>
          <w:p w14:paraId="77EFD145" w14:textId="34BABB79" w:rsidR="0044374C" w:rsidRPr="00481594" w:rsidRDefault="0044374C" w:rsidP="0044374C">
            <w:r w:rsidRPr="00481594">
              <w:t>Serious adverse event</w:t>
            </w:r>
          </w:p>
        </w:tc>
      </w:tr>
      <w:tr w:rsidR="0044374C" w:rsidRPr="00481594" w14:paraId="7D199998"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5326CFD4" w14:textId="5A2663B0" w:rsidR="0044374C" w:rsidRPr="00481594" w:rsidRDefault="0044374C" w:rsidP="0044374C">
            <w:r w:rsidRPr="00481594">
              <w:t>TGA</w:t>
            </w:r>
          </w:p>
        </w:tc>
        <w:tc>
          <w:tcPr>
            <w:tcW w:w="3987" w:type="pct"/>
            <w:gridSpan w:val="2"/>
            <w:tcBorders>
              <w:top w:val="single" w:sz="8" w:space="0" w:color="002C47"/>
              <w:left w:val="single" w:sz="8" w:space="0" w:color="002C47"/>
              <w:bottom w:val="single" w:sz="8" w:space="0" w:color="002C47"/>
              <w:right w:val="single" w:sz="8" w:space="0" w:color="002C47"/>
            </w:tcBorders>
          </w:tcPr>
          <w:p w14:paraId="12FFDEF8" w14:textId="0DCB405D" w:rsidR="0044374C" w:rsidRPr="00481594" w:rsidRDefault="0044374C" w:rsidP="0044374C">
            <w:r w:rsidRPr="00481594">
              <w:t>Therapeutic Goods Administration</w:t>
            </w:r>
          </w:p>
        </w:tc>
      </w:tr>
      <w:tr w:rsidR="0044374C" w:rsidRPr="00481594" w14:paraId="5BA29DC6"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0F46D1AA" w14:textId="088B9BCF" w:rsidR="0044374C" w:rsidRPr="00481594" w:rsidRDefault="0044374C" w:rsidP="0044374C">
            <w:r w:rsidRPr="00481594">
              <w:t>US(A)</w:t>
            </w:r>
          </w:p>
        </w:tc>
        <w:tc>
          <w:tcPr>
            <w:tcW w:w="3987" w:type="pct"/>
            <w:gridSpan w:val="2"/>
            <w:tcBorders>
              <w:top w:val="single" w:sz="8" w:space="0" w:color="002C47"/>
              <w:left w:val="single" w:sz="8" w:space="0" w:color="002C47"/>
              <w:bottom w:val="single" w:sz="8" w:space="0" w:color="002C47"/>
              <w:right w:val="single" w:sz="8" w:space="0" w:color="002C47"/>
            </w:tcBorders>
          </w:tcPr>
          <w:p w14:paraId="2AE62EEA" w14:textId="6EE516BC" w:rsidR="0044374C" w:rsidRPr="00481594" w:rsidRDefault="0044374C" w:rsidP="0044374C">
            <w:r w:rsidRPr="00481594">
              <w:t>United States (of America)</w:t>
            </w:r>
          </w:p>
        </w:tc>
      </w:tr>
      <w:tr w:rsidR="0044374C" w:rsidRPr="00481594" w14:paraId="3933F4A3" w14:textId="77777777" w:rsidTr="00D01E21">
        <w:trPr>
          <w:cantSplit/>
        </w:trPr>
        <w:tc>
          <w:tcPr>
            <w:tcW w:w="1013" w:type="pct"/>
            <w:tcBorders>
              <w:top w:val="single" w:sz="8" w:space="0" w:color="002C47"/>
              <w:left w:val="single" w:sz="8" w:space="0" w:color="002C47"/>
              <w:bottom w:val="single" w:sz="8" w:space="0" w:color="002C47"/>
              <w:right w:val="single" w:sz="8" w:space="0" w:color="002C47"/>
            </w:tcBorders>
          </w:tcPr>
          <w:p w14:paraId="752A629A" w14:textId="193CEE81" w:rsidR="0044374C" w:rsidRPr="00481594" w:rsidRDefault="0044374C" w:rsidP="0044374C">
            <w:r w:rsidRPr="00481594">
              <w:t>V114</w:t>
            </w:r>
          </w:p>
        </w:tc>
        <w:tc>
          <w:tcPr>
            <w:tcW w:w="3987" w:type="pct"/>
            <w:gridSpan w:val="2"/>
            <w:tcBorders>
              <w:top w:val="single" w:sz="8" w:space="0" w:color="002C47"/>
              <w:left w:val="single" w:sz="8" w:space="0" w:color="002C47"/>
              <w:bottom w:val="single" w:sz="8" w:space="0" w:color="002C47"/>
              <w:right w:val="single" w:sz="8" w:space="0" w:color="002C47"/>
            </w:tcBorders>
          </w:tcPr>
          <w:p w14:paraId="7615B0FE" w14:textId="7915030D" w:rsidR="0044374C" w:rsidRPr="00481594" w:rsidRDefault="0044374C" w:rsidP="0044374C">
            <w:r w:rsidRPr="00481594">
              <w:t xml:space="preserve">Sponsor’s product development code for </w:t>
            </w:r>
            <w:proofErr w:type="spellStart"/>
            <w:r w:rsidR="00320001" w:rsidRPr="00481594">
              <w:t>Vaxneuvance</w:t>
            </w:r>
            <w:proofErr w:type="spellEnd"/>
            <w:r w:rsidR="00320001" w:rsidRPr="00481594">
              <w:t xml:space="preserve"> (</w:t>
            </w:r>
            <w:r w:rsidRPr="00481594">
              <w:t>pneumococcal 15-valent conjugate vaccine (CRM</w:t>
            </w:r>
            <w:r w:rsidRPr="00481594">
              <w:rPr>
                <w:vertAlign w:val="subscript"/>
              </w:rPr>
              <w:t>197</w:t>
            </w:r>
            <w:r w:rsidRPr="00481594">
              <w:t xml:space="preserve"> protein), adsorbed (serotypes 1, 3, 4, 5, 6A, 6B, 7F, 9V, 14, 18C, 19A, 19F, 22F, 23F, 33F)</w:t>
            </w:r>
            <w:r w:rsidR="00320001" w:rsidRPr="00481594">
              <w:t>)</w:t>
            </w:r>
          </w:p>
        </w:tc>
      </w:tr>
    </w:tbl>
    <w:p w14:paraId="4C7EC874" w14:textId="569F1AD1" w:rsidR="00FD119B" w:rsidRPr="00481594" w:rsidRDefault="00FD119B" w:rsidP="00FD119B">
      <w:pPr>
        <w:spacing w:before="0" w:after="200" w:line="0" w:lineRule="auto"/>
        <w:rPr>
          <w:b/>
          <w:i/>
          <w:sz w:val="24"/>
          <w:szCs w:val="24"/>
        </w:rPr>
      </w:pPr>
    </w:p>
    <w:p w14:paraId="19DCAD56" w14:textId="77777777" w:rsidR="008E7846" w:rsidRPr="00481594" w:rsidRDefault="009F2673" w:rsidP="0043253B">
      <w:pPr>
        <w:pStyle w:val="Heading2"/>
        <w:pageBreakBefore/>
      </w:pPr>
      <w:bookmarkStart w:id="5" w:name="_Toc116652728"/>
      <w:r w:rsidRPr="00481594">
        <w:lastRenderedPageBreak/>
        <w:t>Pr</w:t>
      </w:r>
      <w:r w:rsidR="008E7846" w:rsidRPr="00481594">
        <w:t>oduct submission</w:t>
      </w:r>
      <w:bookmarkEnd w:id="0"/>
      <w:bookmarkEnd w:id="2"/>
      <w:bookmarkEnd w:id="5"/>
    </w:p>
    <w:p w14:paraId="0F2FFAF0" w14:textId="77777777" w:rsidR="008E7846" w:rsidRPr="00481594" w:rsidRDefault="008E7846" w:rsidP="009E5A87">
      <w:pPr>
        <w:pStyle w:val="Heading3"/>
        <w:rPr>
          <w:lang w:eastAsia="en-AU"/>
        </w:rPr>
      </w:pPr>
      <w:bookmarkStart w:id="6" w:name="_Toc247691502"/>
      <w:bookmarkStart w:id="7" w:name="_Toc314842483"/>
      <w:bookmarkStart w:id="8" w:name="_Toc116652729"/>
      <w:r w:rsidRPr="00481594">
        <w:rPr>
          <w:lang w:eastAsia="en-AU"/>
        </w:rPr>
        <w:t>Submission details</w:t>
      </w:r>
      <w:bookmarkEnd w:id="6"/>
      <w:bookmarkEnd w:id="7"/>
      <w:bookmarkEnd w:id="8"/>
    </w:p>
    <w:tbl>
      <w:tblPr>
        <w:tblW w:w="5000" w:type="pct"/>
        <w:tblLook w:val="01E0" w:firstRow="1" w:lastRow="1" w:firstColumn="1" w:lastColumn="1" w:noHBand="0" w:noVBand="0"/>
      </w:tblPr>
      <w:tblGrid>
        <w:gridCol w:w="2682"/>
        <w:gridCol w:w="5822"/>
      </w:tblGrid>
      <w:tr w:rsidR="009F2673" w:rsidRPr="00481594" w14:paraId="4E0E7877" w14:textId="77777777" w:rsidTr="00D01E21">
        <w:tc>
          <w:tcPr>
            <w:tcW w:w="1577" w:type="pct"/>
          </w:tcPr>
          <w:p w14:paraId="3EBA862E" w14:textId="77777777" w:rsidR="009F2673" w:rsidRPr="00481594" w:rsidRDefault="009F2673" w:rsidP="009E5A87">
            <w:pPr>
              <w:rPr>
                <w:i/>
              </w:rPr>
            </w:pPr>
            <w:r w:rsidRPr="00481594">
              <w:rPr>
                <w:i/>
              </w:rPr>
              <w:t>Type of submission:</w:t>
            </w:r>
          </w:p>
        </w:tc>
        <w:tc>
          <w:tcPr>
            <w:tcW w:w="3423" w:type="pct"/>
          </w:tcPr>
          <w:p w14:paraId="14BA6702" w14:textId="5E412782" w:rsidR="009F2673" w:rsidRPr="00481594" w:rsidRDefault="00D01E21" w:rsidP="009E5A87">
            <w:r w:rsidRPr="00481594">
              <w:t>New biological entity</w:t>
            </w:r>
          </w:p>
        </w:tc>
      </w:tr>
      <w:tr w:rsidR="009F2673" w:rsidRPr="00481594" w14:paraId="33D56782" w14:textId="77777777" w:rsidTr="00D01E21">
        <w:tc>
          <w:tcPr>
            <w:tcW w:w="1577" w:type="pct"/>
          </w:tcPr>
          <w:p w14:paraId="1C3044AD" w14:textId="1763A6FE" w:rsidR="009F2673" w:rsidRPr="00481594" w:rsidRDefault="009F2673" w:rsidP="009E5A87">
            <w:pPr>
              <w:rPr>
                <w:i/>
              </w:rPr>
            </w:pPr>
            <w:r w:rsidRPr="00481594">
              <w:rPr>
                <w:i/>
              </w:rPr>
              <w:t>Product name:</w:t>
            </w:r>
          </w:p>
        </w:tc>
        <w:tc>
          <w:tcPr>
            <w:tcW w:w="3423" w:type="pct"/>
          </w:tcPr>
          <w:p w14:paraId="02C7535A" w14:textId="260FB563" w:rsidR="009F2673" w:rsidRPr="00481594" w:rsidRDefault="00D01E21" w:rsidP="009E5A87">
            <w:proofErr w:type="spellStart"/>
            <w:r w:rsidRPr="00481594">
              <w:t>Vaxneuvance</w:t>
            </w:r>
            <w:proofErr w:type="spellEnd"/>
          </w:p>
        </w:tc>
      </w:tr>
      <w:tr w:rsidR="00D01E21" w:rsidRPr="00481594" w14:paraId="412513F6" w14:textId="77777777" w:rsidTr="00D01E21">
        <w:tc>
          <w:tcPr>
            <w:tcW w:w="1577" w:type="pct"/>
          </w:tcPr>
          <w:p w14:paraId="1CF0A878" w14:textId="05A2F7E1" w:rsidR="00D01E21" w:rsidRPr="00481594" w:rsidRDefault="00D01E21" w:rsidP="00D01E21">
            <w:pPr>
              <w:rPr>
                <w:i/>
              </w:rPr>
            </w:pPr>
            <w:r w:rsidRPr="00481594">
              <w:rPr>
                <w:i/>
              </w:rPr>
              <w:t>Active ingredient:</w:t>
            </w:r>
          </w:p>
        </w:tc>
        <w:tc>
          <w:tcPr>
            <w:tcW w:w="3423" w:type="pct"/>
          </w:tcPr>
          <w:p w14:paraId="577BBD96" w14:textId="58D21D77" w:rsidR="00D01E21" w:rsidRPr="00481594" w:rsidRDefault="00015688" w:rsidP="00D01E21">
            <w:r w:rsidRPr="00481594">
              <w:t>Pneumococcal 15-valent conjugate vaccine (CRM</w:t>
            </w:r>
            <w:r w:rsidRPr="00481594">
              <w:rPr>
                <w:vertAlign w:val="subscript"/>
              </w:rPr>
              <w:t>197</w:t>
            </w:r>
            <w:r w:rsidRPr="00481594">
              <w:t xml:space="preserve"> protein), adsorbed</w:t>
            </w:r>
          </w:p>
        </w:tc>
      </w:tr>
      <w:tr w:rsidR="00D01E21" w:rsidRPr="00481594" w14:paraId="2EE6337F" w14:textId="77777777" w:rsidTr="00D01E21">
        <w:tc>
          <w:tcPr>
            <w:tcW w:w="1577" w:type="pct"/>
          </w:tcPr>
          <w:p w14:paraId="467B907F" w14:textId="77777777" w:rsidR="00D01E21" w:rsidRPr="00481594" w:rsidRDefault="00D01E21" w:rsidP="00D01E21">
            <w:pPr>
              <w:rPr>
                <w:i/>
              </w:rPr>
            </w:pPr>
            <w:r w:rsidRPr="00481594">
              <w:rPr>
                <w:i/>
              </w:rPr>
              <w:t>Decision:</w:t>
            </w:r>
          </w:p>
        </w:tc>
        <w:tc>
          <w:tcPr>
            <w:tcW w:w="3423" w:type="pct"/>
          </w:tcPr>
          <w:p w14:paraId="0D632099" w14:textId="4BCB7400" w:rsidR="00D01E21" w:rsidRPr="00481594" w:rsidRDefault="00D01E21" w:rsidP="00D01E21">
            <w:r w:rsidRPr="00481594">
              <w:t>Approved</w:t>
            </w:r>
          </w:p>
        </w:tc>
      </w:tr>
      <w:tr w:rsidR="00D01E21" w:rsidRPr="00481594" w14:paraId="21E88432" w14:textId="77777777" w:rsidTr="00D01E21">
        <w:tc>
          <w:tcPr>
            <w:tcW w:w="1577" w:type="pct"/>
          </w:tcPr>
          <w:p w14:paraId="50526587" w14:textId="77777777" w:rsidR="00D01E21" w:rsidRPr="00481594" w:rsidRDefault="00D01E21" w:rsidP="00D01E21">
            <w:pPr>
              <w:rPr>
                <w:i/>
              </w:rPr>
            </w:pPr>
            <w:r w:rsidRPr="00481594">
              <w:rPr>
                <w:i/>
              </w:rPr>
              <w:t>Date of decision:</w:t>
            </w:r>
          </w:p>
        </w:tc>
        <w:tc>
          <w:tcPr>
            <w:tcW w:w="3423" w:type="pct"/>
          </w:tcPr>
          <w:p w14:paraId="040DD672" w14:textId="4DAF922B" w:rsidR="00D01E21" w:rsidRPr="00481594" w:rsidRDefault="00D01E21" w:rsidP="00D01E21">
            <w:r w:rsidRPr="00481594">
              <w:t>12 January 2022</w:t>
            </w:r>
          </w:p>
        </w:tc>
      </w:tr>
      <w:tr w:rsidR="00D01E21" w:rsidRPr="00481594" w14:paraId="104AB6D5" w14:textId="77777777" w:rsidTr="00D01E21">
        <w:tc>
          <w:tcPr>
            <w:tcW w:w="1577" w:type="pct"/>
          </w:tcPr>
          <w:p w14:paraId="70242F27" w14:textId="77777777" w:rsidR="00D01E21" w:rsidRPr="00481594" w:rsidRDefault="00D01E21" w:rsidP="00D01E21">
            <w:pPr>
              <w:rPr>
                <w:i/>
              </w:rPr>
            </w:pPr>
            <w:r w:rsidRPr="00481594">
              <w:rPr>
                <w:i/>
              </w:rPr>
              <w:t>Date of entry onto ARTG:</w:t>
            </w:r>
          </w:p>
        </w:tc>
        <w:tc>
          <w:tcPr>
            <w:tcW w:w="3423" w:type="pct"/>
          </w:tcPr>
          <w:p w14:paraId="3731E5D4" w14:textId="2075E90D" w:rsidR="00D01E21" w:rsidRPr="00481594" w:rsidRDefault="00D01E21" w:rsidP="00D01E21">
            <w:r w:rsidRPr="00481594">
              <w:t>17 January 2022</w:t>
            </w:r>
          </w:p>
        </w:tc>
      </w:tr>
      <w:tr w:rsidR="00D01E21" w:rsidRPr="00481594" w14:paraId="61F6BF27" w14:textId="77777777" w:rsidTr="00D01E21">
        <w:tc>
          <w:tcPr>
            <w:tcW w:w="1577" w:type="pct"/>
          </w:tcPr>
          <w:p w14:paraId="1D54C16D" w14:textId="3167942D" w:rsidR="00D01E21" w:rsidRPr="00481594" w:rsidRDefault="00D01E21" w:rsidP="00D01E21">
            <w:pPr>
              <w:rPr>
                <w:i/>
              </w:rPr>
            </w:pPr>
            <w:r w:rsidRPr="00481594">
              <w:rPr>
                <w:i/>
              </w:rPr>
              <w:t>ARTG number:</w:t>
            </w:r>
          </w:p>
        </w:tc>
        <w:tc>
          <w:tcPr>
            <w:tcW w:w="3423" w:type="pct"/>
          </w:tcPr>
          <w:p w14:paraId="578D4757" w14:textId="291AE0EF" w:rsidR="00D01E21" w:rsidRPr="00481594" w:rsidRDefault="00D01E21" w:rsidP="00D01E21">
            <w:r w:rsidRPr="00481594">
              <w:t>350791</w:t>
            </w:r>
          </w:p>
        </w:tc>
      </w:tr>
      <w:tr w:rsidR="00D01E21" w:rsidRPr="00481594" w14:paraId="5AF9D390" w14:textId="77777777" w:rsidTr="00D01E21">
        <w:tc>
          <w:tcPr>
            <w:tcW w:w="1577" w:type="pct"/>
          </w:tcPr>
          <w:p w14:paraId="5210203F" w14:textId="6806FDD4" w:rsidR="00D01E21" w:rsidRPr="00481594" w:rsidRDefault="00D01E21" w:rsidP="00D01E21">
            <w:pPr>
              <w:rPr>
                <w:i/>
              </w:rPr>
            </w:pPr>
            <w:r w:rsidRPr="00481594">
              <w:rPr>
                <w:rFonts w:ascii="Wingdings 3" w:hAnsi="Wingdings 3"/>
                <w:sz w:val="34"/>
                <w:szCs w:val="34"/>
                <w:lang w:eastAsia="en-AU"/>
              </w:rPr>
              <w:t></w:t>
            </w:r>
            <w:hyperlink r:id="rId17" w:history="1">
              <w:r w:rsidRPr="00481594">
                <w:rPr>
                  <w:rStyle w:val="Hyperlink"/>
                  <w:i/>
                </w:rPr>
                <w:t>Black Triangle Scheme</w:t>
              </w:r>
            </w:hyperlink>
            <w:r w:rsidRPr="00481594">
              <w:rPr>
                <w:i/>
              </w:rPr>
              <w:t>:</w:t>
            </w:r>
          </w:p>
        </w:tc>
        <w:tc>
          <w:tcPr>
            <w:tcW w:w="3423" w:type="pct"/>
          </w:tcPr>
          <w:p w14:paraId="4FB1EC00" w14:textId="1A8FDE6C" w:rsidR="00D01E21" w:rsidRPr="00481594" w:rsidRDefault="00D01E21" w:rsidP="00D01E21">
            <w:r w:rsidRPr="00481594">
              <w:t>Yes.</w:t>
            </w:r>
          </w:p>
          <w:p w14:paraId="4B6774D4" w14:textId="3393BBC3" w:rsidR="00D01E21" w:rsidRPr="00481594" w:rsidRDefault="00D01E21" w:rsidP="00D01E21">
            <w:r w:rsidRPr="00481594">
              <w:t>This product will remain in the scheme for 5 years, starting on the date the product is first supplied in Australia.</w:t>
            </w:r>
          </w:p>
        </w:tc>
      </w:tr>
      <w:tr w:rsidR="00D01E21" w:rsidRPr="00481594" w14:paraId="7B43FF17" w14:textId="77777777" w:rsidTr="00D01E21">
        <w:tc>
          <w:tcPr>
            <w:tcW w:w="1577" w:type="pct"/>
          </w:tcPr>
          <w:p w14:paraId="3D362064" w14:textId="77777777" w:rsidR="00D01E21" w:rsidRPr="00481594" w:rsidRDefault="00D01E21" w:rsidP="00D01E21">
            <w:pPr>
              <w:rPr>
                <w:i/>
              </w:rPr>
            </w:pPr>
            <w:r w:rsidRPr="00481594">
              <w:rPr>
                <w:i/>
              </w:rPr>
              <w:t>Sponsor’s name and address:</w:t>
            </w:r>
          </w:p>
        </w:tc>
        <w:tc>
          <w:tcPr>
            <w:tcW w:w="3423" w:type="pct"/>
          </w:tcPr>
          <w:p w14:paraId="097DF4D2" w14:textId="77777777" w:rsidR="00D01E21" w:rsidRPr="00481594" w:rsidRDefault="00D01E21" w:rsidP="00D01E21">
            <w:pPr>
              <w:rPr>
                <w:lang w:val="es-ES"/>
              </w:rPr>
            </w:pPr>
            <w:r w:rsidRPr="00481594">
              <w:rPr>
                <w:lang w:val="es-ES"/>
              </w:rPr>
              <w:t xml:space="preserve">Merck Sharp &amp; </w:t>
            </w:r>
            <w:proofErr w:type="spellStart"/>
            <w:r w:rsidRPr="00481594">
              <w:rPr>
                <w:lang w:val="es-ES"/>
              </w:rPr>
              <w:t>Dohme</w:t>
            </w:r>
            <w:proofErr w:type="spellEnd"/>
            <w:r w:rsidRPr="00481594">
              <w:rPr>
                <w:lang w:val="es-ES"/>
              </w:rPr>
              <w:t xml:space="preserve"> (Australia) </w:t>
            </w:r>
            <w:proofErr w:type="spellStart"/>
            <w:r w:rsidRPr="00481594">
              <w:rPr>
                <w:lang w:val="es-ES"/>
              </w:rPr>
              <w:t>Pty</w:t>
            </w:r>
            <w:proofErr w:type="spellEnd"/>
            <w:r w:rsidRPr="00481594">
              <w:rPr>
                <w:lang w:val="es-ES"/>
              </w:rPr>
              <w:t xml:space="preserve"> </w:t>
            </w:r>
            <w:proofErr w:type="spellStart"/>
            <w:r w:rsidRPr="00481594">
              <w:rPr>
                <w:lang w:val="es-ES"/>
              </w:rPr>
              <w:t>Ltd</w:t>
            </w:r>
            <w:proofErr w:type="spellEnd"/>
          </w:p>
          <w:p w14:paraId="4025D4C9" w14:textId="77777777" w:rsidR="00D01E21" w:rsidRPr="00481594" w:rsidRDefault="00D01E21" w:rsidP="00D01E21">
            <w:pPr>
              <w:rPr>
                <w:lang w:val="es-ES"/>
              </w:rPr>
            </w:pPr>
            <w:proofErr w:type="spellStart"/>
            <w:r w:rsidRPr="00481594">
              <w:rPr>
                <w:lang w:val="es-ES"/>
              </w:rPr>
              <w:t>Level</w:t>
            </w:r>
            <w:proofErr w:type="spellEnd"/>
            <w:r w:rsidRPr="00481594">
              <w:rPr>
                <w:lang w:val="es-ES"/>
              </w:rPr>
              <w:t xml:space="preserve"> 1, </w:t>
            </w:r>
            <w:proofErr w:type="spellStart"/>
            <w:r w:rsidRPr="00481594">
              <w:rPr>
                <w:lang w:val="es-ES"/>
              </w:rPr>
              <w:t>Building</w:t>
            </w:r>
            <w:proofErr w:type="spellEnd"/>
            <w:r w:rsidRPr="00481594">
              <w:rPr>
                <w:lang w:val="es-ES"/>
              </w:rPr>
              <w:t xml:space="preserve"> A, 26 Talavera Road</w:t>
            </w:r>
          </w:p>
          <w:p w14:paraId="60857770" w14:textId="1E604E86" w:rsidR="00D01E21" w:rsidRPr="00481594" w:rsidRDefault="00D01E21" w:rsidP="00D01E21">
            <w:r w:rsidRPr="00481594">
              <w:rPr>
                <w:lang w:val="es-ES"/>
              </w:rPr>
              <w:t>Macquarie Park</w:t>
            </w:r>
            <w:r w:rsidR="00C40C2D" w:rsidRPr="00481594">
              <w:rPr>
                <w:lang w:val="es-ES"/>
              </w:rPr>
              <w:t>,</w:t>
            </w:r>
            <w:r w:rsidRPr="00481594">
              <w:rPr>
                <w:lang w:val="es-ES"/>
              </w:rPr>
              <w:t xml:space="preserve"> NSW</w:t>
            </w:r>
            <w:r w:rsidR="00C40C2D" w:rsidRPr="00481594">
              <w:rPr>
                <w:lang w:val="es-ES"/>
              </w:rPr>
              <w:t>,</w:t>
            </w:r>
            <w:r w:rsidRPr="00481594">
              <w:rPr>
                <w:lang w:val="es-ES"/>
              </w:rPr>
              <w:t xml:space="preserve"> 2113</w:t>
            </w:r>
          </w:p>
        </w:tc>
      </w:tr>
      <w:tr w:rsidR="00D01E21" w:rsidRPr="00481594" w14:paraId="736921E4" w14:textId="77777777" w:rsidTr="00D01E21">
        <w:tc>
          <w:tcPr>
            <w:tcW w:w="1577" w:type="pct"/>
          </w:tcPr>
          <w:p w14:paraId="7A9E1BC6" w14:textId="19FCE934" w:rsidR="00D01E21" w:rsidRPr="00481594" w:rsidRDefault="00D01E21" w:rsidP="00D01E21">
            <w:pPr>
              <w:rPr>
                <w:i/>
              </w:rPr>
            </w:pPr>
            <w:r w:rsidRPr="00481594">
              <w:rPr>
                <w:i/>
              </w:rPr>
              <w:t>Dose form:</w:t>
            </w:r>
          </w:p>
        </w:tc>
        <w:tc>
          <w:tcPr>
            <w:tcW w:w="3423" w:type="pct"/>
          </w:tcPr>
          <w:p w14:paraId="1E9C760A" w14:textId="0F57650B" w:rsidR="00D01E21" w:rsidRPr="00481594" w:rsidRDefault="00D01E21" w:rsidP="00D01E21">
            <w:r w:rsidRPr="00481594">
              <w:t>Suspension for injection</w:t>
            </w:r>
          </w:p>
        </w:tc>
      </w:tr>
      <w:tr w:rsidR="00D01E21" w:rsidRPr="00481594" w14:paraId="79785E4E" w14:textId="77777777" w:rsidTr="00D01E21">
        <w:tc>
          <w:tcPr>
            <w:tcW w:w="1577" w:type="pct"/>
          </w:tcPr>
          <w:p w14:paraId="234613E0" w14:textId="6959E75A" w:rsidR="00D01E21" w:rsidRPr="00481594" w:rsidRDefault="00D01E21" w:rsidP="00D01E21">
            <w:pPr>
              <w:rPr>
                <w:i/>
              </w:rPr>
            </w:pPr>
            <w:r w:rsidRPr="00481594">
              <w:rPr>
                <w:i/>
              </w:rPr>
              <w:t>Strength:</w:t>
            </w:r>
          </w:p>
        </w:tc>
        <w:tc>
          <w:tcPr>
            <w:tcW w:w="3423" w:type="pct"/>
          </w:tcPr>
          <w:p w14:paraId="5C805841" w14:textId="77777777" w:rsidR="007F4617" w:rsidRPr="00481594" w:rsidRDefault="00D01E21" w:rsidP="00D01E21">
            <w:r w:rsidRPr="00481594">
              <w:t xml:space="preserve">Each 0.5 mL </w:t>
            </w:r>
            <w:bookmarkStart w:id="9" w:name="_Hlk107859922"/>
            <w:r w:rsidRPr="00481594">
              <w:t>dose contains 32 </w:t>
            </w:r>
            <w:r w:rsidR="009F252F" w:rsidRPr="00481594">
              <w:t xml:space="preserve">µg </w:t>
            </w:r>
            <w:r w:rsidRPr="00481594">
              <w:t xml:space="preserve">of total pneumococcal </w:t>
            </w:r>
            <w:bookmarkEnd w:id="9"/>
            <w:r w:rsidRPr="00481594">
              <w:t>purified capsular polysaccharide</w:t>
            </w:r>
            <w:r w:rsidR="007F4617" w:rsidRPr="00481594">
              <w:t>.</w:t>
            </w:r>
          </w:p>
          <w:p w14:paraId="52754F84" w14:textId="54CFCD35" w:rsidR="00D01E21" w:rsidRPr="00481594" w:rsidRDefault="007F4617" w:rsidP="00D70019">
            <w:r w:rsidRPr="00481594">
              <w:t xml:space="preserve">Each dose comprises of </w:t>
            </w:r>
            <w:r w:rsidR="00D01E21" w:rsidRPr="00481594">
              <w:t>2 </w:t>
            </w:r>
            <w:r w:rsidR="009F252F" w:rsidRPr="00481594">
              <w:t xml:space="preserve">µg </w:t>
            </w:r>
            <w:r w:rsidR="00D01E21" w:rsidRPr="00481594">
              <w:t>each of serotypes 1, 3, 4, 5, 6A, 7F, 9V, 14, 18C, 19A, 19F, 22F, 23F, and 33F, and 4 </w:t>
            </w:r>
            <w:r w:rsidR="009F252F" w:rsidRPr="00481594">
              <w:t xml:space="preserve">µg </w:t>
            </w:r>
            <w:r w:rsidR="00D01E21" w:rsidRPr="00481594">
              <w:t>of serotype 6B</w:t>
            </w:r>
            <w:r w:rsidRPr="00481594">
              <w:t>.</w:t>
            </w:r>
          </w:p>
        </w:tc>
      </w:tr>
      <w:tr w:rsidR="00D01E21" w:rsidRPr="00481594" w14:paraId="41F52530" w14:textId="77777777" w:rsidTr="00D01E21">
        <w:tc>
          <w:tcPr>
            <w:tcW w:w="1577" w:type="pct"/>
          </w:tcPr>
          <w:p w14:paraId="19C6D0FF" w14:textId="269AEA0F" w:rsidR="00D01E21" w:rsidRPr="00481594" w:rsidRDefault="00D01E21" w:rsidP="00D01E21">
            <w:pPr>
              <w:rPr>
                <w:i/>
              </w:rPr>
            </w:pPr>
            <w:r w:rsidRPr="00481594">
              <w:rPr>
                <w:i/>
              </w:rPr>
              <w:t>Container:</w:t>
            </w:r>
          </w:p>
        </w:tc>
        <w:tc>
          <w:tcPr>
            <w:tcW w:w="3423" w:type="pct"/>
          </w:tcPr>
          <w:p w14:paraId="7B4C8772" w14:textId="2CE169D7" w:rsidR="00D01E21" w:rsidRPr="00481594" w:rsidRDefault="00D01E21" w:rsidP="00D01E21">
            <w:r w:rsidRPr="00481594">
              <w:t>Prefilled syringe</w:t>
            </w:r>
          </w:p>
        </w:tc>
      </w:tr>
      <w:tr w:rsidR="00D01E21" w:rsidRPr="00481594" w14:paraId="34DB6B35" w14:textId="77777777" w:rsidTr="00D01E21">
        <w:tc>
          <w:tcPr>
            <w:tcW w:w="1577" w:type="pct"/>
          </w:tcPr>
          <w:p w14:paraId="74A0772E" w14:textId="73BE667F" w:rsidR="00D01E21" w:rsidRPr="00481594" w:rsidRDefault="00D01E21" w:rsidP="00D01E21">
            <w:pPr>
              <w:rPr>
                <w:i/>
              </w:rPr>
            </w:pPr>
            <w:r w:rsidRPr="00481594">
              <w:rPr>
                <w:i/>
              </w:rPr>
              <w:t>Pack size:</w:t>
            </w:r>
          </w:p>
        </w:tc>
        <w:tc>
          <w:tcPr>
            <w:tcW w:w="3423" w:type="pct"/>
          </w:tcPr>
          <w:p w14:paraId="4B090A42" w14:textId="69C75161" w:rsidR="00D01E21" w:rsidRPr="00481594" w:rsidRDefault="00D01E21" w:rsidP="00D01E21">
            <w:r w:rsidRPr="00481594">
              <w:t>1 and 10</w:t>
            </w:r>
          </w:p>
        </w:tc>
      </w:tr>
      <w:tr w:rsidR="00D01E21" w:rsidRPr="00481594" w14:paraId="7BE40180" w14:textId="77777777" w:rsidTr="00D01E21">
        <w:tc>
          <w:tcPr>
            <w:tcW w:w="1577" w:type="pct"/>
          </w:tcPr>
          <w:p w14:paraId="60AC92F0" w14:textId="77777777" w:rsidR="00D01E21" w:rsidRPr="00481594" w:rsidRDefault="00D01E21" w:rsidP="00D01E21">
            <w:pPr>
              <w:rPr>
                <w:i/>
              </w:rPr>
            </w:pPr>
            <w:r w:rsidRPr="00481594">
              <w:rPr>
                <w:i/>
              </w:rPr>
              <w:t>Approved therapeutic use:</w:t>
            </w:r>
          </w:p>
        </w:tc>
        <w:tc>
          <w:tcPr>
            <w:tcW w:w="3423" w:type="pct"/>
          </w:tcPr>
          <w:p w14:paraId="277C417B" w14:textId="77777777" w:rsidR="00015688" w:rsidRPr="00481594" w:rsidRDefault="00015688" w:rsidP="00015688">
            <w:pPr>
              <w:rPr>
                <w:i/>
                <w:iCs/>
              </w:rPr>
            </w:pPr>
            <w:proofErr w:type="spellStart"/>
            <w:r w:rsidRPr="00481594">
              <w:rPr>
                <w:i/>
                <w:iCs/>
              </w:rPr>
              <w:t>Vaxneuvance</w:t>
            </w:r>
            <w:proofErr w:type="spellEnd"/>
            <w:r w:rsidRPr="00481594">
              <w:rPr>
                <w:i/>
                <w:iCs/>
              </w:rPr>
              <w:t xml:space="preserve"> is indicated for active immunisation for the prevention of pneumococcal disease caused by Streptococcus pneumoniae serotypes (1, 3, 4, 5, 6A, 6B, 7F, 9V, 14, 18C, 19A, 19F, 22F, 23F and 33F) in adults 18 years of age and older.</w:t>
            </w:r>
          </w:p>
          <w:p w14:paraId="64E8C60D" w14:textId="1E6700FF" w:rsidR="00015688" w:rsidRPr="00481594" w:rsidRDefault="00015688" w:rsidP="00015688">
            <w:pPr>
              <w:rPr>
                <w:i/>
                <w:iCs/>
              </w:rPr>
            </w:pPr>
            <w:proofErr w:type="spellStart"/>
            <w:r w:rsidRPr="00481594">
              <w:rPr>
                <w:i/>
                <w:iCs/>
              </w:rPr>
              <w:t>Vaxneuvance</w:t>
            </w:r>
            <w:proofErr w:type="spellEnd"/>
            <w:r w:rsidRPr="00481594">
              <w:rPr>
                <w:i/>
                <w:iCs/>
              </w:rPr>
              <w:t xml:space="preserve"> may not prevent disease caused by S.</w:t>
            </w:r>
            <w:r w:rsidR="007F4617" w:rsidRPr="00481594">
              <w:rPr>
                <w:i/>
                <w:iCs/>
              </w:rPr>
              <w:t> </w:t>
            </w:r>
            <w:r w:rsidRPr="00481594">
              <w:rPr>
                <w:i/>
                <w:iCs/>
              </w:rPr>
              <w:t>pneumoniae serotypes that are not contained in the vaccine.</w:t>
            </w:r>
          </w:p>
          <w:p w14:paraId="578DF45A" w14:textId="7398F701" w:rsidR="00D01E21" w:rsidRPr="00481594" w:rsidRDefault="00015688" w:rsidP="00D01E21">
            <w:pPr>
              <w:rPr>
                <w:i/>
                <w:iCs/>
              </w:rPr>
            </w:pPr>
            <w:r w:rsidRPr="00481594">
              <w:rPr>
                <w:i/>
                <w:iCs/>
              </w:rPr>
              <w:t xml:space="preserve">The use of </w:t>
            </w:r>
            <w:proofErr w:type="spellStart"/>
            <w:r w:rsidRPr="00481594">
              <w:rPr>
                <w:i/>
                <w:iCs/>
              </w:rPr>
              <w:t>Vaxneuvance</w:t>
            </w:r>
            <w:proofErr w:type="spellEnd"/>
            <w:r w:rsidRPr="00481594">
              <w:rPr>
                <w:i/>
                <w:iCs/>
              </w:rPr>
              <w:t xml:space="preserve"> should be guided by official recommendations.</w:t>
            </w:r>
          </w:p>
        </w:tc>
      </w:tr>
      <w:tr w:rsidR="00D01E21" w:rsidRPr="00481594" w14:paraId="7B032B13" w14:textId="77777777" w:rsidTr="00D01E21">
        <w:tc>
          <w:tcPr>
            <w:tcW w:w="1577" w:type="pct"/>
          </w:tcPr>
          <w:p w14:paraId="751A7F69" w14:textId="6AE4BF19" w:rsidR="00D01E21" w:rsidRPr="00481594" w:rsidRDefault="00D01E21" w:rsidP="00D01E21">
            <w:pPr>
              <w:rPr>
                <w:i/>
              </w:rPr>
            </w:pPr>
            <w:r w:rsidRPr="00481594">
              <w:rPr>
                <w:i/>
              </w:rPr>
              <w:t>Route of administration:</w:t>
            </w:r>
          </w:p>
        </w:tc>
        <w:tc>
          <w:tcPr>
            <w:tcW w:w="3423" w:type="pct"/>
          </w:tcPr>
          <w:p w14:paraId="1496DF5A" w14:textId="3F7F8A39" w:rsidR="00D01E21" w:rsidRPr="00481594" w:rsidRDefault="00D01E21" w:rsidP="00D01E21">
            <w:r w:rsidRPr="00481594">
              <w:t>Intramuscular</w:t>
            </w:r>
          </w:p>
        </w:tc>
      </w:tr>
      <w:tr w:rsidR="00D01E21" w:rsidRPr="00481594" w14:paraId="03B9C18E" w14:textId="77777777" w:rsidTr="00D01E21">
        <w:tc>
          <w:tcPr>
            <w:tcW w:w="1577" w:type="pct"/>
          </w:tcPr>
          <w:p w14:paraId="43987EA0" w14:textId="77777777" w:rsidR="00D01E21" w:rsidRPr="00481594" w:rsidRDefault="00D01E21" w:rsidP="00D01E21">
            <w:pPr>
              <w:rPr>
                <w:i/>
              </w:rPr>
            </w:pPr>
            <w:r w:rsidRPr="00481594">
              <w:rPr>
                <w:i/>
              </w:rPr>
              <w:lastRenderedPageBreak/>
              <w:t>Dosage:</w:t>
            </w:r>
          </w:p>
        </w:tc>
        <w:tc>
          <w:tcPr>
            <w:tcW w:w="3423" w:type="pct"/>
          </w:tcPr>
          <w:p w14:paraId="03A6CB56" w14:textId="77777777" w:rsidR="009D672A" w:rsidRPr="00481594" w:rsidRDefault="009F252F" w:rsidP="009D672A">
            <w:r w:rsidRPr="00481594">
              <w:t xml:space="preserve">Adults should be administered a single dose (0.5 mL) of </w:t>
            </w:r>
            <w:proofErr w:type="spellStart"/>
            <w:r w:rsidRPr="00481594">
              <w:t>Vaxneuvance</w:t>
            </w:r>
            <w:proofErr w:type="spellEnd"/>
            <w:r w:rsidRPr="00481594">
              <w:t xml:space="preserve"> intramuscularly.</w:t>
            </w:r>
            <w:r w:rsidR="009D672A" w:rsidRPr="00481594">
              <w:t xml:space="preserve"> Do not inject intravascularly.</w:t>
            </w:r>
          </w:p>
          <w:p w14:paraId="6EC19D5F" w14:textId="44CEA930" w:rsidR="009D672A" w:rsidRPr="00481594" w:rsidRDefault="009D672A" w:rsidP="009D672A">
            <w:proofErr w:type="spellStart"/>
            <w:r w:rsidRPr="00481594">
              <w:t>Vaxneuvance</w:t>
            </w:r>
            <w:proofErr w:type="spellEnd"/>
            <w:r w:rsidRPr="00481594">
              <w:t xml:space="preserve"> should not be diluted or mixed with other vaccines</w:t>
            </w:r>
            <w:r w:rsidR="003E373D" w:rsidRPr="00481594">
              <w:t xml:space="preserve"> </w:t>
            </w:r>
            <w:r w:rsidRPr="00481594">
              <w:t>(see Section 4.5 Interactions with other medicines and other forms of interactions of the Product Information).</w:t>
            </w:r>
          </w:p>
          <w:p w14:paraId="3C6752A8" w14:textId="77777777" w:rsidR="009D672A" w:rsidRPr="00481594" w:rsidRDefault="009F252F" w:rsidP="00D01E21">
            <w:r w:rsidRPr="00481594">
              <w:t xml:space="preserve">The dosing schedule of </w:t>
            </w:r>
            <w:proofErr w:type="spellStart"/>
            <w:r w:rsidRPr="00481594">
              <w:t>Vaxneuvance</w:t>
            </w:r>
            <w:proofErr w:type="spellEnd"/>
            <w:r w:rsidRPr="00481594">
              <w:t xml:space="preserve"> in special populations should be guided by official recommendations.</w:t>
            </w:r>
          </w:p>
          <w:p w14:paraId="164F854E" w14:textId="4A1C57F6" w:rsidR="00D01E21" w:rsidRPr="00481594" w:rsidRDefault="00D01E21" w:rsidP="00D01E21">
            <w:r w:rsidRPr="00481594">
              <w:t>For further information regarding dosage, refer to the Product Information.</w:t>
            </w:r>
          </w:p>
        </w:tc>
      </w:tr>
      <w:tr w:rsidR="00D01E21" w:rsidRPr="00481594" w14:paraId="75A77149" w14:textId="77777777" w:rsidTr="00D01E21">
        <w:tc>
          <w:tcPr>
            <w:tcW w:w="1577" w:type="pct"/>
          </w:tcPr>
          <w:p w14:paraId="08430B41" w14:textId="77777777" w:rsidR="00D01E21" w:rsidRPr="00481594" w:rsidRDefault="00D01E21" w:rsidP="00D01E21">
            <w:pPr>
              <w:rPr>
                <w:i/>
              </w:rPr>
            </w:pPr>
            <w:r w:rsidRPr="00481594">
              <w:rPr>
                <w:i/>
              </w:rPr>
              <w:t>Pregnancy category:</w:t>
            </w:r>
          </w:p>
        </w:tc>
        <w:tc>
          <w:tcPr>
            <w:tcW w:w="3423" w:type="pct"/>
          </w:tcPr>
          <w:p w14:paraId="11F78E33" w14:textId="77777777" w:rsidR="00D01E21" w:rsidRPr="00481594" w:rsidRDefault="00D01E21" w:rsidP="00D01E21">
            <w:r w:rsidRPr="00481594">
              <w:t>B1</w:t>
            </w:r>
          </w:p>
          <w:p w14:paraId="6116F99E" w14:textId="77777777" w:rsidR="00D01E21" w:rsidRPr="00481594" w:rsidRDefault="00D01E21" w:rsidP="00D01E21">
            <w:r w:rsidRPr="00481594">
              <w:t xml:space="preserve">Drugs which have been taken by only a limited number of pregnant women and women of childbearing age, without an increase in the frequency of malformation or other direct or indirect harmful effects on the human </w:t>
            </w:r>
            <w:proofErr w:type="spellStart"/>
            <w:r w:rsidRPr="00481594">
              <w:t>fetus</w:t>
            </w:r>
            <w:proofErr w:type="spellEnd"/>
            <w:r w:rsidRPr="00481594">
              <w:t xml:space="preserve"> having been observed.</w:t>
            </w:r>
          </w:p>
          <w:p w14:paraId="4972F9FD" w14:textId="77777777" w:rsidR="00D01E21" w:rsidRPr="00481594" w:rsidRDefault="00D01E21" w:rsidP="00D01E21">
            <w:r w:rsidRPr="00481594">
              <w:t xml:space="preserve">Studies in animals have not shown evidence of an increased occurrence of </w:t>
            </w:r>
            <w:proofErr w:type="spellStart"/>
            <w:r w:rsidRPr="00481594">
              <w:t>fetal</w:t>
            </w:r>
            <w:proofErr w:type="spellEnd"/>
            <w:r w:rsidRPr="00481594">
              <w:t xml:space="preserve"> damage.</w:t>
            </w:r>
          </w:p>
          <w:p w14:paraId="57B92AAF" w14:textId="709DF13A" w:rsidR="00D01E21" w:rsidRPr="00481594" w:rsidRDefault="00D01E21" w:rsidP="00D01E21">
            <w:r w:rsidRPr="00481594">
              <w:t>The use of any medicine during pregnancy requires careful consideration of both risks and benefits by the treating health professional. This must not be used as the sole basis of decision making in the use of medicines during pregnancy. The TGA does not provide advice on the use of medicines in pregnancy for specific cases. More</w:t>
            </w:r>
            <w:r w:rsidR="00F524CE" w:rsidRPr="00481594">
              <w:t> </w:t>
            </w:r>
            <w:r w:rsidRPr="00481594">
              <w:t>information is available from obstetric drug information services in your State or Territory.</w:t>
            </w:r>
          </w:p>
        </w:tc>
      </w:tr>
    </w:tbl>
    <w:p w14:paraId="33B1E512" w14:textId="77777777" w:rsidR="008E7846" w:rsidRPr="00481594" w:rsidRDefault="008E7846" w:rsidP="008E7846">
      <w:pPr>
        <w:pStyle w:val="Heading3"/>
      </w:pPr>
      <w:bookmarkStart w:id="10" w:name="_Toc247691503"/>
      <w:bookmarkStart w:id="11" w:name="_Toc314842484"/>
      <w:bookmarkStart w:id="12" w:name="_Toc116652730"/>
      <w:r w:rsidRPr="00481594">
        <w:t>Product background</w:t>
      </w:r>
      <w:bookmarkEnd w:id="10"/>
      <w:bookmarkEnd w:id="11"/>
      <w:bookmarkEnd w:id="12"/>
    </w:p>
    <w:p w14:paraId="4AADBE94" w14:textId="4DEAE0C8" w:rsidR="009F2673" w:rsidRPr="00481594" w:rsidRDefault="009F2673" w:rsidP="009F2673">
      <w:r w:rsidRPr="00481594">
        <w:t xml:space="preserve">This </w:t>
      </w:r>
      <w:proofErr w:type="spellStart"/>
      <w:r w:rsidRPr="00481594">
        <w:t>AusPAR</w:t>
      </w:r>
      <w:proofErr w:type="spellEnd"/>
      <w:r w:rsidRPr="00481594">
        <w:t xml:space="preserve"> describes the </w:t>
      </w:r>
      <w:r w:rsidR="001E359E" w:rsidRPr="00481594">
        <w:t>submission</w:t>
      </w:r>
      <w:r w:rsidRPr="00481594">
        <w:t xml:space="preserve"> by </w:t>
      </w:r>
      <w:r w:rsidR="00D01E21" w:rsidRPr="00481594">
        <w:t>Merck Sharp &amp; Dohme (Australia) Pty Ltd</w:t>
      </w:r>
      <w:r w:rsidRPr="00481594">
        <w:t xml:space="preserve"> (the sponsor) to register </w:t>
      </w:r>
      <w:proofErr w:type="spellStart"/>
      <w:r w:rsidR="00D01E21" w:rsidRPr="00481594">
        <w:t>Vaxneuvance</w:t>
      </w:r>
      <w:proofErr w:type="spellEnd"/>
      <w:r w:rsidR="00D01E21" w:rsidRPr="00481594">
        <w:t xml:space="preserve"> </w:t>
      </w:r>
      <w:r w:rsidRPr="00481594">
        <w:t>(</w:t>
      </w:r>
      <w:r w:rsidR="00015688" w:rsidRPr="00481594">
        <w:t>pneumococcal 15-valent conjugate vaccine</w:t>
      </w:r>
      <w:r w:rsidR="00041234" w:rsidRPr="00481594">
        <w:t xml:space="preserve"> (CRM</w:t>
      </w:r>
      <w:r w:rsidR="00041234" w:rsidRPr="00481594">
        <w:rPr>
          <w:vertAlign w:val="subscript"/>
        </w:rPr>
        <w:t>197</w:t>
      </w:r>
      <w:r w:rsidR="00041234" w:rsidRPr="00481594">
        <w:t xml:space="preserve"> protein), adsorbed</w:t>
      </w:r>
      <w:r w:rsidRPr="00481594">
        <w:t xml:space="preserve">) </w:t>
      </w:r>
      <w:r w:rsidR="009F252F" w:rsidRPr="00481594">
        <w:t>0.5 ml</w:t>
      </w:r>
      <w:r w:rsidRPr="00481594">
        <w:t xml:space="preserve">, </w:t>
      </w:r>
      <w:r w:rsidR="00D01E21" w:rsidRPr="00481594">
        <w:t>suspension for intramuscular injection</w:t>
      </w:r>
      <w:r w:rsidRPr="00481594">
        <w:t xml:space="preserve"> for the following proposed indication:</w:t>
      </w:r>
    </w:p>
    <w:p w14:paraId="6379E973" w14:textId="4FE03BEA" w:rsidR="009F252F" w:rsidRPr="00481594" w:rsidRDefault="009F252F" w:rsidP="009F252F">
      <w:pPr>
        <w:ind w:left="720"/>
        <w:rPr>
          <w:i/>
          <w:iCs/>
        </w:rPr>
      </w:pPr>
      <w:proofErr w:type="spellStart"/>
      <w:r w:rsidRPr="00481594">
        <w:rPr>
          <w:i/>
          <w:iCs/>
        </w:rPr>
        <w:t>Vaxneuvance</w:t>
      </w:r>
      <w:proofErr w:type="spellEnd"/>
      <w:r w:rsidRPr="00481594">
        <w:rPr>
          <w:i/>
          <w:iCs/>
        </w:rPr>
        <w:t xml:space="preserve"> is indicated for active immunisation for the prevention of pneumococcal disease caused by Streptococcus pneumoniae serotypes (1, 3, 4, 5, 6A, 6B, 7F, 9V, 14, 18C, 19A, 19F, 22F, 23F and 33F) in adults 18 years of age and older.</w:t>
      </w:r>
    </w:p>
    <w:p w14:paraId="56FDDBF5" w14:textId="5EF8E686" w:rsidR="009F252F" w:rsidRPr="00481594" w:rsidRDefault="009F252F" w:rsidP="009F252F">
      <w:pPr>
        <w:ind w:left="720"/>
        <w:rPr>
          <w:i/>
          <w:iCs/>
        </w:rPr>
      </w:pPr>
      <w:proofErr w:type="spellStart"/>
      <w:r w:rsidRPr="00481594">
        <w:rPr>
          <w:i/>
          <w:iCs/>
        </w:rPr>
        <w:t>Vaxneuvance</w:t>
      </w:r>
      <w:proofErr w:type="spellEnd"/>
      <w:r w:rsidRPr="00481594">
        <w:rPr>
          <w:i/>
          <w:iCs/>
        </w:rPr>
        <w:t xml:space="preserve"> may not prevent disease caused by S. pneumoniae serotypes that are not contained in the vaccine.</w:t>
      </w:r>
    </w:p>
    <w:p w14:paraId="5D69AA94" w14:textId="471E868E" w:rsidR="009F252F" w:rsidRPr="00481594" w:rsidRDefault="009F252F" w:rsidP="009F252F">
      <w:pPr>
        <w:ind w:left="720"/>
        <w:rPr>
          <w:i/>
          <w:iCs/>
        </w:rPr>
      </w:pPr>
      <w:r w:rsidRPr="00481594">
        <w:rPr>
          <w:i/>
          <w:iCs/>
        </w:rPr>
        <w:t xml:space="preserve">The use of </w:t>
      </w:r>
      <w:proofErr w:type="spellStart"/>
      <w:r w:rsidRPr="00481594">
        <w:rPr>
          <w:i/>
          <w:iCs/>
        </w:rPr>
        <w:t>Vaxneuvance</w:t>
      </w:r>
      <w:proofErr w:type="spellEnd"/>
      <w:r w:rsidRPr="00481594">
        <w:rPr>
          <w:i/>
          <w:iCs/>
        </w:rPr>
        <w:t xml:space="preserve"> should be guided by official recommendations.</w:t>
      </w:r>
    </w:p>
    <w:p w14:paraId="7D979BFA" w14:textId="3FE88A81" w:rsidR="00E24B82" w:rsidRPr="00481594" w:rsidRDefault="00E24B82" w:rsidP="00E24B82">
      <w:bookmarkStart w:id="13" w:name="_Toc314842485"/>
      <w:bookmarkStart w:id="14" w:name="_Toc247691504"/>
      <w:r w:rsidRPr="00481594">
        <w:rPr>
          <w:i/>
          <w:iCs/>
        </w:rPr>
        <w:t>Streptococcus pneumoniae</w:t>
      </w:r>
      <w:r w:rsidRPr="00481594">
        <w:t xml:space="preserve"> is a major cause of respiratory illness resulting in morbidity and mortality, particularly in older adults (</w:t>
      </w:r>
      <w:r w:rsidR="00F524CE" w:rsidRPr="00481594">
        <w:t xml:space="preserve">those </w:t>
      </w:r>
      <w:r w:rsidRPr="00481594">
        <w:t>65 years of age</w:t>
      </w:r>
      <w:r w:rsidR="00F524CE" w:rsidRPr="00481594">
        <w:t xml:space="preserve"> and older</w:t>
      </w:r>
      <w:r w:rsidRPr="00481594">
        <w:t xml:space="preserve">), adults </w:t>
      </w:r>
      <w:r w:rsidR="00F524CE" w:rsidRPr="00481594">
        <w:t>(those</w:t>
      </w:r>
      <w:r w:rsidR="00007EFB" w:rsidRPr="00481594">
        <w:t xml:space="preserve"> </w:t>
      </w:r>
      <w:r w:rsidRPr="00481594">
        <w:t>18</w:t>
      </w:r>
      <w:r w:rsidR="00F524CE" w:rsidRPr="00481594">
        <w:t> </w:t>
      </w:r>
      <w:r w:rsidRPr="00481594">
        <w:t>years</w:t>
      </w:r>
      <w:r w:rsidR="00F524CE" w:rsidRPr="00481594">
        <w:t xml:space="preserve"> and older)</w:t>
      </w:r>
      <w:r w:rsidRPr="00481594">
        <w:t xml:space="preserve"> with other co-morbidities (</w:t>
      </w:r>
      <w:r w:rsidR="00173B1B" w:rsidRPr="00481594">
        <w:t>for example</w:t>
      </w:r>
      <w:r w:rsidRPr="00481594">
        <w:t>, chronic lung disease, chronic liver disease, chronic heart disease, diabetes mellitus and asthma) and in immunocompromised subjects (</w:t>
      </w:r>
      <w:r w:rsidR="00173B1B" w:rsidRPr="00481594">
        <w:t>for example</w:t>
      </w:r>
      <w:r w:rsidRPr="00481594">
        <w:t xml:space="preserve">, </w:t>
      </w:r>
      <w:r w:rsidR="00007EFB" w:rsidRPr="00481594">
        <w:t>human immunodeficiency virus (</w:t>
      </w:r>
      <w:r w:rsidRPr="00481594">
        <w:t>HIV</w:t>
      </w:r>
      <w:r w:rsidR="00007EFB" w:rsidRPr="00481594">
        <w:t>)</w:t>
      </w:r>
      <w:r w:rsidRPr="00481594">
        <w:t xml:space="preserve"> and post-haematopoietic stem cell transplantation).</w:t>
      </w:r>
      <w:r w:rsidR="00921DAE" w:rsidRPr="00481594">
        <w:t xml:space="preserve"> </w:t>
      </w:r>
      <w:r w:rsidR="00F524CE" w:rsidRPr="00481594">
        <w:t>In 2018, a</w:t>
      </w:r>
      <w:r w:rsidR="00921DAE" w:rsidRPr="00481594">
        <w:t xml:space="preserve">bout 44.6% invasive </w:t>
      </w:r>
      <w:r w:rsidR="00921DAE" w:rsidRPr="00481594">
        <w:lastRenderedPageBreak/>
        <w:t xml:space="preserve">pneumococcal diseases in Australian adults </w:t>
      </w:r>
      <w:r w:rsidR="00F524CE" w:rsidRPr="00481594">
        <w:t>aged</w:t>
      </w:r>
      <w:r w:rsidR="008A1CF9" w:rsidRPr="00481594">
        <w:t xml:space="preserve"> 65 years</w:t>
      </w:r>
      <w:r w:rsidR="00F524CE" w:rsidRPr="00481594">
        <w:t xml:space="preserve"> and older</w:t>
      </w:r>
      <w:r w:rsidR="008A1CF9" w:rsidRPr="00481594">
        <w:t xml:space="preserve"> </w:t>
      </w:r>
      <w:r w:rsidR="00921DAE" w:rsidRPr="00481594">
        <w:t>are due to serotypes included in</w:t>
      </w:r>
      <w:r w:rsidR="00921DAE" w:rsidRPr="00481594">
        <w:rPr>
          <w:i/>
          <w:iCs/>
        </w:rPr>
        <w:t xml:space="preserve"> </w:t>
      </w:r>
      <w:r w:rsidR="00F524CE" w:rsidRPr="00481594">
        <w:rPr>
          <w:iCs/>
        </w:rPr>
        <w:t>the</w:t>
      </w:r>
      <w:r w:rsidR="00F524CE" w:rsidRPr="00481594">
        <w:rPr>
          <w:i/>
          <w:iCs/>
        </w:rPr>
        <w:t xml:space="preserve"> </w:t>
      </w:r>
      <w:proofErr w:type="spellStart"/>
      <w:r w:rsidR="00921DAE" w:rsidRPr="00481594">
        <w:t>Vaxneuvance</w:t>
      </w:r>
      <w:proofErr w:type="spellEnd"/>
      <w:r w:rsidR="00F524CE" w:rsidRPr="00481594">
        <w:t xml:space="preserve"> vaccine</w:t>
      </w:r>
      <w:r w:rsidR="008A1CF9" w:rsidRPr="00481594">
        <w:t>.</w:t>
      </w:r>
      <w:r w:rsidR="00041234" w:rsidRPr="00481594">
        <w:rPr>
          <w:rStyle w:val="FootnoteReference"/>
        </w:rPr>
        <w:footnoteReference w:id="2"/>
      </w:r>
    </w:p>
    <w:p w14:paraId="3C47CDBE" w14:textId="61560C90" w:rsidR="00E24B82" w:rsidRPr="00481594" w:rsidRDefault="00E24B82" w:rsidP="00E24B82">
      <w:r w:rsidRPr="00481594">
        <w:t xml:space="preserve">In addition to pneumonia, </w:t>
      </w:r>
      <w:r w:rsidR="00F524CE" w:rsidRPr="00481594">
        <w:rPr>
          <w:i/>
          <w:iCs/>
        </w:rPr>
        <w:t xml:space="preserve">S. </w:t>
      </w:r>
      <w:r w:rsidRPr="00481594">
        <w:rPr>
          <w:i/>
          <w:iCs/>
        </w:rPr>
        <w:t>pneumoniae</w:t>
      </w:r>
      <w:r w:rsidRPr="00481594">
        <w:t xml:space="preserve"> can lead to meningitis. bacteraemia, and septic arthritis. The case</w:t>
      </w:r>
      <w:r w:rsidR="00007EFB" w:rsidRPr="00481594">
        <w:t xml:space="preserve"> </w:t>
      </w:r>
      <w:r w:rsidRPr="00481594">
        <w:t xml:space="preserve">fatality rate of invasive pneumococcal disease in the </w:t>
      </w:r>
      <w:r w:rsidR="00007EFB" w:rsidRPr="00481594">
        <w:t>United States of America (</w:t>
      </w:r>
      <w:r w:rsidRPr="00481594">
        <w:t>US</w:t>
      </w:r>
      <w:r w:rsidR="00007EFB" w:rsidRPr="00481594">
        <w:t>A)</w:t>
      </w:r>
      <w:r w:rsidRPr="00481594">
        <w:t xml:space="preserve"> is </w:t>
      </w:r>
      <w:r w:rsidR="00007EFB" w:rsidRPr="00481594">
        <w:t xml:space="preserve">approximately </w:t>
      </w:r>
      <w:r w:rsidRPr="00481594">
        <w:t>1%.</w:t>
      </w:r>
      <w:r w:rsidR="00C75CC5" w:rsidRPr="00481594">
        <w:rPr>
          <w:rStyle w:val="FootnoteReference"/>
        </w:rPr>
        <w:footnoteReference w:id="3"/>
      </w:r>
      <w:r w:rsidRPr="00481594">
        <w:t xml:space="preserve"> Mortality rates are higher in older adults and in other adults with co-morbidities. particularly in immunocompromised individuals.</w:t>
      </w:r>
    </w:p>
    <w:p w14:paraId="29ACB8AF" w14:textId="6B3BE28A" w:rsidR="00E24B82" w:rsidRPr="00481594" w:rsidRDefault="00E24B82" w:rsidP="00E24B82">
      <w:r w:rsidRPr="00481594">
        <w:t xml:space="preserve">Treatment is with </w:t>
      </w:r>
      <w:r w:rsidR="00D354DF" w:rsidRPr="00481594">
        <w:t>broad-spectrum</w:t>
      </w:r>
      <w:r w:rsidRPr="00481594">
        <w:t xml:space="preserve"> antibiotics to cover </w:t>
      </w:r>
      <w:r w:rsidR="00F524CE" w:rsidRPr="00481594">
        <w:rPr>
          <w:i/>
          <w:iCs/>
        </w:rPr>
        <w:t xml:space="preserve">S. </w:t>
      </w:r>
      <w:r w:rsidRPr="00481594">
        <w:rPr>
          <w:i/>
          <w:iCs/>
        </w:rPr>
        <w:t>pneumoniae</w:t>
      </w:r>
      <w:r w:rsidRPr="00481594">
        <w:t xml:space="preserve"> and other possible pathogens; these include </w:t>
      </w:r>
      <w:r w:rsidR="00626CC0" w:rsidRPr="00481594">
        <w:t>penicillin-based</w:t>
      </w:r>
      <w:r w:rsidRPr="00481594">
        <w:t xml:space="preserve"> treatments although there is increasing resistance to penicillin and other antibiotics seen in the USA and Europe. Prevention of pneumococcal disease includes vaccination with pneumococcal conjugate vaccines and pneumococcal polysaccharide vaccines, as well as the prophylactic use of antibiotics in exposed populations.</w:t>
      </w:r>
    </w:p>
    <w:p w14:paraId="294D361C" w14:textId="795C3BC4" w:rsidR="00FE6685" w:rsidRPr="00481594" w:rsidRDefault="009137A6" w:rsidP="00E24B82">
      <w:r w:rsidRPr="00481594">
        <w:t>The r</w:t>
      </w:r>
      <w:r w:rsidR="00E24B82" w:rsidRPr="00481594">
        <w:t xml:space="preserve">egistered pneumococcal vaccines in </w:t>
      </w:r>
      <w:r w:rsidRPr="00481594">
        <w:t xml:space="preserve">use in </w:t>
      </w:r>
      <w:r w:rsidR="00E24B82" w:rsidRPr="00481594">
        <w:t>Australia are Pneumovax 23,</w:t>
      </w:r>
      <w:r w:rsidR="00B7473F" w:rsidRPr="00481594">
        <w:rPr>
          <w:rStyle w:val="FootnoteReference"/>
        </w:rPr>
        <w:footnoteReference w:id="4"/>
      </w:r>
      <w:r w:rsidR="00E24B82" w:rsidRPr="00481594">
        <w:t xml:space="preserve"> a polyvalent vaccine and Prevenar 13,</w:t>
      </w:r>
      <w:bookmarkStart w:id="15" w:name="_Ref115164629"/>
      <w:r w:rsidR="00F524CE" w:rsidRPr="00481594">
        <w:rPr>
          <w:rStyle w:val="FootnoteReference"/>
        </w:rPr>
        <w:footnoteReference w:id="5"/>
      </w:r>
      <w:bookmarkEnd w:id="15"/>
      <w:r w:rsidR="00E24B82" w:rsidRPr="00481594">
        <w:t xml:space="preserve"> a pneumococcal conjugate vaccine. The </w:t>
      </w:r>
      <w:r w:rsidR="001B55A4" w:rsidRPr="00481594">
        <w:t>two</w:t>
      </w:r>
      <w:r w:rsidR="00E24B82" w:rsidRPr="00481594">
        <w:t xml:space="preserve"> serotypes</w:t>
      </w:r>
      <w:r w:rsidR="001B55A4" w:rsidRPr="00481594">
        <w:t>,</w:t>
      </w:r>
      <w:r w:rsidR="00E24B82" w:rsidRPr="00481594">
        <w:t xml:space="preserve"> 22F and 33F</w:t>
      </w:r>
      <w:r w:rsidR="001B55A4" w:rsidRPr="00481594">
        <w:t>,</w:t>
      </w:r>
      <w:r w:rsidR="00E24B82" w:rsidRPr="00481594">
        <w:t xml:space="preserve"> are not included in any of the currently licensed pneumococcal conjugate vaccines. These </w:t>
      </w:r>
      <w:r w:rsidR="001B55A4" w:rsidRPr="00481594">
        <w:t>two</w:t>
      </w:r>
      <w:r w:rsidR="00E24B82" w:rsidRPr="00481594">
        <w:t xml:space="preserve"> serotypes have been shown to have increased disease frequency globally and are represented in the 10 commonest serotypes associated with invasive pneumococcal disease in adults</w:t>
      </w:r>
      <w:r w:rsidR="00F670A8" w:rsidRPr="00481594">
        <w:t xml:space="preserve"> </w:t>
      </w:r>
      <w:r w:rsidR="00E24B82" w:rsidRPr="00481594">
        <w:t>65 years of age</w:t>
      </w:r>
      <w:r w:rsidRPr="00481594">
        <w:t xml:space="preserve"> and older,</w:t>
      </w:r>
      <w:r w:rsidR="00E24B82" w:rsidRPr="00481594">
        <w:t xml:space="preserve"> and in children </w:t>
      </w:r>
      <w:r w:rsidRPr="00481594">
        <w:t>under</w:t>
      </w:r>
      <w:r w:rsidR="00F670A8" w:rsidRPr="00481594">
        <w:t xml:space="preserve"> </w:t>
      </w:r>
      <w:r w:rsidR="00E24B82" w:rsidRPr="00481594">
        <w:t>5 years of age.</w:t>
      </w:r>
      <w:r w:rsidR="00C75CC5" w:rsidRPr="00481594">
        <w:rPr>
          <w:rStyle w:val="FootnoteReference"/>
        </w:rPr>
        <w:footnoteReference w:id="6"/>
      </w:r>
      <w:r w:rsidR="00E24B82" w:rsidRPr="00481594">
        <w:t xml:space="preserve"> A higher valent pneumococcal conjugate vaccine has been presented in the proposed submission, could potentially reduce cases of invasive pneumococcal disease involving these </w:t>
      </w:r>
      <w:r w:rsidR="001B55A4" w:rsidRPr="00481594">
        <w:t>two</w:t>
      </w:r>
      <w:r w:rsidRPr="00481594">
        <w:t> </w:t>
      </w:r>
      <w:r w:rsidR="00E24B82" w:rsidRPr="00481594">
        <w:t>additional serotypes.</w:t>
      </w:r>
      <w:r w:rsidR="00FE6685" w:rsidRPr="00481594">
        <w:t xml:space="preserve"> </w:t>
      </w:r>
      <w:proofErr w:type="spellStart"/>
      <w:r w:rsidR="00FE6685" w:rsidRPr="00481594">
        <w:t>Vaxneuvance</w:t>
      </w:r>
      <w:proofErr w:type="spellEnd"/>
      <w:r w:rsidR="00FE6685" w:rsidRPr="00481594">
        <w:t xml:space="preserve"> is a pneumococcal conjugate vaccine that comprises of </w:t>
      </w:r>
      <w:r w:rsidR="00C54A09" w:rsidRPr="00481594">
        <w:t xml:space="preserve">15 </w:t>
      </w:r>
      <w:r w:rsidR="00FE6685" w:rsidRPr="00481594">
        <w:t xml:space="preserve">pneumococcal polysaccharide serotypes </w:t>
      </w:r>
      <w:r w:rsidR="008F6F57" w:rsidRPr="00481594">
        <w:t xml:space="preserve">(serotypes </w:t>
      </w:r>
      <w:r w:rsidR="00FE6685" w:rsidRPr="00481594">
        <w:t>1, 3, 4, 5, 6A, 6B, 7F, 9V, 14, 18C, 19A, 19F, 22F, 23F, and 33F</w:t>
      </w:r>
      <w:r w:rsidR="008F6F57" w:rsidRPr="00481594">
        <w:t>)</w:t>
      </w:r>
      <w:r w:rsidR="00FE6685" w:rsidRPr="00481594">
        <w:t xml:space="preserve"> individually conjugated to the </w:t>
      </w:r>
      <w:r w:rsidR="00626CC0" w:rsidRPr="00481594">
        <w:t>cross-reactive</w:t>
      </w:r>
      <w:r w:rsidR="002D2B70" w:rsidRPr="00481594">
        <w:t xml:space="preserve"> material 197 (</w:t>
      </w:r>
      <w:r w:rsidR="00FE6685" w:rsidRPr="00481594">
        <w:t>CRM</w:t>
      </w:r>
      <w:r w:rsidR="00FE6685" w:rsidRPr="00481594">
        <w:rPr>
          <w:vertAlign w:val="subscript"/>
        </w:rPr>
        <w:t>197</w:t>
      </w:r>
      <w:r w:rsidR="002D2B70" w:rsidRPr="00481594">
        <w:t>)</w:t>
      </w:r>
      <w:r w:rsidR="00FE6685" w:rsidRPr="00481594">
        <w:t xml:space="preserve"> carrier protein</w:t>
      </w:r>
      <w:r w:rsidR="00C54A09" w:rsidRPr="00481594">
        <w:t xml:space="preserve">, </w:t>
      </w:r>
      <w:r w:rsidR="00FE6685" w:rsidRPr="00481594">
        <w:t xml:space="preserve">indicated for active immunisation to prevent pneumococcal disease caused by </w:t>
      </w:r>
      <w:r w:rsidR="008F6F57" w:rsidRPr="00481594">
        <w:rPr>
          <w:i/>
          <w:iCs/>
        </w:rPr>
        <w:t xml:space="preserve">S. </w:t>
      </w:r>
      <w:r w:rsidR="00FE6685" w:rsidRPr="00481594">
        <w:rPr>
          <w:i/>
          <w:iCs/>
        </w:rPr>
        <w:t>pneumoniae</w:t>
      </w:r>
      <w:r w:rsidR="00FE6685" w:rsidRPr="00481594">
        <w:t xml:space="preserve"> in adults</w:t>
      </w:r>
      <w:r w:rsidR="00C54A09" w:rsidRPr="00481594">
        <w:t xml:space="preserve"> </w:t>
      </w:r>
      <w:r w:rsidR="00FE6685" w:rsidRPr="00481594">
        <w:t>18 years of age</w:t>
      </w:r>
      <w:r w:rsidR="008F6F57" w:rsidRPr="00481594">
        <w:t xml:space="preserve"> and older</w:t>
      </w:r>
      <w:r w:rsidR="00FE6685" w:rsidRPr="00481594">
        <w:t>.</w:t>
      </w:r>
    </w:p>
    <w:p w14:paraId="12F4666B" w14:textId="70DDB70D" w:rsidR="008E7846" w:rsidRPr="00481594" w:rsidRDefault="00386150" w:rsidP="008E7846">
      <w:pPr>
        <w:pStyle w:val="Heading3"/>
      </w:pPr>
      <w:bookmarkStart w:id="16" w:name="_Toc116652731"/>
      <w:r w:rsidRPr="00481594">
        <w:t>Regulatory s</w:t>
      </w:r>
      <w:r w:rsidR="008E7846" w:rsidRPr="00481594">
        <w:t>tatus</w:t>
      </w:r>
      <w:bookmarkEnd w:id="13"/>
      <w:bookmarkEnd w:id="14"/>
      <w:bookmarkEnd w:id="16"/>
    </w:p>
    <w:p w14:paraId="4509D789" w14:textId="785AA138" w:rsidR="00332715" w:rsidRPr="00481594" w:rsidRDefault="00332715" w:rsidP="00332715">
      <w:bookmarkStart w:id="17" w:name="_Toc247691505"/>
      <w:bookmarkStart w:id="18" w:name="_Toc314842486"/>
      <w:r w:rsidRPr="00481594">
        <w:t>This product is considered a new biological entity for Australian regulatory purposes.</w:t>
      </w:r>
    </w:p>
    <w:p w14:paraId="6EB1E893" w14:textId="7D86F547" w:rsidR="00332715" w:rsidRPr="00481594" w:rsidRDefault="00332715" w:rsidP="00332715">
      <w:r w:rsidRPr="00481594">
        <w:t xml:space="preserve">At the time the TGA considered this </w:t>
      </w:r>
      <w:r w:rsidR="00BB0B78" w:rsidRPr="00481594">
        <w:t>submission</w:t>
      </w:r>
      <w:r w:rsidRPr="00481594">
        <w:t xml:space="preserve">, a similar </w:t>
      </w:r>
      <w:r w:rsidR="00BB0B78" w:rsidRPr="00481594">
        <w:t>submission</w:t>
      </w:r>
      <w:r w:rsidRPr="00481594">
        <w:t xml:space="preserve"> had been approved </w:t>
      </w:r>
      <w:r w:rsidR="00E24B82" w:rsidRPr="00481594">
        <w:t xml:space="preserve">in the USA on </w:t>
      </w:r>
      <w:r w:rsidR="00881D06" w:rsidRPr="00481594">
        <w:t>16 July 2021</w:t>
      </w:r>
      <w:r w:rsidR="00E24B82" w:rsidRPr="00481594">
        <w:t>. S</w:t>
      </w:r>
      <w:r w:rsidRPr="00481594">
        <w:t xml:space="preserve">imilar </w:t>
      </w:r>
      <w:r w:rsidR="00BB0B78" w:rsidRPr="00481594">
        <w:t>submission</w:t>
      </w:r>
      <w:r w:rsidR="00E24B82" w:rsidRPr="00481594">
        <w:t>s</w:t>
      </w:r>
      <w:r w:rsidRPr="00481594">
        <w:t xml:space="preserve"> </w:t>
      </w:r>
      <w:r w:rsidR="00E24B82" w:rsidRPr="00481594">
        <w:t>were</w:t>
      </w:r>
      <w:r w:rsidRPr="00481594">
        <w:t xml:space="preserve"> under consideration in </w:t>
      </w:r>
      <w:r w:rsidR="00E24B82" w:rsidRPr="00481594">
        <w:t>the European Union (EU) (submitted on 18 November 2020), Canada (submitted on 4</w:t>
      </w:r>
      <w:r w:rsidR="008F6F57" w:rsidRPr="00481594">
        <w:t> </w:t>
      </w:r>
      <w:r w:rsidR="00E24B82" w:rsidRPr="00481594">
        <w:t>December 2020), the United Kingdom (submitted on 18 October 2021) and Japan (submitted on 26 October 2021).</w:t>
      </w:r>
    </w:p>
    <w:p w14:paraId="0018EA83" w14:textId="77777777" w:rsidR="00332715" w:rsidRPr="00481594" w:rsidRDefault="0072292E" w:rsidP="00332715">
      <w:r w:rsidRPr="00481594">
        <w:t xml:space="preserve">The following table </w:t>
      </w:r>
      <w:r w:rsidR="00332715" w:rsidRPr="00481594">
        <w:t xml:space="preserve">summarises these </w:t>
      </w:r>
      <w:r w:rsidR="00BB0B78" w:rsidRPr="00481594">
        <w:t>submissions</w:t>
      </w:r>
      <w:r w:rsidR="00332715" w:rsidRPr="00481594">
        <w:t xml:space="preserve"> and provides the indications where approved.</w:t>
      </w:r>
    </w:p>
    <w:p w14:paraId="56E9612E" w14:textId="0EA97B17" w:rsidR="00324E45" w:rsidRPr="00481594" w:rsidRDefault="00324E45" w:rsidP="003F5A97">
      <w:pPr>
        <w:pStyle w:val="TableTitle"/>
      </w:pPr>
      <w:bookmarkStart w:id="19" w:name="_Ref99705479"/>
      <w:r w:rsidRPr="00481594">
        <w:lastRenderedPageBreak/>
        <w:t xml:space="preserve">Table </w:t>
      </w:r>
      <w:r w:rsidRPr="00481594">
        <w:fldChar w:fldCharType="begin"/>
      </w:r>
      <w:r w:rsidRPr="00481594">
        <w:instrText>SEQ Table \* ARABIC</w:instrText>
      </w:r>
      <w:r w:rsidRPr="00481594">
        <w:fldChar w:fldCharType="separate"/>
      </w:r>
      <w:r w:rsidR="00190330">
        <w:rPr>
          <w:noProof/>
        </w:rPr>
        <w:t>1</w:t>
      </w:r>
      <w:r w:rsidRPr="00481594">
        <w:fldChar w:fldCharType="end"/>
      </w:r>
      <w:bookmarkEnd w:id="19"/>
      <w:r w:rsidRPr="00481594">
        <w:t>: International regulatory status</w:t>
      </w:r>
    </w:p>
    <w:tbl>
      <w:tblPr>
        <w:tblStyle w:val="TableTGAblue"/>
        <w:tblW w:w="8815" w:type="dxa"/>
        <w:tblLayout w:type="fixed"/>
        <w:tblLook w:val="04A0" w:firstRow="1" w:lastRow="0" w:firstColumn="1" w:lastColumn="0" w:noHBand="0" w:noVBand="1"/>
      </w:tblPr>
      <w:tblGrid>
        <w:gridCol w:w="1525"/>
        <w:gridCol w:w="2070"/>
        <w:gridCol w:w="1710"/>
        <w:gridCol w:w="3510"/>
      </w:tblGrid>
      <w:tr w:rsidR="000E21E5" w:rsidRPr="00481594" w14:paraId="340E5904" w14:textId="77777777" w:rsidTr="00AB2969">
        <w:trPr>
          <w:cnfStyle w:val="100000000000" w:firstRow="1" w:lastRow="0" w:firstColumn="0" w:lastColumn="0" w:oddVBand="0" w:evenVBand="0" w:oddHBand="0" w:evenHBand="0" w:firstRowFirstColumn="0" w:firstRowLastColumn="0" w:lastRowFirstColumn="0" w:lastRowLastColumn="0"/>
        </w:trPr>
        <w:tc>
          <w:tcPr>
            <w:tcW w:w="1525" w:type="dxa"/>
            <w:tcBorders>
              <w:top w:val="single" w:sz="4" w:space="0" w:color="auto"/>
              <w:left w:val="single" w:sz="4" w:space="0" w:color="auto"/>
              <w:bottom w:val="single" w:sz="4" w:space="0" w:color="auto"/>
              <w:right w:val="single" w:sz="4" w:space="0" w:color="auto"/>
            </w:tcBorders>
          </w:tcPr>
          <w:p w14:paraId="52420764" w14:textId="77777777" w:rsidR="00006FAB" w:rsidRPr="00481594" w:rsidRDefault="00006FAB" w:rsidP="00006FAB">
            <w:pPr>
              <w:ind w:left="0" w:right="0"/>
            </w:pPr>
            <w:r w:rsidRPr="00481594">
              <w:t>Region</w:t>
            </w:r>
          </w:p>
        </w:tc>
        <w:tc>
          <w:tcPr>
            <w:tcW w:w="2070" w:type="dxa"/>
            <w:tcBorders>
              <w:top w:val="single" w:sz="4" w:space="0" w:color="auto"/>
              <w:left w:val="single" w:sz="4" w:space="0" w:color="auto"/>
              <w:bottom w:val="single" w:sz="4" w:space="0" w:color="auto"/>
              <w:right w:val="single" w:sz="4" w:space="0" w:color="auto"/>
            </w:tcBorders>
          </w:tcPr>
          <w:p w14:paraId="4A225B19" w14:textId="77777777" w:rsidR="00006FAB" w:rsidRPr="00481594" w:rsidRDefault="00006FAB" w:rsidP="00006FAB">
            <w:pPr>
              <w:ind w:left="0" w:right="0"/>
            </w:pPr>
            <w:r w:rsidRPr="00481594">
              <w:t>Submission date</w:t>
            </w:r>
          </w:p>
        </w:tc>
        <w:tc>
          <w:tcPr>
            <w:tcW w:w="1710" w:type="dxa"/>
            <w:tcBorders>
              <w:top w:val="single" w:sz="4" w:space="0" w:color="auto"/>
              <w:left w:val="single" w:sz="4" w:space="0" w:color="auto"/>
              <w:bottom w:val="single" w:sz="4" w:space="0" w:color="auto"/>
              <w:right w:val="single" w:sz="4" w:space="0" w:color="auto"/>
            </w:tcBorders>
          </w:tcPr>
          <w:p w14:paraId="230DAAC5" w14:textId="77777777" w:rsidR="00006FAB" w:rsidRPr="00481594" w:rsidRDefault="00006FAB" w:rsidP="00006FAB">
            <w:pPr>
              <w:ind w:left="0" w:right="0"/>
            </w:pPr>
            <w:r w:rsidRPr="00481594">
              <w:t>Status</w:t>
            </w:r>
          </w:p>
        </w:tc>
        <w:tc>
          <w:tcPr>
            <w:tcW w:w="3510" w:type="dxa"/>
            <w:tcBorders>
              <w:top w:val="single" w:sz="4" w:space="0" w:color="auto"/>
              <w:left w:val="single" w:sz="4" w:space="0" w:color="auto"/>
              <w:bottom w:val="single" w:sz="4" w:space="0" w:color="auto"/>
              <w:right w:val="single" w:sz="4" w:space="0" w:color="auto"/>
            </w:tcBorders>
          </w:tcPr>
          <w:p w14:paraId="5E5D157E" w14:textId="77777777" w:rsidR="00006FAB" w:rsidRPr="00481594" w:rsidRDefault="00006FAB" w:rsidP="00006FAB">
            <w:pPr>
              <w:ind w:left="0" w:right="0"/>
            </w:pPr>
            <w:r w:rsidRPr="00481594">
              <w:t>Approved indications</w:t>
            </w:r>
          </w:p>
        </w:tc>
      </w:tr>
      <w:tr w:rsidR="00E24B82" w:rsidRPr="00481594" w14:paraId="573472D8" w14:textId="77777777" w:rsidTr="00AB2969">
        <w:tc>
          <w:tcPr>
            <w:tcW w:w="1525" w:type="dxa"/>
            <w:tcBorders>
              <w:top w:val="single" w:sz="4" w:space="0" w:color="auto"/>
            </w:tcBorders>
          </w:tcPr>
          <w:p w14:paraId="2579CAEB" w14:textId="3016ACFF" w:rsidR="00006FAB" w:rsidRPr="00481594" w:rsidRDefault="00E24B82" w:rsidP="00006FAB">
            <w:pPr>
              <w:ind w:left="0" w:right="0"/>
            </w:pPr>
            <w:r w:rsidRPr="00481594">
              <w:t>U</w:t>
            </w:r>
            <w:r w:rsidR="001B5950" w:rsidRPr="00481594">
              <w:t xml:space="preserve">nited </w:t>
            </w:r>
            <w:r w:rsidRPr="00481594">
              <w:t>S</w:t>
            </w:r>
            <w:r w:rsidR="001B5950" w:rsidRPr="00481594">
              <w:t xml:space="preserve">tates of </w:t>
            </w:r>
            <w:r w:rsidRPr="00481594">
              <w:t>A</w:t>
            </w:r>
            <w:r w:rsidR="001B5950" w:rsidRPr="00481594">
              <w:t>merica</w:t>
            </w:r>
          </w:p>
        </w:tc>
        <w:tc>
          <w:tcPr>
            <w:tcW w:w="2070" w:type="dxa"/>
            <w:tcBorders>
              <w:top w:val="single" w:sz="4" w:space="0" w:color="auto"/>
            </w:tcBorders>
          </w:tcPr>
          <w:p w14:paraId="4C6A5264" w14:textId="1096EF62" w:rsidR="00006FAB" w:rsidRPr="00481594" w:rsidRDefault="00881D06" w:rsidP="00006FAB">
            <w:pPr>
              <w:ind w:left="0" w:right="0"/>
            </w:pPr>
            <w:r w:rsidRPr="00481594">
              <w:t>17</w:t>
            </w:r>
            <w:r w:rsidR="00AB2969" w:rsidRPr="00481594">
              <w:t> </w:t>
            </w:r>
            <w:r w:rsidRPr="00481594">
              <w:t>November</w:t>
            </w:r>
            <w:r w:rsidR="00AB2969" w:rsidRPr="00481594">
              <w:t> </w:t>
            </w:r>
            <w:r w:rsidRPr="00481594">
              <w:t>2020</w:t>
            </w:r>
          </w:p>
        </w:tc>
        <w:tc>
          <w:tcPr>
            <w:tcW w:w="1710" w:type="dxa"/>
            <w:tcBorders>
              <w:top w:val="single" w:sz="4" w:space="0" w:color="auto"/>
            </w:tcBorders>
          </w:tcPr>
          <w:p w14:paraId="25E7A8F0" w14:textId="6E99E639" w:rsidR="00006FAB" w:rsidRPr="00481594" w:rsidRDefault="00006FAB" w:rsidP="00006FAB">
            <w:pPr>
              <w:ind w:left="0" w:right="0"/>
            </w:pPr>
            <w:r w:rsidRPr="00481594">
              <w:t xml:space="preserve">Approved on </w:t>
            </w:r>
            <w:r w:rsidR="00881D06" w:rsidRPr="00481594">
              <w:t>16</w:t>
            </w:r>
            <w:r w:rsidR="00AB2969" w:rsidRPr="00481594">
              <w:t> </w:t>
            </w:r>
            <w:r w:rsidR="00881D06" w:rsidRPr="00481594">
              <w:t>July</w:t>
            </w:r>
            <w:r w:rsidR="00AB2969" w:rsidRPr="00481594">
              <w:t> </w:t>
            </w:r>
            <w:r w:rsidR="00881D06" w:rsidRPr="00481594">
              <w:t>2021</w:t>
            </w:r>
          </w:p>
        </w:tc>
        <w:tc>
          <w:tcPr>
            <w:tcW w:w="3510" w:type="dxa"/>
            <w:tcBorders>
              <w:top w:val="single" w:sz="4" w:space="0" w:color="auto"/>
            </w:tcBorders>
          </w:tcPr>
          <w:p w14:paraId="4348B429" w14:textId="29890686" w:rsidR="00006FAB" w:rsidRPr="00481594" w:rsidRDefault="00E24B82" w:rsidP="00E24B82">
            <w:pPr>
              <w:ind w:left="0"/>
              <w:rPr>
                <w:i/>
                <w:iCs/>
              </w:rPr>
            </w:pPr>
            <w:r w:rsidRPr="00481594">
              <w:rPr>
                <w:i/>
                <w:iCs/>
              </w:rPr>
              <w:t>Active immunization for the prevention of invasive pneumococcal disease caused by Streptococcus pneumoniae serotypes (1, 3, 4, 5, 6A, 6B, 7F, 9V, 14, 18C, 19A, 19F, 22F, 23F and 33F) in adults 18 years of age and older.</w:t>
            </w:r>
          </w:p>
        </w:tc>
      </w:tr>
      <w:tr w:rsidR="00E24B82" w:rsidRPr="00481594" w14:paraId="370A7DE2" w14:textId="77777777" w:rsidTr="00AB2969">
        <w:tc>
          <w:tcPr>
            <w:tcW w:w="1525" w:type="dxa"/>
          </w:tcPr>
          <w:p w14:paraId="12269C2B" w14:textId="2E6CEC30" w:rsidR="00006FAB" w:rsidRPr="00481594" w:rsidRDefault="00E24B82" w:rsidP="00006FAB">
            <w:pPr>
              <w:ind w:left="0" w:right="0"/>
            </w:pPr>
            <w:r w:rsidRPr="00481594">
              <w:t>European Union</w:t>
            </w:r>
          </w:p>
        </w:tc>
        <w:tc>
          <w:tcPr>
            <w:tcW w:w="2070" w:type="dxa"/>
          </w:tcPr>
          <w:p w14:paraId="6E41CCF9" w14:textId="0E8CF2E6" w:rsidR="00006FAB" w:rsidRPr="00481594" w:rsidRDefault="00E24B82" w:rsidP="00006FAB">
            <w:pPr>
              <w:ind w:left="0" w:right="0"/>
            </w:pPr>
            <w:r w:rsidRPr="00481594">
              <w:t>18</w:t>
            </w:r>
            <w:r w:rsidR="00AB2969" w:rsidRPr="00481594">
              <w:t> </w:t>
            </w:r>
            <w:r w:rsidRPr="00481594">
              <w:t>November</w:t>
            </w:r>
            <w:r w:rsidR="00AB2969" w:rsidRPr="00481594">
              <w:t> </w:t>
            </w:r>
            <w:r w:rsidRPr="00481594">
              <w:t>2020</w:t>
            </w:r>
          </w:p>
        </w:tc>
        <w:tc>
          <w:tcPr>
            <w:tcW w:w="1710" w:type="dxa"/>
          </w:tcPr>
          <w:p w14:paraId="6D6164DD" w14:textId="3CAC4D5F" w:rsidR="00006FAB" w:rsidRPr="00481594" w:rsidRDefault="00006FAB" w:rsidP="00006FAB">
            <w:pPr>
              <w:ind w:left="0" w:right="0"/>
            </w:pPr>
            <w:r w:rsidRPr="00481594">
              <w:t>Under consideration</w:t>
            </w:r>
          </w:p>
        </w:tc>
        <w:tc>
          <w:tcPr>
            <w:tcW w:w="3510" w:type="dxa"/>
          </w:tcPr>
          <w:p w14:paraId="4C676E97" w14:textId="77777777" w:rsidR="00006FAB" w:rsidRPr="00481594" w:rsidRDefault="00006FAB" w:rsidP="00006FAB">
            <w:pPr>
              <w:ind w:left="0" w:right="0"/>
            </w:pPr>
            <w:r w:rsidRPr="00481594">
              <w:t>Under consideration</w:t>
            </w:r>
          </w:p>
        </w:tc>
      </w:tr>
      <w:tr w:rsidR="00E24B82" w:rsidRPr="00481594" w14:paraId="7388FF23" w14:textId="77777777" w:rsidTr="00AB2969">
        <w:tc>
          <w:tcPr>
            <w:tcW w:w="1525" w:type="dxa"/>
          </w:tcPr>
          <w:p w14:paraId="67359307" w14:textId="1A2CCE89" w:rsidR="00E24B82" w:rsidRPr="00481594" w:rsidRDefault="00E24B82" w:rsidP="00E24B82">
            <w:pPr>
              <w:ind w:left="0"/>
            </w:pPr>
            <w:r w:rsidRPr="00481594">
              <w:t>Canada</w:t>
            </w:r>
          </w:p>
        </w:tc>
        <w:tc>
          <w:tcPr>
            <w:tcW w:w="2070" w:type="dxa"/>
          </w:tcPr>
          <w:p w14:paraId="0D565388" w14:textId="613224BC" w:rsidR="00E24B82" w:rsidRPr="00481594" w:rsidRDefault="00E24B82" w:rsidP="00E24B82">
            <w:pPr>
              <w:ind w:left="0"/>
            </w:pPr>
            <w:r w:rsidRPr="00481594">
              <w:t>4</w:t>
            </w:r>
            <w:r w:rsidR="00AB2969" w:rsidRPr="00481594">
              <w:t> </w:t>
            </w:r>
            <w:r w:rsidRPr="00481594">
              <w:t>December</w:t>
            </w:r>
            <w:r w:rsidR="00AB2969" w:rsidRPr="00481594">
              <w:t> </w:t>
            </w:r>
            <w:r w:rsidRPr="00481594">
              <w:t>2020</w:t>
            </w:r>
          </w:p>
        </w:tc>
        <w:tc>
          <w:tcPr>
            <w:tcW w:w="1710" w:type="dxa"/>
          </w:tcPr>
          <w:p w14:paraId="43CF2FAB" w14:textId="00371479" w:rsidR="00E24B82" w:rsidRPr="00481594" w:rsidRDefault="00E24B82" w:rsidP="00E24B82">
            <w:pPr>
              <w:ind w:left="0"/>
            </w:pPr>
            <w:r w:rsidRPr="00481594">
              <w:t>Under consideration</w:t>
            </w:r>
          </w:p>
        </w:tc>
        <w:tc>
          <w:tcPr>
            <w:tcW w:w="3510" w:type="dxa"/>
          </w:tcPr>
          <w:p w14:paraId="7E6493DA" w14:textId="1183054A" w:rsidR="00E24B82" w:rsidRPr="00481594" w:rsidRDefault="00E24B82" w:rsidP="00E24B82">
            <w:pPr>
              <w:ind w:left="0"/>
            </w:pPr>
            <w:r w:rsidRPr="00481594">
              <w:t>Under consideration</w:t>
            </w:r>
          </w:p>
        </w:tc>
      </w:tr>
      <w:tr w:rsidR="00E24B82" w:rsidRPr="00481594" w14:paraId="2B2D398D" w14:textId="77777777" w:rsidTr="00AB2969">
        <w:tc>
          <w:tcPr>
            <w:tcW w:w="1525" w:type="dxa"/>
          </w:tcPr>
          <w:p w14:paraId="62438A36" w14:textId="42FF7507" w:rsidR="00E24B82" w:rsidRPr="00481594" w:rsidRDefault="00E24B82" w:rsidP="00E24B82">
            <w:pPr>
              <w:ind w:left="0"/>
            </w:pPr>
            <w:r w:rsidRPr="00481594">
              <w:t>United Kingdom</w:t>
            </w:r>
          </w:p>
        </w:tc>
        <w:tc>
          <w:tcPr>
            <w:tcW w:w="2070" w:type="dxa"/>
          </w:tcPr>
          <w:p w14:paraId="541A152E" w14:textId="7A140222" w:rsidR="00E24B82" w:rsidRPr="00481594" w:rsidRDefault="00E24B82" w:rsidP="00E24B82">
            <w:pPr>
              <w:ind w:left="0"/>
            </w:pPr>
            <w:r w:rsidRPr="00481594">
              <w:t>18</w:t>
            </w:r>
            <w:r w:rsidR="00AB2969" w:rsidRPr="00481594">
              <w:t> </w:t>
            </w:r>
            <w:r w:rsidRPr="00481594">
              <w:t>October</w:t>
            </w:r>
            <w:r w:rsidR="00AB2969" w:rsidRPr="00481594">
              <w:t> </w:t>
            </w:r>
            <w:r w:rsidRPr="00481594">
              <w:t>2021</w:t>
            </w:r>
          </w:p>
        </w:tc>
        <w:tc>
          <w:tcPr>
            <w:tcW w:w="1710" w:type="dxa"/>
          </w:tcPr>
          <w:p w14:paraId="07AB5E34" w14:textId="5C191E60" w:rsidR="00E24B82" w:rsidRPr="00481594" w:rsidRDefault="00E24B82" w:rsidP="00E24B82">
            <w:pPr>
              <w:ind w:left="0"/>
            </w:pPr>
            <w:r w:rsidRPr="00481594">
              <w:t>Under consideration</w:t>
            </w:r>
          </w:p>
        </w:tc>
        <w:tc>
          <w:tcPr>
            <w:tcW w:w="3510" w:type="dxa"/>
          </w:tcPr>
          <w:p w14:paraId="5449B839" w14:textId="21B4ACAF" w:rsidR="00E24B82" w:rsidRPr="00481594" w:rsidRDefault="00E24B82" w:rsidP="00E24B82">
            <w:pPr>
              <w:ind w:left="0"/>
            </w:pPr>
            <w:r w:rsidRPr="00481594">
              <w:t>Under consideration</w:t>
            </w:r>
          </w:p>
        </w:tc>
      </w:tr>
      <w:tr w:rsidR="00E24B82" w:rsidRPr="00481594" w14:paraId="27148BE2" w14:textId="77777777" w:rsidTr="00AB2969">
        <w:tc>
          <w:tcPr>
            <w:tcW w:w="1525" w:type="dxa"/>
          </w:tcPr>
          <w:p w14:paraId="50E126F3" w14:textId="5C4B88A2" w:rsidR="00E24B82" w:rsidRPr="00481594" w:rsidRDefault="00E24B82" w:rsidP="00E24B82">
            <w:pPr>
              <w:ind w:left="0"/>
            </w:pPr>
            <w:r w:rsidRPr="00481594">
              <w:t>Japan</w:t>
            </w:r>
          </w:p>
        </w:tc>
        <w:tc>
          <w:tcPr>
            <w:tcW w:w="2070" w:type="dxa"/>
          </w:tcPr>
          <w:p w14:paraId="68A01A22" w14:textId="2F5AFD51" w:rsidR="00E24B82" w:rsidRPr="00481594" w:rsidRDefault="00E24B82" w:rsidP="00E24B82">
            <w:pPr>
              <w:ind w:left="0"/>
            </w:pPr>
            <w:r w:rsidRPr="00481594">
              <w:t>26</w:t>
            </w:r>
            <w:r w:rsidR="00AB2969" w:rsidRPr="00481594">
              <w:t> </w:t>
            </w:r>
            <w:r w:rsidRPr="00481594">
              <w:t>October</w:t>
            </w:r>
            <w:r w:rsidR="00AB2969" w:rsidRPr="00481594">
              <w:t> </w:t>
            </w:r>
            <w:r w:rsidRPr="00481594">
              <w:t>2021</w:t>
            </w:r>
          </w:p>
        </w:tc>
        <w:tc>
          <w:tcPr>
            <w:tcW w:w="1710" w:type="dxa"/>
          </w:tcPr>
          <w:p w14:paraId="61176CBB" w14:textId="2B516B86" w:rsidR="00E24B82" w:rsidRPr="00481594" w:rsidRDefault="00E24B82" w:rsidP="00E24B82">
            <w:pPr>
              <w:ind w:left="0"/>
            </w:pPr>
            <w:r w:rsidRPr="00481594">
              <w:t>Under consideration</w:t>
            </w:r>
          </w:p>
        </w:tc>
        <w:tc>
          <w:tcPr>
            <w:tcW w:w="3510" w:type="dxa"/>
          </w:tcPr>
          <w:p w14:paraId="5AB32EBA" w14:textId="6D96C520" w:rsidR="00E24B82" w:rsidRPr="00481594" w:rsidRDefault="00E24B82" w:rsidP="00E24B82">
            <w:pPr>
              <w:ind w:left="0"/>
            </w:pPr>
            <w:r w:rsidRPr="00481594">
              <w:t>Under consideration</w:t>
            </w:r>
          </w:p>
        </w:tc>
      </w:tr>
    </w:tbl>
    <w:p w14:paraId="288C1794" w14:textId="77777777" w:rsidR="008E7846" w:rsidRPr="00481594" w:rsidRDefault="008E7846" w:rsidP="00940A89">
      <w:pPr>
        <w:pStyle w:val="Heading3"/>
      </w:pPr>
      <w:bookmarkStart w:id="20" w:name="_Toc116652732"/>
      <w:r w:rsidRPr="00481594">
        <w:t>Product Information</w:t>
      </w:r>
      <w:bookmarkEnd w:id="17"/>
      <w:bookmarkEnd w:id="18"/>
      <w:bookmarkEnd w:id="20"/>
    </w:p>
    <w:p w14:paraId="21713F64" w14:textId="042EDD48" w:rsidR="00332715" w:rsidRPr="00481594" w:rsidRDefault="00332715" w:rsidP="00332715">
      <w:bookmarkStart w:id="21" w:name="_Toc504480011"/>
      <w:bookmarkStart w:id="22" w:name="_Toc247691506"/>
      <w:bookmarkStart w:id="23" w:name="_Toc314842487"/>
      <w:r w:rsidRPr="00481594">
        <w:t xml:space="preserve">The Product Information (PI) approved with the submission which is described in this </w:t>
      </w:r>
      <w:proofErr w:type="spellStart"/>
      <w:r w:rsidRPr="00481594">
        <w:t>AusPAR</w:t>
      </w:r>
      <w:proofErr w:type="spellEnd"/>
      <w:r w:rsidRPr="00481594">
        <w:t xml:space="preserve"> can be found as Attachment 1. For the most recent PI, please refer to the TGA </w:t>
      </w:r>
      <w:hyperlink r:id="rId18" w:history="1">
        <w:r w:rsidRPr="00481594">
          <w:rPr>
            <w:rStyle w:val="Hyperlink"/>
          </w:rPr>
          <w:t>PI/CMI search facility</w:t>
        </w:r>
        <w:r w:rsidRPr="00481594">
          <w:rPr>
            <w:rStyle w:val="Hyperlink"/>
            <w:color w:val="auto"/>
            <w:u w:val="none"/>
          </w:rPr>
          <w:t>.</w:t>
        </w:r>
      </w:hyperlink>
    </w:p>
    <w:p w14:paraId="7105FEF5" w14:textId="77777777" w:rsidR="00500337" w:rsidRPr="00481594" w:rsidRDefault="00500337" w:rsidP="00500337">
      <w:pPr>
        <w:pStyle w:val="Heading2"/>
      </w:pPr>
      <w:bookmarkStart w:id="24" w:name="_Toc116652733"/>
      <w:r w:rsidRPr="00481594">
        <w:t>Registration timeline</w:t>
      </w:r>
      <w:bookmarkEnd w:id="21"/>
      <w:bookmarkEnd w:id="24"/>
    </w:p>
    <w:p w14:paraId="0E130155" w14:textId="77777777" w:rsidR="0074163C" w:rsidRPr="00481594" w:rsidRDefault="0074163C" w:rsidP="0074163C">
      <w:r w:rsidRPr="00481594">
        <w:t xml:space="preserve">The following table captures the key steps and dates for this </w:t>
      </w:r>
      <w:r w:rsidR="00804D99" w:rsidRPr="00481594">
        <w:t>submission</w:t>
      </w:r>
      <w:r w:rsidRPr="00481594">
        <w:t>.</w:t>
      </w:r>
    </w:p>
    <w:p w14:paraId="6DFC3FAA" w14:textId="0782413D" w:rsidR="0074163C" w:rsidRPr="00481594" w:rsidRDefault="0074163C" w:rsidP="003F5A97">
      <w:pPr>
        <w:pStyle w:val="TableTitle"/>
      </w:pPr>
      <w:r w:rsidRPr="00481594">
        <w:t xml:space="preserve">Table </w:t>
      </w:r>
      <w:r w:rsidRPr="00481594">
        <w:fldChar w:fldCharType="begin"/>
      </w:r>
      <w:r w:rsidRPr="00481594">
        <w:instrText>SEQ Table \* ARABIC</w:instrText>
      </w:r>
      <w:r w:rsidRPr="00481594">
        <w:fldChar w:fldCharType="separate"/>
      </w:r>
      <w:r w:rsidR="00190330">
        <w:rPr>
          <w:noProof/>
        </w:rPr>
        <w:t>2</w:t>
      </w:r>
      <w:r w:rsidRPr="00481594">
        <w:fldChar w:fldCharType="end"/>
      </w:r>
      <w:r w:rsidRPr="00481594">
        <w:t xml:space="preserve">: Timeline for Submission </w:t>
      </w:r>
      <w:r w:rsidR="00E24B82" w:rsidRPr="00481594">
        <w:t>PM-2020-06364-1-2</w:t>
      </w:r>
    </w:p>
    <w:tbl>
      <w:tblPr>
        <w:tblStyle w:val="TableTGAblue"/>
        <w:tblW w:w="0" w:type="auto"/>
        <w:tblLook w:val="04A0" w:firstRow="1" w:lastRow="0" w:firstColumn="1" w:lastColumn="0" w:noHBand="0" w:noVBand="1"/>
      </w:tblPr>
      <w:tblGrid>
        <w:gridCol w:w="4265"/>
        <w:gridCol w:w="4229"/>
      </w:tblGrid>
      <w:tr w:rsidR="0074163C" w:rsidRPr="00481594" w14:paraId="0068E8D8" w14:textId="77777777" w:rsidTr="00D01E21">
        <w:trPr>
          <w:cnfStyle w:val="100000000000" w:firstRow="1" w:lastRow="0" w:firstColumn="0" w:lastColumn="0" w:oddVBand="0" w:evenVBand="0" w:oddHBand="0" w:evenHBand="0" w:firstRowFirstColumn="0" w:firstRowLastColumn="0" w:lastRowFirstColumn="0" w:lastRowLastColumn="0"/>
        </w:trPr>
        <w:tc>
          <w:tcPr>
            <w:tcW w:w="4265" w:type="dxa"/>
            <w:tcBorders>
              <w:top w:val="single" w:sz="4" w:space="0" w:color="auto"/>
              <w:left w:val="single" w:sz="4" w:space="0" w:color="auto"/>
              <w:bottom w:val="single" w:sz="4" w:space="0" w:color="auto"/>
              <w:right w:val="single" w:sz="4" w:space="0" w:color="auto"/>
            </w:tcBorders>
          </w:tcPr>
          <w:p w14:paraId="4433A0CE" w14:textId="77777777" w:rsidR="0074163C" w:rsidRPr="00481594" w:rsidRDefault="0074163C" w:rsidP="009E5A87">
            <w:r w:rsidRPr="00481594">
              <w:t>Description</w:t>
            </w:r>
          </w:p>
        </w:tc>
        <w:tc>
          <w:tcPr>
            <w:tcW w:w="4229" w:type="dxa"/>
            <w:tcBorders>
              <w:top w:val="single" w:sz="4" w:space="0" w:color="auto"/>
              <w:left w:val="single" w:sz="4" w:space="0" w:color="auto"/>
              <w:bottom w:val="single" w:sz="4" w:space="0" w:color="auto"/>
              <w:right w:val="single" w:sz="4" w:space="0" w:color="auto"/>
            </w:tcBorders>
          </w:tcPr>
          <w:p w14:paraId="0BACD4B5" w14:textId="77777777" w:rsidR="0074163C" w:rsidRPr="00481594" w:rsidRDefault="0074163C" w:rsidP="009E5A87">
            <w:r w:rsidRPr="00481594">
              <w:t>Date</w:t>
            </w:r>
          </w:p>
        </w:tc>
      </w:tr>
      <w:tr w:rsidR="00D01E21" w:rsidRPr="00481594" w14:paraId="710E35C9" w14:textId="77777777" w:rsidTr="00D01E21">
        <w:tc>
          <w:tcPr>
            <w:tcW w:w="4265" w:type="dxa"/>
            <w:tcBorders>
              <w:top w:val="single" w:sz="4" w:space="0" w:color="auto"/>
            </w:tcBorders>
          </w:tcPr>
          <w:p w14:paraId="53B945B7" w14:textId="77777777" w:rsidR="00D01E21" w:rsidRPr="00481594" w:rsidRDefault="00D01E21" w:rsidP="00D01E21">
            <w:r w:rsidRPr="00481594">
              <w:t>Submission dossier accepted and first round evaluation commenced</w:t>
            </w:r>
          </w:p>
        </w:tc>
        <w:tc>
          <w:tcPr>
            <w:tcW w:w="4229" w:type="dxa"/>
            <w:tcBorders>
              <w:top w:val="single" w:sz="4" w:space="0" w:color="auto"/>
            </w:tcBorders>
          </w:tcPr>
          <w:p w14:paraId="05B44D82" w14:textId="2426B2E3" w:rsidR="00D01E21" w:rsidRPr="00481594" w:rsidRDefault="00D01E21" w:rsidP="00D01E21">
            <w:r w:rsidRPr="00481594">
              <w:rPr>
                <w:color w:val="auto"/>
              </w:rPr>
              <w:t>1 February 2021</w:t>
            </w:r>
          </w:p>
        </w:tc>
      </w:tr>
      <w:tr w:rsidR="00D01E21" w:rsidRPr="00481594" w14:paraId="2FE547FA" w14:textId="77777777" w:rsidTr="00D01E21">
        <w:tc>
          <w:tcPr>
            <w:tcW w:w="4265" w:type="dxa"/>
          </w:tcPr>
          <w:p w14:paraId="49325DC0" w14:textId="77777777" w:rsidR="00D01E21" w:rsidRPr="00481594" w:rsidRDefault="00D01E21" w:rsidP="00D01E21">
            <w:r w:rsidRPr="00481594">
              <w:t>First round evaluation completed</w:t>
            </w:r>
          </w:p>
        </w:tc>
        <w:tc>
          <w:tcPr>
            <w:tcW w:w="4229" w:type="dxa"/>
          </w:tcPr>
          <w:p w14:paraId="2C4360CC" w14:textId="7BA97EC9" w:rsidR="00D01E21" w:rsidRPr="00481594" w:rsidRDefault="00D01E21" w:rsidP="00D01E21">
            <w:r w:rsidRPr="00481594">
              <w:rPr>
                <w:color w:val="auto"/>
              </w:rPr>
              <w:t>5 July 2021</w:t>
            </w:r>
          </w:p>
        </w:tc>
      </w:tr>
      <w:tr w:rsidR="00D01E21" w:rsidRPr="00481594" w14:paraId="3779F49A" w14:textId="77777777" w:rsidTr="00D01E21">
        <w:tc>
          <w:tcPr>
            <w:tcW w:w="4265" w:type="dxa"/>
          </w:tcPr>
          <w:p w14:paraId="0A0721CF" w14:textId="77777777" w:rsidR="00D01E21" w:rsidRPr="00481594" w:rsidRDefault="00D01E21" w:rsidP="00D01E21">
            <w:r w:rsidRPr="00481594">
              <w:t>Sponsor provides responses on questions raised in first round evaluation</w:t>
            </w:r>
          </w:p>
        </w:tc>
        <w:tc>
          <w:tcPr>
            <w:tcW w:w="4229" w:type="dxa"/>
          </w:tcPr>
          <w:p w14:paraId="4EA8A976" w14:textId="3071DA6F" w:rsidR="00D01E21" w:rsidRPr="00481594" w:rsidRDefault="00D01E21" w:rsidP="00D01E21">
            <w:r w:rsidRPr="00481594">
              <w:rPr>
                <w:color w:val="auto"/>
              </w:rPr>
              <w:t>30 August 2021</w:t>
            </w:r>
          </w:p>
        </w:tc>
      </w:tr>
      <w:tr w:rsidR="00D01E21" w:rsidRPr="00481594" w14:paraId="44E01ACA" w14:textId="77777777" w:rsidTr="00D01E21">
        <w:tc>
          <w:tcPr>
            <w:tcW w:w="4265" w:type="dxa"/>
          </w:tcPr>
          <w:p w14:paraId="5CA97E87" w14:textId="77777777" w:rsidR="00D01E21" w:rsidRPr="00481594" w:rsidRDefault="00D01E21" w:rsidP="00D01E21">
            <w:r w:rsidRPr="00481594">
              <w:t>Second round evaluation completed</w:t>
            </w:r>
          </w:p>
        </w:tc>
        <w:tc>
          <w:tcPr>
            <w:tcW w:w="4229" w:type="dxa"/>
          </w:tcPr>
          <w:p w14:paraId="6D67DEED" w14:textId="1AD5A014" w:rsidR="00D01E21" w:rsidRPr="00481594" w:rsidRDefault="00D01E21" w:rsidP="00D01E21">
            <w:r w:rsidRPr="00481594">
              <w:rPr>
                <w:color w:val="auto"/>
              </w:rPr>
              <w:t>7 October 2021</w:t>
            </w:r>
          </w:p>
        </w:tc>
      </w:tr>
      <w:tr w:rsidR="00D01E21" w:rsidRPr="00481594" w14:paraId="1E5C5D22" w14:textId="77777777" w:rsidTr="00D01E21">
        <w:tc>
          <w:tcPr>
            <w:tcW w:w="4265" w:type="dxa"/>
          </w:tcPr>
          <w:p w14:paraId="6470986A" w14:textId="5014724C" w:rsidR="00D01E21" w:rsidRPr="00481594" w:rsidRDefault="00D01E21" w:rsidP="00D01E21">
            <w:r w:rsidRPr="00481594">
              <w:lastRenderedPageBreak/>
              <w:t>Delegate’s Overall benefit-risk assessment and request for Advisory Committee advice</w:t>
            </w:r>
          </w:p>
        </w:tc>
        <w:tc>
          <w:tcPr>
            <w:tcW w:w="4229" w:type="dxa"/>
          </w:tcPr>
          <w:p w14:paraId="4E93FCF7" w14:textId="70DFDF91" w:rsidR="00D01E21" w:rsidRPr="00481594" w:rsidRDefault="000E21E5" w:rsidP="00D01E21">
            <w:r w:rsidRPr="00481594">
              <w:rPr>
                <w:color w:val="auto"/>
              </w:rPr>
              <w:t>1 November 2021</w:t>
            </w:r>
          </w:p>
        </w:tc>
      </w:tr>
      <w:tr w:rsidR="00D01E21" w:rsidRPr="00481594" w14:paraId="584F59CB" w14:textId="77777777" w:rsidTr="00D01E21">
        <w:tc>
          <w:tcPr>
            <w:tcW w:w="4265" w:type="dxa"/>
          </w:tcPr>
          <w:p w14:paraId="586DAD2E" w14:textId="77777777" w:rsidR="00D01E21" w:rsidRPr="00481594" w:rsidRDefault="00D01E21" w:rsidP="00D01E21">
            <w:r w:rsidRPr="00481594">
              <w:t>Sponsor’s pre-Advisory Committee response</w:t>
            </w:r>
          </w:p>
        </w:tc>
        <w:tc>
          <w:tcPr>
            <w:tcW w:w="4229" w:type="dxa"/>
          </w:tcPr>
          <w:p w14:paraId="029990A9" w14:textId="70CF8A67" w:rsidR="00D01E21" w:rsidRPr="00481594" w:rsidRDefault="00D01E21" w:rsidP="00D01E21">
            <w:r w:rsidRPr="00481594">
              <w:rPr>
                <w:color w:val="auto"/>
              </w:rPr>
              <w:t>16 November 2021</w:t>
            </w:r>
          </w:p>
        </w:tc>
      </w:tr>
      <w:tr w:rsidR="00D01E21" w:rsidRPr="00481594" w14:paraId="1D77D63D" w14:textId="77777777" w:rsidTr="00D01E21">
        <w:tc>
          <w:tcPr>
            <w:tcW w:w="4265" w:type="dxa"/>
          </w:tcPr>
          <w:p w14:paraId="773495A4" w14:textId="77777777" w:rsidR="00D01E21" w:rsidRPr="00481594" w:rsidRDefault="00D01E21" w:rsidP="00D01E21">
            <w:r w:rsidRPr="00481594">
              <w:t>Advisory Committee meeting</w:t>
            </w:r>
          </w:p>
        </w:tc>
        <w:tc>
          <w:tcPr>
            <w:tcW w:w="4229" w:type="dxa"/>
          </w:tcPr>
          <w:p w14:paraId="375D9DB4" w14:textId="64FD8C4C" w:rsidR="00D01E21" w:rsidRPr="00481594" w:rsidRDefault="00D01E21" w:rsidP="00D01E21">
            <w:r w:rsidRPr="00481594">
              <w:rPr>
                <w:color w:val="auto"/>
              </w:rPr>
              <w:t>1 December 2021</w:t>
            </w:r>
          </w:p>
        </w:tc>
      </w:tr>
      <w:tr w:rsidR="00D01E21" w:rsidRPr="00481594" w14:paraId="4E5A9088" w14:textId="77777777" w:rsidTr="00D01E21">
        <w:tc>
          <w:tcPr>
            <w:tcW w:w="4265" w:type="dxa"/>
          </w:tcPr>
          <w:p w14:paraId="19629F74" w14:textId="77777777" w:rsidR="00D01E21" w:rsidRPr="00481594" w:rsidRDefault="00D01E21" w:rsidP="00D01E21">
            <w:r w:rsidRPr="00481594">
              <w:t>Registration decision (Outcome)</w:t>
            </w:r>
          </w:p>
        </w:tc>
        <w:tc>
          <w:tcPr>
            <w:tcW w:w="4229" w:type="dxa"/>
          </w:tcPr>
          <w:p w14:paraId="778BEEF1" w14:textId="6DFC3B9D" w:rsidR="00D01E21" w:rsidRPr="00481594" w:rsidRDefault="00D01E21" w:rsidP="00D01E21">
            <w:r w:rsidRPr="00481594">
              <w:rPr>
                <w:color w:val="auto"/>
              </w:rPr>
              <w:t>12 January 2022</w:t>
            </w:r>
          </w:p>
        </w:tc>
      </w:tr>
      <w:tr w:rsidR="00D01E21" w:rsidRPr="00481594" w14:paraId="67A26DA6" w14:textId="77777777" w:rsidTr="00D01E21">
        <w:tc>
          <w:tcPr>
            <w:tcW w:w="4265" w:type="dxa"/>
          </w:tcPr>
          <w:p w14:paraId="03678A5A" w14:textId="77777777" w:rsidR="00D01E21" w:rsidRPr="00481594" w:rsidRDefault="00D01E21" w:rsidP="00D01E21">
            <w:r w:rsidRPr="00481594">
              <w:t>Completion of administrative activities and registration on the ARTG</w:t>
            </w:r>
          </w:p>
        </w:tc>
        <w:tc>
          <w:tcPr>
            <w:tcW w:w="4229" w:type="dxa"/>
          </w:tcPr>
          <w:p w14:paraId="3633431D" w14:textId="0087E77B" w:rsidR="00D01E21" w:rsidRPr="00481594" w:rsidRDefault="00D01E21" w:rsidP="00D01E21">
            <w:r w:rsidRPr="00481594">
              <w:rPr>
                <w:color w:val="auto"/>
              </w:rPr>
              <w:t>17 January 2022</w:t>
            </w:r>
          </w:p>
        </w:tc>
      </w:tr>
      <w:tr w:rsidR="00D01E21" w:rsidRPr="00481594" w14:paraId="4D80FF73" w14:textId="77777777" w:rsidTr="00D01E21">
        <w:tc>
          <w:tcPr>
            <w:tcW w:w="4265" w:type="dxa"/>
          </w:tcPr>
          <w:p w14:paraId="5D556965" w14:textId="77777777" w:rsidR="00D01E21" w:rsidRPr="00481594" w:rsidRDefault="00D01E21" w:rsidP="00D01E21">
            <w:r w:rsidRPr="00481594">
              <w:t>Number of working days from submission dossier acceptance to registration decision*</w:t>
            </w:r>
          </w:p>
        </w:tc>
        <w:tc>
          <w:tcPr>
            <w:tcW w:w="4229" w:type="dxa"/>
          </w:tcPr>
          <w:p w14:paraId="30B93DB4" w14:textId="78C80D75" w:rsidR="00D01E21" w:rsidRPr="00481594" w:rsidRDefault="00D01E21" w:rsidP="00D01E21">
            <w:r w:rsidRPr="00481594">
              <w:rPr>
                <w:color w:val="auto"/>
              </w:rPr>
              <w:t>194</w:t>
            </w:r>
          </w:p>
        </w:tc>
      </w:tr>
    </w:tbl>
    <w:p w14:paraId="1546CDAF" w14:textId="6D6F30B1" w:rsidR="0074163C" w:rsidRPr="00481594" w:rsidRDefault="0074163C" w:rsidP="0074163C">
      <w:pPr>
        <w:pStyle w:val="TableDescription"/>
      </w:pPr>
      <w:r w:rsidRPr="00481594">
        <w:t xml:space="preserve">*Statutory timeframe for standard </w:t>
      </w:r>
      <w:r w:rsidR="00BB0B78" w:rsidRPr="00481594">
        <w:t>submission</w:t>
      </w:r>
      <w:r w:rsidRPr="00481594">
        <w:t>s is 255 working days</w:t>
      </w:r>
    </w:p>
    <w:p w14:paraId="584D71AA" w14:textId="77777777" w:rsidR="008E7846" w:rsidRPr="00481594" w:rsidRDefault="00006FAB" w:rsidP="008E7846">
      <w:pPr>
        <w:pStyle w:val="Heading2"/>
      </w:pPr>
      <w:bookmarkStart w:id="25" w:name="_Toc196046504"/>
      <w:bookmarkStart w:id="26" w:name="_Toc247691527"/>
      <w:bookmarkStart w:id="27" w:name="_Toc314842510"/>
      <w:bookmarkStart w:id="28" w:name="_Toc116652734"/>
      <w:bookmarkStart w:id="29" w:name="_Toc163441390"/>
      <w:bookmarkEnd w:id="1"/>
      <w:bookmarkEnd w:id="22"/>
      <w:bookmarkEnd w:id="23"/>
      <w:r w:rsidRPr="00481594">
        <w:t xml:space="preserve">Submission overview </w:t>
      </w:r>
      <w:r w:rsidR="008E7846" w:rsidRPr="00481594">
        <w:t>and risk/benefit assessment</w:t>
      </w:r>
      <w:bookmarkEnd w:id="25"/>
      <w:bookmarkEnd w:id="26"/>
      <w:bookmarkEnd w:id="27"/>
      <w:bookmarkEnd w:id="28"/>
    </w:p>
    <w:p w14:paraId="2E0E5E5A" w14:textId="407E21E5" w:rsidR="005A79F5" w:rsidRPr="00481594" w:rsidRDefault="005A79F5" w:rsidP="0074163C">
      <w:pPr>
        <w:pStyle w:val="Instructions"/>
        <w:rPr>
          <w:i w:val="0"/>
          <w:color w:val="auto"/>
        </w:rPr>
      </w:pPr>
      <w:bookmarkStart w:id="30" w:name="_Toc247691528"/>
      <w:bookmarkStart w:id="31" w:name="_Toc314842511"/>
      <w:r w:rsidRPr="00481594">
        <w:rPr>
          <w:i w:val="0"/>
          <w:color w:val="auto"/>
        </w:rPr>
        <w:t>A summary of the TGA’s assessment for this submission is provided below.</w:t>
      </w:r>
    </w:p>
    <w:p w14:paraId="599EC79B" w14:textId="77777777" w:rsidR="00E24B82" w:rsidRPr="00481594" w:rsidRDefault="00E24B82" w:rsidP="00E24B82">
      <w:r w:rsidRPr="00481594">
        <w:t>The following guideline was referred to by the Delegate as being relevant to this submission:</w:t>
      </w:r>
    </w:p>
    <w:p w14:paraId="41E7185F" w14:textId="0FC54F6A" w:rsidR="00E24B82" w:rsidRPr="00481594" w:rsidRDefault="00E24B82" w:rsidP="00E24B82">
      <w:pPr>
        <w:pStyle w:val="ListBullet"/>
      </w:pPr>
      <w:r w:rsidRPr="00481594">
        <w:t>European Medicines Evaluation Agency (EMEA), Committee for Medicinal Products for Human Use (CHMP), Guideline on Clinical Evaluation of New Vaccines, EMEA/CHMP/VWP/164653/2005, 18 October 2006.</w:t>
      </w:r>
    </w:p>
    <w:p w14:paraId="193AC482" w14:textId="77777777" w:rsidR="008E7846" w:rsidRPr="00481594" w:rsidRDefault="008E7846" w:rsidP="008E7846">
      <w:pPr>
        <w:pStyle w:val="Heading3"/>
      </w:pPr>
      <w:bookmarkStart w:id="32" w:name="_Toc116652735"/>
      <w:r w:rsidRPr="00481594">
        <w:t>Quality</w:t>
      </w:r>
      <w:bookmarkEnd w:id="30"/>
      <w:bookmarkEnd w:id="31"/>
      <w:bookmarkEnd w:id="32"/>
    </w:p>
    <w:p w14:paraId="73C8F7E2" w14:textId="0B0C0002" w:rsidR="003600EC" w:rsidRPr="00481594" w:rsidRDefault="003600EC" w:rsidP="003600EC">
      <w:bookmarkStart w:id="33" w:name="_Hlk85032021"/>
      <w:r w:rsidRPr="00481594">
        <w:t xml:space="preserve">The </w:t>
      </w:r>
      <w:r w:rsidR="00C879EB" w:rsidRPr="00481594">
        <w:t xml:space="preserve">drug substance </w:t>
      </w:r>
      <w:r w:rsidRPr="00481594">
        <w:t xml:space="preserve">polysaccharides in </w:t>
      </w:r>
      <w:proofErr w:type="spellStart"/>
      <w:r w:rsidR="00C879EB" w:rsidRPr="00481594">
        <w:t>Vaxneuvance</w:t>
      </w:r>
      <w:proofErr w:type="spellEnd"/>
      <w:r w:rsidRPr="00481594">
        <w:t xml:space="preserve"> comprise</w:t>
      </w:r>
      <w:r w:rsidR="00176B41" w:rsidRPr="00481594">
        <w:t>s</w:t>
      </w:r>
      <w:r w:rsidRPr="00481594">
        <w:t xml:space="preserve"> of purified pneumococcal polysaccharide from 15 serotypes of </w:t>
      </w:r>
      <w:r w:rsidRPr="00481594">
        <w:rPr>
          <w:i/>
          <w:iCs/>
        </w:rPr>
        <w:t>Streptococcus pneumoniae</w:t>
      </w:r>
      <w:r w:rsidRPr="00481594">
        <w:t>. The 15 structurally distinctive pneumococcal polysaccharides are conjugated to the CRM</w:t>
      </w:r>
      <w:r w:rsidRPr="00481594">
        <w:rPr>
          <w:vertAlign w:val="subscript"/>
        </w:rPr>
        <w:t>197</w:t>
      </w:r>
      <w:r w:rsidRPr="00481594">
        <w:t xml:space="preserve"> carrier protein to create 15 distinct serotype</w:t>
      </w:r>
      <w:r w:rsidR="00176B41" w:rsidRPr="00481594">
        <w:t xml:space="preserve"> </w:t>
      </w:r>
      <w:r w:rsidRPr="00481594">
        <w:t>specific drug substance monovalent bulk conjugates. The monovalent bulk conjugates are formulated with aluminium phosphate adjuvant and excipients to form the drug product</w:t>
      </w:r>
      <w:r w:rsidR="005661CA" w:rsidRPr="00481594">
        <w:t>.</w:t>
      </w:r>
    </w:p>
    <w:bookmarkEnd w:id="33"/>
    <w:p w14:paraId="785320A2" w14:textId="7E2DD70C" w:rsidR="004C11E2" w:rsidRPr="00481594" w:rsidRDefault="004C11E2" w:rsidP="003600EC">
      <w:r w:rsidRPr="00481594">
        <w:t xml:space="preserve">The physicochemical and biological properties of </w:t>
      </w:r>
      <w:proofErr w:type="spellStart"/>
      <w:r w:rsidR="003600EC" w:rsidRPr="00481594">
        <w:t>Vaxneuvance</w:t>
      </w:r>
      <w:proofErr w:type="spellEnd"/>
      <w:r w:rsidR="003600EC" w:rsidRPr="00481594">
        <w:t xml:space="preserve"> drug product </w:t>
      </w:r>
      <w:r w:rsidRPr="00481594">
        <w:t xml:space="preserve">relevant to the safety, clinical performance and manufacturability of the </w:t>
      </w:r>
      <w:r w:rsidR="003600EC" w:rsidRPr="00481594">
        <w:t xml:space="preserve">drug product </w:t>
      </w:r>
      <w:r w:rsidRPr="00481594">
        <w:t xml:space="preserve">were identified and appropriately characterised or controlled in accordance </w:t>
      </w:r>
      <w:r w:rsidR="00626CC0" w:rsidRPr="00481594">
        <w:t>with</w:t>
      </w:r>
      <w:r w:rsidRPr="00481594">
        <w:t xml:space="preserve"> </w:t>
      </w:r>
      <w:r w:rsidR="00495D46" w:rsidRPr="00481594">
        <w:t>International Council for Harmonisation (</w:t>
      </w:r>
      <w:r w:rsidRPr="00481594">
        <w:t>ICH</w:t>
      </w:r>
      <w:r w:rsidR="00495D46" w:rsidRPr="00481594">
        <w:t>)</w:t>
      </w:r>
      <w:r w:rsidR="00495D46" w:rsidRPr="00481594">
        <w:rPr>
          <w:rStyle w:val="FootnoteReference"/>
        </w:rPr>
        <w:footnoteReference w:id="7"/>
      </w:r>
      <w:r w:rsidRPr="00481594">
        <w:t xml:space="preserve"> guidelines,</w:t>
      </w:r>
      <w:r w:rsidR="003600EC" w:rsidRPr="00481594">
        <w:rPr>
          <w:vertAlign w:val="superscript"/>
        </w:rPr>
        <w:footnoteReference w:id="8"/>
      </w:r>
      <w:r w:rsidRPr="00481594">
        <w:t xml:space="preserve"> which is acceptable.</w:t>
      </w:r>
    </w:p>
    <w:p w14:paraId="2A3258BE" w14:textId="60E8B5A1" w:rsidR="004C11E2" w:rsidRPr="00481594" w:rsidRDefault="004C11E2" w:rsidP="003600EC">
      <w:r w:rsidRPr="00481594">
        <w:lastRenderedPageBreak/>
        <w:t xml:space="preserve">The final product consists of the </w:t>
      </w:r>
      <w:r w:rsidR="003600EC" w:rsidRPr="00481594">
        <w:t xml:space="preserve">drug product </w:t>
      </w:r>
      <w:r w:rsidRPr="00481594">
        <w:t>aseptically filled into a 1.5 mL glass syringe barrel assembly and closed with a plunger stopper and final device assembly includes the addition of the plunger rod to the filled and stoppered syringe container.</w:t>
      </w:r>
    </w:p>
    <w:p w14:paraId="6AA456F7" w14:textId="72F6405A" w:rsidR="004C11E2" w:rsidRPr="00481594" w:rsidRDefault="004C11E2" w:rsidP="003600EC">
      <w:r w:rsidRPr="00481594">
        <w:t xml:space="preserve">Based upon stability data submitted by the </w:t>
      </w:r>
      <w:r w:rsidR="005661CA" w:rsidRPr="00481594">
        <w:t>s</w:t>
      </w:r>
      <w:r w:rsidRPr="00481594">
        <w:t>ponsor, the recommended shelf life</w:t>
      </w:r>
      <w:r w:rsidR="005661CA" w:rsidRPr="00481594">
        <w:t xml:space="preserve"> is 18</w:t>
      </w:r>
      <w:r w:rsidR="00BB0DB3" w:rsidRPr="00481594">
        <w:t> </w:t>
      </w:r>
      <w:r w:rsidR="005661CA" w:rsidRPr="00481594">
        <w:t>months</w:t>
      </w:r>
      <w:r w:rsidRPr="00481594">
        <w:t xml:space="preserve"> and storage conditions</w:t>
      </w:r>
      <w:r w:rsidR="005661CA" w:rsidRPr="00481594">
        <w:t xml:space="preserve"> </w:t>
      </w:r>
      <w:r w:rsidR="00A90707" w:rsidRPr="00481594">
        <w:t>are</w:t>
      </w:r>
      <w:r w:rsidR="005661CA" w:rsidRPr="00481594">
        <w:t xml:space="preserve"> </w:t>
      </w:r>
      <w:r w:rsidRPr="00481594">
        <w:t>2 to 8°C</w:t>
      </w:r>
      <w:r w:rsidR="005661CA" w:rsidRPr="00481594">
        <w:t>.</w:t>
      </w:r>
    </w:p>
    <w:p w14:paraId="3EDD5A45" w14:textId="6E8E7B6F" w:rsidR="00F54546" w:rsidRPr="00481594" w:rsidRDefault="00F54546" w:rsidP="00F54546">
      <w:r w:rsidRPr="00481594">
        <w:t xml:space="preserve">There are no issues identified from the </w:t>
      </w:r>
      <w:r w:rsidR="005661CA" w:rsidRPr="00481594">
        <w:t>quality evaluat</w:t>
      </w:r>
      <w:r w:rsidRPr="00481594">
        <w:t xml:space="preserve">ion of the submitted data in support of the registration of </w:t>
      </w:r>
      <w:proofErr w:type="spellStart"/>
      <w:r w:rsidRPr="00481594">
        <w:t>Vaxneuvance</w:t>
      </w:r>
      <w:proofErr w:type="spellEnd"/>
      <w:r w:rsidRPr="00481594">
        <w:t xml:space="preserve"> vaccine that would indicate the product should not be registered </w:t>
      </w:r>
      <w:proofErr w:type="gramStart"/>
      <w:r w:rsidRPr="00481594">
        <w:t>on the basis of</w:t>
      </w:r>
      <w:proofErr w:type="gramEnd"/>
      <w:r w:rsidRPr="00481594">
        <w:t xml:space="preserve"> quality, or safety</w:t>
      </w:r>
      <w:r w:rsidR="00BB0DB3" w:rsidRPr="00481594">
        <w:t xml:space="preserve"> </w:t>
      </w:r>
      <w:r w:rsidRPr="00481594">
        <w:t>related issues arising from the quality of the product.</w:t>
      </w:r>
    </w:p>
    <w:p w14:paraId="4CDCD651" w14:textId="77777777" w:rsidR="00F54546" w:rsidRPr="00481594" w:rsidRDefault="00F54546" w:rsidP="00F54546">
      <w:r w:rsidRPr="00481594">
        <w:t xml:space="preserve">However, it should be noted that there are some issues that need to be fully resolved before it is possible to provide assurances that the product is able to meet </w:t>
      </w:r>
      <w:proofErr w:type="gramStart"/>
      <w:r w:rsidRPr="00481594">
        <w:t>all of</w:t>
      </w:r>
      <w:proofErr w:type="gramEnd"/>
      <w:r w:rsidRPr="00481594">
        <w:t xml:space="preserve"> the requirements of the </w:t>
      </w:r>
      <w:r w:rsidRPr="00481594">
        <w:rPr>
          <w:i/>
          <w:iCs/>
        </w:rPr>
        <w:t>Therapeutics Goods Act 1989</w:t>
      </w:r>
      <w:r w:rsidRPr="00481594">
        <w:t xml:space="preserve"> and its associated instruments.</w:t>
      </w:r>
    </w:p>
    <w:p w14:paraId="60CA39DA" w14:textId="1AAE63E9" w:rsidR="00F54546" w:rsidRPr="00481594" w:rsidRDefault="00F54546" w:rsidP="003600EC">
      <w:pPr>
        <w:pStyle w:val="Heading4"/>
        <w:rPr>
          <w:rStyle w:val="Heading4Char"/>
          <w:b/>
          <w:bCs/>
        </w:rPr>
      </w:pPr>
      <w:r w:rsidRPr="00481594">
        <w:t>Quality related proposed conditions of registration</w:t>
      </w:r>
      <w:bookmarkStart w:id="34" w:name="_Toc86216766"/>
    </w:p>
    <w:p w14:paraId="4F16C5AE" w14:textId="5810AC1D" w:rsidR="00F54546" w:rsidRPr="00481594" w:rsidRDefault="00F54546" w:rsidP="00F54546">
      <w:pPr>
        <w:pStyle w:val="ListBullet"/>
      </w:pPr>
      <w:r w:rsidRPr="00481594">
        <w:t xml:space="preserve">Batch </w:t>
      </w:r>
      <w:r w:rsidR="00BB0DB3" w:rsidRPr="00481594">
        <w:t>release testing and compliance</w:t>
      </w:r>
      <w:bookmarkEnd w:id="34"/>
    </w:p>
    <w:p w14:paraId="37AA7F66" w14:textId="29211485" w:rsidR="00F54546" w:rsidRPr="00481594" w:rsidRDefault="00F54546" w:rsidP="00F54546">
      <w:pPr>
        <w:pStyle w:val="ListBullet"/>
        <w:numPr>
          <w:ilvl w:val="0"/>
          <w:numId w:val="0"/>
        </w:numPr>
        <w:ind w:left="360"/>
      </w:pPr>
      <w:r w:rsidRPr="00481594">
        <w:t xml:space="preserve">It is a condition of registration that all independent batches of </w:t>
      </w:r>
      <w:proofErr w:type="spellStart"/>
      <w:r w:rsidR="00C879EB" w:rsidRPr="00481594">
        <w:t>Vaxneuvance</w:t>
      </w:r>
      <w:proofErr w:type="spellEnd"/>
      <w:r w:rsidRPr="00481594">
        <w:t xml:space="preserve"> vaccine imported into Australia are not released for sale until samples and the manufacturer’s release data have been assessed and you have received notification acknowledging release from the Laboratories Branch, TGA.</w:t>
      </w:r>
    </w:p>
    <w:p w14:paraId="22E64812" w14:textId="4677836F" w:rsidR="00F54546" w:rsidRPr="00481594" w:rsidRDefault="00F54546" w:rsidP="00F54546">
      <w:pPr>
        <w:pStyle w:val="ListBullet"/>
        <w:numPr>
          <w:ilvl w:val="0"/>
          <w:numId w:val="0"/>
        </w:numPr>
        <w:ind w:left="360"/>
      </w:pPr>
      <w:r w:rsidRPr="00481594">
        <w:t xml:space="preserve">For each independent batch of the product imported into Australia, the </w:t>
      </w:r>
      <w:r w:rsidR="00BB0DB3" w:rsidRPr="00481594">
        <w:t>s</w:t>
      </w:r>
      <w:r w:rsidRPr="00481594">
        <w:t>ponsor must supply the following:</w:t>
      </w:r>
    </w:p>
    <w:p w14:paraId="7767901C" w14:textId="57909EA2" w:rsidR="00F54546" w:rsidRPr="00481594" w:rsidRDefault="00F54546" w:rsidP="00626CC0">
      <w:pPr>
        <w:pStyle w:val="ListBullet2"/>
      </w:pPr>
      <w:r w:rsidRPr="00481594">
        <w:t xml:space="preserve">A completed </w:t>
      </w:r>
      <w:r w:rsidR="00BB0DB3" w:rsidRPr="00481594">
        <w:t>request for release form</w:t>
      </w:r>
      <w:r w:rsidRPr="00481594">
        <w:t xml:space="preserve">, available from </w:t>
      </w:r>
      <w:r w:rsidR="00482C41" w:rsidRPr="00481594">
        <w:t>vaccines@health.gov.au</w:t>
      </w:r>
      <w:r w:rsidRPr="00481594">
        <w:t>.</w:t>
      </w:r>
    </w:p>
    <w:p w14:paraId="5B107D81" w14:textId="54F0185E" w:rsidR="00F54546" w:rsidRPr="00481594" w:rsidRDefault="00F54546" w:rsidP="00F54546">
      <w:pPr>
        <w:pStyle w:val="ListBullet2"/>
      </w:pPr>
      <w:r w:rsidRPr="00481594">
        <w:t xml:space="preserve">Complete summary protocols for manufacture and </w:t>
      </w:r>
      <w:r w:rsidR="00BB0DB3" w:rsidRPr="00481594">
        <w:t>quality control</w:t>
      </w:r>
      <w:r w:rsidRPr="00481594">
        <w:t>, including all steps in production in the agreed format.</w:t>
      </w:r>
    </w:p>
    <w:p w14:paraId="22AB971B" w14:textId="515F3C2A" w:rsidR="00F54546" w:rsidRPr="00481594" w:rsidRDefault="00F54546" w:rsidP="00F54546">
      <w:pPr>
        <w:pStyle w:val="ListBullet2"/>
      </w:pPr>
      <w:r w:rsidRPr="00481594">
        <w:t>At least 20 (twenty) vials (</w:t>
      </w:r>
      <w:r w:rsidR="00BB0DB3" w:rsidRPr="00481594">
        <w:t>s</w:t>
      </w:r>
      <w:r w:rsidRPr="00481594">
        <w:t xml:space="preserve">amples) of each manufacturing batch of </w:t>
      </w:r>
      <w:proofErr w:type="spellStart"/>
      <w:r w:rsidR="00C879EB" w:rsidRPr="00481594">
        <w:t>Vaxneuvance</w:t>
      </w:r>
      <w:proofErr w:type="spellEnd"/>
      <w:r w:rsidRPr="00481594">
        <w:rPr>
          <w:rFonts w:eastAsiaTheme="minorEastAsia"/>
        </w:rPr>
        <w:t xml:space="preserve"> </w:t>
      </w:r>
      <w:r w:rsidRPr="00481594">
        <w:rPr>
          <w:rFonts w:eastAsiaTheme="minorEastAsia" w:cs="Helv"/>
        </w:rPr>
        <w:t>vaccine</w:t>
      </w:r>
      <w:r w:rsidRPr="00481594">
        <w:rPr>
          <w:bCs/>
        </w:rPr>
        <w:t xml:space="preserve"> </w:t>
      </w:r>
      <w:r w:rsidRPr="00481594">
        <w:t xml:space="preserve">with the Australian approved labels, </w:t>
      </w:r>
      <w:proofErr w:type="gramStart"/>
      <w:r w:rsidRPr="00481594">
        <w:t>PI</w:t>
      </w:r>
      <w:proofErr w:type="gramEnd"/>
      <w:r w:rsidRPr="00481594">
        <w:t xml:space="preserve"> and packaging (unless an exemption to supply these has been granted) representative of all batches of product seeking distribution in Australia.</w:t>
      </w:r>
    </w:p>
    <w:p w14:paraId="2BD0A719" w14:textId="3E2AEE0D" w:rsidR="00F54546" w:rsidRPr="00481594" w:rsidRDefault="00F54546" w:rsidP="00F54546">
      <w:pPr>
        <w:pStyle w:val="ListBullet2"/>
      </w:pPr>
      <w:r w:rsidRPr="00481594">
        <w:t>At least 5 (five) vials (</w:t>
      </w:r>
      <w:r w:rsidR="00BB0DB3" w:rsidRPr="00481594">
        <w:t>s</w:t>
      </w:r>
      <w:r w:rsidRPr="00481594">
        <w:t xml:space="preserve">amples) of any further consignments of a manufacturing batch of </w:t>
      </w:r>
      <w:proofErr w:type="spellStart"/>
      <w:r w:rsidR="00C879EB" w:rsidRPr="00481594">
        <w:t>Vaxneuvance</w:t>
      </w:r>
      <w:proofErr w:type="spellEnd"/>
      <w:r w:rsidRPr="00481594">
        <w:rPr>
          <w:rFonts w:eastAsiaTheme="minorEastAsia"/>
        </w:rPr>
        <w:t xml:space="preserve"> </w:t>
      </w:r>
      <w:r w:rsidRPr="00481594">
        <w:rPr>
          <w:rFonts w:eastAsiaTheme="minorEastAsia" w:cs="Helv"/>
        </w:rPr>
        <w:t>vaccine</w:t>
      </w:r>
      <w:r w:rsidRPr="00481594">
        <w:rPr>
          <w:bCs/>
        </w:rPr>
        <w:t xml:space="preserve"> </w:t>
      </w:r>
      <w:r w:rsidRPr="00481594">
        <w:t xml:space="preserve">with the Australian approved labels, </w:t>
      </w:r>
      <w:proofErr w:type="gramStart"/>
      <w:r w:rsidRPr="00481594">
        <w:t>PI</w:t>
      </w:r>
      <w:proofErr w:type="gramEnd"/>
      <w:r w:rsidRPr="00481594">
        <w:t xml:space="preserve"> and packaging (unless an exemption to supply these has been granted). Further consignments cover batches previously supplied to TGA for the purposes of batch release testing but are seeking to be supplied again.</w:t>
      </w:r>
    </w:p>
    <w:p w14:paraId="7EA73E13" w14:textId="42B1DAD5" w:rsidR="00F54546" w:rsidRPr="00481594" w:rsidRDefault="00F54546" w:rsidP="00F54546">
      <w:pPr>
        <w:pStyle w:val="ListBullet2"/>
      </w:pPr>
      <w:r w:rsidRPr="00481594">
        <w:t>If the manufacturing batch has been released in Europe or United Kingdom a copy of the EU Official Control Authority Batch Release (OCABR) certificate (or equivalent from the UK) must be provided.</w:t>
      </w:r>
    </w:p>
    <w:p w14:paraId="7105507E" w14:textId="77777777" w:rsidR="00F54546" w:rsidRPr="00481594" w:rsidRDefault="00F54546" w:rsidP="00F54546">
      <w:pPr>
        <w:pStyle w:val="ListBullet2"/>
      </w:pPr>
      <w:r w:rsidRPr="00481594">
        <w:t>Any reagents, reference material and standards required to undertake testing, as requested by Laboratories Branch, TGA.</w:t>
      </w:r>
    </w:p>
    <w:p w14:paraId="73EDD9B2" w14:textId="6A0996EF" w:rsidR="00F54546" w:rsidRPr="00481594" w:rsidRDefault="00F54546" w:rsidP="00F54546">
      <w:pPr>
        <w:pStyle w:val="ListBullet"/>
        <w:numPr>
          <w:ilvl w:val="0"/>
          <w:numId w:val="0"/>
        </w:numPr>
        <w:ind w:left="360"/>
      </w:pPr>
      <w:r w:rsidRPr="00481594">
        <w:t xml:space="preserve">Sponsors must provide all requested </w:t>
      </w:r>
      <w:r w:rsidR="00BB0DB3" w:rsidRPr="00481594">
        <w:t xml:space="preserve">samples </w:t>
      </w:r>
      <w:r w:rsidRPr="00481594">
        <w:t>and data in sufficient time (at least 5</w:t>
      </w:r>
      <w:r w:rsidR="00BB0DB3" w:rsidRPr="00481594">
        <w:t> </w:t>
      </w:r>
      <w:r w:rsidRPr="00481594">
        <w:t>business days) prior to any distribution date to allow the TGA to perform testing and review. Distribution of each batch of vaccine is conditional upon fulfilment of these conditions and receipt of a letter from the Laboratories Branch acknowledging release.</w:t>
      </w:r>
    </w:p>
    <w:p w14:paraId="61B7F788" w14:textId="41BFFEC4" w:rsidR="00F54546" w:rsidRPr="00481594" w:rsidRDefault="00F54546" w:rsidP="00F54546">
      <w:pPr>
        <w:pStyle w:val="ListBullet"/>
        <w:numPr>
          <w:ilvl w:val="0"/>
          <w:numId w:val="0"/>
        </w:numPr>
        <w:ind w:left="360"/>
      </w:pPr>
      <w:r w:rsidRPr="00481594">
        <w:rPr>
          <w:rFonts w:cs="Cambria"/>
        </w:rPr>
        <w:t xml:space="preserve">Samples and data should be forwarded to the </w:t>
      </w:r>
      <w:r w:rsidRPr="00481594">
        <w:t>Biotherapeutics Section</w:t>
      </w:r>
      <w:r w:rsidRPr="00481594">
        <w:rPr>
          <w:rFonts w:cs="Cambria"/>
        </w:rPr>
        <w:t>, Laboratories Branch before release of each batch and with sufficient lead time to allow for Laboratories Branch testing.</w:t>
      </w:r>
    </w:p>
    <w:p w14:paraId="69A00D8C" w14:textId="7A428F24" w:rsidR="00F54546" w:rsidRPr="00481594" w:rsidRDefault="00F54546" w:rsidP="00F54546">
      <w:pPr>
        <w:pStyle w:val="ListBullet"/>
        <w:numPr>
          <w:ilvl w:val="0"/>
          <w:numId w:val="0"/>
        </w:numPr>
        <w:ind w:left="360"/>
      </w:pPr>
      <w:r w:rsidRPr="00481594">
        <w:lastRenderedPageBreak/>
        <w:t xml:space="preserve">The shipments (including reagents) to TGA are the responsibility of the Australian </w:t>
      </w:r>
      <w:r w:rsidR="00BB0DB3" w:rsidRPr="00481594">
        <w:t xml:space="preserve">sponsor/agent </w:t>
      </w:r>
      <w:r w:rsidRPr="00481594">
        <w:t>who will be required to facilitate the import and customs clearance process.</w:t>
      </w:r>
    </w:p>
    <w:p w14:paraId="3C349857" w14:textId="77777777" w:rsidR="00F54546" w:rsidRPr="00481594" w:rsidRDefault="00F54546" w:rsidP="00F54546">
      <w:pPr>
        <w:pStyle w:val="ListBullet"/>
      </w:pPr>
      <w:r w:rsidRPr="00481594">
        <w:t>Certified Product Details</w:t>
      </w:r>
    </w:p>
    <w:p w14:paraId="356D5833" w14:textId="2B82C7BD" w:rsidR="00F54546" w:rsidRPr="00481594" w:rsidRDefault="00F54546" w:rsidP="00F54546">
      <w:pPr>
        <w:pStyle w:val="ListBullet"/>
        <w:numPr>
          <w:ilvl w:val="0"/>
          <w:numId w:val="0"/>
        </w:numPr>
        <w:ind w:left="360"/>
      </w:pPr>
      <w:r w:rsidRPr="00481594">
        <w:t xml:space="preserve">An electronic copy of the Certified Product Details (CPD) as described in Guidance 7: Certified Product Details of the Australian Regulatory Guidelines for Prescription Medicines (ARGPM) </w:t>
      </w:r>
      <w:hyperlink r:id="rId19" w:history="1">
        <w:r w:rsidRPr="00481594">
          <w:rPr>
            <w:rStyle w:val="Hyperlink"/>
          </w:rPr>
          <w:t>https://www.tga.gov.au/guidance-7-certified-product-details</w:t>
        </w:r>
      </w:hyperlink>
      <w:r w:rsidRPr="00481594">
        <w:t xml:space="preserve"> should be provided upon registration of the therapeutic good. In addition, an updated CPD, for the above products incorporating the approved changes is to be provided within one month of the date of approval letter. A template for preparation of CPD for biological prescription medicines and </w:t>
      </w:r>
      <w:r w:rsidR="00BB0DB3" w:rsidRPr="00481594">
        <w:t xml:space="preserve">vaccines </w:t>
      </w:r>
      <w:r w:rsidRPr="00481594">
        <w:t xml:space="preserve">can be obtained from the TGA website </w:t>
      </w:r>
      <w:hyperlink r:id="rId20" w:history="1">
        <w:r w:rsidRPr="00481594">
          <w:rPr>
            <w:rStyle w:val="Hyperlink"/>
          </w:rPr>
          <w:t>https://www.tga.gov.au/form/certified-product-details-cpd-biological-prescription-medicines</w:t>
        </w:r>
      </w:hyperlink>
      <w:r w:rsidRPr="00481594">
        <w:t xml:space="preserve">. The CPD should be sent as a single bookmarked </w:t>
      </w:r>
      <w:r w:rsidR="002D2B70" w:rsidRPr="00481594">
        <w:t>portable document format (</w:t>
      </w:r>
      <w:r w:rsidRPr="00481594">
        <w:t>PDF</w:t>
      </w:r>
      <w:r w:rsidR="002D2B70" w:rsidRPr="00481594">
        <w:t>)</w:t>
      </w:r>
      <w:r w:rsidRPr="00481594">
        <w:t xml:space="preserve"> document to </w:t>
      </w:r>
      <w:r w:rsidR="00482C41" w:rsidRPr="00481594">
        <w:t>vaccines@health.gov.au</w:t>
      </w:r>
      <w:r w:rsidRPr="00481594">
        <w:t xml:space="preserve"> as soon as possible after registration/approval of the product or any subsequent changes as indicated above.</w:t>
      </w:r>
    </w:p>
    <w:p w14:paraId="23C3970C" w14:textId="77777777" w:rsidR="008E7846" w:rsidRPr="00481594" w:rsidRDefault="008E7846" w:rsidP="008E7846">
      <w:pPr>
        <w:pStyle w:val="Heading3"/>
      </w:pPr>
      <w:bookmarkStart w:id="35" w:name="_Toc314842512"/>
      <w:bookmarkStart w:id="36" w:name="_Toc116652736"/>
      <w:r w:rsidRPr="00481594">
        <w:t>Nonclinical</w:t>
      </w:r>
      <w:bookmarkEnd w:id="35"/>
      <w:bookmarkEnd w:id="36"/>
    </w:p>
    <w:p w14:paraId="015789AF" w14:textId="50C80040" w:rsidR="005661CA" w:rsidRPr="00481594" w:rsidRDefault="005661CA" w:rsidP="002D2B70">
      <w:r w:rsidRPr="00481594">
        <w:t xml:space="preserve">Nonclinical studies </w:t>
      </w:r>
      <w:r w:rsidR="008F6F57" w:rsidRPr="00481594">
        <w:t>were conducted and submitted for 5</w:t>
      </w:r>
      <w:r w:rsidRPr="00481594">
        <w:t xml:space="preserve"> </w:t>
      </w:r>
      <w:r w:rsidR="008F6F57" w:rsidRPr="00481594">
        <w:t>different formulations of pneumococcal 15-valent conjugate vaccine (</w:t>
      </w:r>
      <w:r w:rsidR="008F6F57" w:rsidRPr="00481594">
        <w:rPr>
          <w:i/>
        </w:rPr>
        <w:t>Streptococcus pneumoniae</w:t>
      </w:r>
      <w:r w:rsidR="008F6F57" w:rsidRPr="00481594">
        <w:t xml:space="preserve"> </w:t>
      </w:r>
      <w:r w:rsidR="002D2B70" w:rsidRPr="00481594">
        <w:t xml:space="preserve">serotypes 1, 3, 4, 5, 6A, 6B, 7F, 9V, 14, 18C, 19A, 19F, 22F, 23F, </w:t>
      </w:r>
      <w:r w:rsidR="00482C41" w:rsidRPr="00481594">
        <w:t xml:space="preserve">and </w:t>
      </w:r>
      <w:r w:rsidR="002D2B70" w:rsidRPr="00481594">
        <w:t>33F)</w:t>
      </w:r>
      <w:r w:rsidR="00754DD5" w:rsidRPr="00481594">
        <w:t xml:space="preserve">, </w:t>
      </w:r>
      <w:r w:rsidRPr="00481594">
        <w:t>including the clinical formulation for marketing</w:t>
      </w:r>
      <w:r w:rsidR="00754DD5" w:rsidRPr="00481594">
        <w:t xml:space="preserve"> with this submission. These nonclinical studies</w:t>
      </w:r>
      <w:r w:rsidRPr="00481594">
        <w:t xml:space="preserve"> </w:t>
      </w:r>
      <w:r w:rsidR="00754DD5" w:rsidRPr="00481594">
        <w:t>comprised of</w:t>
      </w:r>
      <w:r w:rsidRPr="00481594">
        <w:t xml:space="preserve"> </w:t>
      </w:r>
      <w:r w:rsidR="002D2B70" w:rsidRPr="00481594">
        <w:t>Good Laboratory Practice (</w:t>
      </w:r>
      <w:r w:rsidRPr="00481594">
        <w:t>GLP</w:t>
      </w:r>
      <w:r w:rsidR="002D2B70" w:rsidRPr="00481594">
        <w:t>)</w:t>
      </w:r>
      <w:r w:rsidR="00495D46" w:rsidRPr="00481594">
        <w:rPr>
          <w:rStyle w:val="FootnoteReference"/>
        </w:rPr>
        <w:footnoteReference w:id="9"/>
      </w:r>
      <w:r w:rsidR="00BB6E4C" w:rsidRPr="00481594">
        <w:t xml:space="preserve"> </w:t>
      </w:r>
      <w:r w:rsidRPr="00481594">
        <w:t>compliant</w:t>
      </w:r>
      <w:r w:rsidR="00754DD5" w:rsidRPr="00481594">
        <w:t xml:space="preserve"> studies evaluating</w:t>
      </w:r>
      <w:r w:rsidRPr="00481594">
        <w:t xml:space="preserve"> repeat</w:t>
      </w:r>
      <w:r w:rsidR="00BB6E4C" w:rsidRPr="00481594">
        <w:t xml:space="preserve"> </w:t>
      </w:r>
      <w:r w:rsidRPr="00481594">
        <w:t>dose toxicity and reproductive and non</w:t>
      </w:r>
      <w:r w:rsidR="00BB6E4C" w:rsidRPr="00481594">
        <w:noBreakHyphen/>
      </w:r>
      <w:r w:rsidRPr="00481594">
        <w:t>GLP immunogenicity part of toxicity studies in rats and immunogenicity studies in rabbits and juvenile rhesus monkeys.</w:t>
      </w:r>
    </w:p>
    <w:p w14:paraId="1649B38D" w14:textId="116F08CB" w:rsidR="005661CA" w:rsidRPr="00481594" w:rsidRDefault="00754DD5" w:rsidP="005661CA">
      <w:r w:rsidRPr="00481594">
        <w:t xml:space="preserve">Vaccine </w:t>
      </w:r>
      <w:r w:rsidR="005661CA" w:rsidRPr="00481594">
        <w:t xml:space="preserve">immunogenicity (functional antibody titres and/or </w:t>
      </w:r>
      <w:r w:rsidR="002D2B70" w:rsidRPr="00481594">
        <w:t>immunoglobulin G (</w:t>
      </w:r>
      <w:r w:rsidR="005661CA" w:rsidRPr="00481594">
        <w:t>IgG</w:t>
      </w:r>
      <w:r w:rsidR="002D2B70" w:rsidRPr="00481594">
        <w:t>)</w:t>
      </w:r>
      <w:r w:rsidR="005661CA" w:rsidRPr="00481594">
        <w:t xml:space="preserve"> titres) was observed for all 15</w:t>
      </w:r>
      <w:r w:rsidR="00BB6E4C" w:rsidRPr="00481594">
        <w:t> </w:t>
      </w:r>
      <w:r w:rsidR="005661CA" w:rsidRPr="00481594">
        <w:t xml:space="preserve">serotypes after 2 doses in rabbits, 2 or 3 doses in infant macaques in immunogenicity studies and after 5 doses in rats in the toxicity studies. In rats, antibody titres were very low for most serotypes after a single dose. The proposed clinical formulation of </w:t>
      </w:r>
      <w:r w:rsidRPr="00481594">
        <w:t xml:space="preserve">vaccine (that is, the </w:t>
      </w:r>
      <w:proofErr w:type="spellStart"/>
      <w:r w:rsidRPr="00481594">
        <w:t>Vaxneuvance</w:t>
      </w:r>
      <w:proofErr w:type="spellEnd"/>
      <w:r w:rsidRPr="00481594">
        <w:t xml:space="preserve"> vaccine in this submission) </w:t>
      </w:r>
      <w:r w:rsidR="005661CA" w:rsidRPr="00481594">
        <w:t xml:space="preserve">showed similar immune response for 13 serotypes to that of </w:t>
      </w:r>
      <w:r w:rsidR="002D2B70" w:rsidRPr="00481594">
        <w:t>Prevnar</w:t>
      </w:r>
      <w:r w:rsidR="001108A1" w:rsidRPr="00481594">
        <w:t> </w:t>
      </w:r>
      <w:r w:rsidR="005661CA" w:rsidRPr="00481594">
        <w:t>13 after 2 or more doses.</w:t>
      </w:r>
    </w:p>
    <w:p w14:paraId="2479EBD0" w14:textId="019165D5" w:rsidR="005661CA" w:rsidRPr="00481594" w:rsidRDefault="005661CA" w:rsidP="005661CA">
      <w:r w:rsidRPr="00481594">
        <w:t>No evidence of systemic toxicity was observed in the repeat</w:t>
      </w:r>
      <w:r w:rsidR="00A40C94" w:rsidRPr="00481594">
        <w:t xml:space="preserve"> </w:t>
      </w:r>
      <w:r w:rsidRPr="00481594">
        <w:t xml:space="preserve">dose toxicity studies with </w:t>
      </w:r>
      <w:r w:rsidR="00754DD5" w:rsidRPr="00481594">
        <w:t xml:space="preserve">vaccine </w:t>
      </w:r>
      <w:r w:rsidRPr="00481594">
        <w:t xml:space="preserve">administered </w:t>
      </w:r>
      <w:r w:rsidR="00A40C94" w:rsidRPr="00481594">
        <w:t>intramuscularly</w:t>
      </w:r>
      <w:r w:rsidRPr="00481594">
        <w:t xml:space="preserve"> or </w:t>
      </w:r>
      <w:r w:rsidR="00A40C94" w:rsidRPr="00481594">
        <w:t>subcutaneously.</w:t>
      </w:r>
    </w:p>
    <w:p w14:paraId="74584365" w14:textId="05DB69E5" w:rsidR="005661CA" w:rsidRPr="00481594" w:rsidRDefault="005661CA" w:rsidP="005661CA">
      <w:r w:rsidRPr="00481594">
        <w:t xml:space="preserve">Two reproductive studies were completed in female rats with </w:t>
      </w:r>
      <w:r w:rsidR="00A40C94" w:rsidRPr="00481594">
        <w:t>intramuscular</w:t>
      </w:r>
      <w:r w:rsidRPr="00481594">
        <w:t xml:space="preserve"> dosing </w:t>
      </w:r>
      <w:r w:rsidR="00754DD5" w:rsidRPr="00481594">
        <w:t xml:space="preserve">of vaccine </w:t>
      </w:r>
      <w:r w:rsidRPr="00481594">
        <w:t xml:space="preserve">on </w:t>
      </w:r>
      <w:r w:rsidR="00C87B92" w:rsidRPr="00481594">
        <w:t>Day</w:t>
      </w:r>
      <w:r w:rsidRPr="00481594">
        <w:t xml:space="preserve"> 28 and 7 </w:t>
      </w:r>
      <w:r w:rsidR="00754DD5" w:rsidRPr="00481594">
        <w:t xml:space="preserve">days </w:t>
      </w:r>
      <w:r w:rsidRPr="00481594">
        <w:t xml:space="preserve">prior to mating and on </w:t>
      </w:r>
      <w:r w:rsidR="00C87B92" w:rsidRPr="00481594">
        <w:t>Day</w:t>
      </w:r>
      <w:r w:rsidRPr="00481594">
        <w:t xml:space="preserve"> 6 of gestation as well as on </w:t>
      </w:r>
      <w:r w:rsidR="00C87B92" w:rsidRPr="00481594">
        <w:t>Day</w:t>
      </w:r>
      <w:r w:rsidRPr="00481594">
        <w:t xml:space="preserve"> 7 of lactation. No vaccine</w:t>
      </w:r>
      <w:r w:rsidR="00A40C94" w:rsidRPr="00481594">
        <w:t xml:space="preserve"> </w:t>
      </w:r>
      <w:r w:rsidRPr="00481594">
        <w:t xml:space="preserve">related effects on fertility, </w:t>
      </w:r>
      <w:proofErr w:type="spellStart"/>
      <w:r w:rsidRPr="00481594">
        <w:t>fetal</w:t>
      </w:r>
      <w:proofErr w:type="spellEnd"/>
      <w:r w:rsidRPr="00481594">
        <w:t xml:space="preserve"> development or malformations were observed. The proposed Pregnancy Category B1</w:t>
      </w:r>
      <w:r w:rsidR="00495D46" w:rsidRPr="00481594">
        <w:t>;</w:t>
      </w:r>
      <w:r w:rsidR="00495D46" w:rsidRPr="00481594">
        <w:rPr>
          <w:rStyle w:val="FootnoteReference"/>
        </w:rPr>
        <w:footnoteReference w:id="10"/>
      </w:r>
      <w:r w:rsidRPr="00481594">
        <w:t xml:space="preserve"> is acceptable</w:t>
      </w:r>
      <w:r w:rsidR="00754DD5" w:rsidRPr="00481594">
        <w:t>.</w:t>
      </w:r>
    </w:p>
    <w:p w14:paraId="791E5E0E" w14:textId="4A3647F1" w:rsidR="005661CA" w:rsidRPr="00481594" w:rsidRDefault="005661CA" w:rsidP="005661CA">
      <w:r w:rsidRPr="00481594">
        <w:t>Animal immunogenicity data suggest a single dose vaccination may not induce an immune response sufficient to protect from pneumococcal infection. The ability to elicit an adequate immune response from a single dose vaccination schedule in humans will rely upon clinical data.</w:t>
      </w:r>
    </w:p>
    <w:p w14:paraId="49368DF7" w14:textId="1C54EBFF" w:rsidR="005661CA" w:rsidRPr="00481594" w:rsidRDefault="005661CA" w:rsidP="0074163C">
      <w:r w:rsidRPr="00481594">
        <w:t xml:space="preserve">There are no nonclinical objections to the registration of </w:t>
      </w:r>
      <w:proofErr w:type="spellStart"/>
      <w:r w:rsidR="00754DD5" w:rsidRPr="00481594">
        <w:t>Vaxneuvance</w:t>
      </w:r>
      <w:proofErr w:type="spellEnd"/>
      <w:r w:rsidR="00754DD5" w:rsidRPr="00481594">
        <w:t xml:space="preserve"> </w:t>
      </w:r>
      <w:r w:rsidR="003557C7" w:rsidRPr="00481594">
        <w:t>pneumococcal</w:t>
      </w:r>
      <w:r w:rsidR="00754DD5" w:rsidRPr="00481594">
        <w:t xml:space="preserve"> vaccine </w:t>
      </w:r>
      <w:r w:rsidRPr="00481594">
        <w:t>based on the evaluation of nonclinical data.</w:t>
      </w:r>
    </w:p>
    <w:p w14:paraId="1F721CCE" w14:textId="77777777" w:rsidR="008E7846" w:rsidRPr="00481594" w:rsidRDefault="008E7846" w:rsidP="008E7846">
      <w:pPr>
        <w:pStyle w:val="Heading3"/>
      </w:pPr>
      <w:bookmarkStart w:id="37" w:name="_Toc247691530"/>
      <w:bookmarkStart w:id="38" w:name="_Toc314842513"/>
      <w:bookmarkStart w:id="39" w:name="_Toc116652737"/>
      <w:r w:rsidRPr="00481594">
        <w:lastRenderedPageBreak/>
        <w:t>Clinical</w:t>
      </w:r>
      <w:bookmarkEnd w:id="37"/>
      <w:bookmarkEnd w:id="38"/>
      <w:bookmarkEnd w:id="39"/>
    </w:p>
    <w:p w14:paraId="48B3E881" w14:textId="77777777" w:rsidR="0074163C" w:rsidRPr="00481594" w:rsidRDefault="0074163C" w:rsidP="0074163C">
      <w:pPr>
        <w:pStyle w:val="Heading4"/>
      </w:pPr>
      <w:bookmarkStart w:id="40" w:name="_Toc98931928"/>
      <w:r w:rsidRPr="00481594">
        <w:t>Summary of clinical studies</w:t>
      </w:r>
      <w:bookmarkEnd w:id="40"/>
    </w:p>
    <w:p w14:paraId="38EB804B" w14:textId="77777777" w:rsidR="0074163C" w:rsidRPr="00481594" w:rsidRDefault="0074163C" w:rsidP="0074163C">
      <w:r w:rsidRPr="00481594">
        <w:t>The clinical dossier consisted of</w:t>
      </w:r>
      <w:r w:rsidR="00EB36D6" w:rsidRPr="00481594">
        <w:t>:</w:t>
      </w:r>
    </w:p>
    <w:p w14:paraId="3DA59882" w14:textId="05F80AFB" w:rsidR="0074163C" w:rsidRPr="00481594" w:rsidRDefault="00A40C94" w:rsidP="0074163C">
      <w:pPr>
        <w:pStyle w:val="ListBullet"/>
      </w:pPr>
      <w:r w:rsidRPr="00481594">
        <w:t>one</w:t>
      </w:r>
      <w:r w:rsidR="00B638B1" w:rsidRPr="00481594">
        <w:t xml:space="preserve"> Phase </w:t>
      </w:r>
      <w:r w:rsidRPr="00481594">
        <w:t xml:space="preserve">II study: Study </w:t>
      </w:r>
      <w:r w:rsidR="00B638B1" w:rsidRPr="00481594">
        <w:t>V114-007</w:t>
      </w:r>
    </w:p>
    <w:p w14:paraId="14D89636" w14:textId="6BD7FFFB" w:rsidR="0074163C" w:rsidRPr="00481594" w:rsidRDefault="00A40C94" w:rsidP="0074163C">
      <w:pPr>
        <w:pStyle w:val="ListBullet"/>
      </w:pPr>
      <w:r w:rsidRPr="00481594">
        <w:t>six</w:t>
      </w:r>
      <w:r w:rsidR="00B638B1" w:rsidRPr="00481594">
        <w:t xml:space="preserve"> Phase </w:t>
      </w:r>
      <w:r w:rsidRPr="00481594">
        <w:t>III</w:t>
      </w:r>
      <w:r w:rsidR="00B638B1" w:rsidRPr="00481594">
        <w:t xml:space="preserve"> studies</w:t>
      </w:r>
      <w:r w:rsidR="00104090" w:rsidRPr="00481594">
        <w:t xml:space="preserve">: Studies </w:t>
      </w:r>
      <w:r w:rsidR="00B638B1" w:rsidRPr="00481594">
        <w:t xml:space="preserve">V114-016, V114-017, V114-018, V114-019, V114-020 and </w:t>
      </w:r>
      <w:bookmarkStart w:id="41" w:name="_Hlk108807109"/>
      <w:r w:rsidR="00B638B1" w:rsidRPr="00481594">
        <w:t>V114</w:t>
      </w:r>
      <w:r w:rsidR="00104090" w:rsidRPr="00481594">
        <w:noBreakHyphen/>
      </w:r>
      <w:r w:rsidR="00B638B1" w:rsidRPr="00481594">
        <w:t>021</w:t>
      </w:r>
      <w:bookmarkEnd w:id="41"/>
      <w:r w:rsidR="00B638B1" w:rsidRPr="00481594">
        <w:t>.</w:t>
      </w:r>
    </w:p>
    <w:p w14:paraId="6757E3BC" w14:textId="00EE64B1" w:rsidR="00B638B1" w:rsidRPr="00481594" w:rsidRDefault="00B638B1" w:rsidP="00B638B1">
      <w:r w:rsidRPr="00481594">
        <w:t xml:space="preserve">These studies examined the tolerability and immunogenicity of the proposed pneumococcal vaccine </w:t>
      </w:r>
      <w:r w:rsidR="00262F42" w:rsidRPr="00481594">
        <w:t>versus</w:t>
      </w:r>
      <w:r w:rsidRPr="00481594">
        <w:t xml:space="preserve"> a comparator Prevnar 13 vaccine in healthy and immunosuppressed (HIV) subjects, either being pneumococcal vaccine</w:t>
      </w:r>
      <w:r w:rsidR="00262F42" w:rsidRPr="00481594">
        <w:t xml:space="preserve"> </w:t>
      </w:r>
      <w:r w:rsidRPr="00481594">
        <w:t>naïve or previously vaccine</w:t>
      </w:r>
      <w:r w:rsidR="00262F42" w:rsidRPr="00481594">
        <w:t xml:space="preserve"> </w:t>
      </w:r>
      <w:r w:rsidRPr="00481594">
        <w:t>exposed, or in conjunction with an influenza vaccine.</w:t>
      </w:r>
    </w:p>
    <w:p w14:paraId="2C795004" w14:textId="3F2378AC" w:rsidR="00FF2104" w:rsidRPr="00481594" w:rsidRDefault="00FF2104" w:rsidP="00B638B1">
      <w:r w:rsidRPr="00481594">
        <w:t>Note that Prevnar 13 is the trade name in the USA of a pneumococcal vaccine marketed in Australia as Prevenar 13.</w:t>
      </w:r>
      <w:r w:rsidRPr="00481594">
        <w:rPr>
          <w:vertAlign w:val="superscript"/>
        </w:rPr>
        <w:fldChar w:fldCharType="begin"/>
      </w:r>
      <w:r w:rsidRPr="00481594">
        <w:rPr>
          <w:vertAlign w:val="superscript"/>
        </w:rPr>
        <w:instrText xml:space="preserve"> NOTEREF _Ref115164629 \h  \* MERGEFORMAT </w:instrText>
      </w:r>
      <w:r w:rsidRPr="00481594">
        <w:rPr>
          <w:vertAlign w:val="superscript"/>
        </w:rPr>
      </w:r>
      <w:r w:rsidRPr="00481594">
        <w:rPr>
          <w:vertAlign w:val="superscript"/>
        </w:rPr>
        <w:fldChar w:fldCharType="separate"/>
      </w:r>
      <w:r w:rsidR="00190330">
        <w:rPr>
          <w:vertAlign w:val="superscript"/>
        </w:rPr>
        <w:t>4</w:t>
      </w:r>
      <w:r w:rsidRPr="00481594">
        <w:rPr>
          <w:vertAlign w:val="superscript"/>
        </w:rPr>
        <w:fldChar w:fldCharType="end"/>
      </w:r>
      <w:r w:rsidRPr="00481594">
        <w:rPr>
          <w:vertAlign w:val="superscript"/>
        </w:rPr>
        <w:t>,</w:t>
      </w:r>
      <w:r w:rsidRPr="00481594">
        <w:rPr>
          <w:rStyle w:val="FootnoteReference"/>
        </w:rPr>
        <w:footnoteReference w:id="11"/>
      </w:r>
    </w:p>
    <w:p w14:paraId="31C8A23A" w14:textId="676F3D41" w:rsidR="00B638B1" w:rsidRPr="00481594" w:rsidRDefault="00B638B1" w:rsidP="00B638B1">
      <w:r w:rsidRPr="00481594">
        <w:t>Evaluation of serotype</w:t>
      </w:r>
      <w:r w:rsidR="00262F42" w:rsidRPr="00481594">
        <w:t xml:space="preserve"> </w:t>
      </w:r>
      <w:r w:rsidRPr="00481594">
        <w:t xml:space="preserve">specific </w:t>
      </w:r>
      <w:r w:rsidR="001108A1" w:rsidRPr="00481594">
        <w:t>opsonophagocytic activity (</w:t>
      </w:r>
      <w:r w:rsidRPr="00481594">
        <w:t>OPA</w:t>
      </w:r>
      <w:r w:rsidR="001108A1" w:rsidRPr="00481594">
        <w:t>)</w:t>
      </w:r>
      <w:r w:rsidRPr="00481594">
        <w:t xml:space="preserve"> responses was the primary objective of the </w:t>
      </w:r>
      <w:proofErr w:type="spellStart"/>
      <w:r w:rsidR="000E5D27" w:rsidRPr="00481594">
        <w:t>Vaxneuvance</w:t>
      </w:r>
      <w:proofErr w:type="spellEnd"/>
      <w:r w:rsidR="000E5D27" w:rsidRPr="00481594">
        <w:t xml:space="preserve"> </w:t>
      </w:r>
      <w:r w:rsidRPr="00481594">
        <w:t xml:space="preserve">Phase </w:t>
      </w:r>
      <w:r w:rsidR="00262F42" w:rsidRPr="00481594">
        <w:t>III</w:t>
      </w:r>
      <w:r w:rsidRPr="00481594">
        <w:t xml:space="preserve"> studies supporting licensure; evaluation of serotype</w:t>
      </w:r>
      <w:r w:rsidR="00262F42" w:rsidRPr="00481594">
        <w:t xml:space="preserve"> </w:t>
      </w:r>
      <w:r w:rsidRPr="00481594">
        <w:t xml:space="preserve">specific total IgG responses was generally a key secondary objective. In the </w:t>
      </w:r>
      <w:proofErr w:type="spellStart"/>
      <w:r w:rsidR="000E5D27" w:rsidRPr="00481594">
        <w:t>Vaxneuvance</w:t>
      </w:r>
      <w:proofErr w:type="spellEnd"/>
      <w:r w:rsidR="000E5D27" w:rsidRPr="00481594">
        <w:t xml:space="preserve"> </w:t>
      </w:r>
      <w:r w:rsidRPr="00481594">
        <w:t>adult clinical program, vaccine</w:t>
      </w:r>
      <w:r w:rsidR="00262F42" w:rsidRPr="00481594">
        <w:t xml:space="preserve"> </w:t>
      </w:r>
      <w:r w:rsidRPr="00481594">
        <w:t>induced, serotype</w:t>
      </w:r>
      <w:r w:rsidR="00262F42" w:rsidRPr="00481594">
        <w:t xml:space="preserve"> </w:t>
      </w:r>
      <w:r w:rsidRPr="00481594">
        <w:t>specific immune responses (OPA and IgG) for all 15 serotypes</w:t>
      </w:r>
      <w:r w:rsidR="00E877A0" w:rsidRPr="00481594">
        <w:t>;</w:t>
      </w:r>
      <w:r w:rsidR="00E877A0" w:rsidRPr="00481594">
        <w:rPr>
          <w:rStyle w:val="FootnoteReference"/>
        </w:rPr>
        <w:footnoteReference w:id="12"/>
      </w:r>
      <w:r w:rsidRPr="00481594">
        <w:t xml:space="preserve"> included in </w:t>
      </w:r>
      <w:proofErr w:type="spellStart"/>
      <w:r w:rsidR="000E5D27" w:rsidRPr="00481594">
        <w:t>Vaxneuvance</w:t>
      </w:r>
      <w:proofErr w:type="spellEnd"/>
      <w:r w:rsidR="000E5D27" w:rsidRPr="00481594">
        <w:t xml:space="preserve"> </w:t>
      </w:r>
      <w:r w:rsidRPr="00481594">
        <w:t xml:space="preserve">were measured using validated </w:t>
      </w:r>
      <w:r w:rsidR="001108A1" w:rsidRPr="00481594">
        <w:t xml:space="preserve">multiplexed </w:t>
      </w:r>
      <w:r w:rsidRPr="00481594">
        <w:t xml:space="preserve">OPA and </w:t>
      </w:r>
      <w:r w:rsidR="001108A1" w:rsidRPr="00481594">
        <w:t>pneumococcal electrochemiluminescence</w:t>
      </w:r>
      <w:r w:rsidRPr="00481594">
        <w:t xml:space="preserve"> assays, respectively. There is no immunological threshold level of antibody concentration that correlates with protection against pneumococcal disease in adults.</w:t>
      </w:r>
    </w:p>
    <w:p w14:paraId="039808F2" w14:textId="44D79556" w:rsidR="00B638B1" w:rsidRPr="00481594" w:rsidRDefault="00B638B1" w:rsidP="00B638B1">
      <w:r w:rsidRPr="00481594">
        <w:t xml:space="preserve">The early clinical development program for </w:t>
      </w:r>
      <w:proofErr w:type="spellStart"/>
      <w:r w:rsidR="00D70019" w:rsidRPr="00481594">
        <w:t>Vaxneuvance</w:t>
      </w:r>
      <w:proofErr w:type="spellEnd"/>
      <w:r w:rsidR="00D70019" w:rsidRPr="00481594">
        <w:t xml:space="preserve"> </w:t>
      </w:r>
      <w:r w:rsidRPr="00481594">
        <w:t xml:space="preserve">involved Phase </w:t>
      </w:r>
      <w:r w:rsidR="00262F42" w:rsidRPr="00481594">
        <w:t>I</w:t>
      </w:r>
      <w:r w:rsidRPr="00481594">
        <w:t xml:space="preserve"> and Phase </w:t>
      </w:r>
      <w:r w:rsidR="00262F42" w:rsidRPr="00481594">
        <w:t>II</w:t>
      </w:r>
      <w:r w:rsidRPr="00481594">
        <w:t xml:space="preserve"> clinical studies in adult and paediatric populations. A </w:t>
      </w:r>
      <w:r w:rsidR="00262F42" w:rsidRPr="00481594">
        <w:t>Phase I</w:t>
      </w:r>
      <w:r w:rsidRPr="00481594">
        <w:t xml:space="preserve"> study in younger adults (</w:t>
      </w:r>
      <w:r w:rsidR="00262F42" w:rsidRPr="00481594">
        <w:t>Study </w:t>
      </w:r>
      <w:r w:rsidRPr="00481594">
        <w:t>V114</w:t>
      </w:r>
      <w:r w:rsidR="00262F42" w:rsidRPr="00481594">
        <w:noBreakHyphen/>
      </w:r>
      <w:r w:rsidRPr="00481594">
        <w:t xml:space="preserve">001, using Prevnar as a comparator) and a </w:t>
      </w:r>
      <w:r w:rsidR="00E877A0" w:rsidRPr="00481594">
        <w:t>proof-of-concept</w:t>
      </w:r>
      <w:r w:rsidRPr="00481594">
        <w:t xml:space="preserve"> </w:t>
      </w:r>
      <w:r w:rsidR="00262F42" w:rsidRPr="00481594">
        <w:t>Phase II</w:t>
      </w:r>
      <w:r w:rsidRPr="00481594">
        <w:t xml:space="preserve"> study in adults 50 years of age</w:t>
      </w:r>
      <w:r w:rsidR="00841429" w:rsidRPr="00481594">
        <w:t xml:space="preserve"> and older</w:t>
      </w:r>
      <w:r w:rsidRPr="00481594">
        <w:t xml:space="preserve"> (</w:t>
      </w:r>
      <w:r w:rsidR="00262F42" w:rsidRPr="00481594">
        <w:t xml:space="preserve">Study </w:t>
      </w:r>
      <w:r w:rsidRPr="00481594">
        <w:t xml:space="preserve">V114-002, using Prevnar 13 and </w:t>
      </w:r>
      <w:r w:rsidR="00DE0933" w:rsidRPr="00481594">
        <w:t xml:space="preserve">Pneumovax 23 </w:t>
      </w:r>
      <w:r w:rsidRPr="00481594">
        <w:t>as comparators) demonstrated that an aluminium</w:t>
      </w:r>
      <w:r w:rsidR="00262F42" w:rsidRPr="00481594">
        <w:t xml:space="preserve"> </w:t>
      </w:r>
      <w:r w:rsidRPr="00481594">
        <w:t xml:space="preserve">adjuvanted formulation of </w:t>
      </w:r>
      <w:r w:rsidR="00D70019" w:rsidRPr="00481594">
        <w:t xml:space="preserve">investigational vaccine </w:t>
      </w:r>
      <w:r w:rsidRPr="00481594">
        <w:t>had an acceptable safety profile and elicited serotype</w:t>
      </w:r>
      <w:r w:rsidR="00262F42" w:rsidRPr="00481594">
        <w:t xml:space="preserve"> </w:t>
      </w:r>
      <w:r w:rsidRPr="00481594">
        <w:t>specific immune responses to all 15 serotypes included in the vaccine.</w:t>
      </w:r>
    </w:p>
    <w:p w14:paraId="01239503" w14:textId="7E48CF2E" w:rsidR="00B638B1" w:rsidRPr="00481594" w:rsidRDefault="00B638B1" w:rsidP="00B638B1">
      <w:r w:rsidRPr="00481594">
        <w:t>Study V114-003 evaluated a 4-dose series of adjuvanted and nonadjuvanted formulations of</w:t>
      </w:r>
      <w:r w:rsidR="007A69D4" w:rsidRPr="00481594">
        <w:t xml:space="preserve"> </w:t>
      </w:r>
      <w:r w:rsidR="00D70019" w:rsidRPr="00481594">
        <w:t xml:space="preserve">investigational vaccine </w:t>
      </w:r>
      <w:r w:rsidRPr="00481594">
        <w:t xml:space="preserve">in healthy infants at 2, 4, 6, and 12 to 15 months of age with Prevnar 13 as the comparator. The immune response to </w:t>
      </w:r>
      <w:r w:rsidR="00D70019" w:rsidRPr="00481594">
        <w:t xml:space="preserve">the investigational vaccine </w:t>
      </w:r>
      <w:r w:rsidRPr="00481594">
        <w:t>in infants was lower compared with the immune response to Prevnar 13 for most of the 13</w:t>
      </w:r>
      <w:r w:rsidR="00D70019" w:rsidRPr="00481594">
        <w:t> </w:t>
      </w:r>
      <w:r w:rsidRPr="00481594">
        <w:t>shared serotypes. Several modifications were made to the drug substance manufacturing of a subset of serotypes and final formulation of the drug product to improve the clinical performance of the investigational vaccine.</w:t>
      </w:r>
    </w:p>
    <w:p w14:paraId="1A932623" w14:textId="4A411896" w:rsidR="00B638B1" w:rsidRPr="00481594" w:rsidRDefault="00B638B1" w:rsidP="00B638B1">
      <w:r w:rsidRPr="00481594">
        <w:t>New formulations (</w:t>
      </w:r>
      <w:r w:rsidR="007A69D4" w:rsidRPr="00481594">
        <w:t>formulations</w:t>
      </w:r>
      <w:r w:rsidRPr="00481594">
        <w:t xml:space="preserve"> A and B) were tested in 2 </w:t>
      </w:r>
      <w:r w:rsidR="00262F42" w:rsidRPr="00481594">
        <w:t>Phase I</w:t>
      </w:r>
      <w:r w:rsidRPr="00481594">
        <w:t>/</w:t>
      </w:r>
      <w:r w:rsidR="007A69D4" w:rsidRPr="00481594">
        <w:t>II</w:t>
      </w:r>
      <w:r w:rsidRPr="00481594">
        <w:t xml:space="preserve"> clinical studies (</w:t>
      </w:r>
      <w:r w:rsidR="007A69D4" w:rsidRPr="00481594">
        <w:t xml:space="preserve">Studies </w:t>
      </w:r>
      <w:r w:rsidRPr="00481594">
        <w:t>V114-004</w:t>
      </w:r>
      <w:r w:rsidR="007A69D4" w:rsidRPr="00481594">
        <w:t xml:space="preserve"> and</w:t>
      </w:r>
      <w:r w:rsidRPr="00481594">
        <w:t xml:space="preserve"> V114-005) where </w:t>
      </w:r>
      <w:r w:rsidR="00D70019" w:rsidRPr="00481594">
        <w:t xml:space="preserve">the investigational vaccine </w:t>
      </w:r>
      <w:r w:rsidRPr="00481594">
        <w:t>was administered as a single dose in younger adults (18 to 49 years of age) and as a 4-dose regimen in infants at 2, 4, 6, and 12 to 15 months of age. Formulation B was selected for further clinical development.</w:t>
      </w:r>
    </w:p>
    <w:p w14:paraId="7904595E" w14:textId="7786451B" w:rsidR="00B638B1" w:rsidRPr="00481594" w:rsidRDefault="00B638B1" w:rsidP="00B638B1">
      <w:r w:rsidRPr="00481594">
        <w:t xml:space="preserve">Study V114-006 was conducted in adults 50 years of age </w:t>
      </w:r>
      <w:r w:rsidR="00841429" w:rsidRPr="00481594">
        <w:t xml:space="preserve">and older </w:t>
      </w:r>
      <w:r w:rsidRPr="00481594">
        <w:t xml:space="preserve">to immunologically bridge the prior </w:t>
      </w:r>
      <w:r w:rsidR="00D70019" w:rsidRPr="00481594">
        <w:t xml:space="preserve">investigational vaccine </w:t>
      </w:r>
      <w:r w:rsidRPr="00481594">
        <w:t>formulation used to show proof</w:t>
      </w:r>
      <w:r w:rsidR="007A69D4" w:rsidRPr="00481594">
        <w:t xml:space="preserve"> </w:t>
      </w:r>
      <w:r w:rsidRPr="00481594">
        <w:t>of</w:t>
      </w:r>
      <w:r w:rsidR="007A69D4" w:rsidRPr="00481594">
        <w:t xml:space="preserve"> </w:t>
      </w:r>
      <w:r w:rsidRPr="00481594">
        <w:t>concept in adults (</w:t>
      </w:r>
      <w:r w:rsidR="007A69D4" w:rsidRPr="00481594">
        <w:t>Study</w:t>
      </w:r>
      <w:r w:rsidR="00D70019" w:rsidRPr="00481594">
        <w:t> </w:t>
      </w:r>
      <w:r w:rsidRPr="00481594">
        <w:t>V114-002) and the optimi</w:t>
      </w:r>
      <w:r w:rsidR="007A69D4" w:rsidRPr="00481594">
        <w:t>s</w:t>
      </w:r>
      <w:r w:rsidRPr="00481594">
        <w:t xml:space="preserve">ed </w:t>
      </w:r>
      <w:r w:rsidR="00D70019" w:rsidRPr="00481594">
        <w:t xml:space="preserve">vaccine </w:t>
      </w:r>
      <w:r w:rsidRPr="00481594">
        <w:t xml:space="preserve">formulation used in </w:t>
      </w:r>
      <w:r w:rsidR="007A69D4" w:rsidRPr="00481594">
        <w:t xml:space="preserve">Studies </w:t>
      </w:r>
      <w:r w:rsidRPr="00481594">
        <w:t xml:space="preserve">V114-004 and V114-005. Immune responses to both </w:t>
      </w:r>
      <w:r w:rsidR="00D70019" w:rsidRPr="00481594">
        <w:t xml:space="preserve">vaccine </w:t>
      </w:r>
      <w:r w:rsidRPr="00481594">
        <w:t xml:space="preserve">formulations were noninferior to </w:t>
      </w:r>
      <w:r w:rsidRPr="00481594">
        <w:lastRenderedPageBreak/>
        <w:t>Prevnar</w:t>
      </w:r>
      <w:r w:rsidR="00D70019" w:rsidRPr="00481594">
        <w:t> </w:t>
      </w:r>
      <w:r w:rsidRPr="00481594">
        <w:t xml:space="preserve">13 for all 13 shared serotypes and superior to Prevnar 13 for the 2 </w:t>
      </w:r>
      <w:r w:rsidR="00D70019" w:rsidRPr="00481594">
        <w:t xml:space="preserve">serotypes </w:t>
      </w:r>
      <w:r w:rsidRPr="00481594">
        <w:t xml:space="preserve">unique </w:t>
      </w:r>
      <w:r w:rsidR="00D70019" w:rsidRPr="00481594">
        <w:t xml:space="preserve">to </w:t>
      </w:r>
      <w:proofErr w:type="spellStart"/>
      <w:r w:rsidR="00D70019" w:rsidRPr="00481594">
        <w:t>Vaxneuvance</w:t>
      </w:r>
      <w:proofErr w:type="spellEnd"/>
      <w:r w:rsidR="00D70019" w:rsidRPr="00481594">
        <w:t xml:space="preserve"> </w:t>
      </w:r>
      <w:r w:rsidRPr="00481594">
        <w:t>based on serotype</w:t>
      </w:r>
      <w:r w:rsidR="007A69D4" w:rsidRPr="00481594">
        <w:t xml:space="preserve"> </w:t>
      </w:r>
      <w:r w:rsidRPr="00481594">
        <w:t xml:space="preserve">specific OPA </w:t>
      </w:r>
      <w:r w:rsidR="001108A1" w:rsidRPr="00481594">
        <w:t>geometric mean titres (</w:t>
      </w:r>
      <w:r w:rsidRPr="00481594">
        <w:t>GMTs</w:t>
      </w:r>
      <w:r w:rsidR="001108A1" w:rsidRPr="00481594">
        <w:t>)</w:t>
      </w:r>
      <w:r w:rsidRPr="00481594">
        <w:t xml:space="preserve"> and IgG </w:t>
      </w:r>
      <w:r w:rsidR="001108A1" w:rsidRPr="00481594">
        <w:t>geometric mean concentrations (</w:t>
      </w:r>
      <w:r w:rsidRPr="00481594">
        <w:t>GMCs</w:t>
      </w:r>
      <w:r w:rsidR="001108A1" w:rsidRPr="00481594">
        <w:t>)</w:t>
      </w:r>
      <w:r w:rsidRPr="00481594">
        <w:t xml:space="preserve"> assessed at 30 days postvaccination. Both vaccine formulations were generally well tolerated with a safety profile comparable to Prevnar 13.</w:t>
      </w:r>
    </w:p>
    <w:p w14:paraId="36E5643C" w14:textId="3F595D0C" w:rsidR="00B638B1" w:rsidRPr="00481594" w:rsidRDefault="00B638B1" w:rsidP="00B638B1">
      <w:pPr>
        <w:pStyle w:val="Heading4"/>
      </w:pPr>
      <w:r w:rsidRPr="00481594">
        <w:t xml:space="preserve">Clinical </w:t>
      </w:r>
      <w:r w:rsidR="007A69D4" w:rsidRPr="00481594">
        <w:t>e</w:t>
      </w:r>
      <w:r w:rsidRPr="00481594">
        <w:t>fficacy (formulation proposed for marketing)</w:t>
      </w:r>
    </w:p>
    <w:p w14:paraId="5ED4857F" w14:textId="1A12311B" w:rsidR="00B638B1" w:rsidRPr="00481594" w:rsidRDefault="00B638B1" w:rsidP="00B638B1">
      <w:pPr>
        <w:pStyle w:val="Heading5"/>
      </w:pPr>
      <w:r w:rsidRPr="00481594">
        <w:t>Study V114-019</w:t>
      </w:r>
    </w:p>
    <w:p w14:paraId="194319A8" w14:textId="105ECC5B" w:rsidR="00B638B1" w:rsidRPr="00481594" w:rsidRDefault="00B638B1" w:rsidP="00B638B1">
      <w:r w:rsidRPr="00481594">
        <w:t>Study V114-019 was a multicentre, randomised, active controlled, parallel group, double</w:t>
      </w:r>
      <w:r w:rsidR="007A69D4" w:rsidRPr="00481594">
        <w:t xml:space="preserve"> </w:t>
      </w:r>
      <w:r w:rsidRPr="00481594">
        <w:t xml:space="preserve">blind study which evaluated safety and immunogenicity of </w:t>
      </w:r>
      <w:proofErr w:type="spellStart"/>
      <w:r w:rsidR="00D70019" w:rsidRPr="00481594">
        <w:t>Vaxneuvance</w:t>
      </w:r>
      <w:proofErr w:type="spellEnd"/>
      <w:r w:rsidR="00D70019" w:rsidRPr="00481594">
        <w:t xml:space="preserve"> </w:t>
      </w:r>
      <w:r w:rsidRPr="00481594">
        <w:t>in adults 50</w:t>
      </w:r>
      <w:r w:rsidR="00D70019" w:rsidRPr="00481594">
        <w:t> </w:t>
      </w:r>
      <w:r w:rsidRPr="00481594">
        <w:t xml:space="preserve">years of age </w:t>
      </w:r>
      <w:r w:rsidR="00841429" w:rsidRPr="00481594">
        <w:t xml:space="preserve">and older </w:t>
      </w:r>
      <w:r w:rsidRPr="00481594">
        <w:t>who had no history of invasive pneumococcal disease</w:t>
      </w:r>
      <w:r w:rsidR="00C63499" w:rsidRPr="00481594">
        <w:t xml:space="preserve"> </w:t>
      </w:r>
      <w:r w:rsidRPr="00481594">
        <w:t>or prior administration of any pneumococcal vaccine.</w:t>
      </w:r>
    </w:p>
    <w:p w14:paraId="3E3BFCED" w14:textId="4EBC6588" w:rsidR="00B638B1" w:rsidRPr="00481594" w:rsidRDefault="00B638B1" w:rsidP="00B638B1">
      <w:r w:rsidRPr="00481594">
        <w:t xml:space="preserve">In terms of overall study design, </w:t>
      </w:r>
      <w:r w:rsidR="007A69D4" w:rsidRPr="00481594">
        <w:t>approximate</w:t>
      </w:r>
      <w:r w:rsidR="001C5DCA" w:rsidRPr="00481594">
        <w:t>ly</w:t>
      </w:r>
      <w:r w:rsidR="007A69D4" w:rsidRPr="00481594">
        <w:t xml:space="preserve"> </w:t>
      </w:r>
      <w:r w:rsidRPr="00481594">
        <w:t xml:space="preserve">1200 individuals were to be randomly assigned in a 1:1 ratio to receive either </w:t>
      </w:r>
      <w:proofErr w:type="spellStart"/>
      <w:r w:rsidR="00D70019" w:rsidRPr="00481594">
        <w:t>Vaxneuvance</w:t>
      </w:r>
      <w:proofErr w:type="spellEnd"/>
      <w:r w:rsidR="00D70019" w:rsidRPr="00481594">
        <w:t xml:space="preserve"> </w:t>
      </w:r>
      <w:r w:rsidRPr="00481594">
        <w:t>(600 subjects) or Prevnar 13 (600</w:t>
      </w:r>
      <w:r w:rsidR="00D70019" w:rsidRPr="00481594">
        <w:t> </w:t>
      </w:r>
      <w:r w:rsidRPr="00481594">
        <w:t>subjects) at visit 1 (</w:t>
      </w:r>
      <w:r w:rsidR="007A69D4" w:rsidRPr="00481594">
        <w:t>D</w:t>
      </w:r>
      <w:r w:rsidRPr="00481594">
        <w:t>ay 1).</w:t>
      </w:r>
      <w:r w:rsidR="00173B1B" w:rsidRPr="00481594">
        <w:t xml:space="preserve"> </w:t>
      </w:r>
      <w:r w:rsidRPr="00481594">
        <w:t>Randomisation was stratified by participant age and at least 800 subjects were to be 65 years of age</w:t>
      </w:r>
      <w:r w:rsidR="00841429" w:rsidRPr="00481594">
        <w:t xml:space="preserve"> and older</w:t>
      </w:r>
      <w:r w:rsidRPr="00481594">
        <w:t>.</w:t>
      </w:r>
    </w:p>
    <w:p w14:paraId="1E62E119" w14:textId="3A4BD7FE" w:rsidR="00B638B1" w:rsidRPr="00481594" w:rsidRDefault="00B638B1" w:rsidP="00B638B1">
      <w:r w:rsidRPr="00481594">
        <w:t xml:space="preserve">Study </w:t>
      </w:r>
      <w:r w:rsidR="009F0415" w:rsidRPr="00481594">
        <w:t xml:space="preserve">V114-019 </w:t>
      </w:r>
      <w:r w:rsidR="00603CA4" w:rsidRPr="00481594">
        <w:t xml:space="preserve">objectives and endpoints </w:t>
      </w:r>
      <w:r w:rsidRPr="00481594">
        <w:t xml:space="preserve">are described in </w:t>
      </w:r>
      <w:r w:rsidR="00EE47AB" w:rsidRPr="00481594">
        <w:fldChar w:fldCharType="begin"/>
      </w:r>
      <w:r w:rsidR="00EE47AB" w:rsidRPr="00481594">
        <w:instrText xml:space="preserve"> REF _Ref108803169 \h </w:instrText>
      </w:r>
      <w:r w:rsidR="00481594">
        <w:instrText xml:space="preserve"> \* MERGEFORMAT </w:instrText>
      </w:r>
      <w:r w:rsidR="00EE47AB" w:rsidRPr="00481594">
        <w:fldChar w:fldCharType="separate"/>
      </w:r>
      <w:r w:rsidR="00190330" w:rsidRPr="00481594">
        <w:t xml:space="preserve">Table </w:t>
      </w:r>
      <w:r w:rsidR="00190330">
        <w:rPr>
          <w:noProof/>
        </w:rPr>
        <w:t>3</w:t>
      </w:r>
      <w:r w:rsidR="00EE47AB" w:rsidRPr="00481594">
        <w:fldChar w:fldCharType="end"/>
      </w:r>
      <w:r w:rsidR="00216983" w:rsidRPr="00481594">
        <w:t>.</w:t>
      </w:r>
    </w:p>
    <w:p w14:paraId="3038095E" w14:textId="1BD149AB" w:rsidR="00EE47AB" w:rsidRPr="00481594" w:rsidRDefault="00EE47AB" w:rsidP="00626CC0">
      <w:pPr>
        <w:pStyle w:val="TableTitle"/>
      </w:pPr>
      <w:bookmarkStart w:id="42" w:name="_Ref108803169"/>
      <w:r w:rsidRPr="00481594">
        <w:t xml:space="preserve">Table </w:t>
      </w:r>
      <w:r w:rsidRPr="00481594">
        <w:fldChar w:fldCharType="begin"/>
      </w:r>
      <w:r w:rsidRPr="00481594">
        <w:instrText>SEQ Table \* ARABIC</w:instrText>
      </w:r>
      <w:r w:rsidRPr="00481594">
        <w:fldChar w:fldCharType="separate"/>
      </w:r>
      <w:r w:rsidR="00190330">
        <w:rPr>
          <w:noProof/>
        </w:rPr>
        <w:t>3</w:t>
      </w:r>
      <w:r w:rsidRPr="00481594">
        <w:fldChar w:fldCharType="end"/>
      </w:r>
      <w:bookmarkEnd w:id="42"/>
      <w:r w:rsidRPr="00481594">
        <w:t xml:space="preserve">: Study </w:t>
      </w:r>
      <w:r w:rsidR="00040793" w:rsidRPr="00481594">
        <w:t>V114-019</w:t>
      </w:r>
      <w:r w:rsidRPr="00481594">
        <w:t xml:space="preserve"> Objectives </w:t>
      </w:r>
      <w:r w:rsidR="00F61308" w:rsidRPr="00481594">
        <w:t>and endpoints</w:t>
      </w:r>
    </w:p>
    <w:p w14:paraId="684D644B" w14:textId="1764E0E1" w:rsidR="00EE47AB" w:rsidRPr="00481594" w:rsidRDefault="00EE47AB" w:rsidP="00626CC0">
      <w:pPr>
        <w:rPr>
          <w:lang w:eastAsia="ja-JP"/>
        </w:rPr>
      </w:pPr>
      <w:r w:rsidRPr="00481594">
        <w:rPr>
          <w:noProof/>
          <w:lang w:val="en-GB" w:eastAsia="en-GB"/>
        </w:rPr>
        <w:drawing>
          <wp:inline distT="0" distB="0" distL="0" distR="0" wp14:anchorId="7EB32842" wp14:editId="1BC41ADF">
            <wp:extent cx="5048250" cy="4559300"/>
            <wp:effectExtent l="0" t="0" r="0" b="0"/>
            <wp:docPr id="75" name="Picture 75" descr="Table 3: Study V114-019 Objectives and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able 3: Study V114-019 Objectives and endpoint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8250" cy="4559300"/>
                    </a:xfrm>
                    <a:prstGeom prst="rect">
                      <a:avLst/>
                    </a:prstGeom>
                    <a:noFill/>
                    <a:ln>
                      <a:noFill/>
                    </a:ln>
                  </pic:spPr>
                </pic:pic>
              </a:graphicData>
            </a:graphic>
          </wp:inline>
        </w:drawing>
      </w:r>
    </w:p>
    <w:p w14:paraId="5FF7BDB1" w14:textId="516F265C" w:rsidR="009162D5" w:rsidRPr="00481594" w:rsidRDefault="00216983" w:rsidP="00320001">
      <w:pPr>
        <w:pStyle w:val="TableDescription"/>
        <w:rPr>
          <w:lang w:eastAsia="ja-JP"/>
        </w:rPr>
      </w:pPr>
      <w:r w:rsidRPr="00481594">
        <w:rPr>
          <w:lang w:eastAsia="ja-JP"/>
        </w:rPr>
        <w:t xml:space="preserve">Abbreviations: </w:t>
      </w:r>
      <w:r w:rsidR="00320001" w:rsidRPr="00481594">
        <w:rPr>
          <w:lang w:eastAsia="ja-JP"/>
        </w:rPr>
        <w:t>AE = adverse event; CI = confidence interval; GMT = geometric mean titre; H</w:t>
      </w:r>
      <w:r w:rsidRPr="00481594">
        <w:rPr>
          <w:lang w:eastAsia="ja-JP"/>
        </w:rPr>
        <w:t> </w:t>
      </w:r>
      <w:r w:rsidR="00320001" w:rsidRPr="00481594">
        <w:rPr>
          <w:lang w:eastAsia="ja-JP"/>
        </w:rPr>
        <w:t>=</w:t>
      </w:r>
      <w:r w:rsidRPr="00481594">
        <w:rPr>
          <w:lang w:eastAsia="ja-JP"/>
        </w:rPr>
        <w:t> </w:t>
      </w:r>
      <w:r w:rsidR="00320001" w:rsidRPr="00481594">
        <w:rPr>
          <w:lang w:eastAsia="ja-JP"/>
        </w:rPr>
        <w:t>hypothesis; OPA =</w:t>
      </w:r>
      <w:r w:rsidR="00320001" w:rsidRPr="00481594">
        <w:t xml:space="preserve"> opsonophagocytic activity; </w:t>
      </w:r>
      <w:r w:rsidR="009162D5" w:rsidRPr="00481594">
        <w:rPr>
          <w:lang w:eastAsia="ja-JP"/>
        </w:rPr>
        <w:t>SAE =</w:t>
      </w:r>
      <w:r w:rsidR="00320001" w:rsidRPr="00481594">
        <w:rPr>
          <w:lang w:eastAsia="ja-JP"/>
        </w:rPr>
        <w:t xml:space="preserve"> serious adverse event; V114 = sponsor’s product development code for </w:t>
      </w:r>
      <w:proofErr w:type="spellStart"/>
      <w:r w:rsidR="00320001" w:rsidRPr="00481594">
        <w:rPr>
          <w:lang w:eastAsia="ja-JP"/>
        </w:rPr>
        <w:t>Vaxneuvance</w:t>
      </w:r>
      <w:proofErr w:type="spellEnd"/>
      <w:r w:rsidR="00320001" w:rsidRPr="00481594">
        <w:rPr>
          <w:lang w:eastAsia="ja-JP"/>
        </w:rPr>
        <w:t>.</w:t>
      </w:r>
    </w:p>
    <w:p w14:paraId="2495BD2D" w14:textId="502D54DC" w:rsidR="00F61308" w:rsidRPr="00481594" w:rsidRDefault="00F61308" w:rsidP="00626CC0">
      <w:pPr>
        <w:pStyle w:val="TableTitle"/>
      </w:pPr>
      <w:r w:rsidRPr="00481594">
        <w:lastRenderedPageBreak/>
        <w:fldChar w:fldCharType="begin"/>
      </w:r>
      <w:r w:rsidRPr="00481594">
        <w:instrText xml:space="preserve"> REF _Ref108803169 \h  \* MERGEFORMAT </w:instrText>
      </w:r>
      <w:r w:rsidRPr="00481594">
        <w:fldChar w:fldCharType="separate"/>
      </w:r>
      <w:r w:rsidR="00190330" w:rsidRPr="00481594">
        <w:t xml:space="preserve">Table </w:t>
      </w:r>
      <w:r w:rsidR="00190330">
        <w:t>3</w:t>
      </w:r>
      <w:r w:rsidRPr="00481594">
        <w:fldChar w:fldCharType="end"/>
      </w:r>
      <w:r w:rsidRPr="00481594">
        <w:t xml:space="preserve"> continued: Study </w:t>
      </w:r>
      <w:r w:rsidR="00040793" w:rsidRPr="00481594">
        <w:t>V114-019</w:t>
      </w:r>
      <w:r w:rsidRPr="00481594">
        <w:t xml:space="preserve"> Objectives and endpoints</w:t>
      </w:r>
    </w:p>
    <w:p w14:paraId="660A5141" w14:textId="06991F5E" w:rsidR="00EE47AB" w:rsidRPr="00481594" w:rsidRDefault="00EE47AB" w:rsidP="00626CC0">
      <w:pPr>
        <w:rPr>
          <w:lang w:eastAsia="ja-JP"/>
        </w:rPr>
      </w:pPr>
      <w:r w:rsidRPr="00481594">
        <w:rPr>
          <w:noProof/>
          <w:lang w:val="en-GB" w:eastAsia="en-GB"/>
        </w:rPr>
        <w:drawing>
          <wp:inline distT="0" distB="0" distL="0" distR="0" wp14:anchorId="16A81056" wp14:editId="2DC6F8C9">
            <wp:extent cx="5073650" cy="7048500"/>
            <wp:effectExtent l="0" t="0" r="0" b="0"/>
            <wp:docPr id="76" name="Picture 76" descr="Table 3 continued: Study V114-019 Objectives and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able 3 continued: Study V114-019 Objectives and endpoint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73650" cy="7048500"/>
                    </a:xfrm>
                    <a:prstGeom prst="rect">
                      <a:avLst/>
                    </a:prstGeom>
                    <a:noFill/>
                    <a:ln>
                      <a:noFill/>
                    </a:ln>
                  </pic:spPr>
                </pic:pic>
              </a:graphicData>
            </a:graphic>
          </wp:inline>
        </w:drawing>
      </w:r>
    </w:p>
    <w:p w14:paraId="0C3F6858" w14:textId="4FB17C3B" w:rsidR="009162D5" w:rsidRPr="00481594" w:rsidRDefault="00216983" w:rsidP="00320001">
      <w:pPr>
        <w:pStyle w:val="TableDescription"/>
        <w:rPr>
          <w:lang w:eastAsia="ja-JP"/>
        </w:rPr>
      </w:pPr>
      <w:r w:rsidRPr="00481594">
        <w:rPr>
          <w:lang w:eastAsia="ja-JP"/>
        </w:rPr>
        <w:t xml:space="preserve">Abbreviations: </w:t>
      </w:r>
      <w:r w:rsidR="009162D5" w:rsidRPr="00481594">
        <w:rPr>
          <w:lang w:eastAsia="ja-JP"/>
        </w:rPr>
        <w:t>CI =</w:t>
      </w:r>
      <w:r w:rsidR="00320001" w:rsidRPr="00481594">
        <w:rPr>
          <w:lang w:eastAsia="ja-JP"/>
        </w:rPr>
        <w:t xml:space="preserve"> confidence interval; GMT = geometric mean titre; </w:t>
      </w:r>
      <w:r w:rsidR="009162D5" w:rsidRPr="00481594">
        <w:rPr>
          <w:lang w:eastAsia="ja-JP"/>
        </w:rPr>
        <w:t>H =</w:t>
      </w:r>
      <w:r w:rsidR="00320001" w:rsidRPr="00481594">
        <w:rPr>
          <w:lang w:eastAsia="ja-JP"/>
        </w:rPr>
        <w:t xml:space="preserve"> hypothesis; OPA = </w:t>
      </w:r>
      <w:r w:rsidR="00320001" w:rsidRPr="00481594">
        <w:t xml:space="preserve">opsonophagocytic activity; </w:t>
      </w:r>
      <w:r w:rsidR="009162D5" w:rsidRPr="00481594">
        <w:rPr>
          <w:lang w:eastAsia="ja-JP"/>
        </w:rPr>
        <w:t>V114 =</w:t>
      </w:r>
      <w:r w:rsidR="00320001" w:rsidRPr="00481594">
        <w:rPr>
          <w:lang w:eastAsia="ja-JP"/>
        </w:rPr>
        <w:t xml:space="preserve"> sponsor’s product development code for </w:t>
      </w:r>
      <w:proofErr w:type="spellStart"/>
      <w:r w:rsidR="00320001" w:rsidRPr="00481594">
        <w:rPr>
          <w:lang w:eastAsia="ja-JP"/>
        </w:rPr>
        <w:t>Vaxneuvance</w:t>
      </w:r>
      <w:proofErr w:type="spellEnd"/>
      <w:r w:rsidR="00320001" w:rsidRPr="00481594">
        <w:rPr>
          <w:lang w:eastAsia="ja-JP"/>
        </w:rPr>
        <w:t>.</w:t>
      </w:r>
    </w:p>
    <w:p w14:paraId="5DD7D221" w14:textId="5249797D" w:rsidR="00F61308" w:rsidRPr="00481594" w:rsidRDefault="00F61308" w:rsidP="00626CC0">
      <w:pPr>
        <w:pStyle w:val="TableTitle"/>
      </w:pPr>
      <w:r w:rsidRPr="00481594">
        <w:lastRenderedPageBreak/>
        <w:fldChar w:fldCharType="begin"/>
      </w:r>
      <w:r w:rsidRPr="00481594">
        <w:instrText xml:space="preserve"> REF _Ref108803169 \h  \* MERGEFORMAT </w:instrText>
      </w:r>
      <w:r w:rsidRPr="00481594">
        <w:fldChar w:fldCharType="separate"/>
      </w:r>
      <w:r w:rsidR="00190330" w:rsidRPr="00481594">
        <w:t xml:space="preserve">Table </w:t>
      </w:r>
      <w:r w:rsidR="00190330">
        <w:t>3</w:t>
      </w:r>
      <w:r w:rsidRPr="00481594">
        <w:fldChar w:fldCharType="end"/>
      </w:r>
      <w:r w:rsidRPr="00481594">
        <w:t xml:space="preserve"> continued: Study </w:t>
      </w:r>
      <w:r w:rsidR="00040793" w:rsidRPr="00481594">
        <w:t>V114-019</w:t>
      </w:r>
      <w:r w:rsidRPr="00481594">
        <w:t xml:space="preserve"> Objectives and endpoints</w:t>
      </w:r>
    </w:p>
    <w:p w14:paraId="10F1D2A2" w14:textId="7F538CBB" w:rsidR="00EE47AB" w:rsidRPr="00481594" w:rsidRDefault="00EE47AB" w:rsidP="00626CC0">
      <w:pPr>
        <w:rPr>
          <w:lang w:eastAsia="ja-JP"/>
        </w:rPr>
      </w:pPr>
      <w:r w:rsidRPr="00481594">
        <w:rPr>
          <w:noProof/>
          <w:lang w:val="en-GB" w:eastAsia="en-GB"/>
        </w:rPr>
        <w:drawing>
          <wp:inline distT="0" distB="0" distL="0" distR="0" wp14:anchorId="431F2CD6" wp14:editId="153F6C50">
            <wp:extent cx="4997450" cy="5162550"/>
            <wp:effectExtent l="0" t="0" r="0" b="0"/>
            <wp:docPr id="77" name="Picture 77" descr="Table 3 continued: Study V114-019 Objectives and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able 3 continued: Study V114-019 Objectives and endpoint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97450" cy="5162550"/>
                    </a:xfrm>
                    <a:prstGeom prst="rect">
                      <a:avLst/>
                    </a:prstGeom>
                    <a:noFill/>
                    <a:ln>
                      <a:noFill/>
                    </a:ln>
                  </pic:spPr>
                </pic:pic>
              </a:graphicData>
            </a:graphic>
          </wp:inline>
        </w:drawing>
      </w:r>
    </w:p>
    <w:p w14:paraId="434AE1B0" w14:textId="29321247" w:rsidR="009162D5" w:rsidRPr="00481594" w:rsidRDefault="00216983" w:rsidP="003B32D6">
      <w:pPr>
        <w:pStyle w:val="TableDescription"/>
        <w:rPr>
          <w:lang w:eastAsia="ja-JP"/>
        </w:rPr>
      </w:pPr>
      <w:r w:rsidRPr="00481594">
        <w:rPr>
          <w:lang w:eastAsia="ja-JP"/>
        </w:rPr>
        <w:t xml:space="preserve">Abbreviations: </w:t>
      </w:r>
      <w:r w:rsidR="00320001" w:rsidRPr="00481594">
        <w:rPr>
          <w:lang w:eastAsia="ja-JP"/>
        </w:rPr>
        <w:t>CI = confidence interval; GMFR =</w:t>
      </w:r>
      <w:r w:rsidR="00320001" w:rsidRPr="00481594">
        <w:t xml:space="preserve"> </w:t>
      </w:r>
      <w:r w:rsidR="00320001" w:rsidRPr="00481594">
        <w:rPr>
          <w:lang w:eastAsia="ja-JP"/>
        </w:rPr>
        <w:t xml:space="preserve">geometric mean fold rise; H = hypothesis; IgG = immunoglobulin G; </w:t>
      </w:r>
      <w:r w:rsidR="003B32D6" w:rsidRPr="00481594">
        <w:rPr>
          <w:lang w:eastAsia="ja-JP"/>
        </w:rPr>
        <w:t>OPA =</w:t>
      </w:r>
      <w:r w:rsidR="003B32D6" w:rsidRPr="00481594">
        <w:t xml:space="preserve"> opsonophagocytic activity; </w:t>
      </w:r>
      <w:r w:rsidR="009162D5" w:rsidRPr="00481594">
        <w:rPr>
          <w:lang w:eastAsia="ja-JP"/>
        </w:rPr>
        <w:t>V114 =</w:t>
      </w:r>
      <w:r w:rsidR="00320001" w:rsidRPr="00481594">
        <w:rPr>
          <w:lang w:eastAsia="ja-JP"/>
        </w:rPr>
        <w:t xml:space="preserve"> sponsor’s product development code for </w:t>
      </w:r>
      <w:proofErr w:type="spellStart"/>
      <w:r w:rsidR="00320001" w:rsidRPr="00481594">
        <w:rPr>
          <w:lang w:eastAsia="ja-JP"/>
        </w:rPr>
        <w:t>Vaxneuvance</w:t>
      </w:r>
      <w:proofErr w:type="spellEnd"/>
      <w:r w:rsidR="003B32D6" w:rsidRPr="00481594">
        <w:rPr>
          <w:lang w:eastAsia="ja-JP"/>
        </w:rPr>
        <w:t>.</w:t>
      </w:r>
    </w:p>
    <w:p w14:paraId="73094EF8" w14:textId="77777777" w:rsidR="00B638B1" w:rsidRPr="00481594" w:rsidRDefault="00B638B1" w:rsidP="00B638B1">
      <w:r w:rsidRPr="00481594">
        <w:t>Immunogenicity responses assessed were:</w:t>
      </w:r>
    </w:p>
    <w:p w14:paraId="249C6C10" w14:textId="301F78E8" w:rsidR="00B638B1" w:rsidRPr="00481594" w:rsidRDefault="00B638B1" w:rsidP="009F0415">
      <w:pPr>
        <w:pStyle w:val="ListBullet"/>
      </w:pPr>
      <w:r w:rsidRPr="00481594">
        <w:t>serotype</w:t>
      </w:r>
      <w:r w:rsidR="009F0415" w:rsidRPr="00481594">
        <w:t xml:space="preserve"> </w:t>
      </w:r>
      <w:r w:rsidRPr="00481594">
        <w:t>specific OPA GMT ratios (</w:t>
      </w:r>
      <w:proofErr w:type="spellStart"/>
      <w:r w:rsidR="00216983" w:rsidRPr="00481594">
        <w:t>Vaxneuvance</w:t>
      </w:r>
      <w:proofErr w:type="spellEnd"/>
      <w:r w:rsidRPr="00481594">
        <w:t>/Prevnar 13)</w:t>
      </w:r>
    </w:p>
    <w:p w14:paraId="52623D1E" w14:textId="40D8E7B6" w:rsidR="00B638B1" w:rsidRPr="00481594" w:rsidRDefault="00B638B1" w:rsidP="009F0415">
      <w:pPr>
        <w:pStyle w:val="ListBullet"/>
      </w:pPr>
      <w:r w:rsidRPr="00481594">
        <w:t xml:space="preserve">proportions of subjects with </w:t>
      </w:r>
      <w:r w:rsidR="00841429" w:rsidRPr="00481594">
        <w:t>at least</w:t>
      </w:r>
      <w:r w:rsidR="009F0415" w:rsidRPr="00481594">
        <w:t xml:space="preserve"> </w:t>
      </w:r>
      <w:r w:rsidRPr="00481594">
        <w:t>4-fold rise from pre-vaccination to 30 days post</w:t>
      </w:r>
      <w:r w:rsidR="009F0415" w:rsidRPr="00481594">
        <w:noBreakHyphen/>
      </w:r>
      <w:r w:rsidRPr="00481594">
        <w:t>vaccination for OPA responses.</w:t>
      </w:r>
    </w:p>
    <w:p w14:paraId="1DCF9B37" w14:textId="15AF9D65" w:rsidR="00B638B1" w:rsidRPr="00481594" w:rsidRDefault="00B638B1" w:rsidP="00B638B1">
      <w:r w:rsidRPr="00481594">
        <w:t>The statistical criterion for non-inferiority for the 13 shared serotypes and superiority for 2</w:t>
      </w:r>
      <w:r w:rsidR="009F0415" w:rsidRPr="00481594">
        <w:t> </w:t>
      </w:r>
      <w:r w:rsidRPr="00481594">
        <w:t xml:space="preserve">unique serotypes in </w:t>
      </w:r>
      <w:proofErr w:type="spellStart"/>
      <w:r w:rsidR="00216983" w:rsidRPr="00481594">
        <w:t>Vaxneuvance</w:t>
      </w:r>
      <w:proofErr w:type="spellEnd"/>
      <w:r w:rsidR="00216983" w:rsidRPr="00481594">
        <w:t xml:space="preserve"> </w:t>
      </w:r>
      <w:r w:rsidRPr="00481594">
        <w:t xml:space="preserve">require the lower bound of the 2-sided 95% </w:t>
      </w:r>
      <w:r w:rsidR="001108A1" w:rsidRPr="00481594">
        <w:t>confidence interval (</w:t>
      </w:r>
      <w:r w:rsidRPr="00481594">
        <w:t>CI</w:t>
      </w:r>
      <w:r w:rsidR="001108A1" w:rsidRPr="00481594">
        <w:t>)</w:t>
      </w:r>
      <w:r w:rsidRPr="00481594">
        <w:t xml:space="preserve"> of the OPA GMT ratio (</w:t>
      </w:r>
      <w:proofErr w:type="spellStart"/>
      <w:r w:rsidR="00216983" w:rsidRPr="00481594">
        <w:t>Vaxneuvance</w:t>
      </w:r>
      <w:proofErr w:type="spellEnd"/>
      <w:r w:rsidRPr="00481594">
        <w:t xml:space="preserve">/Prevnar 13) to be </w:t>
      </w:r>
      <w:r w:rsidR="00841429" w:rsidRPr="00481594">
        <w:t>greater than</w:t>
      </w:r>
      <w:r w:rsidR="009F0415" w:rsidRPr="00481594">
        <w:t xml:space="preserve"> </w:t>
      </w:r>
      <w:r w:rsidRPr="00481594">
        <w:t xml:space="preserve">0.50 and </w:t>
      </w:r>
      <w:r w:rsidR="00841429" w:rsidRPr="00481594">
        <w:t>greater than</w:t>
      </w:r>
      <w:r w:rsidR="009F0415" w:rsidRPr="00481594">
        <w:t xml:space="preserve"> </w:t>
      </w:r>
      <w:r w:rsidRPr="00481594">
        <w:t>2.0, respectively. The statistical criterion for superiority for serotype 3 requires the lower bound of the 2-sided 95% CI of the OPA GMT ratio (</w:t>
      </w:r>
      <w:proofErr w:type="spellStart"/>
      <w:r w:rsidR="00216983" w:rsidRPr="00481594">
        <w:t>Vaxneuvance</w:t>
      </w:r>
      <w:proofErr w:type="spellEnd"/>
      <w:r w:rsidRPr="00481594">
        <w:t xml:space="preserve">/Prevnar 13) to be </w:t>
      </w:r>
      <w:r w:rsidR="00841429" w:rsidRPr="00481594">
        <w:t>greater than</w:t>
      </w:r>
      <w:r w:rsidR="009F0415" w:rsidRPr="00481594">
        <w:t xml:space="preserve"> </w:t>
      </w:r>
      <w:r w:rsidRPr="00481594">
        <w:t>1.2. The statistical criterion for superiority requires the lower bound of the 2-sided 95% of a difference between the vaccines in the proportion of participants with a</w:t>
      </w:r>
      <w:r w:rsidR="007F232D">
        <w:t>n</w:t>
      </w:r>
      <w:r w:rsidRPr="00481594">
        <w:t xml:space="preserve"> </w:t>
      </w:r>
      <w:r w:rsidR="00841429" w:rsidRPr="00481594">
        <w:t xml:space="preserve">at least </w:t>
      </w:r>
      <w:r w:rsidRPr="00481594">
        <w:t>4-fold</w:t>
      </w:r>
      <w:r w:rsidR="00320001" w:rsidRPr="00481594">
        <w:t xml:space="preserve"> </w:t>
      </w:r>
      <w:r w:rsidRPr="00481594">
        <w:t xml:space="preserve">rise in OPA response to be </w:t>
      </w:r>
      <w:r w:rsidR="00841429" w:rsidRPr="00481594">
        <w:t>greater than</w:t>
      </w:r>
      <w:r w:rsidR="009F0415" w:rsidRPr="00481594">
        <w:t xml:space="preserve"> </w:t>
      </w:r>
      <w:r w:rsidRPr="00481594">
        <w:t xml:space="preserve">0.1 for the serotypes unique to </w:t>
      </w:r>
      <w:proofErr w:type="spellStart"/>
      <w:r w:rsidR="00216983" w:rsidRPr="00481594">
        <w:t>Vaxneuvance</w:t>
      </w:r>
      <w:proofErr w:type="spellEnd"/>
      <w:r w:rsidR="00216983" w:rsidRPr="00481594">
        <w:t xml:space="preserve"> </w:t>
      </w:r>
      <w:r w:rsidRPr="00481594">
        <w:t xml:space="preserve">and </w:t>
      </w:r>
      <w:r w:rsidR="00216983" w:rsidRPr="00481594">
        <w:t>above zero</w:t>
      </w:r>
      <w:r w:rsidRPr="00481594">
        <w:t xml:space="preserve"> for serotype 3.</w:t>
      </w:r>
    </w:p>
    <w:p w14:paraId="4082555D" w14:textId="037BD2C2" w:rsidR="00B638B1" w:rsidRPr="00481594" w:rsidRDefault="00B638B1" w:rsidP="00B638B1">
      <w:r w:rsidRPr="00481594">
        <w:t xml:space="preserve">A total of 602 subjects were in the </w:t>
      </w:r>
      <w:proofErr w:type="spellStart"/>
      <w:r w:rsidR="00216983" w:rsidRPr="00481594">
        <w:t>Vaxneuvance</w:t>
      </w:r>
      <w:proofErr w:type="spellEnd"/>
      <w:r w:rsidR="00216983" w:rsidRPr="00481594">
        <w:t xml:space="preserve"> </w:t>
      </w:r>
      <w:r w:rsidRPr="00481594">
        <w:t xml:space="preserve">per protocol population and 600 subjects in the Prevnar 13 were randomised and 598 subjects in each group were in the per protocol population. Subject characteristics are summarised in </w:t>
      </w:r>
      <w:r w:rsidR="009F0415" w:rsidRPr="00481594">
        <w:fldChar w:fldCharType="begin"/>
      </w:r>
      <w:r w:rsidR="009F0415" w:rsidRPr="00481594">
        <w:instrText xml:space="preserve"> REF _Ref108005226 \h </w:instrText>
      </w:r>
      <w:r w:rsidR="0044374C" w:rsidRPr="00481594">
        <w:instrText xml:space="preserve"> \* MERGEFORMAT </w:instrText>
      </w:r>
      <w:r w:rsidR="009F0415" w:rsidRPr="00481594">
        <w:fldChar w:fldCharType="separate"/>
      </w:r>
      <w:r w:rsidR="00190330" w:rsidRPr="00481594">
        <w:t xml:space="preserve">Table </w:t>
      </w:r>
      <w:r w:rsidR="00190330">
        <w:rPr>
          <w:noProof/>
        </w:rPr>
        <w:t>4</w:t>
      </w:r>
      <w:r w:rsidR="009F0415" w:rsidRPr="00481594">
        <w:fldChar w:fldCharType="end"/>
      </w:r>
      <w:r w:rsidR="009F0415" w:rsidRPr="00481594">
        <w:t xml:space="preserve"> below</w:t>
      </w:r>
      <w:r w:rsidRPr="00481594">
        <w:t xml:space="preserve">. </w:t>
      </w:r>
      <w:r w:rsidRPr="00481594">
        <w:lastRenderedPageBreak/>
        <w:t>Demographic characteristics were generally comparable for the treatment groups. The median age of patients being 66 years (range 50</w:t>
      </w:r>
      <w:r w:rsidR="009F0415" w:rsidRPr="00481594">
        <w:t xml:space="preserve"> to </w:t>
      </w:r>
      <w:r w:rsidRPr="00481594">
        <w:t xml:space="preserve">92 years) and </w:t>
      </w:r>
      <w:r w:rsidR="001C5DCA" w:rsidRPr="00481594">
        <w:t>approximately</w:t>
      </w:r>
      <w:r w:rsidR="009F0415" w:rsidRPr="00481594">
        <w:t xml:space="preserve"> </w:t>
      </w:r>
      <w:r w:rsidRPr="00481594">
        <w:t xml:space="preserve">69% were over 65 years of age and 12% over 75 years of age. </w:t>
      </w:r>
      <w:proofErr w:type="gramStart"/>
      <w:r w:rsidRPr="00481594">
        <w:t>The majority of</w:t>
      </w:r>
      <w:proofErr w:type="gramEnd"/>
      <w:r w:rsidRPr="00481594">
        <w:t xml:space="preserve"> subjects were female, White and of non-Hispanic or Latino ethnicity. Past medical histories were broadly comparable across intervention groups.</w:t>
      </w:r>
    </w:p>
    <w:p w14:paraId="37A255C4" w14:textId="0CCB10E2" w:rsidR="009F0415" w:rsidRPr="00481594" w:rsidRDefault="009F0415" w:rsidP="00626CC0">
      <w:pPr>
        <w:pStyle w:val="TableTitle"/>
      </w:pPr>
      <w:bookmarkStart w:id="43" w:name="_Ref108005226"/>
      <w:r w:rsidRPr="00481594">
        <w:t xml:space="preserve">Table </w:t>
      </w:r>
      <w:r w:rsidRPr="00481594">
        <w:fldChar w:fldCharType="begin"/>
      </w:r>
      <w:r w:rsidRPr="00481594">
        <w:instrText>SEQ Table \* ARABIC</w:instrText>
      </w:r>
      <w:r w:rsidRPr="00481594">
        <w:fldChar w:fldCharType="separate"/>
      </w:r>
      <w:r w:rsidR="00190330">
        <w:rPr>
          <w:noProof/>
        </w:rPr>
        <w:t>4</w:t>
      </w:r>
      <w:r w:rsidRPr="00481594">
        <w:fldChar w:fldCharType="end"/>
      </w:r>
      <w:bookmarkEnd w:id="43"/>
      <w:r w:rsidRPr="00481594">
        <w:t>: Study V114-019 Subject characteristics</w:t>
      </w:r>
    </w:p>
    <w:p w14:paraId="032A9E41" w14:textId="150BE29A" w:rsidR="009F0415" w:rsidRPr="00481594" w:rsidRDefault="009F0415" w:rsidP="00626CC0">
      <w:r w:rsidRPr="00481594">
        <w:rPr>
          <w:noProof/>
          <w:lang w:val="en-GB" w:eastAsia="en-GB"/>
        </w:rPr>
        <w:drawing>
          <wp:inline distT="0" distB="0" distL="0" distR="0" wp14:anchorId="7CD37D1C" wp14:editId="2917D9D5">
            <wp:extent cx="5349875" cy="4280007"/>
            <wp:effectExtent l="0" t="0" r="3175" b="6350"/>
            <wp:docPr id="1" name="Picture 1" descr="Table 4: Study V114-019 Subjec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 4: Study V114-019 Subject characteristics"/>
                    <pic:cNvPicPr/>
                  </pic:nvPicPr>
                  <pic:blipFill rotWithShape="1">
                    <a:blip r:embed="rId24"/>
                    <a:srcRect b="3975"/>
                    <a:stretch/>
                  </pic:blipFill>
                  <pic:spPr bwMode="auto">
                    <a:xfrm>
                      <a:off x="0" y="0"/>
                      <a:ext cx="5356313" cy="4285158"/>
                    </a:xfrm>
                    <a:prstGeom prst="rect">
                      <a:avLst/>
                    </a:prstGeom>
                    <a:ln>
                      <a:noFill/>
                    </a:ln>
                    <a:extLst>
                      <a:ext uri="{53640926-AAD7-44D8-BBD7-CCE9431645EC}">
                        <a14:shadowObscured xmlns:a14="http://schemas.microsoft.com/office/drawing/2010/main"/>
                      </a:ext>
                    </a:extLst>
                  </pic:spPr>
                </pic:pic>
              </a:graphicData>
            </a:graphic>
          </wp:inline>
        </w:drawing>
      </w:r>
    </w:p>
    <w:p w14:paraId="56B865D1" w14:textId="1CBB30EF" w:rsidR="009162D5" w:rsidRPr="00481594" w:rsidRDefault="00216983" w:rsidP="00626CC0">
      <w:pPr>
        <w:pStyle w:val="TableDescription"/>
      </w:pPr>
      <w:r w:rsidRPr="00481594">
        <w:t xml:space="preserve">Abbreviations: </w:t>
      </w:r>
      <w:r w:rsidR="009162D5" w:rsidRPr="00481594">
        <w:t>n</w:t>
      </w:r>
      <w:r w:rsidR="003B32D6" w:rsidRPr="00481594">
        <w:t xml:space="preserve"> </w:t>
      </w:r>
      <w:r w:rsidR="009162D5" w:rsidRPr="00481594">
        <w:t>=</w:t>
      </w:r>
      <w:r w:rsidR="003B32D6" w:rsidRPr="00481594">
        <w:t xml:space="preserve"> number of subjects contributing to the analysis; </w:t>
      </w:r>
      <w:r w:rsidR="009162D5" w:rsidRPr="00481594">
        <w:t>SD =</w:t>
      </w:r>
      <w:r w:rsidR="003B32D6" w:rsidRPr="00481594">
        <w:t xml:space="preserve"> standard deviation; </w:t>
      </w:r>
      <w:r w:rsidR="009162D5" w:rsidRPr="00481594">
        <w:t>V114 =</w:t>
      </w:r>
      <w:r w:rsidR="00320001" w:rsidRPr="00481594">
        <w:t xml:space="preserve"> sponsor’s product development code for </w:t>
      </w:r>
      <w:proofErr w:type="spellStart"/>
      <w:r w:rsidR="00320001" w:rsidRPr="00481594">
        <w:t>Vaxneuvance</w:t>
      </w:r>
      <w:proofErr w:type="spellEnd"/>
      <w:r w:rsidR="003B32D6" w:rsidRPr="00481594">
        <w:t>.</w:t>
      </w:r>
    </w:p>
    <w:p w14:paraId="63119618" w14:textId="3DDCD424" w:rsidR="00B638B1" w:rsidRPr="00481594" w:rsidRDefault="00B638B1" w:rsidP="00B638B1">
      <w:r w:rsidRPr="00481594">
        <w:t xml:space="preserve">In terms of the primary immunogenicity results, OPA GMTs at </w:t>
      </w:r>
      <w:r w:rsidR="00C87B92" w:rsidRPr="00481594">
        <w:t>Day</w:t>
      </w:r>
      <w:r w:rsidRPr="00481594">
        <w:t xml:space="preserve"> 30 are presented in</w:t>
      </w:r>
      <w:r w:rsidR="009F0415" w:rsidRPr="00481594">
        <w:t xml:space="preserve"> </w:t>
      </w:r>
      <w:r w:rsidR="009F0415" w:rsidRPr="00481594">
        <w:fldChar w:fldCharType="begin"/>
      </w:r>
      <w:r w:rsidR="009F0415" w:rsidRPr="00481594">
        <w:instrText xml:space="preserve"> REF _Ref108005358 \h </w:instrText>
      </w:r>
      <w:r w:rsidR="0044374C" w:rsidRPr="00481594">
        <w:instrText xml:space="preserve"> \* MERGEFORMAT </w:instrText>
      </w:r>
      <w:r w:rsidR="009F0415" w:rsidRPr="00481594">
        <w:fldChar w:fldCharType="separate"/>
      </w:r>
      <w:r w:rsidR="00190330" w:rsidRPr="00481594">
        <w:t xml:space="preserve">Table </w:t>
      </w:r>
      <w:r w:rsidR="00190330">
        <w:rPr>
          <w:noProof/>
        </w:rPr>
        <w:t>5</w:t>
      </w:r>
      <w:r w:rsidR="009F0415" w:rsidRPr="00481594">
        <w:fldChar w:fldCharType="end"/>
      </w:r>
      <w:r w:rsidRPr="00481594">
        <w:t>. Assessed by serotype</w:t>
      </w:r>
      <w:r w:rsidR="009F0415" w:rsidRPr="00481594">
        <w:t xml:space="preserve"> </w:t>
      </w:r>
      <w:r w:rsidRPr="00481594">
        <w:t xml:space="preserve">specific OPA GMTs ratio at 30 days post-vaccination, </w:t>
      </w:r>
      <w:proofErr w:type="spellStart"/>
      <w:r w:rsidR="00216983" w:rsidRPr="00481594">
        <w:t>Vaxneuvance</w:t>
      </w:r>
      <w:proofErr w:type="spellEnd"/>
      <w:r w:rsidR="00216983" w:rsidRPr="00481594">
        <w:t xml:space="preserve"> </w:t>
      </w:r>
      <w:r w:rsidRPr="00481594">
        <w:t>was found to be non-inferior to Prevnar 13 for the 13 shared serotypes. The lower bound of the 95% CI of the estimated OPA GMT ratio (</w:t>
      </w:r>
      <w:proofErr w:type="spellStart"/>
      <w:r w:rsidR="00216983" w:rsidRPr="00481594">
        <w:t>Vaxneuvance</w:t>
      </w:r>
      <w:proofErr w:type="spellEnd"/>
      <w:r w:rsidRPr="00481594">
        <w:t xml:space="preserve">/Prevnar 13) was </w:t>
      </w:r>
      <w:r w:rsidR="00841429" w:rsidRPr="00481594">
        <w:t>greater than</w:t>
      </w:r>
      <w:r w:rsidR="009F0415" w:rsidRPr="00481594">
        <w:t xml:space="preserve"> </w:t>
      </w:r>
      <w:r w:rsidRPr="00481594">
        <w:t xml:space="preserve">0.5 for all shared serotypes. As expected, </w:t>
      </w:r>
      <w:proofErr w:type="spellStart"/>
      <w:r w:rsidR="00216983" w:rsidRPr="00481594">
        <w:t>Vaxneuvance</w:t>
      </w:r>
      <w:proofErr w:type="spellEnd"/>
      <w:r w:rsidR="00216983" w:rsidRPr="00481594">
        <w:t xml:space="preserve"> </w:t>
      </w:r>
      <w:r w:rsidRPr="00481594">
        <w:t xml:space="preserve">met superiority criteria for the 2 serotypes unique to </w:t>
      </w:r>
      <w:proofErr w:type="spellStart"/>
      <w:r w:rsidR="00216983" w:rsidRPr="00481594">
        <w:t>Vaxneuvance</w:t>
      </w:r>
      <w:proofErr w:type="spellEnd"/>
      <w:r w:rsidRPr="00481594">
        <w:t>, as measured by serotype</w:t>
      </w:r>
      <w:r w:rsidR="009F0415" w:rsidRPr="00481594">
        <w:t xml:space="preserve"> </w:t>
      </w:r>
      <w:r w:rsidRPr="00481594">
        <w:t>specific OPA GMTs at 30 days post-vaccination. The lower bound of the 95% CI of the estimated OPA GMT ratio (</w:t>
      </w:r>
      <w:proofErr w:type="spellStart"/>
      <w:r w:rsidR="00216983" w:rsidRPr="00481594">
        <w:t>Vaxneuvance</w:t>
      </w:r>
      <w:proofErr w:type="spellEnd"/>
      <w:r w:rsidRPr="00481594">
        <w:t xml:space="preserve">/Prevnar 13) was </w:t>
      </w:r>
      <w:r w:rsidR="00841429" w:rsidRPr="00481594">
        <w:t>greater than</w:t>
      </w:r>
      <w:r w:rsidR="009F0415" w:rsidRPr="00481594">
        <w:t xml:space="preserve"> </w:t>
      </w:r>
      <w:r w:rsidRPr="00481594">
        <w:t>2.0 for both unique serotypes (</w:t>
      </w:r>
      <w:r w:rsidR="009F0415" w:rsidRPr="00481594">
        <w:fldChar w:fldCharType="begin"/>
      </w:r>
      <w:r w:rsidR="009F0415" w:rsidRPr="00481594">
        <w:instrText xml:space="preserve"> REF _Ref108005358 \h </w:instrText>
      </w:r>
      <w:r w:rsidR="0044374C" w:rsidRPr="00481594">
        <w:instrText xml:space="preserve"> \* MERGEFORMAT </w:instrText>
      </w:r>
      <w:r w:rsidR="009F0415" w:rsidRPr="00481594">
        <w:fldChar w:fldCharType="separate"/>
      </w:r>
      <w:r w:rsidR="00190330" w:rsidRPr="00481594">
        <w:t xml:space="preserve">Table </w:t>
      </w:r>
      <w:r w:rsidR="00190330">
        <w:rPr>
          <w:noProof/>
        </w:rPr>
        <w:t>5</w:t>
      </w:r>
      <w:r w:rsidR="009F0415" w:rsidRPr="00481594">
        <w:fldChar w:fldCharType="end"/>
      </w:r>
      <w:r w:rsidRPr="00481594">
        <w:t xml:space="preserve"> and </w:t>
      </w:r>
      <w:r w:rsidR="00282773" w:rsidRPr="00481594">
        <w:fldChar w:fldCharType="begin"/>
      </w:r>
      <w:r w:rsidR="00282773" w:rsidRPr="00481594">
        <w:instrText xml:space="preserve"> REF _Ref108005513 \h </w:instrText>
      </w:r>
      <w:r w:rsidR="0044374C" w:rsidRPr="00481594">
        <w:instrText xml:space="preserve"> \* MERGEFORMAT </w:instrText>
      </w:r>
      <w:r w:rsidR="00282773" w:rsidRPr="00481594">
        <w:fldChar w:fldCharType="separate"/>
      </w:r>
      <w:r w:rsidR="00190330" w:rsidRPr="00481594">
        <w:t xml:space="preserve">Figure </w:t>
      </w:r>
      <w:r w:rsidR="00190330">
        <w:rPr>
          <w:noProof/>
        </w:rPr>
        <w:t>1</w:t>
      </w:r>
      <w:r w:rsidR="00282773" w:rsidRPr="00481594">
        <w:fldChar w:fldCharType="end"/>
      </w:r>
      <w:r w:rsidRPr="00481594">
        <w:t xml:space="preserve">). </w:t>
      </w:r>
      <w:proofErr w:type="spellStart"/>
      <w:r w:rsidR="00216983" w:rsidRPr="00481594">
        <w:t>Vaxneuvance</w:t>
      </w:r>
      <w:proofErr w:type="spellEnd"/>
      <w:r w:rsidR="00216983" w:rsidRPr="00481594">
        <w:t xml:space="preserve"> </w:t>
      </w:r>
      <w:r w:rsidRPr="00481594">
        <w:t>also met superiority criteria for the 2</w:t>
      </w:r>
      <w:r w:rsidR="00282773" w:rsidRPr="00481594">
        <w:t> </w:t>
      </w:r>
      <w:r w:rsidRPr="00481594">
        <w:t xml:space="preserve">serotypes unique to </w:t>
      </w:r>
      <w:proofErr w:type="spellStart"/>
      <w:r w:rsidR="00216983" w:rsidRPr="00481594">
        <w:t>Vaxneuvance</w:t>
      </w:r>
      <w:proofErr w:type="spellEnd"/>
      <w:r w:rsidR="00216983" w:rsidRPr="00481594">
        <w:t xml:space="preserve"> </w:t>
      </w:r>
      <w:r w:rsidRPr="00481594">
        <w:t>as assessed by the proportions of subjects with a</w:t>
      </w:r>
      <w:r w:rsidR="007F232D">
        <w:t>n</w:t>
      </w:r>
      <w:r w:rsidRPr="00481594">
        <w:t xml:space="preserve"> </w:t>
      </w:r>
      <w:r w:rsidR="00841429" w:rsidRPr="00481594">
        <w:t>at least</w:t>
      </w:r>
      <w:r w:rsidR="00282773" w:rsidRPr="00481594">
        <w:t xml:space="preserve"> </w:t>
      </w:r>
      <w:r w:rsidRPr="00481594">
        <w:t>4-fold</w:t>
      </w:r>
      <w:r w:rsidR="00320001" w:rsidRPr="00481594">
        <w:t xml:space="preserve"> </w:t>
      </w:r>
      <w:r w:rsidRPr="00481594">
        <w:t>rise from pre-vaccination to 30</w:t>
      </w:r>
      <w:r w:rsidR="00216983" w:rsidRPr="00481594">
        <w:t> </w:t>
      </w:r>
      <w:r w:rsidRPr="00481594">
        <w:t>days post-vaccination, for serotype</w:t>
      </w:r>
      <w:r w:rsidR="00282773" w:rsidRPr="00481594">
        <w:t xml:space="preserve"> </w:t>
      </w:r>
      <w:r w:rsidRPr="00481594">
        <w:t>specific OPA responses (</w:t>
      </w:r>
      <w:r w:rsidR="00282773" w:rsidRPr="00481594">
        <w:fldChar w:fldCharType="begin"/>
      </w:r>
      <w:r w:rsidR="00282773" w:rsidRPr="00481594">
        <w:instrText xml:space="preserve"> REF _Ref108005632 \h </w:instrText>
      </w:r>
      <w:r w:rsidR="0044374C" w:rsidRPr="00481594">
        <w:instrText xml:space="preserve"> \* MERGEFORMAT </w:instrText>
      </w:r>
      <w:r w:rsidR="00282773" w:rsidRPr="00481594">
        <w:fldChar w:fldCharType="separate"/>
      </w:r>
      <w:r w:rsidR="00190330" w:rsidRPr="00481594">
        <w:t xml:space="preserve">Table </w:t>
      </w:r>
      <w:r w:rsidR="00190330">
        <w:rPr>
          <w:noProof/>
        </w:rPr>
        <w:t>6</w:t>
      </w:r>
      <w:r w:rsidR="00282773" w:rsidRPr="00481594">
        <w:fldChar w:fldCharType="end"/>
      </w:r>
      <w:r w:rsidRPr="00481594">
        <w:t>).</w:t>
      </w:r>
    </w:p>
    <w:p w14:paraId="05306B6C" w14:textId="14B3641C" w:rsidR="009F0415" w:rsidRPr="00481594" w:rsidRDefault="009F0415" w:rsidP="00626CC0">
      <w:pPr>
        <w:pStyle w:val="TableTitle"/>
      </w:pPr>
      <w:bookmarkStart w:id="44" w:name="_Ref108005358"/>
      <w:r w:rsidRPr="00481594">
        <w:lastRenderedPageBreak/>
        <w:t xml:space="preserve">Table </w:t>
      </w:r>
      <w:r w:rsidRPr="00481594">
        <w:fldChar w:fldCharType="begin"/>
      </w:r>
      <w:r w:rsidRPr="00481594">
        <w:instrText>SEQ Table \* ARABIC</w:instrText>
      </w:r>
      <w:r w:rsidRPr="00481594">
        <w:fldChar w:fldCharType="separate"/>
      </w:r>
      <w:r w:rsidR="00190330">
        <w:rPr>
          <w:noProof/>
        </w:rPr>
        <w:t>5</w:t>
      </w:r>
      <w:r w:rsidRPr="00481594">
        <w:fldChar w:fldCharType="end"/>
      </w:r>
      <w:bookmarkEnd w:id="44"/>
      <w:r w:rsidRPr="00481594">
        <w:t xml:space="preserve">: Study V114-019 Analysis of </w:t>
      </w:r>
      <w:r w:rsidR="003F5A97" w:rsidRPr="00481594">
        <w:t xml:space="preserve">opsonophagocytic activity geometric mean titres </w:t>
      </w:r>
      <w:r w:rsidRPr="00481594">
        <w:t xml:space="preserve">at </w:t>
      </w:r>
      <w:r w:rsidR="00C87B92" w:rsidRPr="00481594">
        <w:t>Day</w:t>
      </w:r>
      <w:r w:rsidRPr="00481594">
        <w:t xml:space="preserve"> 30 (</w:t>
      </w:r>
      <w:r w:rsidR="003F5A97" w:rsidRPr="00481594">
        <w:t>per-protocol population</w:t>
      </w:r>
      <w:r w:rsidR="003D38B8" w:rsidRPr="00481594">
        <w:t>)</w:t>
      </w:r>
    </w:p>
    <w:p w14:paraId="33B48AB9" w14:textId="7A04B3A0" w:rsidR="00E90005" w:rsidRPr="00481594" w:rsidRDefault="00E90005" w:rsidP="00303435">
      <w:r w:rsidRPr="00481594">
        <w:rPr>
          <w:noProof/>
          <w:lang w:val="en-GB" w:eastAsia="en-GB"/>
        </w:rPr>
        <w:drawing>
          <wp:inline distT="0" distB="0" distL="0" distR="0" wp14:anchorId="43D8D900" wp14:editId="1316ED6A">
            <wp:extent cx="5400040" cy="4616450"/>
            <wp:effectExtent l="0" t="0" r="0" b="0"/>
            <wp:docPr id="66" name="Picture 66" descr="Table 5: Study V114-019 Analysis of opsonophagocytic activity geometric mean titres at Day 30 (per-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able 5: Study V114-019 Analysis of opsonophagocytic activity geometric mean titres at Day 30 (per-protocol population)"/>
                    <pic:cNvPicPr/>
                  </pic:nvPicPr>
                  <pic:blipFill>
                    <a:blip r:embed="rId25"/>
                    <a:stretch>
                      <a:fillRect/>
                    </a:stretch>
                  </pic:blipFill>
                  <pic:spPr>
                    <a:xfrm>
                      <a:off x="0" y="0"/>
                      <a:ext cx="5400040" cy="4616450"/>
                    </a:xfrm>
                    <a:prstGeom prst="rect">
                      <a:avLst/>
                    </a:prstGeom>
                  </pic:spPr>
                </pic:pic>
              </a:graphicData>
            </a:graphic>
          </wp:inline>
        </w:drawing>
      </w:r>
    </w:p>
    <w:p w14:paraId="7AC9396F" w14:textId="0A1F0CEB" w:rsidR="009162D5" w:rsidRPr="00481594" w:rsidRDefault="00216983" w:rsidP="003B32D6">
      <w:pPr>
        <w:pStyle w:val="TableDescription"/>
      </w:pPr>
      <w:r w:rsidRPr="00481594">
        <w:t xml:space="preserve">Abbreviations: </w:t>
      </w:r>
      <w:r w:rsidR="009162D5" w:rsidRPr="00481594">
        <w:t>CI</w:t>
      </w:r>
      <w:r w:rsidR="003B32D6" w:rsidRPr="00481594">
        <w:t xml:space="preserve"> </w:t>
      </w:r>
      <w:r w:rsidR="009162D5" w:rsidRPr="00481594">
        <w:t>=</w:t>
      </w:r>
      <w:r w:rsidR="003B32D6" w:rsidRPr="00481594">
        <w:t xml:space="preserve"> </w:t>
      </w:r>
      <w:r w:rsidR="009162D5" w:rsidRPr="00481594">
        <w:t>confidence interval</w:t>
      </w:r>
      <w:r w:rsidR="003B32D6" w:rsidRPr="00481594">
        <w:t>; GMT</w:t>
      </w:r>
      <w:r w:rsidR="00713DAD" w:rsidRPr="00481594">
        <w:t xml:space="preserve"> </w:t>
      </w:r>
      <w:r w:rsidR="003B32D6" w:rsidRPr="00481594">
        <w:t>=</w:t>
      </w:r>
      <w:r w:rsidR="00713DAD" w:rsidRPr="00481594">
        <w:t xml:space="preserve"> </w:t>
      </w:r>
      <w:r w:rsidR="003B32D6" w:rsidRPr="00481594">
        <w:t>geometric mean titre</w:t>
      </w:r>
      <w:r w:rsidR="00D30D1B" w:rsidRPr="00481594">
        <w:rPr>
          <w:rStyle w:val="CommentReference"/>
        </w:rPr>
        <w:t>;</w:t>
      </w:r>
      <w:r w:rsidR="003B32D6" w:rsidRPr="00481594">
        <w:t xml:space="preserve"> N = number of subjects randomised and vaccinated; n = number of subjects contributing to the analysis; </w:t>
      </w:r>
      <w:r w:rsidR="009162D5" w:rsidRPr="00481594">
        <w:t>V114 =</w:t>
      </w:r>
      <w:r w:rsidR="00320001" w:rsidRPr="00481594">
        <w:t xml:space="preserve"> sponsor’s product development code for </w:t>
      </w:r>
      <w:proofErr w:type="spellStart"/>
      <w:r w:rsidR="00320001" w:rsidRPr="00481594">
        <w:t>Vaxneuvance</w:t>
      </w:r>
      <w:proofErr w:type="spellEnd"/>
      <w:r w:rsidR="003B32D6" w:rsidRPr="00481594">
        <w:t>.</w:t>
      </w:r>
    </w:p>
    <w:p w14:paraId="30F1F12A" w14:textId="34F01C28" w:rsidR="003D38B8" w:rsidRPr="00481594" w:rsidRDefault="003D38B8" w:rsidP="003B32D6">
      <w:pPr>
        <w:pStyle w:val="TableDescription"/>
      </w:pPr>
      <w:r w:rsidRPr="00481594">
        <w:rPr>
          <w:rFonts w:hint="eastAsia"/>
        </w:rPr>
        <w:t>†</w:t>
      </w:r>
      <w:r w:rsidRPr="00481594">
        <w:t xml:space="preserve"> </w:t>
      </w:r>
      <w:r w:rsidR="003B32D6" w:rsidRPr="00481594">
        <w:t>Geometric mean titres (</w:t>
      </w:r>
      <w:r w:rsidRPr="00481594">
        <w:t>GMTs</w:t>
      </w:r>
      <w:r w:rsidR="003B32D6" w:rsidRPr="00481594">
        <w:t>)</w:t>
      </w:r>
      <w:r w:rsidRPr="00481594">
        <w:t xml:space="preserve">, GMT ratio, 95% CI, and p-value are estimated from a </w:t>
      </w:r>
      <w:r w:rsidR="003B32D6" w:rsidRPr="00481594">
        <w:t>constrained longitudinal data analysis (</w:t>
      </w:r>
      <w:proofErr w:type="spellStart"/>
      <w:r w:rsidRPr="00481594">
        <w:t>cLDA</w:t>
      </w:r>
      <w:proofErr w:type="spellEnd"/>
      <w:r w:rsidR="003B32D6" w:rsidRPr="00481594">
        <w:t>)</w:t>
      </w:r>
      <w:r w:rsidRPr="00481594">
        <w:t xml:space="preserve"> model.</w:t>
      </w:r>
    </w:p>
    <w:p w14:paraId="2010ACAD" w14:textId="165F294D" w:rsidR="003D38B8" w:rsidRPr="00481594" w:rsidRDefault="003D38B8" w:rsidP="003B32D6">
      <w:pPr>
        <w:pStyle w:val="TableDescription"/>
      </w:pPr>
      <w:r w:rsidRPr="00481594">
        <w:rPr>
          <w:rFonts w:hint="eastAsia"/>
        </w:rPr>
        <w:t>‡</w:t>
      </w:r>
      <w:r w:rsidRPr="00481594">
        <w:t xml:space="preserve"> A conclusion of non-inferiority is based on the lower bound of the 95% CI for the estimated GMT ratio (</w:t>
      </w:r>
      <w:proofErr w:type="spellStart"/>
      <w:r w:rsidR="00216983" w:rsidRPr="00481594">
        <w:t>Vaxneuvance</w:t>
      </w:r>
      <w:proofErr w:type="spellEnd"/>
      <w:r w:rsidRPr="00481594">
        <w:t xml:space="preserve">/Prevnar 13) being </w:t>
      </w:r>
      <w:r w:rsidR="00841429" w:rsidRPr="00481594">
        <w:t>greater than</w:t>
      </w:r>
      <w:r w:rsidRPr="00481594">
        <w:t xml:space="preserve"> 0.5 (one-sided p-value &lt; 0.025).</w:t>
      </w:r>
    </w:p>
    <w:p w14:paraId="068F4FD3" w14:textId="66520B35" w:rsidR="003D38B8" w:rsidRPr="00481594" w:rsidRDefault="003D38B8" w:rsidP="003B32D6">
      <w:pPr>
        <w:pStyle w:val="TableDescription"/>
      </w:pPr>
      <w:r w:rsidRPr="00481594">
        <w:rPr>
          <w:rFonts w:hint="eastAsia"/>
        </w:rPr>
        <w:t>§</w:t>
      </w:r>
      <w:r w:rsidRPr="00481594">
        <w:t xml:space="preserve"> A conclusion of superiority is based on the lower bound of the 95% CI for the estimated GMT ratio (</w:t>
      </w:r>
      <w:proofErr w:type="spellStart"/>
      <w:r w:rsidR="00216983" w:rsidRPr="00481594">
        <w:t>Vaxneuvance</w:t>
      </w:r>
      <w:proofErr w:type="spellEnd"/>
      <w:r w:rsidRPr="00481594">
        <w:t xml:space="preserve">/Prevnar 13) being </w:t>
      </w:r>
      <w:r w:rsidR="00841429" w:rsidRPr="00481594">
        <w:t>greater than</w:t>
      </w:r>
      <w:r w:rsidRPr="00481594">
        <w:t xml:space="preserve"> 2.0 (one-sided p-value &lt; 0.025).</w:t>
      </w:r>
    </w:p>
    <w:p w14:paraId="73915043" w14:textId="2327FF93" w:rsidR="003D38B8" w:rsidRPr="00481594" w:rsidRDefault="003D38B8" w:rsidP="003B32D6">
      <w:pPr>
        <w:pStyle w:val="TableDescription"/>
      </w:pPr>
      <w:r w:rsidRPr="00481594">
        <w:t>Per</w:t>
      </w:r>
      <w:r w:rsidR="003B32D6" w:rsidRPr="00481594">
        <w:t>-</w:t>
      </w:r>
      <w:r w:rsidRPr="00481594">
        <w:t xml:space="preserve">protocol, Day 30 is 30 days following vaccination with </w:t>
      </w:r>
      <w:r w:rsidR="003B32D6" w:rsidRPr="00481594">
        <w:t>pneumococcal conjugate vaccine (</w:t>
      </w:r>
      <w:proofErr w:type="spellStart"/>
      <w:r w:rsidR="00216983" w:rsidRPr="00481594">
        <w:t>Vaxneuvance</w:t>
      </w:r>
      <w:proofErr w:type="spellEnd"/>
      <w:r w:rsidR="00216983" w:rsidRPr="00481594">
        <w:t xml:space="preserve"> </w:t>
      </w:r>
      <w:r w:rsidR="003B32D6" w:rsidRPr="00481594">
        <w:t>or Prevnar 13)</w:t>
      </w:r>
      <w:r w:rsidR="00EE68BF" w:rsidRPr="00481594">
        <w:t xml:space="preserve"> (PCV)</w:t>
      </w:r>
      <w:r w:rsidR="003B32D6" w:rsidRPr="00481594">
        <w:t>.</w:t>
      </w:r>
    </w:p>
    <w:p w14:paraId="533BA427" w14:textId="78AE6FA0" w:rsidR="009F0415" w:rsidRPr="00481594" w:rsidRDefault="00F95EF9" w:rsidP="00F95EF9">
      <w:pPr>
        <w:pStyle w:val="FigureTitle"/>
      </w:pPr>
      <w:bookmarkStart w:id="45" w:name="_Ref108005513"/>
      <w:r w:rsidRPr="00481594">
        <w:lastRenderedPageBreak/>
        <w:t xml:space="preserve">Figure </w:t>
      </w:r>
      <w:r w:rsidRPr="00481594">
        <w:fldChar w:fldCharType="begin"/>
      </w:r>
      <w:r w:rsidRPr="00481594">
        <w:instrText>SEQ Figure \* ARABIC</w:instrText>
      </w:r>
      <w:r w:rsidRPr="00481594">
        <w:fldChar w:fldCharType="separate"/>
      </w:r>
      <w:r w:rsidR="00190330">
        <w:rPr>
          <w:noProof/>
        </w:rPr>
        <w:t>1</w:t>
      </w:r>
      <w:r w:rsidRPr="00481594">
        <w:fldChar w:fldCharType="end"/>
      </w:r>
      <w:bookmarkEnd w:id="45"/>
      <w:r w:rsidR="009F0415" w:rsidRPr="00481594">
        <w:t xml:space="preserve">: </w:t>
      </w:r>
      <w:r w:rsidR="00282773" w:rsidRPr="00481594">
        <w:t xml:space="preserve">Study V114-019 </w:t>
      </w:r>
      <w:r w:rsidR="009F0415" w:rsidRPr="00481594">
        <w:t xml:space="preserve">Forest </w:t>
      </w:r>
      <w:r w:rsidR="003F5A97" w:rsidRPr="00481594">
        <w:t>plot of opsonophagocytic activity geometric mean titres ratios at</w:t>
      </w:r>
      <w:r w:rsidR="009F0415" w:rsidRPr="00481594">
        <w:t xml:space="preserve"> Day 30 (</w:t>
      </w:r>
      <w:r w:rsidR="003F5A97" w:rsidRPr="00481594">
        <w:t xml:space="preserve">per-protocol </w:t>
      </w:r>
      <w:r w:rsidR="009F0415" w:rsidRPr="00481594">
        <w:t>population)</w:t>
      </w:r>
    </w:p>
    <w:p w14:paraId="2346254B" w14:textId="3CC50EFB" w:rsidR="009F0415" w:rsidRPr="00481594" w:rsidRDefault="00282773" w:rsidP="00303435">
      <w:r w:rsidRPr="00481594">
        <w:rPr>
          <w:noProof/>
          <w:lang w:val="en-GB" w:eastAsia="en-GB"/>
        </w:rPr>
        <w:drawing>
          <wp:inline distT="0" distB="0" distL="0" distR="0" wp14:anchorId="18F35129" wp14:editId="1639D8E4">
            <wp:extent cx="5400040" cy="5788321"/>
            <wp:effectExtent l="0" t="0" r="0" b="3175"/>
            <wp:docPr id="28" name="Picture 28" descr="Figure 1: Study V114-019 Forest plot of opsonophagocytic activity geometric mean titres ratios at Day 30 (per-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1: Study V114-019 Forest plot of opsonophagocytic activity geometric mean titres ratios at Day 30 (per-protocol populati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40" cy="5788321"/>
                    </a:xfrm>
                    <a:prstGeom prst="rect">
                      <a:avLst/>
                    </a:prstGeom>
                    <a:noFill/>
                    <a:ln>
                      <a:noFill/>
                    </a:ln>
                  </pic:spPr>
                </pic:pic>
              </a:graphicData>
            </a:graphic>
          </wp:inline>
        </w:drawing>
      </w:r>
    </w:p>
    <w:p w14:paraId="576FF36D" w14:textId="49220034" w:rsidR="009162D5" w:rsidRPr="00481594" w:rsidRDefault="00216983" w:rsidP="003B32D6">
      <w:pPr>
        <w:pStyle w:val="FigureDescription"/>
      </w:pPr>
      <w:r w:rsidRPr="00481594">
        <w:t xml:space="preserve">Abbreviations: </w:t>
      </w:r>
      <w:r w:rsidR="009162D5" w:rsidRPr="00481594">
        <w:t>CI</w:t>
      </w:r>
      <w:r w:rsidR="00713DAD" w:rsidRPr="00481594">
        <w:t xml:space="preserve"> </w:t>
      </w:r>
      <w:r w:rsidR="009162D5" w:rsidRPr="00481594">
        <w:t>=</w:t>
      </w:r>
      <w:r w:rsidR="00713DAD" w:rsidRPr="00481594">
        <w:t xml:space="preserve"> </w:t>
      </w:r>
      <w:r w:rsidR="009162D5" w:rsidRPr="00481594">
        <w:t>confidence interval</w:t>
      </w:r>
      <w:r w:rsidR="003B32D6" w:rsidRPr="00481594">
        <w:t>;</w:t>
      </w:r>
      <w:r w:rsidR="009162D5" w:rsidRPr="00481594">
        <w:t xml:space="preserve"> </w:t>
      </w:r>
      <w:r w:rsidR="003B32D6" w:rsidRPr="00481594">
        <w:t>GMT</w:t>
      </w:r>
      <w:r w:rsidR="00713DAD" w:rsidRPr="00481594">
        <w:t xml:space="preserve"> </w:t>
      </w:r>
      <w:r w:rsidR="003B32D6" w:rsidRPr="00481594">
        <w:t>=</w:t>
      </w:r>
      <w:r w:rsidR="00713DAD" w:rsidRPr="00481594">
        <w:t xml:space="preserve"> </w:t>
      </w:r>
      <w:r w:rsidR="003B32D6" w:rsidRPr="00481594">
        <w:t xml:space="preserve">geometric mean titre; n=number of subjects contributing to the analysis; </w:t>
      </w:r>
      <w:r w:rsidR="009162D5" w:rsidRPr="00481594">
        <w:t>V114 =</w:t>
      </w:r>
      <w:r w:rsidR="00320001" w:rsidRPr="00481594">
        <w:t xml:space="preserve"> sponsor’s product development code for </w:t>
      </w:r>
      <w:proofErr w:type="spellStart"/>
      <w:r w:rsidR="00320001" w:rsidRPr="00481594">
        <w:t>Vaxneuvance</w:t>
      </w:r>
      <w:proofErr w:type="spellEnd"/>
      <w:r w:rsidR="003B32D6" w:rsidRPr="00481594">
        <w:t>.</w:t>
      </w:r>
    </w:p>
    <w:p w14:paraId="7A2F444D" w14:textId="1CD0167B" w:rsidR="00282773" w:rsidRPr="00481594" w:rsidRDefault="00282773" w:rsidP="007161DD">
      <w:pPr>
        <w:pStyle w:val="TableTitle"/>
      </w:pPr>
      <w:bookmarkStart w:id="46" w:name="_Ref108005632"/>
      <w:r w:rsidRPr="00481594">
        <w:lastRenderedPageBreak/>
        <w:t xml:space="preserve">Table </w:t>
      </w:r>
      <w:r w:rsidRPr="00481594">
        <w:fldChar w:fldCharType="begin"/>
      </w:r>
      <w:r w:rsidRPr="00481594">
        <w:instrText>SEQ Table \* ARABIC</w:instrText>
      </w:r>
      <w:r w:rsidRPr="00481594">
        <w:fldChar w:fldCharType="separate"/>
      </w:r>
      <w:r w:rsidR="00190330">
        <w:rPr>
          <w:noProof/>
        </w:rPr>
        <w:t>6</w:t>
      </w:r>
      <w:r w:rsidRPr="00481594">
        <w:fldChar w:fldCharType="end"/>
      </w:r>
      <w:bookmarkEnd w:id="46"/>
      <w:r w:rsidRPr="00481594">
        <w:t xml:space="preserve">: </w:t>
      </w:r>
      <w:r w:rsidR="00A349BA" w:rsidRPr="00481594">
        <w:t xml:space="preserve">Study V114-019 </w:t>
      </w:r>
      <w:r w:rsidRPr="00481594">
        <w:t xml:space="preserve">Analysis of </w:t>
      </w:r>
      <w:r w:rsidR="003F5A97" w:rsidRPr="00481594">
        <w:t>the proportions of subjects with a</w:t>
      </w:r>
      <w:r w:rsidR="007F232D">
        <w:t>n</w:t>
      </w:r>
      <w:r w:rsidR="003F5A97" w:rsidRPr="00481594">
        <w:t xml:space="preserve"> </w:t>
      </w:r>
      <w:r w:rsidR="00841429" w:rsidRPr="00481594">
        <w:t>at least</w:t>
      </w:r>
      <w:r w:rsidR="003F5A97" w:rsidRPr="00481594">
        <w:t xml:space="preserve"> 4</w:t>
      </w:r>
      <w:r w:rsidR="007F232D">
        <w:noBreakHyphen/>
      </w:r>
      <w:r w:rsidR="003F5A97" w:rsidRPr="00481594">
        <w:t xml:space="preserve">fold rise in opsonophagocytic activity response at </w:t>
      </w:r>
      <w:r w:rsidR="00C87B92" w:rsidRPr="00481594">
        <w:t>Day</w:t>
      </w:r>
      <w:r w:rsidRPr="00481594">
        <w:t xml:space="preserve"> 30 (serotypes 22F and 33F</w:t>
      </w:r>
      <w:r w:rsidR="003F5A97" w:rsidRPr="00481594">
        <w:t>; per</w:t>
      </w:r>
      <w:r w:rsidR="003F5A97" w:rsidRPr="00481594">
        <w:noBreakHyphen/>
        <w:t>protocol p</w:t>
      </w:r>
      <w:r w:rsidRPr="00481594">
        <w:t>opulation)</w:t>
      </w:r>
    </w:p>
    <w:p w14:paraId="2965F708" w14:textId="4F9AD39D" w:rsidR="00295A47" w:rsidRPr="00481594" w:rsidRDefault="00295A47" w:rsidP="003162A8">
      <w:pPr>
        <w:keepNext/>
      </w:pPr>
      <w:r w:rsidRPr="00481594">
        <w:rPr>
          <w:noProof/>
          <w:lang w:val="en-GB" w:eastAsia="en-GB"/>
        </w:rPr>
        <w:drawing>
          <wp:inline distT="0" distB="0" distL="0" distR="0" wp14:anchorId="11B7E47C" wp14:editId="73441940">
            <wp:extent cx="5400040" cy="1002665"/>
            <wp:effectExtent l="19050" t="19050" r="10160" b="26035"/>
            <wp:docPr id="70" name="Picture 70" descr="Table 6: Study V114-019 Analysis of the proportions of subjects with an at least 4-fold rise in opsonophagocytic activity response at Day 30 (serotypes 22F and 33F;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able 6: Study V114-019 Analysis of the proportions of subjects with an at least 4-fold rise in opsonophagocytic activity response at Day 30 (serotypes 22F and 33F; per protocol population)"/>
                    <pic:cNvPicPr/>
                  </pic:nvPicPr>
                  <pic:blipFill>
                    <a:blip r:embed="rId27"/>
                    <a:stretch>
                      <a:fillRect/>
                    </a:stretch>
                  </pic:blipFill>
                  <pic:spPr>
                    <a:xfrm>
                      <a:off x="0" y="0"/>
                      <a:ext cx="5400040" cy="1002665"/>
                    </a:xfrm>
                    <a:prstGeom prst="rect">
                      <a:avLst/>
                    </a:prstGeom>
                    <a:ln>
                      <a:solidFill>
                        <a:schemeClr val="tx1"/>
                      </a:solidFill>
                    </a:ln>
                  </pic:spPr>
                </pic:pic>
              </a:graphicData>
            </a:graphic>
          </wp:inline>
        </w:drawing>
      </w:r>
    </w:p>
    <w:p w14:paraId="14176155" w14:textId="02ADB0EB" w:rsidR="009162D5" w:rsidRPr="00481594" w:rsidRDefault="00216983" w:rsidP="003162A8">
      <w:pPr>
        <w:pStyle w:val="TableDescription"/>
        <w:keepNext/>
      </w:pPr>
      <w:r w:rsidRPr="00481594">
        <w:t xml:space="preserve">Abbreviations: </w:t>
      </w:r>
      <w:r w:rsidR="009162D5" w:rsidRPr="00481594">
        <w:t>CI</w:t>
      </w:r>
      <w:r w:rsidR="00713DAD" w:rsidRPr="00481594">
        <w:t xml:space="preserve"> </w:t>
      </w:r>
      <w:r w:rsidR="009162D5" w:rsidRPr="00481594">
        <w:t>=</w:t>
      </w:r>
      <w:r w:rsidR="00713DAD" w:rsidRPr="00481594">
        <w:t xml:space="preserve"> </w:t>
      </w:r>
      <w:r w:rsidR="009162D5" w:rsidRPr="00481594">
        <w:t>confidence interval</w:t>
      </w:r>
      <w:r w:rsidR="003B32D6" w:rsidRPr="00481594">
        <w:t>;</w:t>
      </w:r>
      <w:r w:rsidR="009162D5" w:rsidRPr="00481594">
        <w:t xml:space="preserve"> </w:t>
      </w:r>
      <w:r w:rsidR="003B32D6" w:rsidRPr="00481594">
        <w:t xml:space="preserve">m = number of subjects with the indicated response. N = number of subjects randomised and vaccinated; n = number of subjects contributing to the analysis; </w:t>
      </w:r>
      <w:r w:rsidR="009162D5" w:rsidRPr="00481594">
        <w:t>V114 =</w:t>
      </w:r>
      <w:r w:rsidR="00320001" w:rsidRPr="00481594">
        <w:t xml:space="preserve"> sponsor’s product development code for </w:t>
      </w:r>
      <w:proofErr w:type="spellStart"/>
      <w:r w:rsidR="00320001" w:rsidRPr="00481594">
        <w:t>Vaxneuvance</w:t>
      </w:r>
      <w:proofErr w:type="spellEnd"/>
      <w:r w:rsidR="003B32D6" w:rsidRPr="00481594">
        <w:t>.</w:t>
      </w:r>
    </w:p>
    <w:p w14:paraId="50CDF7CE" w14:textId="78398AEA" w:rsidR="00E90005" w:rsidRPr="00481594" w:rsidRDefault="00E90005" w:rsidP="003162A8">
      <w:pPr>
        <w:pStyle w:val="TableDescription"/>
        <w:keepNext/>
      </w:pPr>
      <w:r w:rsidRPr="00481594">
        <w:rPr>
          <w:rFonts w:hint="eastAsia"/>
        </w:rPr>
        <w:t>†</w:t>
      </w:r>
      <w:r w:rsidRPr="00481594">
        <w:t xml:space="preserve"> Estimated difference, 95% CI, and p-value are based on the stratified Miettinen </w:t>
      </w:r>
      <w:r w:rsidR="00713DAD" w:rsidRPr="00481594">
        <w:t>and</w:t>
      </w:r>
      <w:r w:rsidRPr="00481594">
        <w:t xml:space="preserve"> </w:t>
      </w:r>
      <w:proofErr w:type="spellStart"/>
      <w:r w:rsidRPr="00481594">
        <w:t>Nurminen</w:t>
      </w:r>
      <w:proofErr w:type="spellEnd"/>
      <w:r w:rsidRPr="00481594">
        <w:t xml:space="preserve"> method.</w:t>
      </w:r>
    </w:p>
    <w:p w14:paraId="44222639" w14:textId="6E36860D" w:rsidR="00E90005" w:rsidRPr="00481594" w:rsidRDefault="00E90005" w:rsidP="00713DAD">
      <w:pPr>
        <w:pStyle w:val="TableDescription"/>
      </w:pPr>
      <w:r w:rsidRPr="00481594">
        <w:t>A conclusion of superiority is based on the lower bound of the 95% CI for the difference in percentages (</w:t>
      </w:r>
      <w:proofErr w:type="spellStart"/>
      <w:r w:rsidR="00216983" w:rsidRPr="00481594">
        <w:t>Vaxneuvance</w:t>
      </w:r>
      <w:proofErr w:type="spellEnd"/>
      <w:r w:rsidR="00216983" w:rsidRPr="00481594">
        <w:t xml:space="preserve"> </w:t>
      </w:r>
      <w:r w:rsidRPr="00481594">
        <w:t xml:space="preserve">- Prevnar 13) being </w:t>
      </w:r>
      <w:r w:rsidR="00841429" w:rsidRPr="00481594">
        <w:t>greater than</w:t>
      </w:r>
      <w:r w:rsidRPr="00481594">
        <w:t xml:space="preserve"> 10 percentage points (one-sided p-value &lt; 0.025).</w:t>
      </w:r>
    </w:p>
    <w:p w14:paraId="4090F162" w14:textId="02299571" w:rsidR="00E90005" w:rsidRPr="00481594" w:rsidRDefault="00E90005" w:rsidP="00713DAD">
      <w:pPr>
        <w:pStyle w:val="TableDescription"/>
      </w:pPr>
      <w:r w:rsidRPr="00481594">
        <w:t>Per</w:t>
      </w:r>
      <w:r w:rsidR="003B32D6" w:rsidRPr="00481594">
        <w:t>-</w:t>
      </w:r>
      <w:r w:rsidRPr="00481594">
        <w:t xml:space="preserve">protocol, Day 30 is 30 days following vaccination with </w:t>
      </w:r>
      <w:r w:rsidR="00713DAD" w:rsidRPr="00481594">
        <w:t>pneumococcal conjugate vaccine (V114 or Prevnar 13)</w:t>
      </w:r>
      <w:r w:rsidR="00EE68BF" w:rsidRPr="00481594">
        <w:t xml:space="preserve"> (PCV)</w:t>
      </w:r>
      <w:r w:rsidR="00713DAD" w:rsidRPr="00481594">
        <w:t>.</w:t>
      </w:r>
    </w:p>
    <w:p w14:paraId="32B96982" w14:textId="58A46763" w:rsidR="00282773" w:rsidRPr="00481594" w:rsidRDefault="00E90005" w:rsidP="00713DAD">
      <w:pPr>
        <w:pStyle w:val="TableDescription"/>
      </w:pPr>
      <w:r w:rsidRPr="00481594">
        <w:t>Proportion of participants with a</w:t>
      </w:r>
      <w:r w:rsidR="007F232D">
        <w:t>n</w:t>
      </w:r>
      <w:r w:rsidRPr="00481594">
        <w:t xml:space="preserve"> </w:t>
      </w:r>
      <w:r w:rsidR="00841429" w:rsidRPr="00481594">
        <w:t>at least</w:t>
      </w:r>
      <w:r w:rsidR="00713DAD" w:rsidRPr="00481594">
        <w:rPr>
          <w:rFonts w:hint="eastAsia"/>
        </w:rPr>
        <w:t xml:space="preserve"> </w:t>
      </w:r>
      <w:r w:rsidRPr="00481594">
        <w:t>4-fold rise is calculated from Day 1 to Day 30.</w:t>
      </w:r>
    </w:p>
    <w:p w14:paraId="34B7F13C" w14:textId="4E324C34" w:rsidR="00B638B1" w:rsidRPr="00481594" w:rsidRDefault="00B638B1" w:rsidP="000166AA">
      <w:r w:rsidRPr="00481594">
        <w:t xml:space="preserve">In terms of secondary immunogenicity endpoints, </w:t>
      </w:r>
      <w:proofErr w:type="spellStart"/>
      <w:r w:rsidR="00216983" w:rsidRPr="00481594">
        <w:t>Vaxneuvance</w:t>
      </w:r>
      <w:proofErr w:type="spellEnd"/>
      <w:r w:rsidR="00216983" w:rsidRPr="00481594">
        <w:t xml:space="preserve"> </w:t>
      </w:r>
      <w:r w:rsidRPr="00481594">
        <w:t>met the superiority criterion for serotype 3 as assessed by the OPA GMTs at 30 days post-vaccination, the lower bound of the 95% CI of the OPA GMT ratio (</w:t>
      </w:r>
      <w:proofErr w:type="spellStart"/>
      <w:r w:rsidR="00216983" w:rsidRPr="00481594">
        <w:t>Vaxneuvance</w:t>
      </w:r>
      <w:proofErr w:type="spellEnd"/>
      <w:r w:rsidRPr="00481594">
        <w:t xml:space="preserve">/Prevnar 13) being </w:t>
      </w:r>
      <w:r w:rsidR="00841429" w:rsidRPr="00481594">
        <w:t>greater than</w:t>
      </w:r>
      <w:r w:rsidR="000166AA" w:rsidRPr="00481594">
        <w:t xml:space="preserve"> </w:t>
      </w:r>
      <w:r w:rsidRPr="00481594">
        <w:t>1.2 (</w:t>
      </w:r>
      <w:r w:rsidR="00282773" w:rsidRPr="00481594">
        <w:fldChar w:fldCharType="begin"/>
      </w:r>
      <w:r w:rsidR="00282773" w:rsidRPr="00481594">
        <w:instrText xml:space="preserve"> REF _Ref108005727 \h </w:instrText>
      </w:r>
      <w:r w:rsidR="0044374C" w:rsidRPr="00481594">
        <w:instrText xml:space="preserve"> \* MERGEFORMAT </w:instrText>
      </w:r>
      <w:r w:rsidR="00282773" w:rsidRPr="00481594">
        <w:fldChar w:fldCharType="separate"/>
      </w:r>
      <w:r w:rsidR="00190330" w:rsidRPr="00481594">
        <w:t xml:space="preserve">Table </w:t>
      </w:r>
      <w:r w:rsidR="00190330">
        <w:t>7</w:t>
      </w:r>
      <w:r w:rsidR="00282773" w:rsidRPr="00481594">
        <w:fldChar w:fldCharType="end"/>
      </w:r>
      <w:r w:rsidRPr="00481594">
        <w:t xml:space="preserve">). Similarly, </w:t>
      </w:r>
      <w:proofErr w:type="spellStart"/>
      <w:r w:rsidR="00482C41" w:rsidRPr="00481594">
        <w:t>Vaxneuvance</w:t>
      </w:r>
      <w:proofErr w:type="spellEnd"/>
      <w:r w:rsidRPr="00481594">
        <w:t xml:space="preserve"> met the superiority criterion for serotype 3 as assessed by the proportions of subjects with a</w:t>
      </w:r>
      <w:r w:rsidR="007F232D">
        <w:t>n</w:t>
      </w:r>
      <w:r w:rsidRPr="00481594">
        <w:t xml:space="preserve"> </w:t>
      </w:r>
      <w:r w:rsidR="00841429" w:rsidRPr="00481594">
        <w:t>at least</w:t>
      </w:r>
      <w:r w:rsidR="00282773" w:rsidRPr="00481594">
        <w:t xml:space="preserve"> </w:t>
      </w:r>
      <w:r w:rsidRPr="00481594">
        <w:t>4-fold</w:t>
      </w:r>
      <w:r w:rsidR="00282773" w:rsidRPr="00481594">
        <w:t xml:space="preserve"> </w:t>
      </w:r>
      <w:r w:rsidRPr="00481594">
        <w:t>rise from pre-vaccination to 30 days post vaccination for OPA responses (</w:t>
      </w:r>
      <w:r w:rsidR="000166AA" w:rsidRPr="00481594">
        <w:fldChar w:fldCharType="begin"/>
      </w:r>
      <w:r w:rsidR="000166AA" w:rsidRPr="00481594">
        <w:instrText xml:space="preserve"> REF _Ref108808268 \h  \* MERGEFORMAT </w:instrText>
      </w:r>
      <w:r w:rsidR="000166AA" w:rsidRPr="00481594">
        <w:fldChar w:fldCharType="separate"/>
      </w:r>
      <w:r w:rsidR="00190330" w:rsidRPr="00481594">
        <w:t xml:space="preserve">Table </w:t>
      </w:r>
      <w:r w:rsidR="00190330">
        <w:t>8</w:t>
      </w:r>
      <w:r w:rsidR="000166AA" w:rsidRPr="00481594">
        <w:fldChar w:fldCharType="end"/>
      </w:r>
      <w:r w:rsidRPr="00481594">
        <w:t>).</w:t>
      </w:r>
    </w:p>
    <w:p w14:paraId="50CA2E20" w14:textId="6B7F93AA" w:rsidR="00282773" w:rsidRPr="00481594" w:rsidRDefault="00282773" w:rsidP="003F5A97">
      <w:pPr>
        <w:pStyle w:val="TableTitle"/>
      </w:pPr>
      <w:bookmarkStart w:id="47" w:name="_Ref108005727"/>
      <w:r w:rsidRPr="00481594">
        <w:t xml:space="preserve">Table </w:t>
      </w:r>
      <w:r w:rsidRPr="00481594">
        <w:fldChar w:fldCharType="begin"/>
      </w:r>
      <w:r w:rsidRPr="00481594">
        <w:instrText>SEQ Table \* ARABIC</w:instrText>
      </w:r>
      <w:r w:rsidRPr="00481594">
        <w:fldChar w:fldCharType="separate"/>
      </w:r>
      <w:r w:rsidR="00190330">
        <w:rPr>
          <w:noProof/>
        </w:rPr>
        <w:t>7</w:t>
      </w:r>
      <w:r w:rsidRPr="00481594">
        <w:fldChar w:fldCharType="end"/>
      </w:r>
      <w:bookmarkEnd w:id="47"/>
      <w:r w:rsidRPr="00481594">
        <w:t xml:space="preserve">: </w:t>
      </w:r>
      <w:r w:rsidR="00A349BA" w:rsidRPr="00481594">
        <w:t xml:space="preserve">Study V114-019 </w:t>
      </w:r>
      <w:r w:rsidRPr="00481594">
        <w:t xml:space="preserve">Analysis of </w:t>
      </w:r>
      <w:r w:rsidR="003F5A97" w:rsidRPr="00481594">
        <w:t xml:space="preserve">opsonophagocytic activity geometric mean titres </w:t>
      </w:r>
      <w:r w:rsidRPr="00481594">
        <w:t>at Day 30 (serotype 3</w:t>
      </w:r>
      <w:r w:rsidR="003F5A97" w:rsidRPr="00481594">
        <w:t>; per</w:t>
      </w:r>
      <w:r w:rsidR="003F5A97" w:rsidRPr="00481594">
        <w:noBreakHyphen/>
        <w:t>protocol population</w:t>
      </w:r>
      <w:r w:rsidRPr="00481594">
        <w:t>)</w:t>
      </w:r>
    </w:p>
    <w:p w14:paraId="3AF56D72" w14:textId="5CD122D2" w:rsidR="00295A47" w:rsidRPr="00481594" w:rsidRDefault="00295A47" w:rsidP="00303435">
      <w:r w:rsidRPr="00481594">
        <w:rPr>
          <w:noProof/>
          <w:lang w:val="en-GB" w:eastAsia="en-GB"/>
        </w:rPr>
        <w:drawing>
          <wp:inline distT="0" distB="0" distL="0" distR="0" wp14:anchorId="0943EF11" wp14:editId="6938B200">
            <wp:extent cx="5400040" cy="787400"/>
            <wp:effectExtent l="19050" t="19050" r="10160" b="12700"/>
            <wp:docPr id="71" name="Picture 71" descr="Table 7: Study V114-019 Analysis of opsonophagocytic activity geometric mean titres at Day 30 (serotype 3;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able 7: Study V114-019 Analysis of opsonophagocytic activity geometric mean titres at Day 30 (serotype 3; per protocol population)"/>
                    <pic:cNvPicPr/>
                  </pic:nvPicPr>
                  <pic:blipFill>
                    <a:blip r:embed="rId28"/>
                    <a:stretch>
                      <a:fillRect/>
                    </a:stretch>
                  </pic:blipFill>
                  <pic:spPr>
                    <a:xfrm>
                      <a:off x="0" y="0"/>
                      <a:ext cx="5400040" cy="787400"/>
                    </a:xfrm>
                    <a:prstGeom prst="rect">
                      <a:avLst/>
                    </a:prstGeom>
                    <a:ln>
                      <a:solidFill>
                        <a:schemeClr val="tx1"/>
                      </a:solidFill>
                    </a:ln>
                  </pic:spPr>
                </pic:pic>
              </a:graphicData>
            </a:graphic>
          </wp:inline>
        </w:drawing>
      </w:r>
    </w:p>
    <w:p w14:paraId="558753F2" w14:textId="60C0FCE5" w:rsidR="009162D5" w:rsidRPr="00481594" w:rsidRDefault="00216983" w:rsidP="00713DAD">
      <w:pPr>
        <w:pStyle w:val="TableDescription"/>
      </w:pPr>
      <w:r w:rsidRPr="00481594">
        <w:t xml:space="preserve">Abbreviations: </w:t>
      </w:r>
      <w:r w:rsidR="009162D5" w:rsidRPr="00481594">
        <w:t>CI</w:t>
      </w:r>
      <w:r w:rsidR="00713DAD" w:rsidRPr="00481594">
        <w:t xml:space="preserve"> </w:t>
      </w:r>
      <w:r w:rsidR="009162D5" w:rsidRPr="00481594">
        <w:t>=</w:t>
      </w:r>
      <w:r w:rsidR="00713DAD" w:rsidRPr="00481594">
        <w:t xml:space="preserve"> </w:t>
      </w:r>
      <w:r w:rsidR="009162D5" w:rsidRPr="00481594">
        <w:t>confidence interval</w:t>
      </w:r>
      <w:r w:rsidR="00713DAD" w:rsidRPr="00481594">
        <w:t xml:space="preserve">; GMT = geometric mean titre; N = number of subjects randomised and vaccinated; n = number of subjects contributing to the analysis; </w:t>
      </w:r>
      <w:r w:rsidR="009162D5" w:rsidRPr="00481594">
        <w:t>V114 =</w:t>
      </w:r>
      <w:r w:rsidR="00320001" w:rsidRPr="00481594">
        <w:t xml:space="preserve"> sponsor’s product development code for </w:t>
      </w:r>
      <w:proofErr w:type="spellStart"/>
      <w:r w:rsidR="00320001" w:rsidRPr="00481594">
        <w:t>Vaxneuvance</w:t>
      </w:r>
      <w:proofErr w:type="spellEnd"/>
      <w:r w:rsidR="00713DAD" w:rsidRPr="00481594">
        <w:t>.</w:t>
      </w:r>
    </w:p>
    <w:p w14:paraId="24922A14" w14:textId="5C18B0FB" w:rsidR="00295A47" w:rsidRPr="00481594" w:rsidRDefault="00713DAD" w:rsidP="00713DAD">
      <w:pPr>
        <w:pStyle w:val="TableDescription"/>
      </w:pPr>
      <w:r w:rsidRPr="00481594">
        <w:rPr>
          <w:rFonts w:hint="eastAsia"/>
        </w:rPr>
        <w:t>†</w:t>
      </w:r>
      <w:r w:rsidR="00295A47" w:rsidRPr="00481594">
        <w:t xml:space="preserve"> </w:t>
      </w:r>
      <w:r w:rsidRPr="00481594">
        <w:t>Geometric mean titres (</w:t>
      </w:r>
      <w:r w:rsidR="00295A47" w:rsidRPr="00481594">
        <w:t>GMTs</w:t>
      </w:r>
      <w:r w:rsidRPr="00481594">
        <w:t>)</w:t>
      </w:r>
      <w:r w:rsidR="00295A47" w:rsidRPr="00481594">
        <w:t xml:space="preserve">, GMT ratio, 95% CI, and p-value are estimated from a </w:t>
      </w:r>
      <w:r w:rsidRPr="00481594">
        <w:t>constrained longitudinal data analysis (</w:t>
      </w:r>
      <w:proofErr w:type="spellStart"/>
      <w:r w:rsidR="00295A47" w:rsidRPr="00481594">
        <w:t>cLDA</w:t>
      </w:r>
      <w:proofErr w:type="spellEnd"/>
      <w:r w:rsidRPr="00481594">
        <w:t>)</w:t>
      </w:r>
      <w:r w:rsidR="00295A47" w:rsidRPr="00481594">
        <w:t xml:space="preserve"> model.</w:t>
      </w:r>
    </w:p>
    <w:p w14:paraId="3C10778C" w14:textId="7069204F" w:rsidR="00295A47" w:rsidRPr="00481594" w:rsidRDefault="00295A47" w:rsidP="00713DAD">
      <w:pPr>
        <w:pStyle w:val="TableDescription"/>
      </w:pPr>
      <w:r w:rsidRPr="00481594">
        <w:t>A conclusion of superiority is based on the lower bound of the 95% CI for the estimated GMT ratio (</w:t>
      </w:r>
      <w:proofErr w:type="spellStart"/>
      <w:r w:rsidR="00216983" w:rsidRPr="00481594">
        <w:t>Vaxneuvance</w:t>
      </w:r>
      <w:proofErr w:type="spellEnd"/>
      <w:r w:rsidRPr="00481594">
        <w:t xml:space="preserve">/Prevnar 13) being </w:t>
      </w:r>
      <w:r w:rsidR="00841429" w:rsidRPr="00481594">
        <w:t>greater than</w:t>
      </w:r>
      <w:r w:rsidRPr="00481594">
        <w:t xml:space="preserve"> 1.2 (one-sided p-value &lt; 0.025).</w:t>
      </w:r>
    </w:p>
    <w:p w14:paraId="1EA06CF9" w14:textId="43BF5933" w:rsidR="00295A47" w:rsidRPr="00481594" w:rsidRDefault="00295A47" w:rsidP="00713DAD">
      <w:pPr>
        <w:pStyle w:val="TableDescription"/>
      </w:pPr>
      <w:r w:rsidRPr="00481594">
        <w:t>Per</w:t>
      </w:r>
      <w:r w:rsidR="003B32D6" w:rsidRPr="00481594">
        <w:t>-</w:t>
      </w:r>
      <w:r w:rsidRPr="00481594">
        <w:t xml:space="preserve">protocol, Day 30 is 30 days following vaccination with </w:t>
      </w:r>
      <w:r w:rsidR="00713DAD" w:rsidRPr="00481594">
        <w:t>pneumococcal conjugate vaccine (</w:t>
      </w:r>
      <w:proofErr w:type="spellStart"/>
      <w:r w:rsidR="00216983" w:rsidRPr="00481594">
        <w:t>Vaxneuvance</w:t>
      </w:r>
      <w:proofErr w:type="spellEnd"/>
      <w:r w:rsidR="00216983" w:rsidRPr="00481594">
        <w:t xml:space="preserve"> </w:t>
      </w:r>
      <w:r w:rsidR="00713DAD" w:rsidRPr="00481594">
        <w:t>or Prevnar 13)</w:t>
      </w:r>
      <w:r w:rsidR="00EE68BF" w:rsidRPr="00481594">
        <w:t xml:space="preserve"> (PCV)</w:t>
      </w:r>
      <w:r w:rsidRPr="00481594">
        <w:t>.</w:t>
      </w:r>
    </w:p>
    <w:p w14:paraId="114E517D" w14:textId="60211CDB" w:rsidR="00282773" w:rsidRPr="00481594" w:rsidRDefault="00282773" w:rsidP="007161DD">
      <w:pPr>
        <w:pStyle w:val="TableTitle"/>
      </w:pPr>
      <w:bookmarkStart w:id="48" w:name="_Ref108808268"/>
      <w:r w:rsidRPr="00481594">
        <w:lastRenderedPageBreak/>
        <w:t xml:space="preserve">Table </w:t>
      </w:r>
      <w:r w:rsidRPr="00481594">
        <w:fldChar w:fldCharType="begin"/>
      </w:r>
      <w:r w:rsidRPr="00481594">
        <w:instrText>SEQ Table \* ARABIC</w:instrText>
      </w:r>
      <w:r w:rsidRPr="00481594">
        <w:fldChar w:fldCharType="separate"/>
      </w:r>
      <w:r w:rsidR="00190330">
        <w:rPr>
          <w:noProof/>
        </w:rPr>
        <w:t>8</w:t>
      </w:r>
      <w:r w:rsidRPr="00481594">
        <w:fldChar w:fldCharType="end"/>
      </w:r>
      <w:bookmarkEnd w:id="48"/>
      <w:r w:rsidRPr="00481594">
        <w:t xml:space="preserve">: </w:t>
      </w:r>
      <w:r w:rsidR="00A349BA" w:rsidRPr="00481594">
        <w:t xml:space="preserve">Study V114-019 </w:t>
      </w:r>
      <w:r w:rsidRPr="00481594">
        <w:t>Analysis of the proportions of subjects with a</w:t>
      </w:r>
      <w:r w:rsidR="007F232D">
        <w:t>n</w:t>
      </w:r>
      <w:r w:rsidRPr="00481594">
        <w:t xml:space="preserve"> </w:t>
      </w:r>
      <w:r w:rsidR="00841429" w:rsidRPr="00481594">
        <w:t>at least</w:t>
      </w:r>
      <w:r w:rsidR="003F5A97" w:rsidRPr="00481594">
        <w:t xml:space="preserve"> </w:t>
      </w:r>
      <w:r w:rsidRPr="00481594">
        <w:t>4</w:t>
      </w:r>
      <w:r w:rsidR="007F232D">
        <w:noBreakHyphen/>
      </w:r>
      <w:r w:rsidRPr="00481594">
        <w:t xml:space="preserve">fold rise in </w:t>
      </w:r>
      <w:r w:rsidR="003F5A97" w:rsidRPr="00481594">
        <w:t xml:space="preserve">opsonophagocytic activity </w:t>
      </w:r>
      <w:r w:rsidRPr="00481594">
        <w:t xml:space="preserve">responses at </w:t>
      </w:r>
      <w:r w:rsidR="00C87B92" w:rsidRPr="00481594">
        <w:t>Day</w:t>
      </w:r>
      <w:r w:rsidRPr="00481594">
        <w:t xml:space="preserve"> 30 (serotype 3</w:t>
      </w:r>
      <w:r w:rsidR="003F5A97" w:rsidRPr="00481594">
        <w:t>; per</w:t>
      </w:r>
      <w:r w:rsidR="003F5A97" w:rsidRPr="00481594">
        <w:noBreakHyphen/>
        <w:t>protocol population</w:t>
      </w:r>
      <w:r w:rsidRPr="00481594">
        <w:t>)</w:t>
      </w:r>
    </w:p>
    <w:p w14:paraId="354BA124" w14:textId="1702303A" w:rsidR="00295A47" w:rsidRPr="00481594" w:rsidRDefault="00295A47" w:rsidP="003162A8">
      <w:pPr>
        <w:keepNext/>
      </w:pPr>
      <w:r w:rsidRPr="00481594">
        <w:rPr>
          <w:noProof/>
          <w:lang w:val="en-GB" w:eastAsia="en-GB"/>
        </w:rPr>
        <w:drawing>
          <wp:inline distT="0" distB="0" distL="0" distR="0" wp14:anchorId="4A00F19E" wp14:editId="373457B8">
            <wp:extent cx="5400040" cy="781050"/>
            <wp:effectExtent l="19050" t="19050" r="10160" b="19050"/>
            <wp:docPr id="72" name="Picture 72" descr="Table 8: Study V114-019 Analysis of the proportions of subjects with an at least 4-fold rise in opsonophagocytic activity responses at Day 30 (serotype 3;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able 8: Study V114-019 Analysis of the proportions of subjects with an at least 4-fold rise in opsonophagocytic activity responses at Day 30 (serotype 3; per protocol population)"/>
                    <pic:cNvPicPr/>
                  </pic:nvPicPr>
                  <pic:blipFill>
                    <a:blip r:embed="rId29"/>
                    <a:stretch>
                      <a:fillRect/>
                    </a:stretch>
                  </pic:blipFill>
                  <pic:spPr>
                    <a:xfrm>
                      <a:off x="0" y="0"/>
                      <a:ext cx="5400040" cy="781050"/>
                    </a:xfrm>
                    <a:prstGeom prst="rect">
                      <a:avLst/>
                    </a:prstGeom>
                    <a:ln>
                      <a:solidFill>
                        <a:schemeClr val="tx1"/>
                      </a:solidFill>
                    </a:ln>
                  </pic:spPr>
                </pic:pic>
              </a:graphicData>
            </a:graphic>
          </wp:inline>
        </w:drawing>
      </w:r>
    </w:p>
    <w:p w14:paraId="21707814" w14:textId="7753CA5F" w:rsidR="009162D5" w:rsidRPr="00481594" w:rsidRDefault="00686641" w:rsidP="003162A8">
      <w:pPr>
        <w:pStyle w:val="TableDescription"/>
        <w:keepNext/>
      </w:pPr>
      <w:r w:rsidRPr="00481594">
        <w:t xml:space="preserve">Abbreviations: </w:t>
      </w:r>
      <w:r w:rsidR="009162D5" w:rsidRPr="00481594">
        <w:t>CI</w:t>
      </w:r>
      <w:r w:rsidR="00713DAD" w:rsidRPr="00481594">
        <w:t xml:space="preserve"> </w:t>
      </w:r>
      <w:r w:rsidR="009162D5" w:rsidRPr="00481594">
        <w:t>=</w:t>
      </w:r>
      <w:r w:rsidR="00713DAD" w:rsidRPr="00481594">
        <w:t xml:space="preserve"> </w:t>
      </w:r>
      <w:r w:rsidR="009162D5" w:rsidRPr="00481594">
        <w:t>confidence interval</w:t>
      </w:r>
      <w:r w:rsidR="00713DAD" w:rsidRPr="00481594">
        <w:t xml:space="preserve">; </w:t>
      </w:r>
      <w:r w:rsidR="009162D5" w:rsidRPr="00481594">
        <w:t>GMT</w:t>
      </w:r>
      <w:r w:rsidR="00713DAD" w:rsidRPr="00481594">
        <w:t xml:space="preserve"> </w:t>
      </w:r>
      <w:r w:rsidR="009162D5" w:rsidRPr="00481594">
        <w:t>=</w:t>
      </w:r>
      <w:r w:rsidR="00713DAD" w:rsidRPr="00481594">
        <w:t xml:space="preserve"> </w:t>
      </w:r>
      <w:r w:rsidR="009162D5" w:rsidRPr="00481594">
        <w:t>geometric mean titre</w:t>
      </w:r>
      <w:r w:rsidR="00713DAD" w:rsidRPr="00481594">
        <w:t xml:space="preserve">; m = number of subjects with the indicated response; N = number of subjects randomised and vaccinated; n = number of subjects contributing to the analysis; </w:t>
      </w:r>
      <w:r w:rsidR="009162D5" w:rsidRPr="00481594">
        <w:t>V114 =</w:t>
      </w:r>
      <w:r w:rsidR="00320001" w:rsidRPr="00481594">
        <w:t xml:space="preserve"> sponsor’s product development code for </w:t>
      </w:r>
      <w:proofErr w:type="spellStart"/>
      <w:r w:rsidR="00320001" w:rsidRPr="00481594">
        <w:t>Vaxneuvance</w:t>
      </w:r>
      <w:proofErr w:type="spellEnd"/>
      <w:r w:rsidR="00713DAD" w:rsidRPr="00481594">
        <w:t>.</w:t>
      </w:r>
    </w:p>
    <w:p w14:paraId="0F721ADC" w14:textId="42AA4888" w:rsidR="00295A47" w:rsidRPr="00481594" w:rsidRDefault="00295A47" w:rsidP="00713DAD">
      <w:pPr>
        <w:pStyle w:val="TableDescription"/>
      </w:pPr>
      <w:r w:rsidRPr="00481594">
        <w:rPr>
          <w:rFonts w:hint="eastAsia"/>
        </w:rPr>
        <w:t>†</w:t>
      </w:r>
      <w:r w:rsidRPr="00481594">
        <w:t xml:space="preserve"> Estimated difference, 95% CI, and p-value are based on the stratified Miettinen </w:t>
      </w:r>
      <w:r w:rsidR="00713DAD" w:rsidRPr="00481594">
        <w:t>and</w:t>
      </w:r>
      <w:r w:rsidRPr="00481594">
        <w:t xml:space="preserve"> </w:t>
      </w:r>
      <w:proofErr w:type="spellStart"/>
      <w:r w:rsidRPr="00481594">
        <w:t>Nurminen</w:t>
      </w:r>
      <w:proofErr w:type="spellEnd"/>
      <w:r w:rsidRPr="00481594">
        <w:t xml:space="preserve"> method.</w:t>
      </w:r>
    </w:p>
    <w:p w14:paraId="05A14672" w14:textId="5DEE865F" w:rsidR="00295A47" w:rsidRPr="00481594" w:rsidRDefault="00295A47" w:rsidP="00713DAD">
      <w:pPr>
        <w:pStyle w:val="TableDescription"/>
      </w:pPr>
      <w:r w:rsidRPr="00481594">
        <w:t>A conclusion of superiority is based on the lower bound of the 95% CI for the difference in percentages (</w:t>
      </w:r>
      <w:proofErr w:type="spellStart"/>
      <w:r w:rsidR="00686641" w:rsidRPr="00481594">
        <w:t>Vaxneuvance</w:t>
      </w:r>
      <w:proofErr w:type="spellEnd"/>
      <w:r w:rsidR="00686641" w:rsidRPr="00481594">
        <w:t xml:space="preserve"> minus</w:t>
      </w:r>
      <w:r w:rsidRPr="00481594">
        <w:t xml:space="preserve"> Prevnar 13) being </w:t>
      </w:r>
      <w:r w:rsidR="00841429" w:rsidRPr="00481594">
        <w:t>greater than</w:t>
      </w:r>
      <w:r w:rsidRPr="00481594">
        <w:t xml:space="preserve"> 0 percentage points (one-sided p-value &lt; 0.025).</w:t>
      </w:r>
    </w:p>
    <w:p w14:paraId="18DBAE3A" w14:textId="56DCA9B8" w:rsidR="00295A47" w:rsidRPr="00481594" w:rsidRDefault="00295A47" w:rsidP="00713DAD">
      <w:pPr>
        <w:pStyle w:val="TableDescription"/>
      </w:pPr>
      <w:r w:rsidRPr="00481594">
        <w:t>Per</w:t>
      </w:r>
      <w:r w:rsidR="003B32D6" w:rsidRPr="00481594">
        <w:t>-</w:t>
      </w:r>
      <w:r w:rsidRPr="00481594">
        <w:t xml:space="preserve">protocol, Day 30 is 30 days following vaccination with </w:t>
      </w:r>
      <w:r w:rsidR="00713DAD" w:rsidRPr="00481594">
        <w:t>pneumococcal conjugate vaccine (</w:t>
      </w:r>
      <w:proofErr w:type="spellStart"/>
      <w:r w:rsidR="00686641" w:rsidRPr="00481594">
        <w:t>Vaxneuvance</w:t>
      </w:r>
      <w:proofErr w:type="spellEnd"/>
      <w:r w:rsidR="00686641" w:rsidRPr="00481594">
        <w:t xml:space="preserve"> </w:t>
      </w:r>
      <w:r w:rsidR="00713DAD" w:rsidRPr="00481594">
        <w:t>or Prevnar 13</w:t>
      </w:r>
      <w:r w:rsidR="00713DAD" w:rsidRPr="00481594">
        <w:rPr>
          <w:rFonts w:hint="eastAsia"/>
        </w:rPr>
        <w:t>)</w:t>
      </w:r>
      <w:r w:rsidR="00EE68BF" w:rsidRPr="00481594">
        <w:t xml:space="preserve"> (PCV)</w:t>
      </w:r>
      <w:r w:rsidRPr="00481594">
        <w:t>.</w:t>
      </w:r>
    </w:p>
    <w:p w14:paraId="3EB79766" w14:textId="75C7BE9C" w:rsidR="00295A47" w:rsidRPr="00481594" w:rsidRDefault="00295A47" w:rsidP="00713DAD">
      <w:pPr>
        <w:pStyle w:val="TableDescription"/>
      </w:pPr>
      <w:r w:rsidRPr="00481594">
        <w:t>Proportion of participants with a</w:t>
      </w:r>
      <w:r w:rsidR="007F232D">
        <w:t>n</w:t>
      </w:r>
      <w:r w:rsidRPr="00481594">
        <w:t xml:space="preserve"> </w:t>
      </w:r>
      <w:r w:rsidR="00841429" w:rsidRPr="00481594">
        <w:t>at least</w:t>
      </w:r>
      <w:r w:rsidR="00713DAD" w:rsidRPr="00481594">
        <w:t xml:space="preserve"> </w:t>
      </w:r>
      <w:r w:rsidRPr="00481594">
        <w:t>4-fold rise is calculated from Day 1 to Day 30.</w:t>
      </w:r>
    </w:p>
    <w:p w14:paraId="0FAE4E76" w14:textId="2001E376" w:rsidR="00B638B1" w:rsidRPr="00481594" w:rsidRDefault="00B638B1" w:rsidP="00B638B1">
      <w:r w:rsidRPr="00481594">
        <w:t>Serotype-specific IgG responses at 30 days post-vaccination were consistent with the primary analyses of OPA GMTs (</w:t>
      </w:r>
      <w:r w:rsidR="00282773" w:rsidRPr="00481594">
        <w:fldChar w:fldCharType="begin"/>
      </w:r>
      <w:r w:rsidR="00282773" w:rsidRPr="00481594">
        <w:instrText xml:space="preserve"> REF _Ref108005836 \h </w:instrText>
      </w:r>
      <w:r w:rsidR="0044374C" w:rsidRPr="00481594">
        <w:instrText xml:space="preserve"> \* MERGEFORMAT </w:instrText>
      </w:r>
      <w:r w:rsidR="00282773" w:rsidRPr="00481594">
        <w:fldChar w:fldCharType="separate"/>
      </w:r>
      <w:r w:rsidR="00190330" w:rsidRPr="00481594">
        <w:t xml:space="preserve">Table </w:t>
      </w:r>
      <w:r w:rsidR="00190330">
        <w:rPr>
          <w:noProof/>
        </w:rPr>
        <w:t>9</w:t>
      </w:r>
      <w:r w:rsidR="00282773" w:rsidRPr="00481594">
        <w:fldChar w:fldCharType="end"/>
      </w:r>
      <w:r w:rsidR="00282773" w:rsidRPr="00481594">
        <w:t xml:space="preserve"> </w:t>
      </w:r>
      <w:r w:rsidRPr="00481594">
        <w:t xml:space="preserve">and </w:t>
      </w:r>
      <w:r w:rsidR="00282773" w:rsidRPr="00481594">
        <w:fldChar w:fldCharType="begin"/>
      </w:r>
      <w:r w:rsidR="00282773" w:rsidRPr="00481594">
        <w:instrText xml:space="preserve"> REF _Ref108005929 \h </w:instrText>
      </w:r>
      <w:r w:rsidR="0044374C" w:rsidRPr="00481594">
        <w:instrText xml:space="preserve"> \* MERGEFORMAT </w:instrText>
      </w:r>
      <w:r w:rsidR="00282773" w:rsidRPr="00481594">
        <w:fldChar w:fldCharType="separate"/>
      </w:r>
      <w:r w:rsidR="00190330" w:rsidRPr="00481594">
        <w:t xml:space="preserve">Figure </w:t>
      </w:r>
      <w:r w:rsidR="00190330">
        <w:rPr>
          <w:noProof/>
        </w:rPr>
        <w:t>2</w:t>
      </w:r>
      <w:r w:rsidR="00282773" w:rsidRPr="00481594">
        <w:fldChar w:fldCharType="end"/>
      </w:r>
      <w:r w:rsidRPr="00481594">
        <w:t>).</w:t>
      </w:r>
    </w:p>
    <w:p w14:paraId="37B47EFB" w14:textId="245C8697" w:rsidR="00282773" w:rsidRPr="00481594" w:rsidRDefault="00282773" w:rsidP="000C3C7C">
      <w:pPr>
        <w:pStyle w:val="TableTitle"/>
      </w:pPr>
      <w:bookmarkStart w:id="49" w:name="_Ref108005836"/>
      <w:r w:rsidRPr="00481594">
        <w:t xml:space="preserve">Table </w:t>
      </w:r>
      <w:r w:rsidRPr="00481594">
        <w:fldChar w:fldCharType="begin"/>
      </w:r>
      <w:r w:rsidRPr="00481594">
        <w:instrText>SEQ Table \* ARABIC</w:instrText>
      </w:r>
      <w:r w:rsidRPr="00481594">
        <w:fldChar w:fldCharType="separate"/>
      </w:r>
      <w:r w:rsidR="00190330">
        <w:rPr>
          <w:noProof/>
        </w:rPr>
        <w:t>9</w:t>
      </w:r>
      <w:r w:rsidRPr="00481594">
        <w:fldChar w:fldCharType="end"/>
      </w:r>
      <w:bookmarkEnd w:id="49"/>
      <w:r w:rsidRPr="00481594">
        <w:t xml:space="preserve">: </w:t>
      </w:r>
      <w:r w:rsidR="00A349BA" w:rsidRPr="00481594">
        <w:t xml:space="preserve">Study V114-019 </w:t>
      </w:r>
      <w:r w:rsidRPr="00481594">
        <w:t xml:space="preserve">Analysis of </w:t>
      </w:r>
      <w:r w:rsidR="000C3C7C" w:rsidRPr="00481594">
        <w:t>immunoglobulin G geometric mean concentrations</w:t>
      </w:r>
      <w:r w:rsidRPr="00481594">
        <w:t xml:space="preserve"> at </w:t>
      </w:r>
      <w:r w:rsidR="00C87B92" w:rsidRPr="00481594">
        <w:t>Day</w:t>
      </w:r>
      <w:r w:rsidRPr="00481594">
        <w:t xml:space="preserve"> 30 (</w:t>
      </w:r>
      <w:r w:rsidR="000C3C7C" w:rsidRPr="00481594">
        <w:t>per</w:t>
      </w:r>
      <w:r w:rsidR="000C3C7C" w:rsidRPr="00481594">
        <w:noBreakHyphen/>
        <w:t>protocol population</w:t>
      </w:r>
      <w:r w:rsidRPr="00481594">
        <w:t>)</w:t>
      </w:r>
    </w:p>
    <w:p w14:paraId="1613E048" w14:textId="2E95248E" w:rsidR="00282773" w:rsidRPr="00481594" w:rsidRDefault="00282773" w:rsidP="00303435">
      <w:r w:rsidRPr="00481594">
        <w:rPr>
          <w:noProof/>
          <w:lang w:val="en-GB" w:eastAsia="en-GB"/>
        </w:rPr>
        <w:drawing>
          <wp:inline distT="0" distB="0" distL="0" distR="0" wp14:anchorId="04489D36" wp14:editId="310F56A0">
            <wp:extent cx="5400040" cy="4262755"/>
            <wp:effectExtent l="0" t="0" r="0" b="4445"/>
            <wp:docPr id="11" name="Picture 11" descr="Table 9: Study V114-019 Analysis of immunoglobulin G geometric mean concentrations at Day 30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 9: Study V114-019 Analysis of immunoglobulin G geometric mean concentrations at Day 30 (per protocol population)"/>
                    <pic:cNvPicPr/>
                  </pic:nvPicPr>
                  <pic:blipFill>
                    <a:blip r:embed="rId30"/>
                    <a:stretch>
                      <a:fillRect/>
                    </a:stretch>
                  </pic:blipFill>
                  <pic:spPr>
                    <a:xfrm>
                      <a:off x="0" y="0"/>
                      <a:ext cx="5400040" cy="4262755"/>
                    </a:xfrm>
                    <a:prstGeom prst="rect">
                      <a:avLst/>
                    </a:prstGeom>
                  </pic:spPr>
                </pic:pic>
              </a:graphicData>
            </a:graphic>
          </wp:inline>
        </w:drawing>
      </w:r>
    </w:p>
    <w:p w14:paraId="3641C6C4" w14:textId="4BE2C3B6" w:rsidR="009162D5" w:rsidRPr="00481594" w:rsidRDefault="00686641" w:rsidP="00713DAD">
      <w:pPr>
        <w:pStyle w:val="TableDescription"/>
      </w:pPr>
      <w:r w:rsidRPr="00481594">
        <w:t xml:space="preserve">Abbreviations: </w:t>
      </w:r>
      <w:r w:rsidR="009162D5" w:rsidRPr="00481594">
        <w:t>CI</w:t>
      </w:r>
      <w:r w:rsidR="003B32D6" w:rsidRPr="00481594">
        <w:t xml:space="preserve"> </w:t>
      </w:r>
      <w:r w:rsidR="00320001" w:rsidRPr="00481594">
        <w:t xml:space="preserve">= confidence interval; </w:t>
      </w:r>
      <w:r w:rsidR="00713DAD" w:rsidRPr="00481594">
        <w:t xml:space="preserve">GMC = geometric mean concentration; </w:t>
      </w:r>
      <w:r w:rsidR="00320001" w:rsidRPr="00481594">
        <w:t>N</w:t>
      </w:r>
      <w:r w:rsidR="003B32D6" w:rsidRPr="00481594">
        <w:t xml:space="preserve"> </w:t>
      </w:r>
      <w:r w:rsidR="00320001" w:rsidRPr="00481594">
        <w:t>=</w:t>
      </w:r>
      <w:r w:rsidR="003B32D6" w:rsidRPr="00481594">
        <w:t xml:space="preserve"> number</w:t>
      </w:r>
      <w:r w:rsidR="00320001" w:rsidRPr="00481594">
        <w:t xml:space="preserve"> of subjects randomi</w:t>
      </w:r>
      <w:r w:rsidR="003B32D6" w:rsidRPr="00481594">
        <w:t>s</w:t>
      </w:r>
      <w:r w:rsidR="00320001" w:rsidRPr="00481594">
        <w:t>ed and vaccinated; n</w:t>
      </w:r>
      <w:r w:rsidR="003B32D6" w:rsidRPr="00481594">
        <w:t xml:space="preserve"> </w:t>
      </w:r>
      <w:r w:rsidR="00320001" w:rsidRPr="00481594">
        <w:t>=</w:t>
      </w:r>
      <w:r w:rsidR="003B32D6" w:rsidRPr="00481594">
        <w:t xml:space="preserve"> number</w:t>
      </w:r>
      <w:r w:rsidR="00320001" w:rsidRPr="00481594">
        <w:t xml:space="preserve"> of subjects contributing to the analysis</w:t>
      </w:r>
      <w:r w:rsidR="00713DAD" w:rsidRPr="00481594">
        <w:t xml:space="preserve">; V114 = sponsor’s product development code for </w:t>
      </w:r>
      <w:proofErr w:type="spellStart"/>
      <w:r w:rsidR="00713DAD" w:rsidRPr="00481594">
        <w:t>Vaxneuvance</w:t>
      </w:r>
      <w:proofErr w:type="spellEnd"/>
      <w:r w:rsidR="00713DAD" w:rsidRPr="00481594">
        <w:t>.</w:t>
      </w:r>
    </w:p>
    <w:p w14:paraId="46736983" w14:textId="19429A1D" w:rsidR="00320001" w:rsidRPr="00481594" w:rsidRDefault="00320001" w:rsidP="00713DAD">
      <w:pPr>
        <w:pStyle w:val="TableDescription"/>
      </w:pPr>
      <w:r w:rsidRPr="00481594">
        <w:rPr>
          <w:rFonts w:hint="eastAsia"/>
        </w:rPr>
        <w:lastRenderedPageBreak/>
        <w:t>†</w:t>
      </w:r>
      <w:r w:rsidRPr="00481594">
        <w:t xml:space="preserve"> </w:t>
      </w:r>
      <w:r w:rsidR="00713DAD" w:rsidRPr="00481594">
        <w:t>Geometric mean concentrations (</w:t>
      </w:r>
      <w:r w:rsidRPr="00481594">
        <w:t>GMCs</w:t>
      </w:r>
      <w:r w:rsidR="00713DAD" w:rsidRPr="00481594">
        <w:t>)</w:t>
      </w:r>
      <w:r w:rsidRPr="00481594">
        <w:t>, GMC ratio, 95% CI, and p-value are estimated from a constrained longitudinal data analysis (</w:t>
      </w:r>
      <w:proofErr w:type="spellStart"/>
      <w:r w:rsidRPr="00481594">
        <w:t>cLDA</w:t>
      </w:r>
      <w:proofErr w:type="spellEnd"/>
      <w:r w:rsidRPr="00481594">
        <w:t>) model.</w:t>
      </w:r>
    </w:p>
    <w:p w14:paraId="7E166B45" w14:textId="6A67DE6B" w:rsidR="00282773" w:rsidRPr="00481594" w:rsidRDefault="00320001" w:rsidP="00713DAD">
      <w:pPr>
        <w:pStyle w:val="TableDescription"/>
      </w:pPr>
      <w:r w:rsidRPr="00481594">
        <w:t>Per</w:t>
      </w:r>
      <w:r w:rsidR="003B32D6" w:rsidRPr="00481594">
        <w:t>-</w:t>
      </w:r>
      <w:r w:rsidRPr="00481594">
        <w:t>protocol, Day 30 is 30 days following vaccination with pneumococcal conjugate vaccine (</w:t>
      </w:r>
      <w:proofErr w:type="spellStart"/>
      <w:r w:rsidR="00686641" w:rsidRPr="00481594">
        <w:t>Vaxneuvance</w:t>
      </w:r>
      <w:proofErr w:type="spellEnd"/>
      <w:r w:rsidR="00686641" w:rsidRPr="00481594">
        <w:t xml:space="preserve"> </w:t>
      </w:r>
      <w:r w:rsidRPr="00481594">
        <w:t>or Prevnar 13)</w:t>
      </w:r>
      <w:r w:rsidR="00EE68BF" w:rsidRPr="00481594">
        <w:t xml:space="preserve"> (PCV)</w:t>
      </w:r>
      <w:r w:rsidRPr="00481594">
        <w:t>.</w:t>
      </w:r>
    </w:p>
    <w:p w14:paraId="1F85504B" w14:textId="4ED9A316" w:rsidR="00282773" w:rsidRPr="00481594" w:rsidRDefault="00F95EF9" w:rsidP="00F95EF9">
      <w:pPr>
        <w:pStyle w:val="FigureTitle"/>
      </w:pPr>
      <w:bookmarkStart w:id="50" w:name="_Ref108005929"/>
      <w:r w:rsidRPr="00481594">
        <w:t xml:space="preserve">Figure </w:t>
      </w:r>
      <w:r w:rsidRPr="00481594">
        <w:fldChar w:fldCharType="begin"/>
      </w:r>
      <w:r w:rsidRPr="00481594">
        <w:instrText>SEQ Figure \* ARABIC</w:instrText>
      </w:r>
      <w:r w:rsidRPr="00481594">
        <w:fldChar w:fldCharType="separate"/>
      </w:r>
      <w:r w:rsidR="00190330">
        <w:rPr>
          <w:noProof/>
        </w:rPr>
        <w:t>2</w:t>
      </w:r>
      <w:r w:rsidRPr="00481594">
        <w:fldChar w:fldCharType="end"/>
      </w:r>
      <w:bookmarkEnd w:id="50"/>
      <w:r w:rsidR="00282773" w:rsidRPr="00481594">
        <w:t xml:space="preserve">: </w:t>
      </w:r>
      <w:r w:rsidR="00A349BA" w:rsidRPr="00481594">
        <w:t xml:space="preserve">Study V114-019 </w:t>
      </w:r>
      <w:r w:rsidR="00282773" w:rsidRPr="00481594">
        <w:t xml:space="preserve">Forest </w:t>
      </w:r>
      <w:r w:rsidR="0061675B" w:rsidRPr="00481594">
        <w:t xml:space="preserve">plot of immunoglobulin G geometric mean concentration ratios at </w:t>
      </w:r>
      <w:r w:rsidR="00282773" w:rsidRPr="00481594">
        <w:t>Day 30 (</w:t>
      </w:r>
      <w:r w:rsidR="000C3C7C" w:rsidRPr="00481594">
        <w:t>per</w:t>
      </w:r>
      <w:r w:rsidR="000C3C7C" w:rsidRPr="00481594">
        <w:noBreakHyphen/>
        <w:t>protocol population</w:t>
      </w:r>
      <w:r w:rsidR="00282773" w:rsidRPr="00481594">
        <w:t>)</w:t>
      </w:r>
    </w:p>
    <w:p w14:paraId="66EF7D91" w14:textId="0BCBCB5B" w:rsidR="00282773" w:rsidRPr="00481594" w:rsidRDefault="00282773" w:rsidP="00303435">
      <w:r w:rsidRPr="00481594">
        <w:rPr>
          <w:noProof/>
          <w:lang w:val="en-GB" w:eastAsia="en-GB"/>
        </w:rPr>
        <w:drawing>
          <wp:inline distT="0" distB="0" distL="0" distR="0" wp14:anchorId="555E8D7E" wp14:editId="3E82489F">
            <wp:extent cx="5143500" cy="5585332"/>
            <wp:effectExtent l="0" t="0" r="0" b="0"/>
            <wp:docPr id="33" name="Picture 33" descr="Figure 2: Study V114-019 Forest plot of immunoglobulin G geometric mean concentration ratios at Day 30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2: Study V114-019 Forest plot of immunoglobulin G geometric mean concentration ratios at Day 30 (per protocol populatio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59007" cy="5602171"/>
                    </a:xfrm>
                    <a:prstGeom prst="rect">
                      <a:avLst/>
                    </a:prstGeom>
                    <a:noFill/>
                    <a:ln>
                      <a:noFill/>
                    </a:ln>
                  </pic:spPr>
                </pic:pic>
              </a:graphicData>
            </a:graphic>
          </wp:inline>
        </w:drawing>
      </w:r>
    </w:p>
    <w:p w14:paraId="4537F382" w14:textId="78965D17" w:rsidR="00D55595" w:rsidRPr="00481594" w:rsidRDefault="00686641" w:rsidP="00D55595">
      <w:pPr>
        <w:pStyle w:val="FigureDescription"/>
      </w:pPr>
      <w:r w:rsidRPr="00481594">
        <w:t xml:space="preserve">Abbreviations: </w:t>
      </w:r>
      <w:r w:rsidR="00D55595" w:rsidRPr="00481594">
        <w:t xml:space="preserve">CI = confidence interval; GMC = geometric mean concentration; n = number of subjects contributing to the analysis; V114 = sponsor’s product development code for </w:t>
      </w:r>
      <w:proofErr w:type="spellStart"/>
      <w:r w:rsidR="00D55595" w:rsidRPr="00481594">
        <w:t>Vaxneuvance</w:t>
      </w:r>
      <w:proofErr w:type="spellEnd"/>
      <w:r w:rsidR="00D55595" w:rsidRPr="00481594">
        <w:t>.</w:t>
      </w:r>
    </w:p>
    <w:p w14:paraId="2D04B92B" w14:textId="48FCA9C2" w:rsidR="00B638B1" w:rsidRPr="00481594" w:rsidRDefault="00B638B1" w:rsidP="00B638B1">
      <w:r w:rsidRPr="00481594">
        <w:t>In terms of sub-group analyses in different age groups (from 50 years to 75 years of age</w:t>
      </w:r>
      <w:r w:rsidR="006D2CA5" w:rsidRPr="00481594">
        <w:t xml:space="preserve"> and older</w:t>
      </w:r>
      <w:r w:rsidRPr="00481594">
        <w:t xml:space="preserve">), these were generally consistent with the ratios seen for the overall population. Similarly, there were no significant differences across groups for gender, </w:t>
      </w:r>
      <w:proofErr w:type="gramStart"/>
      <w:r w:rsidRPr="00481594">
        <w:t>race</w:t>
      </w:r>
      <w:proofErr w:type="gramEnd"/>
      <w:r w:rsidRPr="00481594">
        <w:t xml:space="preserve"> or ethnicity.</w:t>
      </w:r>
    </w:p>
    <w:p w14:paraId="36DB3362" w14:textId="77777777" w:rsidR="00B638B1" w:rsidRPr="00481594" w:rsidRDefault="00B638B1" w:rsidP="00B638B1">
      <w:pPr>
        <w:pStyle w:val="Heading5"/>
      </w:pPr>
      <w:r w:rsidRPr="00481594">
        <w:rPr>
          <w:rFonts w:eastAsia="MS Mincho"/>
          <w:lang w:eastAsia="ja-JP"/>
        </w:rPr>
        <w:t>Study V114-020</w:t>
      </w:r>
    </w:p>
    <w:p w14:paraId="29407838" w14:textId="2DCCA243" w:rsidR="00B638B1" w:rsidRPr="00481594" w:rsidRDefault="00B638B1" w:rsidP="00B638B1">
      <w:r w:rsidRPr="00481594">
        <w:t xml:space="preserve">Study V114-020 was a </w:t>
      </w:r>
      <w:r w:rsidR="00262F42" w:rsidRPr="00481594">
        <w:t>Phase III</w:t>
      </w:r>
      <w:r w:rsidRPr="00481594">
        <w:t>, multicentre, randomised, double</w:t>
      </w:r>
      <w:r w:rsidR="00C87B92" w:rsidRPr="00481594">
        <w:t xml:space="preserve"> </w:t>
      </w:r>
      <w:r w:rsidRPr="00481594">
        <w:t>blind, active comparator controlled, lot</w:t>
      </w:r>
      <w:r w:rsidR="00C87B92" w:rsidRPr="00481594">
        <w:t xml:space="preserve"> </w:t>
      </w:r>
      <w:r w:rsidRPr="00481594">
        <w:t>to</w:t>
      </w:r>
      <w:r w:rsidR="00C87B92" w:rsidRPr="00481594">
        <w:t xml:space="preserve"> </w:t>
      </w:r>
      <w:r w:rsidRPr="00481594">
        <w:t xml:space="preserve">lot consistency study to evaluate safety and immunogenicity of </w:t>
      </w:r>
      <w:proofErr w:type="spellStart"/>
      <w:r w:rsidR="00686641" w:rsidRPr="00481594">
        <w:t>Vaxneuvance</w:t>
      </w:r>
      <w:proofErr w:type="spellEnd"/>
      <w:r w:rsidR="00686641" w:rsidRPr="00481594">
        <w:t xml:space="preserve"> </w:t>
      </w:r>
      <w:r w:rsidRPr="00481594">
        <w:t>in healthy adults 50 years of age or older.</w:t>
      </w:r>
    </w:p>
    <w:p w14:paraId="2950CEC4" w14:textId="2384C4CE" w:rsidR="00B638B1" w:rsidRPr="00481594" w:rsidRDefault="00B638B1" w:rsidP="00B638B1">
      <w:r w:rsidRPr="00481594">
        <w:t xml:space="preserve">The study objectives and endpoints and are shown in </w:t>
      </w:r>
      <w:r w:rsidR="00EE47AB" w:rsidRPr="00481594">
        <w:fldChar w:fldCharType="begin"/>
      </w:r>
      <w:r w:rsidR="00EE47AB" w:rsidRPr="00481594">
        <w:instrText xml:space="preserve"> REF _Ref108803247 \h </w:instrText>
      </w:r>
      <w:r w:rsidR="00481594">
        <w:instrText xml:space="preserve"> \* MERGEFORMAT </w:instrText>
      </w:r>
      <w:r w:rsidR="00EE47AB" w:rsidRPr="00481594">
        <w:fldChar w:fldCharType="separate"/>
      </w:r>
      <w:r w:rsidR="00190330" w:rsidRPr="00481594">
        <w:t xml:space="preserve">Table </w:t>
      </w:r>
      <w:r w:rsidR="00190330">
        <w:rPr>
          <w:noProof/>
        </w:rPr>
        <w:t>10</w:t>
      </w:r>
      <w:r w:rsidR="00EE47AB" w:rsidRPr="00481594">
        <w:fldChar w:fldCharType="end"/>
      </w:r>
      <w:r w:rsidRPr="00481594">
        <w:t>.</w:t>
      </w:r>
    </w:p>
    <w:p w14:paraId="64FCFBB5" w14:textId="6CF016C7" w:rsidR="00EE47AB" w:rsidRPr="00481594" w:rsidRDefault="00EE47AB" w:rsidP="0061675B">
      <w:pPr>
        <w:pStyle w:val="TableTitle"/>
      </w:pPr>
      <w:bookmarkStart w:id="51" w:name="_Ref108803247"/>
      <w:r w:rsidRPr="00481594">
        <w:lastRenderedPageBreak/>
        <w:t xml:space="preserve">Table </w:t>
      </w:r>
      <w:r w:rsidRPr="00481594">
        <w:fldChar w:fldCharType="begin"/>
      </w:r>
      <w:r w:rsidRPr="00481594">
        <w:instrText>SEQ Table \* ARABIC</w:instrText>
      </w:r>
      <w:r w:rsidRPr="00481594">
        <w:fldChar w:fldCharType="separate"/>
      </w:r>
      <w:r w:rsidR="00190330">
        <w:rPr>
          <w:noProof/>
        </w:rPr>
        <w:t>10</w:t>
      </w:r>
      <w:r w:rsidRPr="00481594">
        <w:fldChar w:fldCharType="end"/>
      </w:r>
      <w:bookmarkEnd w:id="51"/>
      <w:r w:rsidRPr="00481594">
        <w:t xml:space="preserve">: Study </w:t>
      </w:r>
      <w:r w:rsidR="00040793" w:rsidRPr="00481594">
        <w:t>V114-020</w:t>
      </w:r>
      <w:r w:rsidRPr="00481594">
        <w:t xml:space="preserve"> Study </w:t>
      </w:r>
      <w:r w:rsidR="00F61308" w:rsidRPr="00481594">
        <w:t>objectives and endpoints</w:t>
      </w:r>
    </w:p>
    <w:p w14:paraId="1919DBCE" w14:textId="1FBE139D" w:rsidR="00EE47AB" w:rsidRPr="00481594" w:rsidRDefault="00F61308" w:rsidP="00303435">
      <w:r w:rsidRPr="00481594">
        <w:rPr>
          <w:noProof/>
          <w:lang w:val="en-GB" w:eastAsia="en-GB"/>
        </w:rPr>
        <w:drawing>
          <wp:inline distT="0" distB="0" distL="0" distR="0" wp14:anchorId="4F1C72E5" wp14:editId="57A29EB1">
            <wp:extent cx="5400040" cy="6855460"/>
            <wp:effectExtent l="0" t="0" r="0" b="2540"/>
            <wp:docPr id="85" name="Picture 85" descr="Table 10: Study V114-020 Study objectives and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able 10: Study V114-020 Study objectives and endpoints"/>
                    <pic:cNvPicPr/>
                  </pic:nvPicPr>
                  <pic:blipFill>
                    <a:blip r:embed="rId32"/>
                    <a:stretch>
                      <a:fillRect/>
                    </a:stretch>
                  </pic:blipFill>
                  <pic:spPr>
                    <a:xfrm>
                      <a:off x="0" y="0"/>
                      <a:ext cx="5400040" cy="6855460"/>
                    </a:xfrm>
                    <a:prstGeom prst="rect">
                      <a:avLst/>
                    </a:prstGeom>
                  </pic:spPr>
                </pic:pic>
              </a:graphicData>
            </a:graphic>
          </wp:inline>
        </w:drawing>
      </w:r>
    </w:p>
    <w:p w14:paraId="4F8C6D1E" w14:textId="3DEF4E7D" w:rsidR="00713DAD" w:rsidRPr="00481594" w:rsidRDefault="007161DD" w:rsidP="00D55595">
      <w:pPr>
        <w:pStyle w:val="TableDescription"/>
      </w:pPr>
      <w:r w:rsidRPr="00481594">
        <w:t xml:space="preserve">Abbreviations: </w:t>
      </w:r>
      <w:r w:rsidR="00713DAD" w:rsidRPr="00481594">
        <w:t>AE</w:t>
      </w:r>
      <w:r w:rsidR="00E912B3" w:rsidRPr="00481594">
        <w:t xml:space="preserve"> =</w:t>
      </w:r>
      <w:r w:rsidR="00D55595" w:rsidRPr="00481594">
        <w:t xml:space="preserve"> adverse event; </w:t>
      </w:r>
      <w:r w:rsidR="00713DAD" w:rsidRPr="00481594">
        <w:t>CI</w:t>
      </w:r>
      <w:r w:rsidR="00E912B3" w:rsidRPr="00481594">
        <w:t xml:space="preserve"> =</w:t>
      </w:r>
      <w:r w:rsidR="00D55595" w:rsidRPr="00481594">
        <w:t xml:space="preserve"> confidence interval; </w:t>
      </w:r>
      <w:r w:rsidR="00713DAD" w:rsidRPr="00481594">
        <w:t>GMC</w:t>
      </w:r>
      <w:r w:rsidR="00E912B3" w:rsidRPr="00481594">
        <w:t xml:space="preserve"> =</w:t>
      </w:r>
      <w:r w:rsidR="00D55595" w:rsidRPr="00481594">
        <w:t xml:space="preserve"> geometric mean concentration; </w:t>
      </w:r>
      <w:r w:rsidR="00713DAD" w:rsidRPr="00481594">
        <w:t>GMFR</w:t>
      </w:r>
      <w:r w:rsidR="00E912B3" w:rsidRPr="00481594">
        <w:t xml:space="preserve"> =</w:t>
      </w:r>
      <w:r w:rsidR="00D55595" w:rsidRPr="00481594">
        <w:t xml:space="preserve"> geometric mean fold rise; </w:t>
      </w:r>
      <w:r w:rsidR="00713DAD" w:rsidRPr="00481594">
        <w:t>IgG</w:t>
      </w:r>
      <w:r w:rsidR="00E912B3" w:rsidRPr="00481594">
        <w:t xml:space="preserve"> =</w:t>
      </w:r>
      <w:r w:rsidR="00D55595" w:rsidRPr="00481594">
        <w:t xml:space="preserve"> immunoglobulin G; </w:t>
      </w:r>
      <w:r w:rsidR="00713DAD" w:rsidRPr="00481594">
        <w:t>OPA</w:t>
      </w:r>
      <w:r w:rsidR="00E912B3" w:rsidRPr="00481594">
        <w:t xml:space="preserve"> =</w:t>
      </w:r>
      <w:r w:rsidR="00D55595" w:rsidRPr="00481594">
        <w:t xml:space="preserve"> opsonophagocytic activity; </w:t>
      </w:r>
      <w:r w:rsidR="00713DAD" w:rsidRPr="00481594">
        <w:t>SAE</w:t>
      </w:r>
      <w:r w:rsidRPr="00481594">
        <w:t> </w:t>
      </w:r>
      <w:r w:rsidR="00E912B3" w:rsidRPr="00481594">
        <w:t>=</w:t>
      </w:r>
      <w:r w:rsidRPr="00481594">
        <w:t> </w:t>
      </w:r>
      <w:r w:rsidR="00D55595" w:rsidRPr="00481594">
        <w:t xml:space="preserve">serious adverse event; </w:t>
      </w:r>
      <w:r w:rsidR="00713DAD" w:rsidRPr="00481594">
        <w:t>V114</w:t>
      </w:r>
      <w:r w:rsidR="00E912B3" w:rsidRPr="00481594">
        <w:t xml:space="preserve"> = sponsor’s product development code for </w:t>
      </w:r>
      <w:proofErr w:type="spellStart"/>
      <w:r w:rsidR="00E912B3" w:rsidRPr="00481594">
        <w:t>Vaxneuvance</w:t>
      </w:r>
      <w:proofErr w:type="spellEnd"/>
      <w:r w:rsidR="00D55595" w:rsidRPr="00481594">
        <w:t>.</w:t>
      </w:r>
    </w:p>
    <w:p w14:paraId="1C19078D" w14:textId="5B7A7975" w:rsidR="00B638B1" w:rsidRPr="00481594" w:rsidRDefault="00B638B1" w:rsidP="00B638B1">
      <w:r w:rsidRPr="00481594">
        <w:t xml:space="preserve">A total of 2337 subjects were randomised and a total of 2299 subjects were included in the </w:t>
      </w:r>
      <w:r w:rsidR="001108A1" w:rsidRPr="00481594">
        <w:t>per</w:t>
      </w:r>
      <w:r w:rsidR="001108A1" w:rsidRPr="00481594">
        <w:noBreakHyphen/>
      </w:r>
      <w:proofErr w:type="gramStart"/>
      <w:r w:rsidR="001108A1" w:rsidRPr="00481594">
        <w:t>protocol</w:t>
      </w:r>
      <w:r w:rsidR="00495D46" w:rsidRPr="00481594">
        <w:t>;</w:t>
      </w:r>
      <w:proofErr w:type="gramEnd"/>
      <w:r w:rsidR="00495D46" w:rsidRPr="00481594">
        <w:rPr>
          <w:rStyle w:val="FootnoteReference"/>
        </w:rPr>
        <w:footnoteReference w:id="13"/>
      </w:r>
      <w:r w:rsidR="001108A1" w:rsidRPr="00481594">
        <w:t xml:space="preserve"> </w:t>
      </w:r>
      <w:r w:rsidRPr="00481594">
        <w:t xml:space="preserve">immunogenicity population. Demographic characteristics are summarised in </w:t>
      </w:r>
      <w:r w:rsidR="00423483" w:rsidRPr="00481594">
        <w:fldChar w:fldCharType="begin"/>
      </w:r>
      <w:r w:rsidR="00423483" w:rsidRPr="00481594">
        <w:instrText xml:space="preserve"> REF _Ref108030429 \h </w:instrText>
      </w:r>
      <w:r w:rsidR="00481594">
        <w:instrText xml:space="preserve"> \* MERGEFORMAT </w:instrText>
      </w:r>
      <w:r w:rsidR="00423483" w:rsidRPr="00481594">
        <w:fldChar w:fldCharType="separate"/>
      </w:r>
      <w:r w:rsidR="00190330" w:rsidRPr="00481594">
        <w:t xml:space="preserve">Table </w:t>
      </w:r>
      <w:r w:rsidR="00190330">
        <w:rPr>
          <w:noProof/>
        </w:rPr>
        <w:t>11</w:t>
      </w:r>
      <w:r w:rsidR="00423483" w:rsidRPr="00481594">
        <w:fldChar w:fldCharType="end"/>
      </w:r>
      <w:r w:rsidRPr="00481594">
        <w:t xml:space="preserve">. Demographic characteristics were generally comparable for the treatment groups. The median age of patients being 65 years with </w:t>
      </w:r>
      <w:r w:rsidR="001C5DCA" w:rsidRPr="00481594">
        <w:t>approximately</w:t>
      </w:r>
      <w:r w:rsidR="00C87B92" w:rsidRPr="00481594">
        <w:t xml:space="preserve"> </w:t>
      </w:r>
      <w:r w:rsidRPr="00481594">
        <w:t xml:space="preserve">65% were over </w:t>
      </w:r>
      <w:r w:rsidRPr="00481594">
        <w:lastRenderedPageBreak/>
        <w:t>65</w:t>
      </w:r>
      <w:r w:rsidR="00C87B92" w:rsidRPr="00481594">
        <w:t> </w:t>
      </w:r>
      <w:r w:rsidRPr="00481594">
        <w:t xml:space="preserve">years of age and </w:t>
      </w:r>
      <w:r w:rsidR="001C5DCA" w:rsidRPr="00481594">
        <w:t>approximately</w:t>
      </w:r>
      <w:r w:rsidR="00C87B92" w:rsidRPr="00481594">
        <w:t xml:space="preserve"> </w:t>
      </w:r>
      <w:r w:rsidRPr="00481594">
        <w:t xml:space="preserve">10% over 75 years of age. </w:t>
      </w:r>
      <w:proofErr w:type="gramStart"/>
      <w:r w:rsidRPr="00481594">
        <w:t>The majority of</w:t>
      </w:r>
      <w:proofErr w:type="gramEnd"/>
      <w:r w:rsidRPr="00481594">
        <w:t xml:space="preserve"> subjects were female, White and of non-Hispanic or Latino ethnicity.</w:t>
      </w:r>
    </w:p>
    <w:p w14:paraId="6E173401" w14:textId="0CD6C957" w:rsidR="00423483" w:rsidRPr="00481594" w:rsidRDefault="00423483" w:rsidP="0061675B">
      <w:pPr>
        <w:pStyle w:val="TableTitle"/>
      </w:pPr>
      <w:bookmarkStart w:id="52" w:name="_Ref108030429"/>
      <w:bookmarkStart w:id="53" w:name="_Ref108031776"/>
      <w:r w:rsidRPr="00481594">
        <w:t xml:space="preserve">Table </w:t>
      </w:r>
      <w:r w:rsidRPr="00481594">
        <w:fldChar w:fldCharType="begin"/>
      </w:r>
      <w:r w:rsidRPr="00481594">
        <w:instrText>SEQ Table \* ARABIC</w:instrText>
      </w:r>
      <w:r w:rsidRPr="00481594">
        <w:fldChar w:fldCharType="separate"/>
      </w:r>
      <w:r w:rsidR="00190330">
        <w:rPr>
          <w:noProof/>
        </w:rPr>
        <w:t>11</w:t>
      </w:r>
      <w:r w:rsidRPr="00481594">
        <w:fldChar w:fldCharType="end"/>
      </w:r>
      <w:bookmarkEnd w:id="52"/>
      <w:r w:rsidRPr="00481594">
        <w:t xml:space="preserve">: Study </w:t>
      </w:r>
      <w:r w:rsidR="00040793" w:rsidRPr="00481594">
        <w:t>V114-020</w:t>
      </w:r>
      <w:r w:rsidRPr="00481594">
        <w:t xml:space="preserve"> Subject </w:t>
      </w:r>
      <w:r w:rsidR="0061675B" w:rsidRPr="00481594">
        <w:t>c</w:t>
      </w:r>
      <w:r w:rsidRPr="00481594">
        <w:t>haracteristics</w:t>
      </w:r>
      <w:bookmarkEnd w:id="53"/>
    </w:p>
    <w:p w14:paraId="6044329C" w14:textId="261ABE47" w:rsidR="00423483" w:rsidRPr="00481594" w:rsidRDefault="00423483" w:rsidP="00303435">
      <w:r w:rsidRPr="00481594">
        <w:rPr>
          <w:noProof/>
          <w:lang w:val="en-GB" w:eastAsia="en-GB"/>
        </w:rPr>
        <w:drawing>
          <wp:inline distT="0" distB="0" distL="0" distR="0" wp14:anchorId="6B0260CA" wp14:editId="1E20AFA1">
            <wp:extent cx="5400040" cy="3182620"/>
            <wp:effectExtent l="0" t="0" r="0" b="0"/>
            <wp:docPr id="18" name="Picture 18" descr="Table 11: Study V114-020 Subjec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 11: Study V114-020 Subject characteristics"/>
                    <pic:cNvPicPr/>
                  </pic:nvPicPr>
                  <pic:blipFill>
                    <a:blip r:embed="rId33"/>
                    <a:stretch>
                      <a:fillRect/>
                    </a:stretch>
                  </pic:blipFill>
                  <pic:spPr>
                    <a:xfrm>
                      <a:off x="0" y="0"/>
                      <a:ext cx="5400040" cy="3182620"/>
                    </a:xfrm>
                    <a:prstGeom prst="rect">
                      <a:avLst/>
                    </a:prstGeom>
                  </pic:spPr>
                </pic:pic>
              </a:graphicData>
            </a:graphic>
          </wp:inline>
        </w:drawing>
      </w:r>
    </w:p>
    <w:p w14:paraId="29FF3500" w14:textId="076C3D45" w:rsidR="00E912B3" w:rsidRPr="00481594" w:rsidRDefault="007161DD" w:rsidP="00D55595">
      <w:pPr>
        <w:pStyle w:val="TableDescription"/>
      </w:pPr>
      <w:r w:rsidRPr="00481594">
        <w:t xml:space="preserve">Abbreviations: </w:t>
      </w:r>
      <w:r w:rsidR="00E912B3" w:rsidRPr="00481594">
        <w:t>n =</w:t>
      </w:r>
      <w:r w:rsidR="00D55595" w:rsidRPr="00481594">
        <w:t xml:space="preserve"> number of subjects contributing to the analysis; </w:t>
      </w:r>
      <w:r w:rsidR="00423483" w:rsidRPr="00481594">
        <w:t>SD = standard deviation</w:t>
      </w:r>
      <w:r w:rsidR="00D55595" w:rsidRPr="00481594">
        <w:t xml:space="preserve">; </w:t>
      </w:r>
      <w:r w:rsidR="00E912B3" w:rsidRPr="00481594">
        <w:t xml:space="preserve">V114 = sponsor’s product development code for </w:t>
      </w:r>
      <w:proofErr w:type="spellStart"/>
      <w:r w:rsidR="00E912B3" w:rsidRPr="00481594">
        <w:t>Vaxneuvance</w:t>
      </w:r>
      <w:proofErr w:type="spellEnd"/>
      <w:r w:rsidR="00D55595" w:rsidRPr="00481594">
        <w:t>.</w:t>
      </w:r>
    </w:p>
    <w:p w14:paraId="0743779B" w14:textId="18BC81E1" w:rsidR="00B638B1" w:rsidRPr="00481594" w:rsidRDefault="00B638B1" w:rsidP="00B638B1">
      <w:r w:rsidRPr="00481594">
        <w:t xml:space="preserve">Analysis of OPA GMTs at </w:t>
      </w:r>
      <w:r w:rsidR="00C87B92" w:rsidRPr="00481594">
        <w:t>Day</w:t>
      </w:r>
      <w:r w:rsidRPr="00481594">
        <w:t xml:space="preserve"> 30 and GMT ratios across </w:t>
      </w:r>
      <w:proofErr w:type="spellStart"/>
      <w:r w:rsidR="007161DD" w:rsidRPr="00481594">
        <w:t>Vaxneuvance</w:t>
      </w:r>
      <w:proofErr w:type="spellEnd"/>
      <w:r w:rsidR="007161DD" w:rsidRPr="00481594">
        <w:t xml:space="preserve"> </w:t>
      </w:r>
      <w:r w:rsidRPr="00481594">
        <w:t xml:space="preserve">lots is shown in </w:t>
      </w:r>
      <w:r w:rsidR="003710B3" w:rsidRPr="00481594">
        <w:fldChar w:fldCharType="begin"/>
      </w:r>
      <w:r w:rsidR="003710B3" w:rsidRPr="00481594">
        <w:instrText xml:space="preserve"> REF _Ref108031156 \h </w:instrText>
      </w:r>
      <w:r w:rsidR="00481594">
        <w:instrText xml:space="preserve"> \* MERGEFORMAT </w:instrText>
      </w:r>
      <w:r w:rsidR="003710B3" w:rsidRPr="00481594">
        <w:fldChar w:fldCharType="separate"/>
      </w:r>
      <w:r w:rsidR="00190330" w:rsidRPr="00481594">
        <w:t xml:space="preserve">Table </w:t>
      </w:r>
      <w:r w:rsidR="00190330">
        <w:rPr>
          <w:noProof/>
        </w:rPr>
        <w:t>12</w:t>
      </w:r>
      <w:r w:rsidR="003710B3" w:rsidRPr="00481594">
        <w:fldChar w:fldCharType="end"/>
      </w:r>
      <w:r w:rsidRPr="00481594">
        <w:t xml:space="preserve"> and </w:t>
      </w:r>
      <w:r w:rsidR="003710B3" w:rsidRPr="00481594">
        <w:fldChar w:fldCharType="begin"/>
      </w:r>
      <w:r w:rsidR="003710B3" w:rsidRPr="00481594">
        <w:instrText xml:space="preserve"> REF _Ref108031353 \h </w:instrText>
      </w:r>
      <w:r w:rsidR="00481594">
        <w:instrText xml:space="preserve"> \* MERGEFORMAT </w:instrText>
      </w:r>
      <w:r w:rsidR="003710B3" w:rsidRPr="00481594">
        <w:fldChar w:fldCharType="separate"/>
      </w:r>
      <w:r w:rsidR="00190330" w:rsidRPr="00481594">
        <w:t xml:space="preserve">Figure </w:t>
      </w:r>
      <w:r w:rsidR="00190330">
        <w:rPr>
          <w:noProof/>
        </w:rPr>
        <w:t>3</w:t>
      </w:r>
      <w:r w:rsidR="003710B3" w:rsidRPr="00481594">
        <w:fldChar w:fldCharType="end"/>
      </w:r>
      <w:r w:rsidRPr="00481594">
        <w:t xml:space="preserve">. The 3 lots of </w:t>
      </w:r>
      <w:proofErr w:type="spellStart"/>
      <w:r w:rsidR="007161DD" w:rsidRPr="00481594">
        <w:t>Vaxneuvance</w:t>
      </w:r>
      <w:proofErr w:type="spellEnd"/>
      <w:r w:rsidR="007161DD" w:rsidRPr="00481594">
        <w:t xml:space="preserve"> </w:t>
      </w:r>
      <w:r w:rsidRPr="00481594">
        <w:t>met criteria for equivalence as assessed by serotype</w:t>
      </w:r>
      <w:r w:rsidR="00C87B92" w:rsidRPr="00481594">
        <w:t xml:space="preserve"> </w:t>
      </w:r>
      <w:r w:rsidRPr="00481594">
        <w:t xml:space="preserve">specific OPA GMTs for the 15 serotypes in </w:t>
      </w:r>
      <w:proofErr w:type="spellStart"/>
      <w:r w:rsidR="00482C41" w:rsidRPr="00481594">
        <w:t>Vaxneuvance</w:t>
      </w:r>
      <w:proofErr w:type="spellEnd"/>
      <w:r w:rsidRPr="00481594">
        <w:t xml:space="preserve"> at 30 days post</w:t>
      </w:r>
      <w:r w:rsidR="00C87B92" w:rsidRPr="00481594">
        <w:noBreakHyphen/>
      </w:r>
      <w:r w:rsidRPr="00481594">
        <w:t>vaccination. The lower and upper limits of the 95% CI of the serotype</w:t>
      </w:r>
      <w:r w:rsidR="00C87B92" w:rsidRPr="00481594">
        <w:t xml:space="preserve"> </w:t>
      </w:r>
      <w:r w:rsidRPr="00481594">
        <w:t>specific OPA GMT ratios between any 2 lots were within the equivalence margin (0.5 to 2.0)</w:t>
      </w:r>
      <w:r w:rsidR="007161DD" w:rsidRPr="00481594">
        <w:t>.</w:t>
      </w:r>
    </w:p>
    <w:p w14:paraId="4C1B0ACC" w14:textId="364344A7" w:rsidR="003710B3" w:rsidRPr="00481594" w:rsidRDefault="003710B3" w:rsidP="0061675B">
      <w:pPr>
        <w:pStyle w:val="TableTitle"/>
      </w:pPr>
      <w:bookmarkStart w:id="54" w:name="_Ref108031156"/>
      <w:r w:rsidRPr="00481594">
        <w:lastRenderedPageBreak/>
        <w:t xml:space="preserve">Table </w:t>
      </w:r>
      <w:r w:rsidRPr="00481594">
        <w:fldChar w:fldCharType="begin"/>
      </w:r>
      <w:r w:rsidRPr="00481594">
        <w:instrText>SEQ Table \* ARABIC</w:instrText>
      </w:r>
      <w:r w:rsidRPr="00481594">
        <w:fldChar w:fldCharType="separate"/>
      </w:r>
      <w:r w:rsidR="00190330">
        <w:rPr>
          <w:noProof/>
        </w:rPr>
        <w:t>12</w:t>
      </w:r>
      <w:r w:rsidRPr="00481594">
        <w:fldChar w:fldCharType="end"/>
      </w:r>
      <w:bookmarkEnd w:id="54"/>
      <w:r w:rsidRPr="00481594">
        <w:t xml:space="preserve">: Study </w:t>
      </w:r>
      <w:r w:rsidR="00040793" w:rsidRPr="00481594">
        <w:t>V114-020</w:t>
      </w:r>
      <w:r w:rsidRPr="00481594">
        <w:t xml:space="preserve"> Analysis of </w:t>
      </w:r>
      <w:r w:rsidR="000C3C7C" w:rsidRPr="00481594">
        <w:t>opsonophagocytic activity</w:t>
      </w:r>
      <w:r w:rsidRPr="00481594">
        <w:t xml:space="preserve"> </w:t>
      </w:r>
      <w:r w:rsidR="000C3C7C" w:rsidRPr="00481594">
        <w:t>geometric mean titre</w:t>
      </w:r>
      <w:r w:rsidRPr="00481594">
        <w:t xml:space="preserve">s at </w:t>
      </w:r>
      <w:r w:rsidR="0061675B" w:rsidRPr="00481594">
        <w:t>D</w:t>
      </w:r>
      <w:r w:rsidRPr="00481594">
        <w:t xml:space="preserve">ay 30 (comparison across V114 </w:t>
      </w:r>
      <w:r w:rsidR="0061675B" w:rsidRPr="00481594">
        <w:t>l</w:t>
      </w:r>
      <w:r w:rsidRPr="00481594">
        <w:t>ots</w:t>
      </w:r>
      <w:r w:rsidR="0061675B" w:rsidRPr="00481594">
        <w:t xml:space="preserve">; </w:t>
      </w:r>
      <w:r w:rsidR="000C3C7C" w:rsidRPr="00481594">
        <w:t>per</w:t>
      </w:r>
      <w:r w:rsidR="000C3C7C" w:rsidRPr="00481594">
        <w:noBreakHyphen/>
        <w:t>protocol population</w:t>
      </w:r>
      <w:r w:rsidRPr="00481594">
        <w:t>)</w:t>
      </w:r>
    </w:p>
    <w:p w14:paraId="796B29C6" w14:textId="405FDA79" w:rsidR="00E912B3" w:rsidRPr="00481594" w:rsidRDefault="003710B3" w:rsidP="00303435">
      <w:r w:rsidRPr="00481594">
        <w:rPr>
          <w:noProof/>
          <w:lang w:val="en-GB" w:eastAsia="en-GB"/>
        </w:rPr>
        <w:drawing>
          <wp:inline distT="0" distB="0" distL="0" distR="0" wp14:anchorId="7D0B06E9" wp14:editId="47E49131">
            <wp:extent cx="5400040" cy="7985157"/>
            <wp:effectExtent l="0" t="0" r="0" b="0"/>
            <wp:docPr id="20" name="Picture 20" descr="Table 12: Study V114-020 Analysis of opsonophagocytic activity geometric mean titres at Day 30 (comparison across V114 lots;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 12: Study V114-020 Analysis of opsonophagocytic activity geometric mean titres at Day 30 (comparison across V114 lots; per protocol population)"/>
                    <pic:cNvPicPr/>
                  </pic:nvPicPr>
                  <pic:blipFill>
                    <a:blip r:embed="rId34"/>
                    <a:stretch>
                      <a:fillRect/>
                    </a:stretch>
                  </pic:blipFill>
                  <pic:spPr>
                    <a:xfrm>
                      <a:off x="0" y="0"/>
                      <a:ext cx="5408063" cy="7997020"/>
                    </a:xfrm>
                    <a:prstGeom prst="rect">
                      <a:avLst/>
                    </a:prstGeom>
                  </pic:spPr>
                </pic:pic>
              </a:graphicData>
            </a:graphic>
          </wp:inline>
        </w:drawing>
      </w:r>
    </w:p>
    <w:p w14:paraId="462479AD" w14:textId="7DF784D2" w:rsidR="00CB7233" w:rsidRPr="00481594" w:rsidRDefault="007161DD" w:rsidP="00FB5072">
      <w:pPr>
        <w:pStyle w:val="TableDescription"/>
      </w:pPr>
      <w:r w:rsidRPr="00481594">
        <w:t xml:space="preserve">Abbreviations: </w:t>
      </w:r>
      <w:r w:rsidR="00CB7233" w:rsidRPr="00481594">
        <w:t xml:space="preserve">CI = confidence interval; GMT = geometric mean titre; N = number of subjects randomised and vaccinated; n = number of subjects contributing to the analysis; V114 = sponsor’s product development code for </w:t>
      </w:r>
      <w:proofErr w:type="spellStart"/>
      <w:r w:rsidR="00CB7233" w:rsidRPr="00481594">
        <w:t>Vaxneuvance</w:t>
      </w:r>
      <w:proofErr w:type="spellEnd"/>
      <w:r w:rsidR="00CB7233" w:rsidRPr="00481594">
        <w:t>.</w:t>
      </w:r>
    </w:p>
    <w:p w14:paraId="005CAAE8" w14:textId="55C0889D" w:rsidR="00CB7233" w:rsidRPr="00481594" w:rsidRDefault="0075727A" w:rsidP="0075727A">
      <w:pPr>
        <w:pStyle w:val="TableDescription"/>
      </w:pPr>
      <w:r w:rsidRPr="00481594">
        <w:rPr>
          <w:rFonts w:hint="eastAsia"/>
        </w:rPr>
        <w:lastRenderedPageBreak/>
        <w:t>†</w:t>
      </w:r>
      <w:r w:rsidR="00CB7233" w:rsidRPr="00481594">
        <w:t xml:space="preserve"> Geometric mean titres (GMTs), GMT ratio, 95% CI, and p-value are estimated from a constrained longitudinal data analysis (</w:t>
      </w:r>
      <w:proofErr w:type="spellStart"/>
      <w:r w:rsidR="00CB7233" w:rsidRPr="00481594">
        <w:t>cLDA</w:t>
      </w:r>
      <w:proofErr w:type="spellEnd"/>
      <w:r w:rsidR="00CB7233" w:rsidRPr="00481594">
        <w:t>) model.</w:t>
      </w:r>
    </w:p>
    <w:p w14:paraId="4BD02FCE" w14:textId="3CFD5AC1" w:rsidR="00CB7233" w:rsidRPr="00481594" w:rsidRDefault="00CB7233" w:rsidP="0075727A">
      <w:pPr>
        <w:pStyle w:val="TableDescription"/>
      </w:pPr>
      <w:r w:rsidRPr="00481594">
        <w:rPr>
          <w:rFonts w:hint="eastAsia"/>
        </w:rPr>
        <w:t>§</w:t>
      </w:r>
      <w:bookmarkStart w:id="55" w:name="_Hlk108965869"/>
      <w:r w:rsidRPr="00481594">
        <w:t>P-value for the comparison of the GMT ratio to the lower bound (0.5).</w:t>
      </w:r>
      <w:bookmarkEnd w:id="55"/>
    </w:p>
    <w:p w14:paraId="5E8F624C" w14:textId="6BACBC6B" w:rsidR="00CB7233" w:rsidRPr="00481594" w:rsidRDefault="00CB7233" w:rsidP="0075727A">
      <w:pPr>
        <w:pStyle w:val="TableDescription"/>
      </w:pPr>
      <w:r w:rsidRPr="00481594">
        <w:t>‖ P-value for the comparison of the GMT ratio to the upper bound (2.0).</w:t>
      </w:r>
    </w:p>
    <w:p w14:paraId="578E3CA1" w14:textId="2A45E8EE" w:rsidR="00CB7233" w:rsidRPr="00481594" w:rsidRDefault="00CB7233" w:rsidP="0075727A">
      <w:pPr>
        <w:pStyle w:val="TableDescription"/>
      </w:pPr>
      <w:r w:rsidRPr="00481594">
        <w:t>A p-value (lower) ≤ 0.025 and a p-value (upper) ≤ 0.025 together support a conclusion of equivalence. If equivalence can be established in all 3 pairwise comparisons for a given serotype, the 3 lots will be considered consistent for a given serotype.</w:t>
      </w:r>
    </w:p>
    <w:p w14:paraId="0F9F9B1D" w14:textId="36C8E51D" w:rsidR="003710B3" w:rsidRPr="00481594" w:rsidRDefault="00CB7233" w:rsidP="0075727A">
      <w:pPr>
        <w:pStyle w:val="TableDescription"/>
      </w:pPr>
      <w:r w:rsidRPr="00481594">
        <w:t>Per-protocol, Day 30 is 30 days following vaccination with pneumococcal conjugate vaccine (</w:t>
      </w:r>
      <w:proofErr w:type="spellStart"/>
      <w:r w:rsidR="00482C41" w:rsidRPr="00481594">
        <w:t>Vaxneuvance</w:t>
      </w:r>
      <w:proofErr w:type="spellEnd"/>
      <w:r w:rsidRPr="00481594">
        <w:t xml:space="preserve"> or Prevnar 13) (PCV).</w:t>
      </w:r>
    </w:p>
    <w:p w14:paraId="0481BC44" w14:textId="15FA4F36" w:rsidR="003710B3" w:rsidRPr="00481594" w:rsidRDefault="003710B3" w:rsidP="0061675B">
      <w:pPr>
        <w:pStyle w:val="TableTitle"/>
      </w:pPr>
      <w:bookmarkStart w:id="56" w:name="_Ref108031353"/>
      <w:r w:rsidRPr="00481594">
        <w:t xml:space="preserve">Figure </w:t>
      </w:r>
      <w:r w:rsidRPr="00481594">
        <w:fldChar w:fldCharType="begin"/>
      </w:r>
      <w:r w:rsidRPr="00481594">
        <w:instrText>SEQ Figure \* ARABIC</w:instrText>
      </w:r>
      <w:r w:rsidRPr="00481594">
        <w:fldChar w:fldCharType="separate"/>
      </w:r>
      <w:r w:rsidR="00190330">
        <w:rPr>
          <w:noProof/>
        </w:rPr>
        <w:t>3</w:t>
      </w:r>
      <w:r w:rsidRPr="00481594">
        <w:fldChar w:fldCharType="end"/>
      </w:r>
      <w:bookmarkEnd w:id="56"/>
      <w:r w:rsidRPr="00481594">
        <w:t xml:space="preserve">: Study </w:t>
      </w:r>
      <w:r w:rsidR="00040793" w:rsidRPr="00481594">
        <w:t>V114-020</w:t>
      </w:r>
      <w:r w:rsidRPr="00481594">
        <w:t xml:space="preserve"> Forest </w:t>
      </w:r>
      <w:r w:rsidR="0061675B" w:rsidRPr="00481594">
        <w:t xml:space="preserve">plot of </w:t>
      </w:r>
      <w:bookmarkStart w:id="57" w:name="_Hlk108805503"/>
      <w:r w:rsidR="0061675B" w:rsidRPr="00481594">
        <w:t>opsonophagocytic activity</w:t>
      </w:r>
      <w:bookmarkEnd w:id="57"/>
      <w:r w:rsidR="0061675B" w:rsidRPr="00481594">
        <w:t xml:space="preserve"> geometric mean titre ratios at Day 30 (comparison across </w:t>
      </w:r>
      <w:r w:rsidRPr="00481594">
        <w:t xml:space="preserve">V114 </w:t>
      </w:r>
      <w:r w:rsidR="0061675B" w:rsidRPr="00481594">
        <w:t>l</w:t>
      </w:r>
      <w:r w:rsidRPr="00481594">
        <w:t>ots</w:t>
      </w:r>
      <w:r w:rsidR="0061675B" w:rsidRPr="00481594">
        <w:t xml:space="preserve">; </w:t>
      </w:r>
      <w:r w:rsidR="000C3C7C" w:rsidRPr="00481594">
        <w:t>per</w:t>
      </w:r>
      <w:r w:rsidR="000C3C7C" w:rsidRPr="00481594">
        <w:noBreakHyphen/>
        <w:t>protocol population</w:t>
      </w:r>
      <w:r w:rsidRPr="00481594">
        <w:t>)</w:t>
      </w:r>
    </w:p>
    <w:p w14:paraId="335ADAF4" w14:textId="1133A609" w:rsidR="003710B3" w:rsidRPr="00481594" w:rsidRDefault="003710B3" w:rsidP="00303435">
      <w:r w:rsidRPr="00481594">
        <w:rPr>
          <w:noProof/>
          <w:lang w:val="en-GB" w:eastAsia="en-GB"/>
        </w:rPr>
        <w:drawing>
          <wp:inline distT="0" distB="0" distL="0" distR="0" wp14:anchorId="7C4F3E61" wp14:editId="6D39D979">
            <wp:extent cx="5400040" cy="2715895"/>
            <wp:effectExtent l="0" t="0" r="0" b="8255"/>
            <wp:docPr id="22" name="Picture 22" descr="Figure 3: Study V114-020 Forest plot of opsonophagocytic activity geometric mean titre ratios at Day 30 (comparison across V114 lots;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3: Study V114-020 Forest plot of opsonophagocytic activity geometric mean titre ratios at Day 30 (comparison across V114 lots; per protocol population)"/>
                    <pic:cNvPicPr/>
                  </pic:nvPicPr>
                  <pic:blipFill>
                    <a:blip r:embed="rId35"/>
                    <a:stretch>
                      <a:fillRect/>
                    </a:stretch>
                  </pic:blipFill>
                  <pic:spPr>
                    <a:xfrm>
                      <a:off x="0" y="0"/>
                      <a:ext cx="5400040" cy="2715895"/>
                    </a:xfrm>
                    <a:prstGeom prst="rect">
                      <a:avLst/>
                    </a:prstGeom>
                  </pic:spPr>
                </pic:pic>
              </a:graphicData>
            </a:graphic>
          </wp:inline>
        </w:drawing>
      </w:r>
    </w:p>
    <w:p w14:paraId="320BEA2E" w14:textId="765173DE" w:rsidR="00E912B3" w:rsidRPr="00481594" w:rsidRDefault="007161DD" w:rsidP="00D55595">
      <w:pPr>
        <w:pStyle w:val="FigureDescription"/>
      </w:pPr>
      <w:r w:rsidRPr="00481594">
        <w:t xml:space="preserve">Abbreviations: </w:t>
      </w:r>
      <w:r w:rsidR="00E912B3" w:rsidRPr="00481594">
        <w:t>CI =</w:t>
      </w:r>
      <w:r w:rsidR="00D55595" w:rsidRPr="00481594">
        <w:t xml:space="preserve"> confidence interval; GMT = geometric mean titre; n1 = number of subjects contributing to the analysis from V114 Lot 1, V114 Lot 1, V114 Lot 2 respectively across all 15 serotypes; n2 = number of subjects contributing to the analysis from V114 Lot 2, V114 Lot 3, V114 Lot 3 respectively across all 15 serotypes; </w:t>
      </w:r>
      <w:r w:rsidR="00E912B3" w:rsidRPr="00481594">
        <w:t xml:space="preserve">V114 = sponsor’s product development code for </w:t>
      </w:r>
      <w:proofErr w:type="spellStart"/>
      <w:r w:rsidR="00E912B3" w:rsidRPr="00481594">
        <w:t>Vaxneuvance</w:t>
      </w:r>
      <w:proofErr w:type="spellEnd"/>
      <w:r w:rsidR="00D55595" w:rsidRPr="00481594">
        <w:t>.</w:t>
      </w:r>
    </w:p>
    <w:p w14:paraId="42501E72" w14:textId="495348D8" w:rsidR="00B638B1" w:rsidRPr="00481594" w:rsidRDefault="00B638B1" w:rsidP="00B638B1">
      <w:r w:rsidRPr="00481594">
        <w:t xml:space="preserve">The IgG GMCs at 30 days post-vaccination with </w:t>
      </w:r>
      <w:proofErr w:type="spellStart"/>
      <w:r w:rsidR="007161DD" w:rsidRPr="00481594">
        <w:t>Vaxneuvance</w:t>
      </w:r>
      <w:proofErr w:type="spellEnd"/>
      <w:r w:rsidR="007161DD" w:rsidRPr="00481594">
        <w:t xml:space="preserve"> </w:t>
      </w:r>
      <w:r w:rsidRPr="00481594">
        <w:t>were consistent with results of the primary analysis of OPA GMTs and serotype</w:t>
      </w:r>
      <w:r w:rsidR="00C87B92" w:rsidRPr="00481594">
        <w:t xml:space="preserve"> </w:t>
      </w:r>
      <w:r w:rsidRPr="00481594">
        <w:t xml:space="preserve">specific IgG GMCs at 30 days post-vaccination were comparable for </w:t>
      </w:r>
      <w:proofErr w:type="spellStart"/>
      <w:r w:rsidR="007161DD" w:rsidRPr="00481594">
        <w:t>Vaxneuvance</w:t>
      </w:r>
      <w:proofErr w:type="spellEnd"/>
      <w:r w:rsidR="007161DD" w:rsidRPr="00481594">
        <w:t xml:space="preserve"> </w:t>
      </w:r>
      <w:r w:rsidRPr="00481594">
        <w:t>(combined lots) and Prevnar 13 intervention groups for the 13</w:t>
      </w:r>
      <w:r w:rsidR="00C87B92" w:rsidRPr="00481594">
        <w:t> </w:t>
      </w:r>
      <w:r w:rsidRPr="00481594">
        <w:t xml:space="preserve">shared serotypes and higher in the </w:t>
      </w:r>
      <w:proofErr w:type="spellStart"/>
      <w:r w:rsidR="007161DD" w:rsidRPr="00481594">
        <w:t>Vaxneuvance</w:t>
      </w:r>
      <w:proofErr w:type="spellEnd"/>
      <w:r w:rsidR="007161DD" w:rsidRPr="00481594">
        <w:t xml:space="preserve"> </w:t>
      </w:r>
      <w:r w:rsidRPr="00481594">
        <w:t>(combined lots) compared with the Prevnar</w:t>
      </w:r>
      <w:r w:rsidR="00C87B92" w:rsidRPr="00481594">
        <w:t> </w:t>
      </w:r>
      <w:r w:rsidRPr="00481594">
        <w:t xml:space="preserve">13 groups for the 2 serotypes unique to </w:t>
      </w:r>
      <w:proofErr w:type="spellStart"/>
      <w:r w:rsidR="007161DD" w:rsidRPr="00481594">
        <w:t>Vaxneuvance</w:t>
      </w:r>
      <w:proofErr w:type="spellEnd"/>
      <w:r w:rsidRPr="00481594">
        <w:t>.</w:t>
      </w:r>
    </w:p>
    <w:p w14:paraId="16ACCA8B" w14:textId="18DA455F" w:rsidR="00B638B1" w:rsidRPr="00481594" w:rsidRDefault="00B638B1" w:rsidP="00B638B1">
      <w:r w:rsidRPr="00481594">
        <w:t>Subgroup analyses of serotype</w:t>
      </w:r>
      <w:r w:rsidR="00C87B92" w:rsidRPr="00481594">
        <w:t xml:space="preserve"> </w:t>
      </w:r>
      <w:r w:rsidRPr="00481594">
        <w:t>specific OPA GMT ratios at 30 days postvaccination within each age subgroup, sex, race, and ethnicity were generally consistent with the OPA GMT ratios observed in the overall population.</w:t>
      </w:r>
    </w:p>
    <w:p w14:paraId="452004A7" w14:textId="785F4CDC" w:rsidR="00B638B1" w:rsidRPr="00481594" w:rsidRDefault="00B638B1" w:rsidP="00B638B1">
      <w:pPr>
        <w:pStyle w:val="Heading5"/>
        <w:rPr>
          <w:rFonts w:eastAsia="MS Mincho"/>
          <w:lang w:eastAsia="ja-JP"/>
        </w:rPr>
      </w:pPr>
      <w:r w:rsidRPr="00481594">
        <w:rPr>
          <w:rFonts w:eastAsia="MS Mincho"/>
          <w:lang w:eastAsia="ja-JP"/>
        </w:rPr>
        <w:t>Study V114-017</w:t>
      </w:r>
    </w:p>
    <w:p w14:paraId="2DC38D2E" w14:textId="2E4F8FEE" w:rsidR="00B638B1" w:rsidRPr="00481594" w:rsidRDefault="00B638B1" w:rsidP="00B638B1">
      <w:r w:rsidRPr="00481594">
        <w:t xml:space="preserve">Study V114-017 was a </w:t>
      </w:r>
      <w:r w:rsidR="00262F42" w:rsidRPr="00481594">
        <w:t>Phase III</w:t>
      </w:r>
      <w:r w:rsidRPr="00481594">
        <w:t>, multicentre, randomised, double</w:t>
      </w:r>
      <w:r w:rsidR="00C87B92" w:rsidRPr="00481594">
        <w:t xml:space="preserve"> </w:t>
      </w:r>
      <w:r w:rsidRPr="00481594">
        <w:t xml:space="preserve">blind, active comparator, controlled study to evaluate safety and immunogenicity of </w:t>
      </w:r>
      <w:proofErr w:type="spellStart"/>
      <w:r w:rsidR="007161DD" w:rsidRPr="00481594">
        <w:t>Vaxneuvance</w:t>
      </w:r>
      <w:proofErr w:type="spellEnd"/>
      <w:r w:rsidR="007161DD" w:rsidRPr="00481594">
        <w:t xml:space="preserve"> </w:t>
      </w:r>
      <w:r w:rsidRPr="00481594">
        <w:t>in pneumococcal</w:t>
      </w:r>
      <w:r w:rsidR="00CA7B09" w:rsidRPr="00481594">
        <w:t xml:space="preserve"> vaccine</w:t>
      </w:r>
      <w:r w:rsidR="002C3228" w:rsidRPr="00481594">
        <w:t xml:space="preserve"> </w:t>
      </w:r>
      <w:r w:rsidRPr="00481594">
        <w:t>naïve, immunocompetent subjects aged 18</w:t>
      </w:r>
      <w:r w:rsidR="00C87B92" w:rsidRPr="00481594">
        <w:t xml:space="preserve"> to </w:t>
      </w:r>
      <w:r w:rsidRPr="00481594">
        <w:t>49 years with or without risk factors for pneumococcal disease.</w:t>
      </w:r>
    </w:p>
    <w:p w14:paraId="0422D38C" w14:textId="0C420286" w:rsidR="00B638B1" w:rsidRPr="00481594" w:rsidRDefault="00B638B1" w:rsidP="00B638B1">
      <w:r w:rsidRPr="00481594">
        <w:t xml:space="preserve">The study objectives are shown in </w:t>
      </w:r>
      <w:r w:rsidR="00603CA4" w:rsidRPr="00481594">
        <w:fldChar w:fldCharType="begin"/>
      </w:r>
      <w:r w:rsidR="00603CA4" w:rsidRPr="00481594">
        <w:instrText xml:space="preserve"> REF _Ref108803336 \h </w:instrText>
      </w:r>
      <w:r w:rsidR="00481594">
        <w:instrText xml:space="preserve"> \* MERGEFORMAT </w:instrText>
      </w:r>
      <w:r w:rsidR="00603CA4" w:rsidRPr="00481594">
        <w:fldChar w:fldCharType="separate"/>
      </w:r>
      <w:r w:rsidR="00190330" w:rsidRPr="00481594">
        <w:t xml:space="preserve">Table </w:t>
      </w:r>
      <w:r w:rsidR="00190330">
        <w:rPr>
          <w:noProof/>
        </w:rPr>
        <w:t>13</w:t>
      </w:r>
      <w:r w:rsidR="00603CA4" w:rsidRPr="00481594">
        <w:fldChar w:fldCharType="end"/>
      </w:r>
      <w:r w:rsidRPr="00481594">
        <w:t xml:space="preserve">. Subjects were randomised in a 3:1 ratio to receive either </w:t>
      </w:r>
      <w:proofErr w:type="spellStart"/>
      <w:r w:rsidR="007161DD" w:rsidRPr="00481594">
        <w:t>Vaxneuvance</w:t>
      </w:r>
      <w:proofErr w:type="spellEnd"/>
      <w:r w:rsidR="007161DD" w:rsidRPr="00481594">
        <w:t xml:space="preserve"> </w:t>
      </w:r>
      <w:r w:rsidRPr="00481594">
        <w:t xml:space="preserve">(1125 subjects) or Prevnar 13 (375 subjects) at </w:t>
      </w:r>
      <w:r w:rsidR="00C87B92" w:rsidRPr="00481594">
        <w:t>D</w:t>
      </w:r>
      <w:r w:rsidRPr="00481594">
        <w:t xml:space="preserve">ay 1. All subjects were also to receive a single dose of </w:t>
      </w:r>
      <w:r w:rsidR="00DE0933" w:rsidRPr="00481594">
        <w:t xml:space="preserve">Pneumovax 23 </w:t>
      </w:r>
      <w:r w:rsidRPr="00481594">
        <w:t xml:space="preserve">vaccine at </w:t>
      </w:r>
      <w:r w:rsidR="00C87B92" w:rsidRPr="00481594">
        <w:t>M</w:t>
      </w:r>
      <w:r w:rsidRPr="00481594">
        <w:t>onth 6.</w:t>
      </w:r>
    </w:p>
    <w:p w14:paraId="6A443409" w14:textId="1CFE7AA6" w:rsidR="00603CA4" w:rsidRPr="00481594" w:rsidRDefault="00603CA4" w:rsidP="0061675B">
      <w:pPr>
        <w:pStyle w:val="TableTitle"/>
      </w:pPr>
      <w:bookmarkStart w:id="58" w:name="_Ref108803336"/>
      <w:r w:rsidRPr="00481594">
        <w:lastRenderedPageBreak/>
        <w:t xml:space="preserve">Table </w:t>
      </w:r>
      <w:r w:rsidRPr="00481594">
        <w:fldChar w:fldCharType="begin"/>
      </w:r>
      <w:r w:rsidRPr="00481594">
        <w:instrText>SEQ Table \* ARABIC</w:instrText>
      </w:r>
      <w:r w:rsidRPr="00481594">
        <w:fldChar w:fldCharType="separate"/>
      </w:r>
      <w:r w:rsidR="00190330">
        <w:rPr>
          <w:noProof/>
        </w:rPr>
        <w:t>13</w:t>
      </w:r>
      <w:r w:rsidRPr="00481594">
        <w:fldChar w:fldCharType="end"/>
      </w:r>
      <w:bookmarkEnd w:id="58"/>
      <w:r w:rsidRPr="00481594">
        <w:t>: Study V114-017 Study objectives</w:t>
      </w:r>
    </w:p>
    <w:p w14:paraId="7C083F05" w14:textId="23950190" w:rsidR="00603CA4" w:rsidRPr="00481594" w:rsidRDefault="00603CA4" w:rsidP="00303435">
      <w:r w:rsidRPr="00481594">
        <w:rPr>
          <w:noProof/>
          <w:lang w:val="en-GB" w:eastAsia="en-GB"/>
        </w:rPr>
        <w:drawing>
          <wp:inline distT="0" distB="0" distL="0" distR="0" wp14:anchorId="3E47E336" wp14:editId="35672507">
            <wp:extent cx="4540250" cy="5803900"/>
            <wp:effectExtent l="0" t="0" r="0" b="6350"/>
            <wp:docPr id="80" name="Picture 80" descr="Table 13: Study V114-017 Study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able 13: Study V114-017 Study objective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40250" cy="5803900"/>
                    </a:xfrm>
                    <a:prstGeom prst="rect">
                      <a:avLst/>
                    </a:prstGeom>
                    <a:noFill/>
                    <a:ln>
                      <a:noFill/>
                    </a:ln>
                  </pic:spPr>
                </pic:pic>
              </a:graphicData>
            </a:graphic>
          </wp:inline>
        </w:drawing>
      </w:r>
    </w:p>
    <w:p w14:paraId="6B154F6B" w14:textId="4E605483" w:rsidR="00E912B3" w:rsidRPr="00481594" w:rsidRDefault="007161DD" w:rsidP="00ED6129">
      <w:pPr>
        <w:pStyle w:val="TableDescription"/>
      </w:pPr>
      <w:r w:rsidRPr="00481594">
        <w:t xml:space="preserve">Abbreviations: </w:t>
      </w:r>
      <w:r w:rsidR="00E912B3" w:rsidRPr="00481594">
        <w:t>AE</w:t>
      </w:r>
      <w:r w:rsidR="00D55595" w:rsidRPr="00481594">
        <w:t xml:space="preserve"> = adverse event; </w:t>
      </w:r>
      <w:r w:rsidR="00E912B3" w:rsidRPr="00481594">
        <w:t>GMT</w:t>
      </w:r>
      <w:r w:rsidR="00D55595" w:rsidRPr="00481594">
        <w:t xml:space="preserve"> = geometric mean titre; </w:t>
      </w:r>
      <w:r w:rsidR="00E912B3" w:rsidRPr="00481594">
        <w:t>IgG</w:t>
      </w:r>
      <w:r w:rsidR="00D55595" w:rsidRPr="00481594">
        <w:t xml:space="preserve"> = immunoglobulin G; </w:t>
      </w:r>
      <w:r w:rsidR="00E912B3" w:rsidRPr="00481594">
        <w:t>OPA</w:t>
      </w:r>
      <w:r w:rsidR="00D55595" w:rsidRPr="00481594">
        <w:t xml:space="preserve"> =</w:t>
      </w:r>
      <w:r w:rsidR="00ED6129" w:rsidRPr="00481594">
        <w:t xml:space="preserve"> opsonophagocytic activity; </w:t>
      </w:r>
      <w:r w:rsidR="00E912B3" w:rsidRPr="00481594">
        <w:t>SAE</w:t>
      </w:r>
      <w:r w:rsidR="00ED6129" w:rsidRPr="00481594">
        <w:t xml:space="preserve"> = serious adverse event; </w:t>
      </w:r>
      <w:r w:rsidR="00E912B3" w:rsidRPr="00481594">
        <w:t xml:space="preserve">V114 = sponsor’s product development code for </w:t>
      </w:r>
      <w:proofErr w:type="spellStart"/>
      <w:r w:rsidR="00E912B3" w:rsidRPr="00481594">
        <w:t>Vaxneuvance</w:t>
      </w:r>
      <w:proofErr w:type="spellEnd"/>
      <w:r w:rsidR="00ED6129" w:rsidRPr="00481594">
        <w:t>.</w:t>
      </w:r>
    </w:p>
    <w:p w14:paraId="4BAEC13B" w14:textId="4A3A5476" w:rsidR="00603CA4" w:rsidRPr="00481594" w:rsidRDefault="00603CA4" w:rsidP="0061675B">
      <w:pPr>
        <w:pStyle w:val="TableTitle"/>
      </w:pPr>
      <w:r w:rsidRPr="00481594">
        <w:lastRenderedPageBreak/>
        <w:fldChar w:fldCharType="begin"/>
      </w:r>
      <w:r w:rsidRPr="00481594">
        <w:instrText xml:space="preserve"> REF _Ref108803336 \h  \* MERGEFORMAT </w:instrText>
      </w:r>
      <w:r w:rsidRPr="00481594">
        <w:fldChar w:fldCharType="separate"/>
      </w:r>
      <w:r w:rsidR="00190330" w:rsidRPr="00481594">
        <w:t xml:space="preserve">Table </w:t>
      </w:r>
      <w:r w:rsidR="00190330">
        <w:t>13</w:t>
      </w:r>
      <w:r w:rsidRPr="00481594">
        <w:fldChar w:fldCharType="end"/>
      </w:r>
      <w:r w:rsidRPr="00481594">
        <w:t xml:space="preserve"> continued: Study V114-017 Study objectives</w:t>
      </w:r>
    </w:p>
    <w:p w14:paraId="3A4772FB" w14:textId="446AF6C4" w:rsidR="00603CA4" w:rsidRPr="00481594" w:rsidRDefault="00603CA4" w:rsidP="00303435">
      <w:r w:rsidRPr="00481594">
        <w:rPr>
          <w:noProof/>
          <w:lang w:val="en-GB" w:eastAsia="en-GB"/>
        </w:rPr>
        <w:drawing>
          <wp:inline distT="0" distB="0" distL="0" distR="0" wp14:anchorId="7D270AA6" wp14:editId="782A6240">
            <wp:extent cx="4514850" cy="4959350"/>
            <wp:effectExtent l="0" t="0" r="0" b="0"/>
            <wp:docPr id="81" name="Picture 81" descr="Table 13 continued: Study V114-017 Study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able 13 continued: Study V114-017 Study objective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14850" cy="4959350"/>
                    </a:xfrm>
                    <a:prstGeom prst="rect">
                      <a:avLst/>
                    </a:prstGeom>
                    <a:noFill/>
                    <a:ln>
                      <a:noFill/>
                    </a:ln>
                  </pic:spPr>
                </pic:pic>
              </a:graphicData>
            </a:graphic>
          </wp:inline>
        </w:drawing>
      </w:r>
    </w:p>
    <w:p w14:paraId="5689A0A2" w14:textId="663128BD" w:rsidR="00E912B3" w:rsidRPr="00481594" w:rsidRDefault="007161DD" w:rsidP="00ED6129">
      <w:pPr>
        <w:pStyle w:val="TableDescription"/>
      </w:pPr>
      <w:r w:rsidRPr="00481594">
        <w:t xml:space="preserve">Abbreviations: </w:t>
      </w:r>
      <w:r w:rsidR="00E912B3" w:rsidRPr="00481594">
        <w:t>GMC</w:t>
      </w:r>
      <w:r w:rsidR="00D55595" w:rsidRPr="00481594">
        <w:t xml:space="preserve"> = geometric mean concentration</w:t>
      </w:r>
      <w:r w:rsidR="00ED6129" w:rsidRPr="00481594">
        <w:t xml:space="preserve">; </w:t>
      </w:r>
      <w:r w:rsidR="00E912B3" w:rsidRPr="00481594">
        <w:t>GMT</w:t>
      </w:r>
      <w:r w:rsidR="00D55595" w:rsidRPr="00481594">
        <w:t xml:space="preserve"> = geometric mean titre</w:t>
      </w:r>
      <w:r w:rsidR="00ED6129" w:rsidRPr="00481594">
        <w:t>; IgG</w:t>
      </w:r>
      <w:r w:rsidRPr="00481594">
        <w:t> </w:t>
      </w:r>
      <w:r w:rsidR="00ED6129" w:rsidRPr="00481594">
        <w:t>=</w:t>
      </w:r>
      <w:r w:rsidRPr="00481594">
        <w:t> </w:t>
      </w:r>
      <w:r w:rsidR="00ED6129" w:rsidRPr="00481594">
        <w:t xml:space="preserve">immunoglobulin G; OPA = opsonophagocytic activity; </w:t>
      </w:r>
      <w:r w:rsidR="00E912B3" w:rsidRPr="00481594">
        <w:t xml:space="preserve">V114 = sponsor’s product development code for </w:t>
      </w:r>
      <w:proofErr w:type="spellStart"/>
      <w:r w:rsidR="00E912B3" w:rsidRPr="00481594">
        <w:t>Vaxneuvance</w:t>
      </w:r>
      <w:proofErr w:type="spellEnd"/>
      <w:r w:rsidR="00ED6129" w:rsidRPr="00481594">
        <w:t>.</w:t>
      </w:r>
    </w:p>
    <w:p w14:paraId="471A6106" w14:textId="5B79E966" w:rsidR="00B638B1" w:rsidRPr="00481594" w:rsidRDefault="00B638B1" w:rsidP="00B638B1">
      <w:r w:rsidRPr="00481594">
        <w:t>A total of 1515</w:t>
      </w:r>
      <w:r w:rsidR="001D04F9" w:rsidRPr="00481594">
        <w:t xml:space="preserve"> participants</w:t>
      </w:r>
      <w:r w:rsidRPr="00481594">
        <w:t xml:space="preserve"> were randomised across 77 study sites. All but 3 randomised subjects received </w:t>
      </w:r>
      <w:proofErr w:type="spellStart"/>
      <w:r w:rsidR="007161DD" w:rsidRPr="00481594">
        <w:t>Vaxneuvance</w:t>
      </w:r>
      <w:proofErr w:type="spellEnd"/>
      <w:r w:rsidR="007161DD" w:rsidRPr="00481594">
        <w:t xml:space="preserve"> </w:t>
      </w:r>
      <w:r w:rsidRPr="00481594">
        <w:t xml:space="preserve">or Prevnar 13. </w:t>
      </w:r>
      <w:proofErr w:type="gramStart"/>
      <w:r w:rsidRPr="00481594">
        <w:t>The majority of</w:t>
      </w:r>
      <w:proofErr w:type="gramEnd"/>
      <w:r w:rsidRPr="00481594">
        <w:t xml:space="preserve"> subjects also received </w:t>
      </w:r>
      <w:r w:rsidR="00DE0933" w:rsidRPr="00481594">
        <w:t>Pneumovax 23</w:t>
      </w:r>
      <w:r w:rsidRPr="00481594">
        <w:t xml:space="preserve">. </w:t>
      </w:r>
      <w:bookmarkStart w:id="59" w:name="_Hlk85032441"/>
      <w:r w:rsidRPr="00481594">
        <w:t xml:space="preserve">Demographic characteristics are summarised in </w:t>
      </w:r>
      <w:bookmarkEnd w:id="59"/>
      <w:r w:rsidR="00800DC9" w:rsidRPr="00481594">
        <w:fldChar w:fldCharType="begin"/>
      </w:r>
      <w:r w:rsidR="00800DC9" w:rsidRPr="00481594">
        <w:instrText xml:space="preserve"> REF _Ref108031818 \h </w:instrText>
      </w:r>
      <w:r w:rsidR="00481594">
        <w:instrText xml:space="preserve"> \* MERGEFORMAT </w:instrText>
      </w:r>
      <w:r w:rsidR="00800DC9" w:rsidRPr="00481594">
        <w:fldChar w:fldCharType="separate"/>
      </w:r>
      <w:r w:rsidR="00190330" w:rsidRPr="00481594">
        <w:t xml:space="preserve">Table </w:t>
      </w:r>
      <w:r w:rsidR="00190330">
        <w:rPr>
          <w:noProof/>
        </w:rPr>
        <w:t>14</w:t>
      </w:r>
      <w:r w:rsidR="00800DC9" w:rsidRPr="00481594">
        <w:fldChar w:fldCharType="end"/>
      </w:r>
      <w:r w:rsidRPr="00481594">
        <w:t>. Approximately 40% of participants were American Indian or Alaska Native, nearly all of whom (587</w:t>
      </w:r>
      <w:r w:rsidR="002C3228" w:rsidRPr="00481594">
        <w:t xml:space="preserve"> of </w:t>
      </w:r>
      <w:r w:rsidRPr="00481594">
        <w:t xml:space="preserve">593) were enrolled at </w:t>
      </w:r>
      <w:r w:rsidR="007161DD" w:rsidRPr="00481594">
        <w:t xml:space="preserve">John Hopkins </w:t>
      </w:r>
      <w:proofErr w:type="spellStart"/>
      <w:r w:rsidRPr="00481594">
        <w:t>Cente</w:t>
      </w:r>
      <w:r w:rsidR="007161DD" w:rsidRPr="00481594">
        <w:t>r</w:t>
      </w:r>
      <w:proofErr w:type="spellEnd"/>
      <w:r w:rsidRPr="00481594">
        <w:t xml:space="preserve"> for American Indian Health (CAIH) sites. Participants from sites other than the CAIH had </w:t>
      </w:r>
      <w:r w:rsidR="001C5DCA" w:rsidRPr="00481594">
        <w:t>more than one</w:t>
      </w:r>
      <w:r w:rsidRPr="00481594">
        <w:t xml:space="preserve"> of the risk factors for pneumococcal disease. </w:t>
      </w:r>
      <w:r w:rsidR="001D04F9" w:rsidRPr="00481594">
        <w:t>T</w:t>
      </w:r>
      <w:r w:rsidRPr="00481594">
        <w:t>he most common single risk factors were tobacco use (14.6%), chronic lung disease (14.3%) and diabetes mellitus (13.8%). Approximately 25% of subjects had no risk factors, all of whom were enrolled at CAIH sites.</w:t>
      </w:r>
    </w:p>
    <w:p w14:paraId="63F4FB8C" w14:textId="6BF40AD2" w:rsidR="003710B3" w:rsidRPr="00481594" w:rsidRDefault="003710B3" w:rsidP="001D04F9">
      <w:pPr>
        <w:pStyle w:val="TableTitle"/>
      </w:pPr>
      <w:bookmarkStart w:id="60" w:name="_Ref108031818"/>
      <w:r w:rsidRPr="00481594">
        <w:lastRenderedPageBreak/>
        <w:t xml:space="preserve">Table </w:t>
      </w:r>
      <w:r w:rsidRPr="00481594">
        <w:fldChar w:fldCharType="begin"/>
      </w:r>
      <w:r w:rsidRPr="00481594">
        <w:instrText>SEQ Table \* ARABIC</w:instrText>
      </w:r>
      <w:r w:rsidRPr="00481594">
        <w:fldChar w:fldCharType="separate"/>
      </w:r>
      <w:r w:rsidR="00190330">
        <w:rPr>
          <w:noProof/>
        </w:rPr>
        <w:t>14</w:t>
      </w:r>
      <w:r w:rsidRPr="00481594">
        <w:fldChar w:fldCharType="end"/>
      </w:r>
      <w:bookmarkEnd w:id="60"/>
      <w:r w:rsidRPr="00481594">
        <w:t xml:space="preserve">: </w:t>
      </w:r>
      <w:r w:rsidR="0061675B" w:rsidRPr="00481594">
        <w:t xml:space="preserve">Study V114-017 </w:t>
      </w:r>
      <w:r w:rsidRPr="00481594">
        <w:t xml:space="preserve">Subject </w:t>
      </w:r>
      <w:r w:rsidR="0061675B" w:rsidRPr="00481594">
        <w:t>characteristics (all vaccinated subjects)</w:t>
      </w:r>
    </w:p>
    <w:p w14:paraId="3AF084DA" w14:textId="48856947" w:rsidR="003710B3" w:rsidRPr="00481594" w:rsidRDefault="006308AB" w:rsidP="001D04F9">
      <w:r w:rsidRPr="00481594">
        <w:rPr>
          <w:noProof/>
          <w:lang w:val="en-GB" w:eastAsia="en-GB"/>
        </w:rPr>
        <w:drawing>
          <wp:inline distT="0" distB="0" distL="0" distR="0" wp14:anchorId="3DC1D1C3" wp14:editId="532EBAEF">
            <wp:extent cx="5099957" cy="8403772"/>
            <wp:effectExtent l="0" t="0" r="5715" b="0"/>
            <wp:docPr id="4" name="Picture 4" descr="Table 14: Study V114-017 Subject characteristics (all vaccinated subjects)"/>
            <wp:cNvGraphicFramePr/>
            <a:graphic xmlns:a="http://schemas.openxmlformats.org/drawingml/2006/main">
              <a:graphicData uri="http://schemas.openxmlformats.org/drawingml/2006/picture">
                <pic:pic xmlns:pic="http://schemas.openxmlformats.org/drawingml/2006/picture">
                  <pic:nvPicPr>
                    <pic:cNvPr id="27" name="Picture 27" descr="Table 14: Study V114-017 Subject characteristics (all vaccinated subjects)"/>
                    <pic:cNvPicPr/>
                  </pic:nvPicPr>
                  <pic:blipFill>
                    <a:blip r:embed="rId38"/>
                    <a:stretch>
                      <a:fillRect/>
                    </a:stretch>
                  </pic:blipFill>
                  <pic:spPr>
                    <a:xfrm>
                      <a:off x="0" y="0"/>
                      <a:ext cx="5116475" cy="8430990"/>
                    </a:xfrm>
                    <a:prstGeom prst="rect">
                      <a:avLst/>
                    </a:prstGeom>
                  </pic:spPr>
                </pic:pic>
              </a:graphicData>
            </a:graphic>
          </wp:inline>
        </w:drawing>
      </w:r>
    </w:p>
    <w:p w14:paraId="1828DE99" w14:textId="27DAEDD0" w:rsidR="00E912B3" w:rsidRPr="00481594" w:rsidRDefault="006308AB" w:rsidP="00ED6129">
      <w:pPr>
        <w:pStyle w:val="TableDescription"/>
      </w:pPr>
      <w:r w:rsidRPr="00481594">
        <w:lastRenderedPageBreak/>
        <w:t xml:space="preserve">Abbreviations: </w:t>
      </w:r>
      <w:r w:rsidR="00E912B3" w:rsidRPr="00481594">
        <w:t xml:space="preserve">AUDIT-C = alcohol use disorders identification test-consumption; CAIH = </w:t>
      </w:r>
      <w:proofErr w:type="spellStart"/>
      <w:r w:rsidR="00E912B3" w:rsidRPr="00481594">
        <w:t>Center</w:t>
      </w:r>
      <w:proofErr w:type="spellEnd"/>
      <w:r w:rsidR="00E912B3" w:rsidRPr="00481594">
        <w:t xml:space="preserve"> for American Indian Health; n = number of subjects contributing to the analysis; SD = standard deviation; V114 = sponsor’s product development code for </w:t>
      </w:r>
      <w:proofErr w:type="spellStart"/>
      <w:r w:rsidR="00E912B3" w:rsidRPr="00481594">
        <w:t>Vaxneuvance</w:t>
      </w:r>
      <w:proofErr w:type="spellEnd"/>
      <w:r w:rsidR="00E912B3" w:rsidRPr="00481594">
        <w:t>.</w:t>
      </w:r>
    </w:p>
    <w:p w14:paraId="234AA9DE" w14:textId="12970BFD" w:rsidR="00800DC9" w:rsidRPr="00481594" w:rsidRDefault="00ED6129" w:rsidP="00ED6129">
      <w:pPr>
        <w:pStyle w:val="TableDescription"/>
      </w:pPr>
      <w:r w:rsidRPr="00481594">
        <w:rPr>
          <w:rFonts w:hint="eastAsia"/>
        </w:rPr>
        <w:t>†</w:t>
      </w:r>
      <w:r w:rsidR="00E912B3" w:rsidRPr="00481594">
        <w:t>Randomisation is stratified based on (1) whether a participant is enrolled at CAIH or not and (2) the type/number of risk factors for pneumococcal disease a participant has the time of randomisation. Risk factors for pneumococcal disease include chronic lung disease, tobacco use, diabetes mellitus</w:t>
      </w:r>
      <w:r w:rsidR="00D55595" w:rsidRPr="00481594">
        <w:t>, chronic liver disease, chronic heart disease, or alcohol consumption as described in detail under Include Criteria 1a-1f (Section 5.1 of the protocol). The risk factor of alcohol consumption is defi</w:t>
      </w:r>
      <w:r w:rsidR="00922E24" w:rsidRPr="00481594">
        <w:t>n</w:t>
      </w:r>
      <w:r w:rsidR="00D55595" w:rsidRPr="00481594">
        <w:t xml:space="preserve">ed as the AUDIT-C score </w:t>
      </w:r>
      <w:r w:rsidR="00841429" w:rsidRPr="00481594">
        <w:t>at least</w:t>
      </w:r>
      <w:r w:rsidR="00D55595" w:rsidRPr="00481594">
        <w:t xml:space="preserve"> 5. The AUDIT-C is a 3-item alcohol screening instrument that can help identify patients who are hazardous drinkers or have active alcohol use disorder (including alcohol abuse or dependence).</w:t>
      </w:r>
    </w:p>
    <w:p w14:paraId="5A0901BD" w14:textId="28E24C0B" w:rsidR="00B638B1" w:rsidRPr="00481594" w:rsidRDefault="00B638B1" w:rsidP="00B638B1">
      <w:r w:rsidRPr="00481594">
        <w:t>In terms of immunogenicity results for the primary immunogenicity endpoint (serotype</w:t>
      </w:r>
      <w:r w:rsidR="001C5DCA" w:rsidRPr="00481594">
        <w:t xml:space="preserve"> </w:t>
      </w:r>
      <w:r w:rsidRPr="00481594">
        <w:t xml:space="preserve">specific OPA GMTs at 30 days post-vaccination with </w:t>
      </w:r>
      <w:r w:rsidR="00DE0933" w:rsidRPr="00481594">
        <w:t>pneumococcal conjugate vaccine</w:t>
      </w:r>
      <w:r w:rsidRPr="00481594">
        <w:t xml:space="preserve">), results are shown in </w:t>
      </w:r>
      <w:r w:rsidR="003D50DF" w:rsidRPr="00481594">
        <w:fldChar w:fldCharType="begin"/>
      </w:r>
      <w:r w:rsidR="003D50DF" w:rsidRPr="00481594">
        <w:instrText xml:space="preserve"> REF _Ref108711107 \h </w:instrText>
      </w:r>
      <w:r w:rsidR="00481594">
        <w:instrText xml:space="preserve"> \* MERGEFORMAT </w:instrText>
      </w:r>
      <w:r w:rsidR="003D50DF" w:rsidRPr="00481594">
        <w:fldChar w:fldCharType="separate"/>
      </w:r>
      <w:r w:rsidR="00190330" w:rsidRPr="00481594">
        <w:t xml:space="preserve">Table </w:t>
      </w:r>
      <w:r w:rsidR="00190330">
        <w:rPr>
          <w:noProof/>
        </w:rPr>
        <w:t>15</w:t>
      </w:r>
      <w:r w:rsidR="003D50DF" w:rsidRPr="00481594">
        <w:fldChar w:fldCharType="end"/>
      </w:r>
      <w:r w:rsidR="00A7107E" w:rsidRPr="00481594">
        <w:t>.</w:t>
      </w:r>
      <w:r w:rsidRPr="00481594">
        <w:t xml:space="preserve"> </w:t>
      </w:r>
      <w:proofErr w:type="spellStart"/>
      <w:r w:rsidR="006308AB" w:rsidRPr="00481594">
        <w:t>Vaxneuvance</w:t>
      </w:r>
      <w:proofErr w:type="spellEnd"/>
      <w:r w:rsidR="006308AB" w:rsidRPr="00481594">
        <w:t xml:space="preserve"> </w:t>
      </w:r>
      <w:r w:rsidRPr="00481594">
        <w:t>was immunogenic in pneumococcal vaccine</w:t>
      </w:r>
      <w:r w:rsidR="001C5DCA" w:rsidRPr="00481594">
        <w:t xml:space="preserve"> </w:t>
      </w:r>
      <w:r w:rsidRPr="00481594">
        <w:t>naïve immunocompetent adults in the population studied, for all 15 serotypes contained in the vaccine. Prevnar</w:t>
      </w:r>
      <w:r w:rsidR="001C5DCA" w:rsidRPr="00481594">
        <w:t> </w:t>
      </w:r>
      <w:r w:rsidRPr="00481594">
        <w:t>13 was immunogenic for the 13 serotypes contained in the vaccine.</w:t>
      </w:r>
    </w:p>
    <w:p w14:paraId="439C71D4" w14:textId="0578C004" w:rsidR="003D50DF" w:rsidRPr="00481594" w:rsidRDefault="003D50DF" w:rsidP="0061675B">
      <w:pPr>
        <w:pStyle w:val="TableTitle"/>
      </w:pPr>
      <w:bookmarkStart w:id="61" w:name="_Ref108711107"/>
      <w:r w:rsidRPr="00481594">
        <w:t xml:space="preserve">Table </w:t>
      </w:r>
      <w:r w:rsidRPr="00481594">
        <w:fldChar w:fldCharType="begin"/>
      </w:r>
      <w:r w:rsidRPr="00481594">
        <w:instrText>SEQ Table \* ARABIC</w:instrText>
      </w:r>
      <w:r w:rsidRPr="00481594">
        <w:fldChar w:fldCharType="separate"/>
      </w:r>
      <w:r w:rsidR="00190330">
        <w:rPr>
          <w:noProof/>
        </w:rPr>
        <w:t>15</w:t>
      </w:r>
      <w:r w:rsidRPr="00481594">
        <w:fldChar w:fldCharType="end"/>
      </w:r>
      <w:bookmarkEnd w:id="61"/>
      <w:r w:rsidRPr="00481594">
        <w:t xml:space="preserve">: </w:t>
      </w:r>
      <w:r w:rsidR="00A7107E" w:rsidRPr="00481594">
        <w:t xml:space="preserve">Study V114-017 </w:t>
      </w:r>
      <w:r w:rsidRPr="00481594">
        <w:t xml:space="preserve">Summary of </w:t>
      </w:r>
      <w:r w:rsidR="000C3C7C" w:rsidRPr="00481594">
        <w:t>opsonophagocytic activity</w:t>
      </w:r>
      <w:r w:rsidRPr="00481594">
        <w:t xml:space="preserve"> </w:t>
      </w:r>
      <w:r w:rsidR="000C3C7C" w:rsidRPr="00481594">
        <w:t>geometric mean titre</w:t>
      </w:r>
      <w:r w:rsidRPr="00481594">
        <w:t xml:space="preserve">s at </w:t>
      </w:r>
      <w:r w:rsidR="0061675B" w:rsidRPr="00481594">
        <w:t>D</w:t>
      </w:r>
      <w:r w:rsidRPr="00481594">
        <w:t>ay 30 (</w:t>
      </w:r>
      <w:r w:rsidR="000C3C7C" w:rsidRPr="00481594">
        <w:t>per</w:t>
      </w:r>
      <w:r w:rsidR="000C3C7C" w:rsidRPr="00481594">
        <w:noBreakHyphen/>
        <w:t>protocol population</w:t>
      </w:r>
      <w:r w:rsidRPr="00481594">
        <w:t>)</w:t>
      </w:r>
    </w:p>
    <w:p w14:paraId="4C55C93D" w14:textId="0211C8B8" w:rsidR="003D50DF" w:rsidRPr="00481594" w:rsidRDefault="003D50DF" w:rsidP="00303435">
      <w:r w:rsidRPr="00481594">
        <w:rPr>
          <w:noProof/>
          <w:lang w:val="en-GB" w:eastAsia="en-GB"/>
        </w:rPr>
        <w:drawing>
          <wp:inline distT="0" distB="0" distL="0" distR="0" wp14:anchorId="0029BDBC" wp14:editId="51E55ECE">
            <wp:extent cx="5400040" cy="4223385"/>
            <wp:effectExtent l="0" t="0" r="0" b="5715"/>
            <wp:docPr id="7" name="Picture 7" descr="Table 15: Study V114-017 Summary of opsonophagocytic activity geometric mean titres at Day 30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 15: Study V114-017 Summary of opsonophagocytic activity geometric mean titres at Day 30 (per protocol population)"/>
                    <pic:cNvPicPr/>
                  </pic:nvPicPr>
                  <pic:blipFill>
                    <a:blip r:embed="rId39"/>
                    <a:stretch>
                      <a:fillRect/>
                    </a:stretch>
                  </pic:blipFill>
                  <pic:spPr>
                    <a:xfrm>
                      <a:off x="0" y="0"/>
                      <a:ext cx="5400040" cy="4223385"/>
                    </a:xfrm>
                    <a:prstGeom prst="rect">
                      <a:avLst/>
                    </a:prstGeom>
                  </pic:spPr>
                </pic:pic>
              </a:graphicData>
            </a:graphic>
          </wp:inline>
        </w:drawing>
      </w:r>
    </w:p>
    <w:p w14:paraId="3E9524CA" w14:textId="314177D5" w:rsidR="00ED6129" w:rsidRPr="00481594" w:rsidRDefault="006308AB" w:rsidP="008A3120">
      <w:pPr>
        <w:pStyle w:val="TableDescription"/>
      </w:pPr>
      <w:r w:rsidRPr="00481594">
        <w:t xml:space="preserve">Abbreviations: </w:t>
      </w:r>
      <w:r w:rsidR="00ED6129" w:rsidRPr="00481594">
        <w:t xml:space="preserve">CI = confidence interval; GMT = geometric mean titre; N = number of subjects randomised and vaccinated; n = number of subjects contributing to the analysis; V114 = sponsor’s product development code for </w:t>
      </w:r>
      <w:proofErr w:type="spellStart"/>
      <w:r w:rsidR="00ED6129" w:rsidRPr="00481594">
        <w:t>Vaxneuvance</w:t>
      </w:r>
      <w:proofErr w:type="spellEnd"/>
      <w:r w:rsidR="00ED6129" w:rsidRPr="00481594">
        <w:t>.</w:t>
      </w:r>
    </w:p>
    <w:p w14:paraId="7F4DE001" w14:textId="317551BD" w:rsidR="00ED6129" w:rsidRPr="00481594" w:rsidRDefault="00ED6129" w:rsidP="008A3120">
      <w:pPr>
        <w:pStyle w:val="TableDescription"/>
      </w:pPr>
      <w:r w:rsidRPr="00481594">
        <w:rPr>
          <w:rFonts w:hint="eastAsia"/>
        </w:rPr>
        <w:t>†</w:t>
      </w:r>
      <w:r w:rsidRPr="00481594">
        <w:t>The within group 95% Cis are obtained by exponentiating the CIs of the mean of the natural log values based on the t-distribution.</w:t>
      </w:r>
    </w:p>
    <w:p w14:paraId="639E2A3E" w14:textId="300F02FE" w:rsidR="003D50DF" w:rsidRPr="00481594" w:rsidRDefault="00ED6129" w:rsidP="008A3120">
      <w:pPr>
        <w:pStyle w:val="TableDescription"/>
      </w:pPr>
      <w:r w:rsidRPr="00481594">
        <w:t>Per-protocol, Day 30 is 30 days following vaccination with pneumococcal conjugate vaccine (</w:t>
      </w:r>
      <w:proofErr w:type="spellStart"/>
      <w:r w:rsidR="006308AB" w:rsidRPr="00481594">
        <w:t>Vaxneuvance</w:t>
      </w:r>
      <w:proofErr w:type="spellEnd"/>
      <w:r w:rsidR="006308AB" w:rsidRPr="00481594">
        <w:t xml:space="preserve"> </w:t>
      </w:r>
      <w:r w:rsidRPr="00481594">
        <w:t>or Prevnar 13)</w:t>
      </w:r>
      <w:r w:rsidR="00EE68BF" w:rsidRPr="00481594">
        <w:t xml:space="preserve"> (PCV)</w:t>
      </w:r>
      <w:r w:rsidRPr="00481594">
        <w:t>.</w:t>
      </w:r>
    </w:p>
    <w:p w14:paraId="26949258" w14:textId="5E5982B7" w:rsidR="00B638B1" w:rsidRPr="00481594" w:rsidRDefault="00B638B1" w:rsidP="00B638B1">
      <w:r w:rsidRPr="00481594">
        <w:t xml:space="preserve">In terms of secondary immunogenicity endpoints, following sequential vaccination with </w:t>
      </w:r>
      <w:r w:rsidR="00DE0933" w:rsidRPr="00481594">
        <w:t>Pneumovax 23</w:t>
      </w:r>
      <w:r w:rsidRPr="00481594">
        <w:t>, serotype</w:t>
      </w:r>
      <w:r w:rsidR="001C5DCA" w:rsidRPr="00481594">
        <w:t xml:space="preserve"> </w:t>
      </w:r>
      <w:r w:rsidRPr="00481594">
        <w:t xml:space="preserve">specific OPA titres were measured for the 15 serotypes in </w:t>
      </w:r>
      <w:proofErr w:type="spellStart"/>
      <w:r w:rsidR="006308AB" w:rsidRPr="00481594">
        <w:lastRenderedPageBreak/>
        <w:t>Vaxneuvance</w:t>
      </w:r>
      <w:proofErr w:type="spellEnd"/>
      <w:r w:rsidRPr="00481594">
        <w:t xml:space="preserve">, including 14 shared serotypes between </w:t>
      </w:r>
      <w:proofErr w:type="spellStart"/>
      <w:r w:rsidR="006308AB" w:rsidRPr="00481594">
        <w:t>Vaxneuvance</w:t>
      </w:r>
      <w:proofErr w:type="spellEnd"/>
      <w:r w:rsidR="006308AB" w:rsidRPr="00481594">
        <w:t xml:space="preserve"> </w:t>
      </w:r>
      <w:r w:rsidRPr="00481594">
        <w:t xml:space="preserve">and </w:t>
      </w:r>
      <w:r w:rsidR="00DE0933" w:rsidRPr="00481594">
        <w:t>Pneumovax 23 and one</w:t>
      </w:r>
      <w:r w:rsidRPr="00481594">
        <w:t xml:space="preserve"> serotype unique to </w:t>
      </w:r>
      <w:proofErr w:type="spellStart"/>
      <w:r w:rsidR="006308AB" w:rsidRPr="00481594">
        <w:t>Vaxneuvance</w:t>
      </w:r>
      <w:proofErr w:type="spellEnd"/>
      <w:r w:rsidR="006308AB" w:rsidRPr="00481594">
        <w:t xml:space="preserve"> </w:t>
      </w:r>
      <w:r w:rsidRPr="00481594">
        <w:t>(</w:t>
      </w:r>
      <w:r w:rsidR="006308AB" w:rsidRPr="00481594">
        <w:t xml:space="preserve">serotype </w:t>
      </w:r>
      <w:r w:rsidRPr="00481594">
        <w:t xml:space="preserve">6A). </w:t>
      </w:r>
      <w:r w:rsidR="00603CA4" w:rsidRPr="00481594">
        <w:fldChar w:fldCharType="begin"/>
      </w:r>
      <w:r w:rsidR="00603CA4" w:rsidRPr="00481594">
        <w:instrText xml:space="preserve"> REF _Ref108799755 \h </w:instrText>
      </w:r>
      <w:r w:rsidR="00481594">
        <w:instrText xml:space="preserve"> \* MERGEFORMAT </w:instrText>
      </w:r>
      <w:r w:rsidR="00603CA4" w:rsidRPr="00481594">
        <w:fldChar w:fldCharType="separate"/>
      </w:r>
      <w:r w:rsidR="00190330" w:rsidRPr="00481594">
        <w:t xml:space="preserve">Table </w:t>
      </w:r>
      <w:r w:rsidR="00190330">
        <w:rPr>
          <w:noProof/>
        </w:rPr>
        <w:t>16</w:t>
      </w:r>
      <w:r w:rsidR="00603CA4" w:rsidRPr="00481594">
        <w:fldChar w:fldCharType="end"/>
      </w:r>
      <w:r w:rsidRPr="00481594">
        <w:t xml:space="preserve"> shows OPA GMTs at 30</w:t>
      </w:r>
      <w:r w:rsidR="006308AB" w:rsidRPr="00481594">
        <w:t> </w:t>
      </w:r>
      <w:r w:rsidRPr="00481594">
        <w:t xml:space="preserve">days after </w:t>
      </w:r>
      <w:r w:rsidR="00DE0933" w:rsidRPr="00481594">
        <w:t>Pneumovax</w:t>
      </w:r>
      <w:r w:rsidR="001108A1" w:rsidRPr="00481594">
        <w:t> </w:t>
      </w:r>
      <w:r w:rsidR="00DE0933" w:rsidRPr="00481594">
        <w:t>23</w:t>
      </w:r>
      <w:r w:rsidRPr="00481594">
        <w:t xml:space="preserve"> (</w:t>
      </w:r>
      <w:r w:rsidR="00C87B92" w:rsidRPr="00481594">
        <w:t>Month</w:t>
      </w:r>
      <w:r w:rsidRPr="00481594">
        <w:t xml:space="preserve"> 7) were immunogenic for all 15 serotypes contained in </w:t>
      </w:r>
      <w:proofErr w:type="spellStart"/>
      <w:r w:rsidR="006308AB" w:rsidRPr="00481594">
        <w:t>Vaxneuvance</w:t>
      </w:r>
      <w:proofErr w:type="spellEnd"/>
      <w:r w:rsidR="006308AB" w:rsidRPr="00481594">
        <w:t xml:space="preserve"> </w:t>
      </w:r>
      <w:r w:rsidRPr="00481594">
        <w:t>and all 13 serotypes contained in Prevnar 13. The magnitude of serotype</w:t>
      </w:r>
      <w:r w:rsidR="001C5DCA" w:rsidRPr="00481594">
        <w:t xml:space="preserve"> </w:t>
      </w:r>
      <w:r w:rsidRPr="00481594">
        <w:t xml:space="preserve">specific OPA </w:t>
      </w:r>
      <w:r w:rsidR="001108A1" w:rsidRPr="00481594">
        <w:t>geometric mean fold rises (</w:t>
      </w:r>
      <w:r w:rsidRPr="00481594">
        <w:t>GMFRs</w:t>
      </w:r>
      <w:r w:rsidR="001108A1" w:rsidRPr="00481594">
        <w:t>)</w:t>
      </w:r>
      <w:r w:rsidRPr="00481594">
        <w:t xml:space="preserve"> and proportions of participants with </w:t>
      </w:r>
      <w:r w:rsidR="00841429" w:rsidRPr="00481594">
        <w:t>at least</w:t>
      </w:r>
      <w:r w:rsidR="006308AB" w:rsidRPr="00481594">
        <w:t> </w:t>
      </w:r>
      <w:r w:rsidRPr="00481594">
        <w:t>4</w:t>
      </w:r>
      <w:r w:rsidR="001C5DCA" w:rsidRPr="00481594">
        <w:noBreakHyphen/>
      </w:r>
      <w:r w:rsidRPr="00481594">
        <w:t>fold</w:t>
      </w:r>
      <w:r w:rsidR="001C5DCA" w:rsidRPr="00481594">
        <w:t xml:space="preserve"> </w:t>
      </w:r>
      <w:r w:rsidRPr="00481594">
        <w:t xml:space="preserve">rise in OPA titres were higher for all 13 shared serotypes between </w:t>
      </w:r>
      <w:r w:rsidR="00C87B92" w:rsidRPr="00481594">
        <w:t>Day</w:t>
      </w:r>
      <w:r w:rsidRPr="00481594">
        <w:t xml:space="preserve"> 1 and </w:t>
      </w:r>
      <w:r w:rsidR="006308AB" w:rsidRPr="00481594">
        <w:t>Day </w:t>
      </w:r>
      <w:r w:rsidRPr="00481594">
        <w:t xml:space="preserve">30 than levels seen between </w:t>
      </w:r>
      <w:r w:rsidR="00C87B92" w:rsidRPr="00481594">
        <w:t>Month</w:t>
      </w:r>
      <w:r w:rsidRPr="00481594">
        <w:t>s 6 and 7 in both intervention groups.</w:t>
      </w:r>
    </w:p>
    <w:p w14:paraId="5DD08762" w14:textId="3CE7BAE0" w:rsidR="006B6A61" w:rsidRPr="00481594" w:rsidRDefault="006B6A61" w:rsidP="0061675B">
      <w:pPr>
        <w:pStyle w:val="TableTitle"/>
      </w:pPr>
      <w:bookmarkStart w:id="62" w:name="_Ref108799755"/>
      <w:r w:rsidRPr="00481594">
        <w:lastRenderedPageBreak/>
        <w:t xml:space="preserve">Table </w:t>
      </w:r>
      <w:r w:rsidRPr="00481594">
        <w:fldChar w:fldCharType="begin"/>
      </w:r>
      <w:r w:rsidRPr="00481594">
        <w:instrText>SEQ Table \* ARABIC</w:instrText>
      </w:r>
      <w:r w:rsidRPr="00481594">
        <w:fldChar w:fldCharType="separate"/>
      </w:r>
      <w:r w:rsidR="00190330">
        <w:rPr>
          <w:noProof/>
        </w:rPr>
        <w:t>16</w:t>
      </w:r>
      <w:r w:rsidRPr="00481594">
        <w:fldChar w:fldCharType="end"/>
      </w:r>
      <w:bookmarkEnd w:id="62"/>
      <w:r w:rsidRPr="00481594">
        <w:t xml:space="preserve">: </w:t>
      </w:r>
      <w:r w:rsidR="0061675B" w:rsidRPr="00481594">
        <w:t xml:space="preserve">Study V114-017 </w:t>
      </w:r>
      <w:r w:rsidRPr="00481594">
        <w:t xml:space="preserve">Summary of </w:t>
      </w:r>
      <w:r w:rsidR="000C3C7C" w:rsidRPr="00481594">
        <w:t>opsonophagocytic activity</w:t>
      </w:r>
      <w:r w:rsidRPr="00481594">
        <w:t xml:space="preserve"> </w:t>
      </w:r>
      <w:r w:rsidR="0061675B" w:rsidRPr="00481594">
        <w:t>a</w:t>
      </w:r>
      <w:r w:rsidRPr="00481594">
        <w:t xml:space="preserve">ntibody </w:t>
      </w:r>
      <w:r w:rsidR="0061675B" w:rsidRPr="00481594">
        <w:t>responses (per</w:t>
      </w:r>
      <w:r w:rsidR="0061675B" w:rsidRPr="00481594">
        <w:noBreakHyphen/>
        <w:t>protocol population</w:t>
      </w:r>
      <w:r w:rsidRPr="00481594">
        <w:t>)</w:t>
      </w:r>
    </w:p>
    <w:p w14:paraId="299D7756" w14:textId="5961E309" w:rsidR="001A5005" w:rsidRPr="00481594" w:rsidRDefault="002D7EFC" w:rsidP="00303435">
      <w:r w:rsidRPr="00481594">
        <w:rPr>
          <w:noProof/>
          <w:lang w:val="en-GB" w:eastAsia="en-GB"/>
        </w:rPr>
        <w:drawing>
          <wp:inline distT="0" distB="0" distL="0" distR="0" wp14:anchorId="3FE44BF4" wp14:editId="656B00F0">
            <wp:extent cx="5400040" cy="7452995"/>
            <wp:effectExtent l="19050" t="19050" r="10160" b="14605"/>
            <wp:docPr id="10" name="Picture 10" descr="Table 16: Study V114-017 Summary of opsonophagocytic activity antibody responses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 16: Study V114-017 Summary of opsonophagocytic activity antibody responses (per protocol population)"/>
                    <pic:cNvPicPr/>
                  </pic:nvPicPr>
                  <pic:blipFill>
                    <a:blip r:embed="rId40"/>
                    <a:stretch>
                      <a:fillRect/>
                    </a:stretch>
                  </pic:blipFill>
                  <pic:spPr>
                    <a:xfrm>
                      <a:off x="0" y="0"/>
                      <a:ext cx="5400040" cy="7452995"/>
                    </a:xfrm>
                    <a:prstGeom prst="rect">
                      <a:avLst/>
                    </a:prstGeom>
                    <a:ln>
                      <a:solidFill>
                        <a:schemeClr val="tx1"/>
                      </a:solidFill>
                    </a:ln>
                  </pic:spPr>
                </pic:pic>
              </a:graphicData>
            </a:graphic>
          </wp:inline>
        </w:drawing>
      </w:r>
    </w:p>
    <w:p w14:paraId="1B4FC59C" w14:textId="363DA3DC" w:rsidR="00B36519" w:rsidRPr="00481594" w:rsidRDefault="006308AB" w:rsidP="00B36519">
      <w:pPr>
        <w:pStyle w:val="TableDescription"/>
      </w:pPr>
      <w:r w:rsidRPr="00481594">
        <w:t xml:space="preserve">Abbreviations: </w:t>
      </w:r>
      <w:r w:rsidR="00B36519" w:rsidRPr="00481594">
        <w:t xml:space="preserve">CI = confidence interval; GMFR = geometric mean fold rise; GMT = geometric mean titre; N = number of subjects randomised and vaccinated; n = number of subjects contributing to the analysis; V114 = sponsor’s product development code for </w:t>
      </w:r>
      <w:proofErr w:type="spellStart"/>
      <w:r w:rsidR="00B36519" w:rsidRPr="00481594">
        <w:t>Vaxneuvance</w:t>
      </w:r>
      <w:proofErr w:type="spellEnd"/>
      <w:r w:rsidR="00B36519" w:rsidRPr="00481594">
        <w:t>.</w:t>
      </w:r>
    </w:p>
    <w:p w14:paraId="63F65CD3" w14:textId="0751A43A" w:rsidR="001A5005" w:rsidRPr="00481594" w:rsidRDefault="001A5005" w:rsidP="0061675B">
      <w:pPr>
        <w:pStyle w:val="TableTitle"/>
      </w:pPr>
      <w:r w:rsidRPr="00481594">
        <w:lastRenderedPageBreak/>
        <w:fldChar w:fldCharType="begin"/>
      </w:r>
      <w:r w:rsidRPr="00481594">
        <w:instrText xml:space="preserve"> REF _Ref108799755 \h  \* MERGEFORMAT </w:instrText>
      </w:r>
      <w:r w:rsidRPr="00481594">
        <w:fldChar w:fldCharType="separate"/>
      </w:r>
      <w:r w:rsidR="00190330" w:rsidRPr="00481594">
        <w:t xml:space="preserve">Table </w:t>
      </w:r>
      <w:r w:rsidR="00190330">
        <w:t>16</w:t>
      </w:r>
      <w:r w:rsidRPr="00481594">
        <w:fldChar w:fldCharType="end"/>
      </w:r>
      <w:r w:rsidRPr="00481594">
        <w:t xml:space="preserve"> continued: </w:t>
      </w:r>
      <w:r w:rsidR="0061675B" w:rsidRPr="00481594">
        <w:t xml:space="preserve">Study V114-017 </w:t>
      </w:r>
      <w:r w:rsidRPr="00481594">
        <w:t xml:space="preserve">Summary of </w:t>
      </w:r>
      <w:r w:rsidR="000C3C7C" w:rsidRPr="00481594">
        <w:t>opsonophagocytic activity</w:t>
      </w:r>
      <w:r w:rsidRPr="00481594">
        <w:t xml:space="preserve"> </w:t>
      </w:r>
      <w:r w:rsidR="0061675B" w:rsidRPr="00481594">
        <w:t>antibody responses (per</w:t>
      </w:r>
      <w:r w:rsidR="0061675B" w:rsidRPr="00481594">
        <w:noBreakHyphen/>
        <w:t>protocol population)</w:t>
      </w:r>
    </w:p>
    <w:p w14:paraId="3A2AB79C" w14:textId="5C9F7706" w:rsidR="001A5005" w:rsidRPr="00481594" w:rsidRDefault="00E11571" w:rsidP="00303435">
      <w:r w:rsidRPr="00481594">
        <w:rPr>
          <w:noProof/>
          <w:lang w:val="en-GB" w:eastAsia="en-GB"/>
        </w:rPr>
        <w:drawing>
          <wp:inline distT="0" distB="0" distL="0" distR="0" wp14:anchorId="24B69BBD" wp14:editId="3F9CFB83">
            <wp:extent cx="5400040" cy="7011035"/>
            <wp:effectExtent l="19050" t="19050" r="10160" b="18415"/>
            <wp:docPr id="49" name="Picture 49" descr="Table 16 continued: Study V114-017 Summary of opsonophagocytic activity antibody responses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able 16 continued: Study V114-017 Summary of opsonophagocytic activity antibody responses (per protocol population)"/>
                    <pic:cNvPicPr/>
                  </pic:nvPicPr>
                  <pic:blipFill>
                    <a:blip r:embed="rId41"/>
                    <a:stretch>
                      <a:fillRect/>
                    </a:stretch>
                  </pic:blipFill>
                  <pic:spPr>
                    <a:xfrm>
                      <a:off x="0" y="0"/>
                      <a:ext cx="5400040" cy="7011035"/>
                    </a:xfrm>
                    <a:prstGeom prst="rect">
                      <a:avLst/>
                    </a:prstGeom>
                    <a:ln>
                      <a:solidFill>
                        <a:schemeClr val="tx1"/>
                      </a:solidFill>
                    </a:ln>
                  </pic:spPr>
                </pic:pic>
              </a:graphicData>
            </a:graphic>
          </wp:inline>
        </w:drawing>
      </w:r>
    </w:p>
    <w:p w14:paraId="6CA614F1" w14:textId="7075651B" w:rsidR="00B36519" w:rsidRPr="00481594" w:rsidRDefault="006308AB" w:rsidP="00B36519">
      <w:pPr>
        <w:pStyle w:val="TableDescription"/>
      </w:pPr>
      <w:r w:rsidRPr="00481594">
        <w:t xml:space="preserve">Abbreviations: </w:t>
      </w:r>
      <w:r w:rsidR="00B36519" w:rsidRPr="00481594">
        <w:t xml:space="preserve">CI = confidence interval; </w:t>
      </w:r>
      <w:r w:rsidR="00B36519" w:rsidRPr="00481594">
        <w:rPr>
          <w:lang w:eastAsia="ja-JP"/>
        </w:rPr>
        <w:t>GMFR =</w:t>
      </w:r>
      <w:r w:rsidR="00B36519" w:rsidRPr="00481594">
        <w:t xml:space="preserve"> </w:t>
      </w:r>
      <w:r w:rsidR="00B36519" w:rsidRPr="00481594">
        <w:rPr>
          <w:lang w:eastAsia="ja-JP"/>
        </w:rPr>
        <w:t xml:space="preserve">geometric mean fold rise; GMT = geometric mean titre; </w:t>
      </w:r>
      <w:r w:rsidR="00B36519" w:rsidRPr="00481594">
        <w:t xml:space="preserve">N = number of subjects randomised and vaccinated; n = number of subjects contributing to the analysis; </w:t>
      </w:r>
      <w:r w:rsidR="00B36519" w:rsidRPr="00481594">
        <w:rPr>
          <w:lang w:eastAsia="ja-JP"/>
        </w:rPr>
        <w:t xml:space="preserve">V114 = sponsor’s product development code for </w:t>
      </w:r>
      <w:proofErr w:type="spellStart"/>
      <w:r w:rsidR="00B36519" w:rsidRPr="00481594">
        <w:rPr>
          <w:lang w:eastAsia="ja-JP"/>
        </w:rPr>
        <w:t>Vaxneuvance</w:t>
      </w:r>
      <w:proofErr w:type="spellEnd"/>
      <w:r w:rsidR="00B36519" w:rsidRPr="00481594">
        <w:rPr>
          <w:lang w:eastAsia="ja-JP"/>
        </w:rPr>
        <w:t>.</w:t>
      </w:r>
    </w:p>
    <w:p w14:paraId="5476F92F" w14:textId="5DD385F8" w:rsidR="00E11571" w:rsidRPr="00481594" w:rsidRDefault="00E11571" w:rsidP="0061675B">
      <w:pPr>
        <w:pStyle w:val="TableTitle"/>
      </w:pPr>
      <w:r w:rsidRPr="00481594">
        <w:lastRenderedPageBreak/>
        <w:fldChar w:fldCharType="begin"/>
      </w:r>
      <w:r w:rsidRPr="00481594">
        <w:instrText xml:space="preserve"> REF _Ref108799755 \h </w:instrText>
      </w:r>
      <w:r w:rsidR="0061675B" w:rsidRPr="00481594">
        <w:instrText xml:space="preserve"> \* MERGEFORMAT </w:instrText>
      </w:r>
      <w:r w:rsidRPr="00481594">
        <w:fldChar w:fldCharType="separate"/>
      </w:r>
      <w:r w:rsidR="00190330" w:rsidRPr="00481594">
        <w:t xml:space="preserve">Table </w:t>
      </w:r>
      <w:r w:rsidR="00190330">
        <w:rPr>
          <w:noProof/>
        </w:rPr>
        <w:t>16</w:t>
      </w:r>
      <w:r w:rsidRPr="00481594">
        <w:fldChar w:fldCharType="end"/>
      </w:r>
      <w:r w:rsidRPr="00481594">
        <w:t xml:space="preserve"> continued: </w:t>
      </w:r>
      <w:r w:rsidR="0061675B" w:rsidRPr="00481594">
        <w:t xml:space="preserve">Study V114-017 </w:t>
      </w:r>
      <w:r w:rsidRPr="00481594">
        <w:t xml:space="preserve">Summary of </w:t>
      </w:r>
      <w:r w:rsidR="000C3C7C" w:rsidRPr="00481594">
        <w:t xml:space="preserve">opsonophagocytic </w:t>
      </w:r>
      <w:r w:rsidR="0061675B" w:rsidRPr="00481594">
        <w:t>activity antibody responses (per</w:t>
      </w:r>
      <w:r w:rsidR="0061675B" w:rsidRPr="00481594">
        <w:noBreakHyphen/>
        <w:t>protocol population)</w:t>
      </w:r>
    </w:p>
    <w:p w14:paraId="2B335608" w14:textId="6C585673" w:rsidR="00E11571" w:rsidRPr="00481594" w:rsidRDefault="00E11571" w:rsidP="00303435">
      <w:r w:rsidRPr="00481594">
        <w:rPr>
          <w:noProof/>
          <w:lang w:val="en-GB" w:eastAsia="en-GB"/>
        </w:rPr>
        <w:drawing>
          <wp:inline distT="0" distB="0" distL="0" distR="0" wp14:anchorId="53AF5250" wp14:editId="70DA0FCF">
            <wp:extent cx="5400040" cy="4208145"/>
            <wp:effectExtent l="19050" t="19050" r="10160" b="20955"/>
            <wp:docPr id="64" name="Picture 64" descr="Table 16 continued: Study V114-017 Summary of opsonophagocytic activity antibody responses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able 16 continued: Study V114-017 Summary of opsonophagocytic activity antibody responses (per protocol population)"/>
                    <pic:cNvPicPr/>
                  </pic:nvPicPr>
                  <pic:blipFill>
                    <a:blip r:embed="rId42"/>
                    <a:stretch>
                      <a:fillRect/>
                    </a:stretch>
                  </pic:blipFill>
                  <pic:spPr>
                    <a:xfrm>
                      <a:off x="0" y="0"/>
                      <a:ext cx="5400040" cy="4208145"/>
                    </a:xfrm>
                    <a:prstGeom prst="rect">
                      <a:avLst/>
                    </a:prstGeom>
                    <a:ln>
                      <a:solidFill>
                        <a:schemeClr val="tx1"/>
                      </a:solidFill>
                    </a:ln>
                  </pic:spPr>
                </pic:pic>
              </a:graphicData>
            </a:graphic>
          </wp:inline>
        </w:drawing>
      </w:r>
    </w:p>
    <w:p w14:paraId="13F97244" w14:textId="7314EBCA" w:rsidR="00B36519" w:rsidRPr="00481594" w:rsidRDefault="006308AB" w:rsidP="00B36519">
      <w:pPr>
        <w:pStyle w:val="TableDescription"/>
      </w:pPr>
      <w:r w:rsidRPr="00481594">
        <w:t xml:space="preserve">Abbreviations: </w:t>
      </w:r>
      <w:r w:rsidR="00B36519" w:rsidRPr="00481594">
        <w:t xml:space="preserve">CI = confidence interval; GMFR = geometric mean fold rise; GMT = geometric mean titre; N = number of subjects randomised and vaccinated; n = number of subjects contributing to the analysis; V114 = sponsor’s product development code for </w:t>
      </w:r>
      <w:proofErr w:type="spellStart"/>
      <w:r w:rsidR="00B36519" w:rsidRPr="00481594">
        <w:t>Vaxneuvance</w:t>
      </w:r>
      <w:proofErr w:type="spellEnd"/>
      <w:r w:rsidR="00B36519" w:rsidRPr="00481594">
        <w:t>.</w:t>
      </w:r>
    </w:p>
    <w:p w14:paraId="14D409C0" w14:textId="4420A2A6" w:rsidR="00E11571" w:rsidRPr="00481594" w:rsidRDefault="00E11571" w:rsidP="00B36519">
      <w:pPr>
        <w:pStyle w:val="TableDescription"/>
      </w:pPr>
      <w:r w:rsidRPr="00481594">
        <w:rPr>
          <w:rFonts w:hint="eastAsia"/>
        </w:rPr>
        <w:t>†</w:t>
      </w:r>
      <w:r w:rsidRPr="00481594">
        <w:t xml:space="preserve"> For the continuous endpoints, the within-group 95% CIs are obtained by exponentiating the CIs of the mean of the natural log values based on the t-distribution. For the dichotomous endpoints, the within</w:t>
      </w:r>
      <w:r w:rsidR="00B36519" w:rsidRPr="00481594">
        <w:t xml:space="preserve"> </w:t>
      </w:r>
      <w:r w:rsidRPr="00481594">
        <w:t>group 95% CIs are based on the exact binomial method proposed by Clopper and Pearson.</w:t>
      </w:r>
    </w:p>
    <w:p w14:paraId="3C5C52D5" w14:textId="50115BB5" w:rsidR="00E11571" w:rsidRPr="00481594" w:rsidRDefault="00E11571" w:rsidP="00B36519">
      <w:pPr>
        <w:pStyle w:val="TableDescription"/>
      </w:pPr>
      <w:r w:rsidRPr="00481594">
        <w:t>Per</w:t>
      </w:r>
      <w:r w:rsidR="003B32D6" w:rsidRPr="00481594">
        <w:t>-</w:t>
      </w:r>
      <w:r w:rsidRPr="00481594">
        <w:t>protocol, Day 1 is pre</w:t>
      </w:r>
      <w:r w:rsidR="00B36519" w:rsidRPr="00481594">
        <w:t>-</w:t>
      </w:r>
      <w:r w:rsidRPr="00481594">
        <w:t xml:space="preserve">vaccination with </w:t>
      </w:r>
      <w:r w:rsidR="00B36519" w:rsidRPr="00481594">
        <w:t>pneumococcal conjugate vaccine (</w:t>
      </w:r>
      <w:proofErr w:type="spellStart"/>
      <w:r w:rsidR="00482C41" w:rsidRPr="00481594">
        <w:t>Vaxneuvance</w:t>
      </w:r>
      <w:proofErr w:type="spellEnd"/>
      <w:r w:rsidR="00B36519" w:rsidRPr="00481594">
        <w:t xml:space="preserve"> or Prevnar 13) (</w:t>
      </w:r>
      <w:r w:rsidRPr="00481594">
        <w:t>PCV</w:t>
      </w:r>
      <w:r w:rsidR="00B36519" w:rsidRPr="00481594">
        <w:t>)</w:t>
      </w:r>
      <w:r w:rsidRPr="00481594">
        <w:t>, and Day 30 is 30 days following vaccination with PCV, Month 6 is 6 months following vaccination with PCV and pre</w:t>
      </w:r>
      <w:r w:rsidR="00B36519" w:rsidRPr="00481594">
        <w:t>-</w:t>
      </w:r>
      <w:r w:rsidRPr="00481594">
        <w:t xml:space="preserve">vaccination with </w:t>
      </w:r>
      <w:r w:rsidR="00B36519" w:rsidRPr="00481594">
        <w:t>pneumococcal polysaccharide vaccine (Pneumovax 23) (</w:t>
      </w:r>
      <w:r w:rsidRPr="00481594">
        <w:t>PPV23</w:t>
      </w:r>
      <w:r w:rsidR="00B36519" w:rsidRPr="00481594">
        <w:t>)</w:t>
      </w:r>
      <w:r w:rsidRPr="00481594">
        <w:t>, and Month 7 is 30 days following vaccination with PPV23.</w:t>
      </w:r>
    </w:p>
    <w:p w14:paraId="2CBEF5EA" w14:textId="5CAD8D1E" w:rsidR="00B638B1" w:rsidRPr="00481594" w:rsidRDefault="00B638B1" w:rsidP="00B638B1">
      <w:r w:rsidRPr="00481594">
        <w:t>Serotype</w:t>
      </w:r>
      <w:r w:rsidR="001C5DCA" w:rsidRPr="00481594">
        <w:t xml:space="preserve"> </w:t>
      </w:r>
      <w:r w:rsidRPr="00481594">
        <w:t>specific OPA GMTs and IgG GMCs seen in subjects with no risk factors (</w:t>
      </w:r>
      <w:r w:rsidR="001C5DCA" w:rsidRPr="00481594">
        <w:t xml:space="preserve">approximately </w:t>
      </w:r>
      <w:r w:rsidRPr="00481594">
        <w:t>25% of the overall population) were consistent with those seen in the overall study population.</w:t>
      </w:r>
    </w:p>
    <w:p w14:paraId="34ECD179" w14:textId="79159068" w:rsidR="00B638B1" w:rsidRPr="00481594" w:rsidRDefault="00B638B1" w:rsidP="00B638B1">
      <w:r w:rsidRPr="00481594">
        <w:t xml:space="preserve">Results in Study </w:t>
      </w:r>
      <w:r w:rsidR="001C5DCA" w:rsidRPr="00481594">
        <w:t>V114-017</w:t>
      </w:r>
      <w:r w:rsidRPr="00481594">
        <w:t xml:space="preserve"> were consistent with those seen in the pivotal </w:t>
      </w:r>
      <w:r w:rsidR="001C5DCA" w:rsidRPr="00481594">
        <w:t>S</w:t>
      </w:r>
      <w:r w:rsidRPr="00481594">
        <w:t xml:space="preserve">tudy </w:t>
      </w:r>
      <w:r w:rsidR="001C5DCA" w:rsidRPr="00481594">
        <w:t>V114-</w:t>
      </w:r>
      <w:r w:rsidRPr="00481594">
        <w:t xml:space="preserve">019 that demonstrated non-inferiority of </w:t>
      </w:r>
      <w:proofErr w:type="spellStart"/>
      <w:r w:rsidR="006308AB" w:rsidRPr="00481594">
        <w:t>Vaxneuvance</w:t>
      </w:r>
      <w:proofErr w:type="spellEnd"/>
      <w:r w:rsidR="006308AB" w:rsidRPr="00481594">
        <w:t xml:space="preserve"> </w:t>
      </w:r>
      <w:r w:rsidRPr="00481594">
        <w:t xml:space="preserve">to Prevnar 13 for the 13 shared serotypes and superiority of </w:t>
      </w:r>
      <w:proofErr w:type="spellStart"/>
      <w:r w:rsidR="006308AB" w:rsidRPr="00481594">
        <w:t>Vaxneuvance</w:t>
      </w:r>
      <w:proofErr w:type="spellEnd"/>
      <w:r w:rsidR="006308AB" w:rsidRPr="00481594">
        <w:t xml:space="preserve"> </w:t>
      </w:r>
      <w:r w:rsidRPr="00481594">
        <w:t>to Prevnar 13 for serotypes 22F and 33F.</w:t>
      </w:r>
    </w:p>
    <w:p w14:paraId="57906ACA" w14:textId="5A5DA963" w:rsidR="00B638B1" w:rsidRPr="00481594" w:rsidRDefault="00B638B1" w:rsidP="00B638B1">
      <w:pPr>
        <w:pStyle w:val="Heading5"/>
      </w:pPr>
      <w:r w:rsidRPr="00481594">
        <w:t>Study V114-018</w:t>
      </w:r>
    </w:p>
    <w:p w14:paraId="7C2CE306" w14:textId="1F3E8E50" w:rsidR="00B638B1" w:rsidRPr="00481594" w:rsidRDefault="00B638B1" w:rsidP="00B638B1">
      <w:r w:rsidRPr="00481594">
        <w:t xml:space="preserve">Study V114-018 was a </w:t>
      </w:r>
      <w:r w:rsidR="00262F42" w:rsidRPr="00481594">
        <w:t>Phase III</w:t>
      </w:r>
      <w:r w:rsidRPr="00481594">
        <w:t>, multicentre, randomised, double</w:t>
      </w:r>
      <w:r w:rsidR="001C5DCA" w:rsidRPr="00481594">
        <w:t xml:space="preserve"> </w:t>
      </w:r>
      <w:r w:rsidRPr="00481594">
        <w:t xml:space="preserve">blind study evaluating safety and immunogenicity of </w:t>
      </w:r>
      <w:proofErr w:type="spellStart"/>
      <w:r w:rsidR="006308AB" w:rsidRPr="00481594">
        <w:t>Vaxneuvance</w:t>
      </w:r>
      <w:proofErr w:type="spellEnd"/>
      <w:r w:rsidR="006308AB" w:rsidRPr="00481594">
        <w:t xml:space="preserve"> </w:t>
      </w:r>
      <w:r w:rsidRPr="00481594">
        <w:t>or Prevnar 13 followed by Pneumovax 23, 8</w:t>
      </w:r>
      <w:r w:rsidR="006308AB" w:rsidRPr="00481594">
        <w:t> </w:t>
      </w:r>
      <w:r w:rsidRPr="00481594">
        <w:t>weeks later in immunocompromised adults (with HIV).</w:t>
      </w:r>
    </w:p>
    <w:p w14:paraId="610E55BD" w14:textId="3AE9F3B2" w:rsidR="00B638B1" w:rsidRPr="00481594" w:rsidRDefault="00B638B1" w:rsidP="00B638B1">
      <w:bookmarkStart w:id="63" w:name="_Hlk85628910"/>
      <w:r w:rsidRPr="00481594">
        <w:t xml:space="preserve">Similar study objectives and endpoints were applied as for the earlier studies as shown in </w:t>
      </w:r>
      <w:r w:rsidR="00603CA4" w:rsidRPr="00481594">
        <w:fldChar w:fldCharType="begin"/>
      </w:r>
      <w:r w:rsidR="00603CA4" w:rsidRPr="00481594">
        <w:instrText xml:space="preserve"> REF _Ref108803523 \h </w:instrText>
      </w:r>
      <w:r w:rsidR="00481594">
        <w:instrText xml:space="preserve"> \* MERGEFORMAT </w:instrText>
      </w:r>
      <w:r w:rsidR="00603CA4" w:rsidRPr="00481594">
        <w:fldChar w:fldCharType="separate"/>
      </w:r>
      <w:r w:rsidR="00190330" w:rsidRPr="00481594">
        <w:t xml:space="preserve">Table </w:t>
      </w:r>
      <w:r w:rsidR="00190330">
        <w:rPr>
          <w:noProof/>
        </w:rPr>
        <w:t>17</w:t>
      </w:r>
      <w:r w:rsidR="00603CA4" w:rsidRPr="00481594">
        <w:fldChar w:fldCharType="end"/>
      </w:r>
      <w:r w:rsidR="00603CA4" w:rsidRPr="00481594">
        <w:t>.</w:t>
      </w:r>
    </w:p>
    <w:p w14:paraId="60A01279" w14:textId="5EA6ED73" w:rsidR="00603CA4" w:rsidRPr="00481594" w:rsidRDefault="00603CA4" w:rsidP="0061675B">
      <w:pPr>
        <w:pStyle w:val="TableTitle"/>
      </w:pPr>
      <w:bookmarkStart w:id="64" w:name="_Ref108803523"/>
      <w:r w:rsidRPr="00481594">
        <w:lastRenderedPageBreak/>
        <w:t xml:space="preserve">Table </w:t>
      </w:r>
      <w:r w:rsidRPr="00481594">
        <w:fldChar w:fldCharType="begin"/>
      </w:r>
      <w:r w:rsidRPr="00481594">
        <w:instrText>SEQ Table \* ARABIC</w:instrText>
      </w:r>
      <w:r w:rsidRPr="00481594">
        <w:fldChar w:fldCharType="separate"/>
      </w:r>
      <w:r w:rsidR="00190330">
        <w:rPr>
          <w:noProof/>
        </w:rPr>
        <w:t>17</w:t>
      </w:r>
      <w:r w:rsidRPr="00481594">
        <w:fldChar w:fldCharType="end"/>
      </w:r>
      <w:bookmarkEnd w:id="64"/>
      <w:r w:rsidRPr="00481594">
        <w:t xml:space="preserve">: Study V114-018 </w:t>
      </w:r>
      <w:r w:rsidR="00F61308" w:rsidRPr="00481594">
        <w:t>S</w:t>
      </w:r>
      <w:r w:rsidRPr="00481594">
        <w:t>tudy objectives and endpoints</w:t>
      </w:r>
    </w:p>
    <w:p w14:paraId="3363C9FC" w14:textId="331F6076" w:rsidR="00603CA4" w:rsidRPr="00481594" w:rsidRDefault="00603CA4" w:rsidP="00303435">
      <w:r w:rsidRPr="00481594">
        <w:rPr>
          <w:noProof/>
          <w:lang w:val="en-GB" w:eastAsia="en-GB"/>
        </w:rPr>
        <w:drawing>
          <wp:inline distT="0" distB="0" distL="0" distR="0" wp14:anchorId="7B8D6181" wp14:editId="180CE286">
            <wp:extent cx="5400040" cy="6233439"/>
            <wp:effectExtent l="0" t="0" r="0" b="0"/>
            <wp:docPr id="82" name="Picture 82" descr="Table 17: Study V114-018 Study objectives and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Table 17: Study V114-018 Study objectives and endpoints"/>
                    <pic:cNvPicPr/>
                  </pic:nvPicPr>
                  <pic:blipFill>
                    <a:blip r:embed="rId43"/>
                    <a:stretch>
                      <a:fillRect/>
                    </a:stretch>
                  </pic:blipFill>
                  <pic:spPr>
                    <a:xfrm>
                      <a:off x="0" y="0"/>
                      <a:ext cx="5400040" cy="6233439"/>
                    </a:xfrm>
                    <a:prstGeom prst="rect">
                      <a:avLst/>
                    </a:prstGeom>
                  </pic:spPr>
                </pic:pic>
              </a:graphicData>
            </a:graphic>
          </wp:inline>
        </w:drawing>
      </w:r>
    </w:p>
    <w:p w14:paraId="55C468DB" w14:textId="6A590B8F" w:rsidR="00FE6FE3" w:rsidRPr="00481594" w:rsidRDefault="006308AB" w:rsidP="00FE6FE3">
      <w:pPr>
        <w:pStyle w:val="TableDescription"/>
      </w:pPr>
      <w:r w:rsidRPr="00481594">
        <w:rPr>
          <w:lang w:eastAsia="ja-JP"/>
        </w:rPr>
        <w:t xml:space="preserve">Abbreviations: </w:t>
      </w:r>
      <w:r w:rsidR="00FE6FE3" w:rsidRPr="00481594">
        <w:rPr>
          <w:lang w:eastAsia="ja-JP"/>
        </w:rPr>
        <w:t>AE = adverse event; GMC = geometric mean concentration; GMT = geometric mean titre; IgG = immunoglobulin G; OPA =</w:t>
      </w:r>
      <w:r w:rsidR="00FE6FE3" w:rsidRPr="00481594">
        <w:t xml:space="preserve"> opsonophagocytic activity; </w:t>
      </w:r>
      <w:r w:rsidR="00FE6FE3" w:rsidRPr="00481594">
        <w:rPr>
          <w:lang w:eastAsia="ja-JP"/>
        </w:rPr>
        <w:t xml:space="preserve">SAE = serious adverse event; V114 = sponsor’s product development code for </w:t>
      </w:r>
      <w:proofErr w:type="spellStart"/>
      <w:r w:rsidR="00FE6FE3" w:rsidRPr="00481594">
        <w:rPr>
          <w:lang w:eastAsia="ja-JP"/>
        </w:rPr>
        <w:t>Vaxneuvance</w:t>
      </w:r>
      <w:proofErr w:type="spellEnd"/>
      <w:r w:rsidR="00FE6FE3" w:rsidRPr="00481594">
        <w:rPr>
          <w:lang w:eastAsia="ja-JP"/>
        </w:rPr>
        <w:t>.</w:t>
      </w:r>
    </w:p>
    <w:p w14:paraId="04C87A7D" w14:textId="6B051AAD" w:rsidR="00F61308" w:rsidRPr="00481594" w:rsidRDefault="00F61308" w:rsidP="0061675B">
      <w:pPr>
        <w:pStyle w:val="TableTitle"/>
      </w:pPr>
      <w:r w:rsidRPr="00481594">
        <w:lastRenderedPageBreak/>
        <w:fldChar w:fldCharType="begin"/>
      </w:r>
      <w:r w:rsidRPr="00481594">
        <w:instrText xml:space="preserve"> REF _Ref108803523 \h  \* MERGEFORMAT </w:instrText>
      </w:r>
      <w:r w:rsidRPr="00481594">
        <w:fldChar w:fldCharType="separate"/>
      </w:r>
      <w:r w:rsidR="00190330" w:rsidRPr="00481594">
        <w:t xml:space="preserve">Table </w:t>
      </w:r>
      <w:r w:rsidR="00190330">
        <w:t>17</w:t>
      </w:r>
      <w:r w:rsidRPr="00481594">
        <w:fldChar w:fldCharType="end"/>
      </w:r>
      <w:r w:rsidRPr="00481594">
        <w:t xml:space="preserve"> continued: Study V114-018 Study objectives and endpoints</w:t>
      </w:r>
    </w:p>
    <w:p w14:paraId="27BD3C8A" w14:textId="510A918C" w:rsidR="00603CA4" w:rsidRPr="00481594" w:rsidRDefault="00603CA4" w:rsidP="00303435">
      <w:r w:rsidRPr="00481594">
        <w:rPr>
          <w:noProof/>
          <w:lang w:val="en-GB" w:eastAsia="en-GB"/>
        </w:rPr>
        <w:drawing>
          <wp:inline distT="0" distB="0" distL="0" distR="0" wp14:anchorId="3B8C7283" wp14:editId="5848CA4D">
            <wp:extent cx="5400040" cy="5185259"/>
            <wp:effectExtent l="0" t="0" r="0" b="0"/>
            <wp:docPr id="83" name="Picture 83" descr="Table 17 continued: Study V114-018 Study objectives and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able 17 continued: Study V114-018 Study objectives and endpoints"/>
                    <pic:cNvPicPr/>
                  </pic:nvPicPr>
                  <pic:blipFill>
                    <a:blip r:embed="rId44"/>
                    <a:stretch>
                      <a:fillRect/>
                    </a:stretch>
                  </pic:blipFill>
                  <pic:spPr>
                    <a:xfrm>
                      <a:off x="0" y="0"/>
                      <a:ext cx="5400040" cy="5185259"/>
                    </a:xfrm>
                    <a:prstGeom prst="rect">
                      <a:avLst/>
                    </a:prstGeom>
                  </pic:spPr>
                </pic:pic>
              </a:graphicData>
            </a:graphic>
          </wp:inline>
        </w:drawing>
      </w:r>
    </w:p>
    <w:p w14:paraId="1D7E9422" w14:textId="3BAC5055" w:rsidR="00FE6FE3" w:rsidRPr="00481594" w:rsidRDefault="006308AB" w:rsidP="00FE6FE3">
      <w:pPr>
        <w:pStyle w:val="TableDescription"/>
      </w:pPr>
      <w:r w:rsidRPr="00481594">
        <w:t xml:space="preserve">Abbreviations: </w:t>
      </w:r>
      <w:r w:rsidR="00FE6FE3" w:rsidRPr="00481594">
        <w:t xml:space="preserve">GMC = geometric mean concentration; GMFR = geometric mean fold rise; GMT = geometric mean titre; IgG = immunoglobulin G; OPA = opsonophagocytic activity; V114 = sponsor’s product development code for </w:t>
      </w:r>
      <w:proofErr w:type="spellStart"/>
      <w:r w:rsidR="00FE6FE3" w:rsidRPr="00481594">
        <w:t>Vaxneuvance</w:t>
      </w:r>
      <w:proofErr w:type="spellEnd"/>
      <w:r w:rsidR="00FE6FE3" w:rsidRPr="00481594">
        <w:t>.</w:t>
      </w:r>
    </w:p>
    <w:bookmarkEnd w:id="63"/>
    <w:p w14:paraId="7DFC1789" w14:textId="190AA82B" w:rsidR="00B638B1" w:rsidRPr="00481594" w:rsidRDefault="00B638B1" w:rsidP="00B638B1">
      <w:r w:rsidRPr="00481594">
        <w:t xml:space="preserve">Approximately 300 individuals were to be randomly assigned in a 1:1 ratio to receive either </w:t>
      </w:r>
      <w:proofErr w:type="spellStart"/>
      <w:r w:rsidR="006308AB" w:rsidRPr="00481594">
        <w:t>Vaxneuvance</w:t>
      </w:r>
      <w:proofErr w:type="spellEnd"/>
      <w:r w:rsidR="006308AB" w:rsidRPr="00481594">
        <w:t xml:space="preserve"> </w:t>
      </w:r>
      <w:r w:rsidRPr="00481594">
        <w:t xml:space="preserve">or Prevnar 13 at </w:t>
      </w:r>
      <w:r w:rsidR="00C87B92" w:rsidRPr="00481594">
        <w:t>Day</w:t>
      </w:r>
      <w:r w:rsidRPr="00481594">
        <w:t xml:space="preserve"> 1. Randomisation was stratified by </w:t>
      </w:r>
      <w:r w:rsidR="001108A1" w:rsidRPr="00481594">
        <w:t>cluster of differentiation 4 (</w:t>
      </w:r>
      <w:r w:rsidRPr="00481594">
        <w:t>CD</w:t>
      </w:r>
      <w:proofErr w:type="gramStart"/>
      <w:r w:rsidRPr="00481594">
        <w:t>4</w:t>
      </w:r>
      <w:r w:rsidR="001108A1" w:rsidRPr="00481594">
        <w:t>)</w:t>
      </w:r>
      <w:r w:rsidRPr="00481594">
        <w:t>+</w:t>
      </w:r>
      <w:proofErr w:type="gramEnd"/>
      <w:r w:rsidR="001C5DCA" w:rsidRPr="00481594">
        <w:t xml:space="preserve"> </w:t>
      </w:r>
      <w:r w:rsidRPr="00481594">
        <w:t>T-cell count. Inclusion criteria were subjects with HIV and CD4+</w:t>
      </w:r>
      <w:r w:rsidR="001C5DCA" w:rsidRPr="00481594">
        <w:t xml:space="preserve"> </w:t>
      </w:r>
      <w:r w:rsidRPr="00481594">
        <w:t xml:space="preserve">T-cell count </w:t>
      </w:r>
      <w:r w:rsidR="00841429" w:rsidRPr="00481594">
        <w:t>at least</w:t>
      </w:r>
      <w:r w:rsidR="001C5DCA" w:rsidRPr="00481594">
        <w:t xml:space="preserve"> </w:t>
      </w:r>
      <w:r w:rsidRPr="00481594">
        <w:t xml:space="preserve">50 cells/µL and plasma HIV </w:t>
      </w:r>
      <w:r w:rsidR="001527B0" w:rsidRPr="00481594">
        <w:t>ribonucleic acid</w:t>
      </w:r>
      <w:r w:rsidRPr="00481594">
        <w:t xml:space="preserve"> </w:t>
      </w:r>
      <w:r w:rsidR="00841429" w:rsidRPr="00481594">
        <w:t>less than</w:t>
      </w:r>
      <w:r w:rsidR="001527B0" w:rsidRPr="00481594">
        <w:t xml:space="preserve"> </w:t>
      </w:r>
      <w:r w:rsidRPr="00481594">
        <w:t>50000</w:t>
      </w:r>
      <w:r w:rsidR="00B6135A">
        <w:t> </w:t>
      </w:r>
      <w:r w:rsidRPr="00481594">
        <w:t>copies/mL at screening, being 18 years of age</w:t>
      </w:r>
      <w:r w:rsidR="00841429" w:rsidRPr="00481594">
        <w:t xml:space="preserve"> </w:t>
      </w:r>
      <w:r w:rsidR="00626CC0" w:rsidRPr="00481594">
        <w:t>and</w:t>
      </w:r>
      <w:r w:rsidR="00841429" w:rsidRPr="00481594">
        <w:t xml:space="preserve"> older</w:t>
      </w:r>
      <w:r w:rsidRPr="00481594">
        <w:t xml:space="preserve">, on stable combination </w:t>
      </w:r>
      <w:r w:rsidR="001527B0" w:rsidRPr="00481594">
        <w:t>antiretroviral therapy</w:t>
      </w:r>
      <w:r w:rsidRPr="00481594">
        <w:t>.</w:t>
      </w:r>
    </w:p>
    <w:p w14:paraId="4B1FE7D8" w14:textId="4BB4D697" w:rsidR="00B638B1" w:rsidRPr="00481594" w:rsidRDefault="00B638B1" w:rsidP="00B638B1">
      <w:r w:rsidRPr="00481594">
        <w:t xml:space="preserve">A total of 302 subjects were randomised across 13 study sites, all randomised subjects receiving either </w:t>
      </w:r>
      <w:proofErr w:type="spellStart"/>
      <w:r w:rsidR="006308AB" w:rsidRPr="00481594">
        <w:t>Vaxneuvance</w:t>
      </w:r>
      <w:proofErr w:type="spellEnd"/>
      <w:r w:rsidR="006308AB" w:rsidRPr="00481594">
        <w:t xml:space="preserve"> </w:t>
      </w:r>
      <w:r w:rsidRPr="00481594">
        <w:t xml:space="preserve">or Prevnar 13 and nearly all receiving </w:t>
      </w:r>
      <w:r w:rsidR="00DE0933" w:rsidRPr="00481594">
        <w:t>Pneumovax 23</w:t>
      </w:r>
      <w:r w:rsidRPr="00481594">
        <w:t xml:space="preserve">. Demographic characteristics are summarised in </w:t>
      </w:r>
      <w:r w:rsidR="00A7107E" w:rsidRPr="00481594">
        <w:fldChar w:fldCharType="begin"/>
      </w:r>
      <w:r w:rsidR="00A7107E" w:rsidRPr="00481594">
        <w:instrText xml:space="preserve"> REF _Ref108711391 \h </w:instrText>
      </w:r>
      <w:r w:rsidR="00481594">
        <w:instrText xml:space="preserve"> \* MERGEFORMAT </w:instrText>
      </w:r>
      <w:r w:rsidR="00A7107E" w:rsidRPr="00481594">
        <w:fldChar w:fldCharType="separate"/>
      </w:r>
      <w:r w:rsidR="00190330" w:rsidRPr="00481594">
        <w:t xml:space="preserve">Table </w:t>
      </w:r>
      <w:r w:rsidR="00190330">
        <w:rPr>
          <w:noProof/>
        </w:rPr>
        <w:t>18</w:t>
      </w:r>
      <w:r w:rsidR="00A7107E" w:rsidRPr="00481594">
        <w:fldChar w:fldCharType="end"/>
      </w:r>
      <w:r w:rsidRPr="00481594">
        <w:t xml:space="preserve">. </w:t>
      </w:r>
      <w:proofErr w:type="gramStart"/>
      <w:r w:rsidRPr="00481594">
        <w:t>The majority of</w:t>
      </w:r>
      <w:proofErr w:type="gramEnd"/>
      <w:r w:rsidRPr="00481594">
        <w:t xml:space="preserve"> subjects were male and aged between 18 to 49 years of age. Nearly all participants had CD4+</w:t>
      </w:r>
      <w:r w:rsidR="001C5DCA" w:rsidRPr="00481594">
        <w:t xml:space="preserve"> </w:t>
      </w:r>
      <w:r w:rsidRPr="00481594">
        <w:t xml:space="preserve">T-cell count </w:t>
      </w:r>
      <w:r w:rsidR="00626CC0" w:rsidRPr="00481594">
        <w:t>at least</w:t>
      </w:r>
      <w:r w:rsidR="001C5DCA" w:rsidRPr="00481594">
        <w:t> </w:t>
      </w:r>
      <w:r w:rsidRPr="00481594">
        <w:t>200</w:t>
      </w:r>
      <w:r w:rsidR="00352FDC" w:rsidRPr="00481594">
        <w:t> </w:t>
      </w:r>
      <w:r w:rsidRPr="00481594">
        <w:t>cells/µL at screening in both intervention groups and more than half had CD4+</w:t>
      </w:r>
      <w:r w:rsidR="001C5DCA" w:rsidRPr="00481594">
        <w:t xml:space="preserve"> </w:t>
      </w:r>
      <w:r w:rsidRPr="00481594">
        <w:t>T</w:t>
      </w:r>
      <w:r w:rsidR="001C5DCA" w:rsidRPr="00481594">
        <w:noBreakHyphen/>
      </w:r>
      <w:r w:rsidRPr="00481594">
        <w:t xml:space="preserve">cell counts of </w:t>
      </w:r>
      <w:r w:rsidR="00841429" w:rsidRPr="00481594">
        <w:t>less than</w:t>
      </w:r>
      <w:r w:rsidR="001C5DCA" w:rsidRPr="00481594">
        <w:t xml:space="preserve"> </w:t>
      </w:r>
      <w:r w:rsidRPr="00481594">
        <w:t>500 cells/µL at screening in both groups.</w:t>
      </w:r>
    </w:p>
    <w:p w14:paraId="21330043" w14:textId="1373DFB6" w:rsidR="00A7107E" w:rsidRPr="00481594" w:rsidRDefault="00A7107E" w:rsidP="0061675B">
      <w:pPr>
        <w:pStyle w:val="TableTitle"/>
      </w:pPr>
      <w:bookmarkStart w:id="65" w:name="_Ref108711391"/>
      <w:r w:rsidRPr="00481594">
        <w:lastRenderedPageBreak/>
        <w:t xml:space="preserve">Table </w:t>
      </w:r>
      <w:r w:rsidRPr="00481594">
        <w:fldChar w:fldCharType="begin"/>
      </w:r>
      <w:r w:rsidRPr="00481594">
        <w:instrText>SEQ Table \* ARABIC</w:instrText>
      </w:r>
      <w:r w:rsidRPr="00481594">
        <w:fldChar w:fldCharType="separate"/>
      </w:r>
      <w:r w:rsidR="00190330">
        <w:rPr>
          <w:noProof/>
        </w:rPr>
        <w:t>18</w:t>
      </w:r>
      <w:r w:rsidRPr="00481594">
        <w:fldChar w:fldCharType="end"/>
      </w:r>
      <w:bookmarkEnd w:id="65"/>
      <w:r w:rsidRPr="00481594">
        <w:t xml:space="preserve">: </w:t>
      </w:r>
      <w:r w:rsidR="0061675B" w:rsidRPr="00481594">
        <w:t xml:space="preserve">Study V114-018 </w:t>
      </w:r>
      <w:r w:rsidRPr="00481594">
        <w:t xml:space="preserve">Subject </w:t>
      </w:r>
      <w:r w:rsidR="0061675B" w:rsidRPr="00481594">
        <w:t>characteristics (all vaccinated subjects)</w:t>
      </w:r>
    </w:p>
    <w:p w14:paraId="0E924370" w14:textId="2187DD09" w:rsidR="00A7107E" w:rsidRPr="00481594" w:rsidRDefault="00A7107E" w:rsidP="00303435">
      <w:r w:rsidRPr="00481594">
        <w:rPr>
          <w:noProof/>
          <w:lang w:val="en-GB" w:eastAsia="en-GB"/>
        </w:rPr>
        <w:drawing>
          <wp:inline distT="0" distB="0" distL="0" distR="0" wp14:anchorId="2AF0715E" wp14:editId="540F3C3B">
            <wp:extent cx="5400040" cy="5325745"/>
            <wp:effectExtent l="0" t="0" r="0" b="8255"/>
            <wp:docPr id="15" name="Picture 15" descr="Table 18: Study V114-018 Subject characteristics (all vaccinated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 18: Study V114-018 Subject characteristics (all vaccinated subjects)"/>
                    <pic:cNvPicPr/>
                  </pic:nvPicPr>
                  <pic:blipFill>
                    <a:blip r:embed="rId45"/>
                    <a:stretch>
                      <a:fillRect/>
                    </a:stretch>
                  </pic:blipFill>
                  <pic:spPr>
                    <a:xfrm>
                      <a:off x="0" y="0"/>
                      <a:ext cx="5400040" cy="5325745"/>
                    </a:xfrm>
                    <a:prstGeom prst="rect">
                      <a:avLst/>
                    </a:prstGeom>
                  </pic:spPr>
                </pic:pic>
              </a:graphicData>
            </a:graphic>
          </wp:inline>
        </w:drawing>
      </w:r>
    </w:p>
    <w:p w14:paraId="34F38B7D" w14:textId="422F65A8" w:rsidR="00A7107E" w:rsidRPr="00481594" w:rsidRDefault="006308AB" w:rsidP="00FE6FE3">
      <w:pPr>
        <w:pStyle w:val="TableDescription"/>
      </w:pPr>
      <w:r w:rsidRPr="00481594">
        <w:t xml:space="preserve">Abbreviations: </w:t>
      </w:r>
      <w:r w:rsidR="00FE6FE3" w:rsidRPr="00481594">
        <w:t>CD4 = cluster of differentiation 4; n = number of subjects contributing to the analysis; SD</w:t>
      </w:r>
      <w:r w:rsidRPr="00481594">
        <w:t> </w:t>
      </w:r>
      <w:r w:rsidR="00FE6FE3" w:rsidRPr="00481594">
        <w:t>= standard deviation.</w:t>
      </w:r>
    </w:p>
    <w:p w14:paraId="220E13BA" w14:textId="27B76E15" w:rsidR="00B638B1" w:rsidRPr="00481594" w:rsidRDefault="00B638B1" w:rsidP="00B638B1">
      <w:r w:rsidRPr="00481594">
        <w:t xml:space="preserve">For the primary endpoint, </w:t>
      </w:r>
      <w:proofErr w:type="spellStart"/>
      <w:r w:rsidR="006308AB" w:rsidRPr="00481594">
        <w:t>Vaxneuvance</w:t>
      </w:r>
      <w:proofErr w:type="spellEnd"/>
      <w:r w:rsidR="006308AB" w:rsidRPr="00481594">
        <w:t xml:space="preserve"> </w:t>
      </w:r>
      <w:r w:rsidRPr="00481594">
        <w:t>was found to be immunogenic in pneumococcal vaccine</w:t>
      </w:r>
      <w:r w:rsidR="001B5950" w:rsidRPr="00481594">
        <w:t xml:space="preserve"> </w:t>
      </w:r>
      <w:r w:rsidRPr="00481594">
        <w:t>naïve patients infected with HIV (assessed by OPA GMTs 30</w:t>
      </w:r>
      <w:r w:rsidR="001D04F9" w:rsidRPr="00481594">
        <w:t xml:space="preserve"> </w:t>
      </w:r>
      <w:r w:rsidRPr="00481594">
        <w:t>days post</w:t>
      </w:r>
      <w:r w:rsidR="006308AB" w:rsidRPr="00481594">
        <w:noBreakHyphen/>
      </w:r>
      <w:r w:rsidRPr="00481594">
        <w:t>vaccination) for all 15</w:t>
      </w:r>
      <w:r w:rsidR="001C5DCA" w:rsidRPr="00481594">
        <w:t> </w:t>
      </w:r>
      <w:r w:rsidRPr="00481594">
        <w:t xml:space="preserve">serotypes contained in the vaccine as shown in </w:t>
      </w:r>
      <w:r w:rsidR="00A7107E" w:rsidRPr="00481594">
        <w:fldChar w:fldCharType="begin"/>
      </w:r>
      <w:r w:rsidR="00A7107E" w:rsidRPr="00481594">
        <w:instrText xml:space="preserve"> REF _Ref108711487 \h </w:instrText>
      </w:r>
      <w:r w:rsidR="00481594">
        <w:instrText xml:space="preserve"> \* MERGEFORMAT </w:instrText>
      </w:r>
      <w:r w:rsidR="00A7107E" w:rsidRPr="00481594">
        <w:fldChar w:fldCharType="separate"/>
      </w:r>
      <w:r w:rsidR="00190330" w:rsidRPr="00481594">
        <w:t xml:space="preserve">Table </w:t>
      </w:r>
      <w:r w:rsidR="00190330">
        <w:rPr>
          <w:noProof/>
        </w:rPr>
        <w:t>19</w:t>
      </w:r>
      <w:r w:rsidR="00A7107E" w:rsidRPr="00481594">
        <w:fldChar w:fldCharType="end"/>
      </w:r>
      <w:r w:rsidRPr="00481594">
        <w:t xml:space="preserve">. Prevnar 13 was immunogenic at </w:t>
      </w:r>
      <w:r w:rsidR="00C87B92" w:rsidRPr="00481594">
        <w:t>Day</w:t>
      </w:r>
      <w:r w:rsidRPr="00481594">
        <w:t xml:space="preserve"> 30 for all 13 serotypes contained in the vaccine.</w:t>
      </w:r>
    </w:p>
    <w:p w14:paraId="1E021807" w14:textId="0D89C253" w:rsidR="00A7107E" w:rsidRPr="00481594" w:rsidRDefault="00A7107E" w:rsidP="0061675B">
      <w:pPr>
        <w:pStyle w:val="TableTitle"/>
      </w:pPr>
      <w:bookmarkStart w:id="66" w:name="_Ref108711487"/>
      <w:r w:rsidRPr="00481594">
        <w:lastRenderedPageBreak/>
        <w:t xml:space="preserve">Table </w:t>
      </w:r>
      <w:r w:rsidRPr="00481594">
        <w:fldChar w:fldCharType="begin"/>
      </w:r>
      <w:r w:rsidRPr="00481594">
        <w:instrText>SEQ Table \* ARABIC</w:instrText>
      </w:r>
      <w:r w:rsidRPr="00481594">
        <w:fldChar w:fldCharType="separate"/>
      </w:r>
      <w:r w:rsidR="00190330">
        <w:rPr>
          <w:noProof/>
        </w:rPr>
        <w:t>19</w:t>
      </w:r>
      <w:r w:rsidRPr="00481594">
        <w:fldChar w:fldCharType="end"/>
      </w:r>
      <w:bookmarkEnd w:id="66"/>
      <w:r w:rsidRPr="00481594">
        <w:t xml:space="preserve">: </w:t>
      </w:r>
      <w:r w:rsidR="0061675B" w:rsidRPr="00481594">
        <w:t xml:space="preserve">Study V114-018 </w:t>
      </w:r>
      <w:r w:rsidRPr="00481594">
        <w:t xml:space="preserve">Summary of </w:t>
      </w:r>
      <w:r w:rsidR="000C3C7C" w:rsidRPr="00481594">
        <w:t>opsonophagocytic activity</w:t>
      </w:r>
      <w:r w:rsidRPr="00481594">
        <w:t xml:space="preserve"> </w:t>
      </w:r>
      <w:r w:rsidR="000C3C7C" w:rsidRPr="00481594">
        <w:t>geometric mean titre</w:t>
      </w:r>
      <w:r w:rsidRPr="00481594">
        <w:t xml:space="preserve">s at </w:t>
      </w:r>
      <w:r w:rsidR="0061675B" w:rsidRPr="00481594">
        <w:t>D</w:t>
      </w:r>
      <w:r w:rsidRPr="00481594">
        <w:t>ay 30 (</w:t>
      </w:r>
      <w:r w:rsidR="000C3C7C" w:rsidRPr="00481594">
        <w:t>per</w:t>
      </w:r>
      <w:r w:rsidR="000C3C7C" w:rsidRPr="00481594">
        <w:noBreakHyphen/>
        <w:t>protocol population</w:t>
      </w:r>
      <w:r w:rsidRPr="00481594">
        <w:t>)</w:t>
      </w:r>
    </w:p>
    <w:p w14:paraId="6B6DD6C7" w14:textId="3A66E1B9" w:rsidR="00A7107E" w:rsidRPr="00481594" w:rsidRDefault="00A7107E" w:rsidP="00303435">
      <w:r w:rsidRPr="00481594">
        <w:rPr>
          <w:noProof/>
          <w:lang w:val="en-GB" w:eastAsia="en-GB"/>
        </w:rPr>
        <w:drawing>
          <wp:inline distT="0" distB="0" distL="0" distR="0" wp14:anchorId="41566817" wp14:editId="4FDD2CF2">
            <wp:extent cx="5400040" cy="4237355"/>
            <wp:effectExtent l="0" t="0" r="0" b="0"/>
            <wp:docPr id="17" name="Picture 17" descr="Table 19: Study V114-018 Summary of opsonophagocytic activity geometric mean titres at Day 30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 19: Study V114-018 Summary of opsonophagocytic activity geometric mean titres at Day 30 (per protocol population)"/>
                    <pic:cNvPicPr/>
                  </pic:nvPicPr>
                  <pic:blipFill>
                    <a:blip r:embed="rId46"/>
                    <a:stretch>
                      <a:fillRect/>
                    </a:stretch>
                  </pic:blipFill>
                  <pic:spPr>
                    <a:xfrm>
                      <a:off x="0" y="0"/>
                      <a:ext cx="5400040" cy="4237355"/>
                    </a:xfrm>
                    <a:prstGeom prst="rect">
                      <a:avLst/>
                    </a:prstGeom>
                  </pic:spPr>
                </pic:pic>
              </a:graphicData>
            </a:graphic>
          </wp:inline>
        </w:drawing>
      </w:r>
    </w:p>
    <w:p w14:paraId="0FB5AFEE" w14:textId="03B2A594" w:rsidR="00FE6FE3" w:rsidRPr="00481594" w:rsidRDefault="0047397D" w:rsidP="00F37763">
      <w:pPr>
        <w:pStyle w:val="TableDescription"/>
      </w:pPr>
      <w:r w:rsidRPr="00481594">
        <w:t xml:space="preserve">Abbreviations: </w:t>
      </w:r>
      <w:r w:rsidR="00FE6FE3" w:rsidRPr="00481594">
        <w:t xml:space="preserve">CI = confidence interval; GMT = geometric mean titre; N = number of subjects randomised and vaccinated; n = number of subjects contributing to the analysis; V114 = sponsor’s product development code for </w:t>
      </w:r>
      <w:proofErr w:type="spellStart"/>
      <w:r w:rsidR="00FE6FE3" w:rsidRPr="00481594">
        <w:t>Vaxneuvance</w:t>
      </w:r>
      <w:proofErr w:type="spellEnd"/>
      <w:r w:rsidR="00FE6FE3" w:rsidRPr="00481594">
        <w:t>.</w:t>
      </w:r>
    </w:p>
    <w:p w14:paraId="0E09FC18" w14:textId="3C12071A" w:rsidR="00FE6FE3" w:rsidRPr="00481594" w:rsidRDefault="00FE6FE3" w:rsidP="00F37763">
      <w:pPr>
        <w:pStyle w:val="TableDescription"/>
      </w:pPr>
      <w:r w:rsidRPr="00481594">
        <w:rPr>
          <w:rFonts w:hint="eastAsia"/>
        </w:rPr>
        <w:t>†</w:t>
      </w:r>
      <w:r w:rsidRPr="00481594">
        <w:t xml:space="preserve">The within group 95% CIs are obtained by exponentiating the </w:t>
      </w:r>
      <w:r w:rsidR="00F37763" w:rsidRPr="00481594">
        <w:t>CIs of the mean of the natural log values based on the t-distribution.</w:t>
      </w:r>
    </w:p>
    <w:p w14:paraId="3FCDEC34" w14:textId="4E4ECCDC" w:rsidR="00A7107E" w:rsidRPr="00481594" w:rsidRDefault="00F37763" w:rsidP="00F37763">
      <w:pPr>
        <w:pStyle w:val="TableDescription"/>
      </w:pPr>
      <w:r w:rsidRPr="00481594">
        <w:t>Per-protocol, Day 30 is 30 days following vaccination with pneumococcal conjugate vaccine (</w:t>
      </w:r>
      <w:proofErr w:type="spellStart"/>
      <w:r w:rsidR="0047397D" w:rsidRPr="00481594">
        <w:t>Vaxneuvance</w:t>
      </w:r>
      <w:proofErr w:type="spellEnd"/>
      <w:r w:rsidR="0047397D" w:rsidRPr="00481594">
        <w:t xml:space="preserve"> </w:t>
      </w:r>
      <w:r w:rsidRPr="00481594">
        <w:t>or Prevnar 13)</w:t>
      </w:r>
      <w:r w:rsidR="00EE68BF" w:rsidRPr="00481594">
        <w:t xml:space="preserve"> (PCV)</w:t>
      </w:r>
      <w:r w:rsidRPr="00481594">
        <w:t>.</w:t>
      </w:r>
    </w:p>
    <w:p w14:paraId="11177A46" w14:textId="4015F913" w:rsidR="00B638B1" w:rsidRPr="00481594" w:rsidRDefault="00B638B1" w:rsidP="00B638B1">
      <w:r w:rsidRPr="00481594">
        <w:t xml:space="preserve">In terms of secondary immunogenicity endpoints, </w:t>
      </w:r>
      <w:r w:rsidR="001C5DCA" w:rsidRPr="00481594">
        <w:t xml:space="preserve">serotype </w:t>
      </w:r>
      <w:r w:rsidRPr="00481594">
        <w:t xml:space="preserve">specific OPA GMTs and IgG GMCs at 30 days post-vaccination with </w:t>
      </w:r>
      <w:r w:rsidR="00DE0933" w:rsidRPr="00481594">
        <w:t xml:space="preserve">Pneumovax 23 </w:t>
      </w:r>
      <w:r w:rsidRPr="00481594">
        <w:t xml:space="preserve">were generally comparable with those seen at 30 days post-vaccination with the </w:t>
      </w:r>
      <w:proofErr w:type="spellStart"/>
      <w:r w:rsidR="0047397D" w:rsidRPr="00481594">
        <w:t>Vaxneuvance</w:t>
      </w:r>
      <w:proofErr w:type="spellEnd"/>
      <w:r w:rsidR="0047397D" w:rsidRPr="00481594">
        <w:t xml:space="preserve"> </w:t>
      </w:r>
      <w:r w:rsidRPr="00481594">
        <w:t>group for all 15 serotypes and the Prevnar</w:t>
      </w:r>
      <w:r w:rsidR="001C5DCA" w:rsidRPr="00481594">
        <w:t> </w:t>
      </w:r>
      <w:r w:rsidRPr="00481594">
        <w:t xml:space="preserve">13 group for all 13 serotypes contained in the vaccine. </w:t>
      </w:r>
      <w:r w:rsidR="00DE0933" w:rsidRPr="00481594">
        <w:t>Pneumovax 23</w:t>
      </w:r>
      <w:r w:rsidRPr="00481594">
        <w:t xml:space="preserve"> elicited an immune response for serotypes 22F and 33F at 30 days post-vaccination with </w:t>
      </w:r>
      <w:r w:rsidR="00DE0933" w:rsidRPr="00481594">
        <w:t>Pneumovax 23</w:t>
      </w:r>
      <w:r w:rsidRPr="00481594">
        <w:t xml:space="preserve"> in the Prevnar</w:t>
      </w:r>
      <w:r w:rsidR="001C5DCA" w:rsidRPr="00481594">
        <w:t> </w:t>
      </w:r>
      <w:r w:rsidRPr="00481594">
        <w:t>13 group.</w:t>
      </w:r>
    </w:p>
    <w:p w14:paraId="4CBA8FA5" w14:textId="1E1FBD68" w:rsidR="00B638B1" w:rsidRPr="00481594" w:rsidRDefault="00B638B1" w:rsidP="00B638B1">
      <w:r w:rsidRPr="00481594">
        <w:t>In terms of exploratory immunogenicity endpoints, serotype</w:t>
      </w:r>
      <w:r w:rsidR="001C5DCA" w:rsidRPr="00481594">
        <w:t xml:space="preserve"> </w:t>
      </w:r>
      <w:r w:rsidRPr="00481594">
        <w:t xml:space="preserve">specific OPA GMTs and IgG GMCs at 30 days post-vaccination were generally comparable across intervention groups for the 13 shared serotypes between </w:t>
      </w:r>
      <w:proofErr w:type="spellStart"/>
      <w:r w:rsidR="0047397D" w:rsidRPr="00481594">
        <w:t>Vaxneuvance</w:t>
      </w:r>
      <w:proofErr w:type="spellEnd"/>
      <w:r w:rsidR="0047397D" w:rsidRPr="00481594">
        <w:t xml:space="preserve"> </w:t>
      </w:r>
      <w:r w:rsidRPr="00481594">
        <w:t xml:space="preserve">and Prevnar 13. OPA GMTs and IgG GMCs for the 2 serotypes unique to </w:t>
      </w:r>
      <w:proofErr w:type="spellStart"/>
      <w:r w:rsidR="0047397D" w:rsidRPr="00481594">
        <w:t>Vaxneuvance</w:t>
      </w:r>
      <w:proofErr w:type="spellEnd"/>
      <w:r w:rsidR="0047397D" w:rsidRPr="00481594">
        <w:t xml:space="preserve"> </w:t>
      </w:r>
      <w:r w:rsidRPr="00481594">
        <w:t>(</w:t>
      </w:r>
      <w:r w:rsidR="00BE31ED" w:rsidRPr="00481594">
        <w:t xml:space="preserve">serotypes </w:t>
      </w:r>
      <w:r w:rsidRPr="00481594">
        <w:t>22F and 33F) at 30 days post</w:t>
      </w:r>
      <w:r w:rsidR="0047397D" w:rsidRPr="00481594">
        <w:noBreakHyphen/>
      </w:r>
      <w:r w:rsidRPr="00481594">
        <w:t xml:space="preserve">vaccination were higher in the </w:t>
      </w:r>
      <w:proofErr w:type="spellStart"/>
      <w:r w:rsidR="0047397D" w:rsidRPr="00481594">
        <w:t>Vaxneuvance</w:t>
      </w:r>
      <w:proofErr w:type="spellEnd"/>
      <w:r w:rsidR="0047397D" w:rsidRPr="00481594">
        <w:t xml:space="preserve"> </w:t>
      </w:r>
      <w:r w:rsidRPr="00481594">
        <w:t>group compared to the Prevnar 13 group. Serotype</w:t>
      </w:r>
      <w:r w:rsidR="00BE31ED" w:rsidRPr="00481594">
        <w:t xml:space="preserve"> </w:t>
      </w:r>
      <w:r w:rsidRPr="00481594">
        <w:t>specific OPA GMTs and IgG GMCs for all 15 serotypes at 30 days post</w:t>
      </w:r>
      <w:r w:rsidR="0047397D" w:rsidRPr="00481594">
        <w:noBreakHyphen/>
      </w:r>
      <w:r w:rsidRPr="00481594">
        <w:t xml:space="preserve">vaccination with </w:t>
      </w:r>
      <w:r w:rsidR="00DE0933" w:rsidRPr="00481594">
        <w:t xml:space="preserve">Pneumovax 23 </w:t>
      </w:r>
      <w:r w:rsidRPr="00481594">
        <w:t>were generally comparable across intervention groups.</w:t>
      </w:r>
    </w:p>
    <w:p w14:paraId="31091313" w14:textId="77777777" w:rsidR="00B638B1" w:rsidRPr="00481594" w:rsidRDefault="00B638B1" w:rsidP="00B638B1">
      <w:pPr>
        <w:pStyle w:val="Heading4"/>
        <w:rPr>
          <w:rStyle w:val="Heading4Char"/>
          <w:b/>
          <w:bCs/>
        </w:rPr>
      </w:pPr>
      <w:r w:rsidRPr="00481594">
        <w:rPr>
          <w:rStyle w:val="Heading4Char"/>
          <w:b/>
          <w:bCs/>
        </w:rPr>
        <w:lastRenderedPageBreak/>
        <w:t>Other efficacy studies</w:t>
      </w:r>
      <w:bookmarkStart w:id="67" w:name="_Toc290888504"/>
      <w:bookmarkStart w:id="68" w:name="_Toc416353720"/>
      <w:bookmarkStart w:id="69" w:name="_Hlk85630761"/>
    </w:p>
    <w:p w14:paraId="29B88F94" w14:textId="52917382" w:rsidR="00B638B1" w:rsidRPr="00481594" w:rsidRDefault="00B638B1" w:rsidP="00B638B1">
      <w:pPr>
        <w:pStyle w:val="Heading5"/>
        <w:rPr>
          <w:rFonts w:eastAsia="MS Mincho"/>
        </w:rPr>
      </w:pPr>
      <w:r w:rsidRPr="00481594">
        <w:rPr>
          <w:rStyle w:val="Heading5Char"/>
          <w:rFonts w:eastAsia="MS Mincho"/>
          <w:b/>
          <w:bCs/>
          <w:i/>
        </w:rPr>
        <w:t>Study V114-016</w:t>
      </w:r>
    </w:p>
    <w:p w14:paraId="2C2579F8" w14:textId="42B2079D" w:rsidR="00B638B1" w:rsidRPr="00481594" w:rsidRDefault="00B638B1" w:rsidP="00B638B1">
      <w:r w:rsidRPr="00481594">
        <w:t>Study</w:t>
      </w:r>
      <w:bookmarkEnd w:id="67"/>
      <w:bookmarkEnd w:id="68"/>
      <w:r w:rsidRPr="00481594">
        <w:t xml:space="preserve"> V114-016 was a </w:t>
      </w:r>
      <w:r w:rsidR="00262F42" w:rsidRPr="00481594">
        <w:t>Phase III</w:t>
      </w:r>
      <w:r w:rsidRPr="00481594">
        <w:t xml:space="preserve"> multicentre, randomised, double</w:t>
      </w:r>
      <w:r w:rsidR="00BE31ED" w:rsidRPr="00481594">
        <w:t xml:space="preserve"> </w:t>
      </w:r>
      <w:r w:rsidRPr="00481594">
        <w:t xml:space="preserve">blind, active comparator study to evaluate safety </w:t>
      </w:r>
      <w:bookmarkEnd w:id="69"/>
      <w:r w:rsidRPr="00481594">
        <w:t xml:space="preserve">and immunogenicity of </w:t>
      </w:r>
      <w:proofErr w:type="spellStart"/>
      <w:r w:rsidR="0047397D" w:rsidRPr="00481594">
        <w:t>Vaxneuvance</w:t>
      </w:r>
      <w:proofErr w:type="spellEnd"/>
      <w:r w:rsidR="0047397D" w:rsidRPr="00481594">
        <w:t xml:space="preserve"> </w:t>
      </w:r>
      <w:r w:rsidRPr="00481594">
        <w:t xml:space="preserve">or Prevnar 13 followed by administration of Pneumovax 23, </w:t>
      </w:r>
      <w:r w:rsidR="00BE31ED" w:rsidRPr="00481594">
        <w:t>one</w:t>
      </w:r>
      <w:r w:rsidRPr="00481594">
        <w:t xml:space="preserve"> year later in healthy adults 50 years of age or older.</w:t>
      </w:r>
    </w:p>
    <w:p w14:paraId="34C4EE72" w14:textId="11625741" w:rsidR="00B638B1" w:rsidRPr="00481594" w:rsidRDefault="00B638B1" w:rsidP="00B638B1">
      <w:r w:rsidRPr="00481594">
        <w:t xml:space="preserve">Study objectives and endpoints are shown in </w:t>
      </w:r>
      <w:r w:rsidR="00603CA4" w:rsidRPr="00481594">
        <w:fldChar w:fldCharType="begin"/>
      </w:r>
      <w:r w:rsidR="00603CA4" w:rsidRPr="00481594">
        <w:instrText xml:space="preserve"> REF _Ref108803603 \h </w:instrText>
      </w:r>
      <w:r w:rsidR="00481594">
        <w:instrText xml:space="preserve"> \* MERGEFORMAT </w:instrText>
      </w:r>
      <w:r w:rsidR="00603CA4" w:rsidRPr="00481594">
        <w:fldChar w:fldCharType="separate"/>
      </w:r>
      <w:r w:rsidR="00190330" w:rsidRPr="00481594">
        <w:t xml:space="preserve">Table </w:t>
      </w:r>
      <w:r w:rsidR="00190330">
        <w:rPr>
          <w:noProof/>
        </w:rPr>
        <w:t>20</w:t>
      </w:r>
      <w:r w:rsidR="00603CA4" w:rsidRPr="00481594">
        <w:fldChar w:fldCharType="end"/>
      </w:r>
      <w:r w:rsidRPr="00481594">
        <w:t>.</w:t>
      </w:r>
    </w:p>
    <w:p w14:paraId="052F75B3" w14:textId="1AF2E0E7" w:rsidR="00603CA4" w:rsidRPr="00481594" w:rsidRDefault="00603CA4" w:rsidP="0061675B">
      <w:pPr>
        <w:pStyle w:val="TableTitle"/>
      </w:pPr>
      <w:bookmarkStart w:id="70" w:name="_Ref108803603"/>
      <w:r w:rsidRPr="00481594">
        <w:t xml:space="preserve">Table </w:t>
      </w:r>
      <w:r w:rsidRPr="00481594">
        <w:fldChar w:fldCharType="begin"/>
      </w:r>
      <w:r w:rsidRPr="00481594">
        <w:instrText>SEQ Table \* ARABIC</w:instrText>
      </w:r>
      <w:r w:rsidRPr="00481594">
        <w:fldChar w:fldCharType="separate"/>
      </w:r>
      <w:r w:rsidR="00190330">
        <w:rPr>
          <w:noProof/>
        </w:rPr>
        <w:t>20</w:t>
      </w:r>
      <w:r w:rsidRPr="00481594">
        <w:fldChar w:fldCharType="end"/>
      </w:r>
      <w:bookmarkEnd w:id="70"/>
      <w:r w:rsidRPr="00481594">
        <w:t xml:space="preserve">: </w:t>
      </w:r>
      <w:r w:rsidR="00F61308" w:rsidRPr="00481594">
        <w:t xml:space="preserve">Study </w:t>
      </w:r>
      <w:r w:rsidR="00040793" w:rsidRPr="00481594">
        <w:t>V114-016</w:t>
      </w:r>
      <w:r w:rsidR="00F61308" w:rsidRPr="00481594">
        <w:t xml:space="preserve"> </w:t>
      </w:r>
      <w:r w:rsidRPr="00481594">
        <w:t>Study</w:t>
      </w:r>
      <w:r w:rsidR="00F61308" w:rsidRPr="00481594">
        <w:t xml:space="preserve"> objectives and endpoints</w:t>
      </w:r>
    </w:p>
    <w:p w14:paraId="756EF199" w14:textId="4B3A6B75" w:rsidR="00603CA4" w:rsidRPr="00481594" w:rsidRDefault="00603CA4" w:rsidP="00303435">
      <w:r w:rsidRPr="00481594">
        <w:rPr>
          <w:noProof/>
          <w:lang w:val="en-GB" w:eastAsia="en-GB"/>
        </w:rPr>
        <w:drawing>
          <wp:inline distT="0" distB="0" distL="0" distR="0" wp14:anchorId="6844F09C" wp14:editId="1C0B140E">
            <wp:extent cx="5151755" cy="6395085"/>
            <wp:effectExtent l="0" t="0" r="0" b="5715"/>
            <wp:docPr id="84" name="Picture 84" descr="Table 20: Study V114-016 Study objectives and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able 20: Study V114-016 Study objectives and endpoint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51755" cy="6395085"/>
                    </a:xfrm>
                    <a:prstGeom prst="rect">
                      <a:avLst/>
                    </a:prstGeom>
                    <a:noFill/>
                  </pic:spPr>
                </pic:pic>
              </a:graphicData>
            </a:graphic>
          </wp:inline>
        </w:drawing>
      </w:r>
    </w:p>
    <w:p w14:paraId="1B393DD3" w14:textId="26E00937" w:rsidR="00F37763" w:rsidRPr="00481594" w:rsidRDefault="0047397D" w:rsidP="00F37763">
      <w:pPr>
        <w:pStyle w:val="TableDescription"/>
      </w:pPr>
      <w:r w:rsidRPr="00481594">
        <w:t xml:space="preserve">Abbreviations: </w:t>
      </w:r>
      <w:r w:rsidR="00F37763" w:rsidRPr="00481594">
        <w:t xml:space="preserve">AE = adverse event; GMC = geometric mean concentration; GMT = geometric mean titre; IgG = immunoglobulin G; OPA = opsonophagocytic activity; SAE = serious adverse event; V114 = sponsor’s product development code for </w:t>
      </w:r>
      <w:proofErr w:type="spellStart"/>
      <w:r w:rsidR="00F37763" w:rsidRPr="00481594">
        <w:t>Vaxneuvance</w:t>
      </w:r>
      <w:proofErr w:type="spellEnd"/>
      <w:r w:rsidR="00F37763" w:rsidRPr="00481594">
        <w:t>.</w:t>
      </w:r>
    </w:p>
    <w:p w14:paraId="6EEC353C" w14:textId="269FBCED" w:rsidR="00F61308" w:rsidRPr="00481594" w:rsidRDefault="00F61308" w:rsidP="0061675B">
      <w:pPr>
        <w:pStyle w:val="TableTitle"/>
      </w:pPr>
      <w:r w:rsidRPr="00481594">
        <w:lastRenderedPageBreak/>
        <w:fldChar w:fldCharType="begin"/>
      </w:r>
      <w:r w:rsidRPr="00481594">
        <w:instrText xml:space="preserve"> REF _Ref108803603 \h  \* MERGEFORMAT </w:instrText>
      </w:r>
      <w:r w:rsidRPr="00481594">
        <w:fldChar w:fldCharType="separate"/>
      </w:r>
      <w:r w:rsidR="00190330" w:rsidRPr="00481594">
        <w:t xml:space="preserve">Table </w:t>
      </w:r>
      <w:r w:rsidR="00190330">
        <w:t>20</w:t>
      </w:r>
      <w:r w:rsidRPr="00481594">
        <w:fldChar w:fldCharType="end"/>
      </w:r>
      <w:r w:rsidRPr="00481594">
        <w:t xml:space="preserve"> continued: Study </w:t>
      </w:r>
      <w:r w:rsidR="00040793" w:rsidRPr="00481594">
        <w:t>V114-016</w:t>
      </w:r>
      <w:r w:rsidRPr="00481594">
        <w:t xml:space="preserve"> Study objectives and endpoints</w:t>
      </w:r>
    </w:p>
    <w:p w14:paraId="72B09751" w14:textId="42DB44F1" w:rsidR="00603CA4" w:rsidRPr="00481594" w:rsidRDefault="00603CA4" w:rsidP="00303435">
      <w:r w:rsidRPr="00481594">
        <w:rPr>
          <w:noProof/>
          <w:lang w:val="en-GB" w:eastAsia="en-GB"/>
        </w:rPr>
        <w:drawing>
          <wp:inline distT="0" distB="0" distL="0" distR="0" wp14:anchorId="215BB642" wp14:editId="78E45821">
            <wp:extent cx="5149850" cy="6261100"/>
            <wp:effectExtent l="0" t="0" r="0" b="6350"/>
            <wp:docPr id="149" name="Picture 149" descr="Table 20 continued: Study V114-016 Study objectives and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Table 20 continued: Study V114-016 Study objectives and endpoint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49850" cy="6261100"/>
                    </a:xfrm>
                    <a:prstGeom prst="rect">
                      <a:avLst/>
                    </a:prstGeom>
                    <a:noFill/>
                    <a:ln>
                      <a:noFill/>
                    </a:ln>
                  </pic:spPr>
                </pic:pic>
              </a:graphicData>
            </a:graphic>
          </wp:inline>
        </w:drawing>
      </w:r>
    </w:p>
    <w:p w14:paraId="70F09ECD" w14:textId="5FCBD445" w:rsidR="00F37763" w:rsidRPr="00481594" w:rsidRDefault="0047397D" w:rsidP="00F37763">
      <w:pPr>
        <w:pStyle w:val="TableDescription"/>
      </w:pPr>
      <w:r w:rsidRPr="00481594">
        <w:t xml:space="preserve">Abbreviations: </w:t>
      </w:r>
      <w:r w:rsidR="00F37763" w:rsidRPr="00481594">
        <w:t xml:space="preserve">GMC = geometric mean concentration; GMFR = geometric mean fold rise; GMT = geometric mean titre; IgG = immunoglobulin G; OPA = opsonophagocytic activity; V114 = sponsor’s product development code for </w:t>
      </w:r>
      <w:proofErr w:type="spellStart"/>
      <w:r w:rsidR="00F37763" w:rsidRPr="00481594">
        <w:t>Vaxneuvance</w:t>
      </w:r>
      <w:proofErr w:type="spellEnd"/>
      <w:r w:rsidR="00F37763" w:rsidRPr="00481594">
        <w:t>.</w:t>
      </w:r>
    </w:p>
    <w:p w14:paraId="01FC4C9B" w14:textId="61085F88" w:rsidR="00B638B1" w:rsidRPr="00481594" w:rsidRDefault="00B638B1" w:rsidP="00B638B1">
      <w:r w:rsidRPr="00481594">
        <w:t xml:space="preserve">A total of 600 subjects were planned to be randomised in a 1:1 ratio to receive either </w:t>
      </w:r>
      <w:proofErr w:type="spellStart"/>
      <w:r w:rsidR="0047397D" w:rsidRPr="00481594">
        <w:t>Vaxneuvance</w:t>
      </w:r>
      <w:proofErr w:type="spellEnd"/>
      <w:r w:rsidR="0047397D" w:rsidRPr="00481594">
        <w:t xml:space="preserve"> </w:t>
      </w:r>
      <w:r w:rsidRPr="00481594">
        <w:t xml:space="preserve">or Prevnar 13 on </w:t>
      </w:r>
      <w:r w:rsidR="00C87B92" w:rsidRPr="00481594">
        <w:t>Day</w:t>
      </w:r>
      <w:r w:rsidRPr="00481594">
        <w:t xml:space="preserve"> 1 and </w:t>
      </w:r>
      <w:r w:rsidR="00DE0933" w:rsidRPr="00481594">
        <w:t>Pneumovax 23</w:t>
      </w:r>
      <w:r w:rsidRPr="00481594">
        <w:t xml:space="preserve"> at </w:t>
      </w:r>
      <w:r w:rsidR="00C87B92" w:rsidRPr="00481594">
        <w:t>Month</w:t>
      </w:r>
      <w:r w:rsidRPr="00481594">
        <w:t xml:space="preserve"> 12. A total of 652 subjects were randomised across 22 study sites and all but one subject received either </w:t>
      </w:r>
      <w:proofErr w:type="spellStart"/>
      <w:r w:rsidR="0047397D" w:rsidRPr="00481594">
        <w:t>Vaxneuvance</w:t>
      </w:r>
      <w:proofErr w:type="spellEnd"/>
      <w:r w:rsidR="0047397D" w:rsidRPr="00481594">
        <w:t xml:space="preserve"> </w:t>
      </w:r>
      <w:r w:rsidRPr="00481594">
        <w:t>or Prevnar 13. A total of 96.8% were included in OPA analyses at Day 30 and 84.2% at Month 13.</w:t>
      </w:r>
    </w:p>
    <w:p w14:paraId="53C1F3E2" w14:textId="49283004" w:rsidR="00B638B1" w:rsidRPr="00481594" w:rsidRDefault="00B638B1" w:rsidP="00B638B1">
      <w:r w:rsidRPr="00481594">
        <w:t xml:space="preserve">Demographic characteristics are summarised in </w:t>
      </w:r>
      <w:r w:rsidR="007D7F38" w:rsidRPr="00481594">
        <w:fldChar w:fldCharType="begin"/>
      </w:r>
      <w:r w:rsidR="007D7F38" w:rsidRPr="00481594">
        <w:instrText xml:space="preserve"> REF _Ref108711812 \h </w:instrText>
      </w:r>
      <w:r w:rsidR="00481594">
        <w:instrText xml:space="preserve"> \* MERGEFORMAT </w:instrText>
      </w:r>
      <w:r w:rsidR="007D7F38" w:rsidRPr="00481594">
        <w:fldChar w:fldCharType="separate"/>
      </w:r>
      <w:r w:rsidR="00190330" w:rsidRPr="00481594">
        <w:t xml:space="preserve">Table </w:t>
      </w:r>
      <w:r w:rsidR="00190330">
        <w:rPr>
          <w:noProof/>
        </w:rPr>
        <w:t>21</w:t>
      </w:r>
      <w:r w:rsidR="007D7F38" w:rsidRPr="00481594">
        <w:fldChar w:fldCharType="end"/>
      </w:r>
      <w:r w:rsidRPr="00481594">
        <w:t xml:space="preserve">. Characteristics were balanced across interventions groups. The median age was 65 years, and </w:t>
      </w:r>
      <w:proofErr w:type="gramStart"/>
      <w:r w:rsidRPr="00481594">
        <w:t>the majority of</w:t>
      </w:r>
      <w:proofErr w:type="gramEnd"/>
      <w:r w:rsidRPr="00481594">
        <w:t xml:space="preserve"> participants were female, white and of non-Hispanic or Latino ethnicity.</w:t>
      </w:r>
      <w:r w:rsidR="00BE31ED" w:rsidRPr="00481594">
        <w:t xml:space="preserve"> </w:t>
      </w:r>
      <w:r w:rsidRPr="00481594">
        <w:t>Serotype</w:t>
      </w:r>
      <w:r w:rsidR="00BE31ED" w:rsidRPr="00481594">
        <w:t xml:space="preserve"> </w:t>
      </w:r>
      <w:r w:rsidRPr="00481594">
        <w:t xml:space="preserve">specific OPA GMTs at 30 days following vaccination with </w:t>
      </w:r>
      <w:r w:rsidR="00DE0933" w:rsidRPr="00481594">
        <w:t xml:space="preserve">Pneumovax 23 </w:t>
      </w:r>
      <w:r w:rsidRPr="00481594">
        <w:t>(</w:t>
      </w:r>
      <w:r w:rsidR="00C87B92" w:rsidRPr="00481594">
        <w:t>Month</w:t>
      </w:r>
      <w:r w:rsidRPr="00481594">
        <w:t xml:space="preserve"> 13) were </w:t>
      </w:r>
      <w:r w:rsidRPr="00481594">
        <w:lastRenderedPageBreak/>
        <w:t xml:space="preserve">comparable between participants given </w:t>
      </w:r>
      <w:proofErr w:type="spellStart"/>
      <w:r w:rsidR="0047397D" w:rsidRPr="00481594">
        <w:t>Vaxneuvance</w:t>
      </w:r>
      <w:proofErr w:type="spellEnd"/>
      <w:r w:rsidR="0047397D" w:rsidRPr="00481594">
        <w:t xml:space="preserve"> </w:t>
      </w:r>
      <w:r w:rsidRPr="00481594">
        <w:t xml:space="preserve">or Prevnar 13 vaccine, 12 months earlier, for the 13 shared serotypes as shown in </w:t>
      </w:r>
      <w:r w:rsidR="007D7F38" w:rsidRPr="00481594">
        <w:fldChar w:fldCharType="begin"/>
      </w:r>
      <w:r w:rsidR="007D7F38" w:rsidRPr="00481594">
        <w:instrText xml:space="preserve"> REF _Ref108711858 \h </w:instrText>
      </w:r>
      <w:r w:rsidR="00481594">
        <w:instrText xml:space="preserve"> \* MERGEFORMAT </w:instrText>
      </w:r>
      <w:r w:rsidR="007D7F38" w:rsidRPr="00481594">
        <w:fldChar w:fldCharType="separate"/>
      </w:r>
      <w:r w:rsidR="00190330" w:rsidRPr="00481594">
        <w:t xml:space="preserve">Table </w:t>
      </w:r>
      <w:r w:rsidR="00190330">
        <w:rPr>
          <w:noProof/>
        </w:rPr>
        <w:t>22</w:t>
      </w:r>
      <w:r w:rsidR="007D7F38" w:rsidRPr="00481594">
        <w:fldChar w:fldCharType="end"/>
      </w:r>
      <w:r w:rsidRPr="00481594">
        <w:t xml:space="preserve"> and in </w:t>
      </w:r>
      <w:r w:rsidR="007D7F38" w:rsidRPr="00481594">
        <w:fldChar w:fldCharType="begin"/>
      </w:r>
      <w:r w:rsidR="007D7F38" w:rsidRPr="00481594">
        <w:instrText xml:space="preserve"> REF _Ref108711989 \h </w:instrText>
      </w:r>
      <w:r w:rsidR="00481594">
        <w:instrText xml:space="preserve"> \* MERGEFORMAT </w:instrText>
      </w:r>
      <w:r w:rsidR="007D7F38" w:rsidRPr="00481594">
        <w:fldChar w:fldCharType="separate"/>
      </w:r>
      <w:r w:rsidR="00190330" w:rsidRPr="00481594">
        <w:t xml:space="preserve">Figure </w:t>
      </w:r>
      <w:r w:rsidR="00190330">
        <w:rPr>
          <w:noProof/>
        </w:rPr>
        <w:t>4</w:t>
      </w:r>
      <w:r w:rsidR="007D7F38" w:rsidRPr="00481594">
        <w:fldChar w:fldCharType="end"/>
      </w:r>
      <w:r w:rsidRPr="00481594">
        <w:t>.</w:t>
      </w:r>
    </w:p>
    <w:p w14:paraId="3C0E8696" w14:textId="24365E3F" w:rsidR="007D7F38" w:rsidRPr="00481594" w:rsidRDefault="007D7F38" w:rsidP="0061675B">
      <w:pPr>
        <w:pStyle w:val="TableTitle"/>
      </w:pPr>
      <w:bookmarkStart w:id="71" w:name="_Ref108711812"/>
      <w:r w:rsidRPr="00481594">
        <w:t xml:space="preserve">Table </w:t>
      </w:r>
      <w:r w:rsidRPr="00481594">
        <w:fldChar w:fldCharType="begin"/>
      </w:r>
      <w:r w:rsidRPr="00481594">
        <w:instrText>SEQ Table \* ARABIC</w:instrText>
      </w:r>
      <w:r w:rsidRPr="00481594">
        <w:fldChar w:fldCharType="separate"/>
      </w:r>
      <w:r w:rsidR="00190330">
        <w:rPr>
          <w:noProof/>
        </w:rPr>
        <w:t>21</w:t>
      </w:r>
      <w:r w:rsidRPr="00481594">
        <w:fldChar w:fldCharType="end"/>
      </w:r>
      <w:bookmarkEnd w:id="71"/>
      <w:r w:rsidRPr="00481594">
        <w:t xml:space="preserve">: </w:t>
      </w:r>
      <w:r w:rsidR="0061675B" w:rsidRPr="00481594">
        <w:t xml:space="preserve">Study </w:t>
      </w:r>
      <w:r w:rsidR="00040793" w:rsidRPr="00481594">
        <w:t>V114-016</w:t>
      </w:r>
      <w:r w:rsidR="0061675B" w:rsidRPr="00481594">
        <w:t xml:space="preserve"> </w:t>
      </w:r>
      <w:r w:rsidRPr="00481594">
        <w:t xml:space="preserve">Subject characteristics </w:t>
      </w:r>
      <w:r w:rsidR="0061675B" w:rsidRPr="00481594">
        <w:t>(all vaccinated subjects)</w:t>
      </w:r>
    </w:p>
    <w:p w14:paraId="07BC54D0" w14:textId="3A06CE8E" w:rsidR="007D7F38" w:rsidRPr="00481594" w:rsidRDefault="007D7F38" w:rsidP="00303435">
      <w:r w:rsidRPr="00481594">
        <w:rPr>
          <w:noProof/>
          <w:lang w:val="en-GB" w:eastAsia="en-GB"/>
        </w:rPr>
        <w:drawing>
          <wp:inline distT="0" distB="0" distL="0" distR="0" wp14:anchorId="54DFF4BA" wp14:editId="24A6FFBD">
            <wp:extent cx="5400040" cy="4188460"/>
            <wp:effectExtent l="0" t="0" r="0" b="2540"/>
            <wp:docPr id="24" name="Picture 24" descr="Table 21: Study V114-016 Subject characteristics (all vaccinated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 21: Study V114-016 Subject characteristics (all vaccinated subjects)"/>
                    <pic:cNvPicPr/>
                  </pic:nvPicPr>
                  <pic:blipFill>
                    <a:blip r:embed="rId49"/>
                    <a:stretch>
                      <a:fillRect/>
                    </a:stretch>
                  </pic:blipFill>
                  <pic:spPr>
                    <a:xfrm>
                      <a:off x="0" y="0"/>
                      <a:ext cx="5400040" cy="4188460"/>
                    </a:xfrm>
                    <a:prstGeom prst="rect">
                      <a:avLst/>
                    </a:prstGeom>
                  </pic:spPr>
                </pic:pic>
              </a:graphicData>
            </a:graphic>
          </wp:inline>
        </w:drawing>
      </w:r>
    </w:p>
    <w:p w14:paraId="4B84088D" w14:textId="4731A06C" w:rsidR="0077693A" w:rsidRPr="00481594" w:rsidRDefault="0047397D" w:rsidP="0077693A">
      <w:pPr>
        <w:pStyle w:val="TableDescription"/>
      </w:pPr>
      <w:r w:rsidRPr="00481594">
        <w:t xml:space="preserve">Abbreviations: </w:t>
      </w:r>
      <w:r w:rsidR="0077693A" w:rsidRPr="00481594">
        <w:t xml:space="preserve">n = number of subjects contributing to the analysis; SD = standard deviation; V114 = sponsor’s product development code for </w:t>
      </w:r>
      <w:proofErr w:type="spellStart"/>
      <w:r w:rsidR="0077693A" w:rsidRPr="00481594">
        <w:t>Vaxneuvance</w:t>
      </w:r>
      <w:proofErr w:type="spellEnd"/>
      <w:r w:rsidR="0077693A" w:rsidRPr="00481594">
        <w:t>.</w:t>
      </w:r>
    </w:p>
    <w:p w14:paraId="1A0BE203" w14:textId="0592AE69" w:rsidR="007D7F38" w:rsidRPr="00481594" w:rsidRDefault="007D7F38" w:rsidP="0061675B">
      <w:pPr>
        <w:pStyle w:val="TableTitle"/>
      </w:pPr>
      <w:bookmarkStart w:id="72" w:name="_Ref108711858"/>
      <w:r w:rsidRPr="00481594">
        <w:lastRenderedPageBreak/>
        <w:t xml:space="preserve">Table </w:t>
      </w:r>
      <w:r w:rsidRPr="00481594">
        <w:fldChar w:fldCharType="begin"/>
      </w:r>
      <w:r w:rsidRPr="00481594">
        <w:instrText>SEQ Table \* ARABIC</w:instrText>
      </w:r>
      <w:r w:rsidRPr="00481594">
        <w:fldChar w:fldCharType="separate"/>
      </w:r>
      <w:r w:rsidR="00190330">
        <w:rPr>
          <w:noProof/>
        </w:rPr>
        <w:t>22</w:t>
      </w:r>
      <w:r w:rsidRPr="00481594">
        <w:fldChar w:fldCharType="end"/>
      </w:r>
      <w:bookmarkEnd w:id="72"/>
      <w:r w:rsidRPr="00481594">
        <w:t xml:space="preserve">: </w:t>
      </w:r>
      <w:r w:rsidR="0061675B" w:rsidRPr="00481594">
        <w:t xml:space="preserve">Study </w:t>
      </w:r>
      <w:r w:rsidR="00040793" w:rsidRPr="00481594">
        <w:t>V114-016</w:t>
      </w:r>
      <w:r w:rsidR="0061675B" w:rsidRPr="00481594">
        <w:t xml:space="preserve"> </w:t>
      </w:r>
      <w:r w:rsidRPr="00481594">
        <w:t xml:space="preserve">Analysis of </w:t>
      </w:r>
      <w:r w:rsidR="000C3C7C" w:rsidRPr="00481594">
        <w:t>opsonophagocytic activity</w:t>
      </w:r>
      <w:r w:rsidRPr="00481594">
        <w:t xml:space="preserve"> </w:t>
      </w:r>
      <w:r w:rsidR="000C3C7C" w:rsidRPr="00481594">
        <w:t>geometric mean titre</w:t>
      </w:r>
      <w:r w:rsidRPr="00481594">
        <w:t xml:space="preserve">s at </w:t>
      </w:r>
      <w:r w:rsidR="0061675B" w:rsidRPr="00481594">
        <w:t>M</w:t>
      </w:r>
      <w:r w:rsidRPr="00481594">
        <w:t>onth</w:t>
      </w:r>
      <w:r w:rsidR="0061675B" w:rsidRPr="00481594">
        <w:t> </w:t>
      </w:r>
      <w:r w:rsidRPr="00481594">
        <w:t>13 (</w:t>
      </w:r>
      <w:r w:rsidR="000C3C7C" w:rsidRPr="00481594">
        <w:t>per</w:t>
      </w:r>
      <w:r w:rsidR="000C3C7C" w:rsidRPr="00481594">
        <w:noBreakHyphen/>
        <w:t>protocol population</w:t>
      </w:r>
      <w:r w:rsidRPr="00481594">
        <w:t>)</w:t>
      </w:r>
    </w:p>
    <w:p w14:paraId="613D0BB3" w14:textId="3E3AFF44" w:rsidR="00295A47" w:rsidRPr="00481594" w:rsidRDefault="00295A47" w:rsidP="00303435">
      <w:r w:rsidRPr="00481594">
        <w:rPr>
          <w:noProof/>
          <w:lang w:val="en-GB" w:eastAsia="en-GB"/>
        </w:rPr>
        <w:drawing>
          <wp:inline distT="0" distB="0" distL="0" distR="0" wp14:anchorId="785FB57B" wp14:editId="6135A5CA">
            <wp:extent cx="5400040" cy="4406265"/>
            <wp:effectExtent l="19050" t="19050" r="10160" b="13335"/>
            <wp:docPr id="73" name="Picture 73" descr="Table 22: Study V114-016 Analysis of opsonophagocytic activity geometric mean titres at Month 13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able 22: Study V114-016 Analysis of opsonophagocytic activity geometric mean titres at Month 13 (per protocol population)"/>
                    <pic:cNvPicPr/>
                  </pic:nvPicPr>
                  <pic:blipFill>
                    <a:blip r:embed="rId50"/>
                    <a:stretch>
                      <a:fillRect/>
                    </a:stretch>
                  </pic:blipFill>
                  <pic:spPr>
                    <a:xfrm>
                      <a:off x="0" y="0"/>
                      <a:ext cx="5400040" cy="4406265"/>
                    </a:xfrm>
                    <a:prstGeom prst="rect">
                      <a:avLst/>
                    </a:prstGeom>
                    <a:ln>
                      <a:solidFill>
                        <a:schemeClr val="tx1"/>
                      </a:solidFill>
                    </a:ln>
                  </pic:spPr>
                </pic:pic>
              </a:graphicData>
            </a:graphic>
          </wp:inline>
        </w:drawing>
      </w:r>
    </w:p>
    <w:p w14:paraId="6BA256AE" w14:textId="00BA13F9" w:rsidR="0077693A" w:rsidRPr="00481594" w:rsidRDefault="0047397D" w:rsidP="0077693A">
      <w:pPr>
        <w:pStyle w:val="TableDescription"/>
      </w:pPr>
      <w:r w:rsidRPr="00481594">
        <w:t xml:space="preserve">Abbreviations: </w:t>
      </w:r>
      <w:r w:rsidR="0077693A" w:rsidRPr="00481594">
        <w:t xml:space="preserve">CI = confidence interval; </w:t>
      </w:r>
      <w:proofErr w:type="spellStart"/>
      <w:r w:rsidR="0077693A" w:rsidRPr="00481594">
        <w:t>cLDA</w:t>
      </w:r>
      <w:proofErr w:type="spellEnd"/>
      <w:r w:rsidR="0077693A" w:rsidRPr="00481594">
        <w:t>=constrained longitudinal data analysis; GMT = geometric mean titre; N = number of subjects randomised and vaccinated; n = number of subjects contributing to the analysis.</w:t>
      </w:r>
    </w:p>
    <w:p w14:paraId="3C4FAF39" w14:textId="0DB19BE0" w:rsidR="00295A47" w:rsidRPr="00481594" w:rsidRDefault="00713DAD" w:rsidP="0077693A">
      <w:pPr>
        <w:pStyle w:val="TableDescription"/>
      </w:pPr>
      <w:r w:rsidRPr="00481594">
        <w:rPr>
          <w:rFonts w:hint="eastAsia"/>
        </w:rPr>
        <w:t>†</w:t>
      </w:r>
      <w:r w:rsidR="00295A47" w:rsidRPr="00481594">
        <w:t xml:space="preserve"> </w:t>
      </w:r>
      <w:r w:rsidR="0077693A" w:rsidRPr="00481594">
        <w:t>Geometric mean titres (</w:t>
      </w:r>
      <w:r w:rsidR="00295A47" w:rsidRPr="00481594">
        <w:t>GMTs</w:t>
      </w:r>
      <w:r w:rsidR="0077693A" w:rsidRPr="00481594">
        <w:t>)</w:t>
      </w:r>
      <w:r w:rsidR="00295A47" w:rsidRPr="00481594">
        <w:t xml:space="preserve">, GMT ratio and 95% CI are estimated from a </w:t>
      </w:r>
      <w:r w:rsidR="0077693A" w:rsidRPr="00481594">
        <w:t>constrained longitudinal data analysis (</w:t>
      </w:r>
      <w:proofErr w:type="spellStart"/>
      <w:r w:rsidR="0077693A" w:rsidRPr="00481594">
        <w:t>cLDA</w:t>
      </w:r>
      <w:proofErr w:type="spellEnd"/>
      <w:r w:rsidR="0077693A" w:rsidRPr="00481594">
        <w:t xml:space="preserve">) </w:t>
      </w:r>
      <w:r w:rsidR="00295A47" w:rsidRPr="00481594">
        <w:t>model.</w:t>
      </w:r>
    </w:p>
    <w:p w14:paraId="5CD63ACD" w14:textId="6F4BE4D2" w:rsidR="00295A47" w:rsidRPr="00481594" w:rsidRDefault="00295A47" w:rsidP="0077693A">
      <w:pPr>
        <w:pStyle w:val="TableDescription"/>
      </w:pPr>
      <w:r w:rsidRPr="00481594">
        <w:t>Per</w:t>
      </w:r>
      <w:r w:rsidR="003B32D6" w:rsidRPr="00481594">
        <w:t>-</w:t>
      </w:r>
      <w:r w:rsidRPr="00481594">
        <w:t xml:space="preserve">protocol, Month 13 is 30 days following vaccination with </w:t>
      </w:r>
      <w:r w:rsidR="0077693A" w:rsidRPr="00481594">
        <w:t>pneumococcal polysaccharide vaccine (Pneumovax 23)</w:t>
      </w:r>
      <w:r w:rsidR="00EE68BF" w:rsidRPr="00481594">
        <w:t xml:space="preserve"> (PPV23)</w:t>
      </w:r>
      <w:r w:rsidR="0077693A" w:rsidRPr="00481594">
        <w:t>.</w:t>
      </w:r>
    </w:p>
    <w:p w14:paraId="0B5AC854" w14:textId="77B9F89F" w:rsidR="007D7F38" w:rsidRPr="00481594" w:rsidRDefault="007D7F38" w:rsidP="0061675B">
      <w:pPr>
        <w:pStyle w:val="FigureTitle"/>
      </w:pPr>
      <w:bookmarkStart w:id="73" w:name="_Ref108711989"/>
      <w:r w:rsidRPr="00481594">
        <w:lastRenderedPageBreak/>
        <w:t xml:space="preserve">Figure </w:t>
      </w:r>
      <w:r w:rsidRPr="00481594">
        <w:fldChar w:fldCharType="begin"/>
      </w:r>
      <w:r w:rsidRPr="00481594">
        <w:instrText>SEQ Figure \* ARABIC</w:instrText>
      </w:r>
      <w:r w:rsidRPr="00481594">
        <w:fldChar w:fldCharType="separate"/>
      </w:r>
      <w:r w:rsidR="00190330">
        <w:rPr>
          <w:noProof/>
        </w:rPr>
        <w:t>4</w:t>
      </w:r>
      <w:r w:rsidRPr="00481594">
        <w:fldChar w:fldCharType="end"/>
      </w:r>
      <w:bookmarkEnd w:id="73"/>
      <w:r w:rsidRPr="00481594">
        <w:t xml:space="preserve">: </w:t>
      </w:r>
      <w:r w:rsidR="0061675B" w:rsidRPr="00481594">
        <w:t xml:space="preserve">Study </w:t>
      </w:r>
      <w:r w:rsidR="00040793" w:rsidRPr="00481594">
        <w:t>V114-016</w:t>
      </w:r>
      <w:r w:rsidR="0061675B" w:rsidRPr="00481594">
        <w:t xml:space="preserve"> </w:t>
      </w:r>
      <w:r w:rsidRPr="00481594">
        <w:t xml:space="preserve">Forest </w:t>
      </w:r>
      <w:r w:rsidR="0061675B" w:rsidRPr="00481594">
        <w:t>plot of opsonophagocytic activity geometric mean titre ratios at M</w:t>
      </w:r>
      <w:r w:rsidRPr="00481594">
        <w:t>onth 13 (</w:t>
      </w:r>
      <w:r w:rsidR="000C3C7C" w:rsidRPr="00481594">
        <w:t>per</w:t>
      </w:r>
      <w:r w:rsidR="000C3C7C" w:rsidRPr="00481594">
        <w:noBreakHyphen/>
        <w:t>protocol population</w:t>
      </w:r>
      <w:r w:rsidRPr="00481594">
        <w:t>)</w:t>
      </w:r>
    </w:p>
    <w:p w14:paraId="7F34C1E0" w14:textId="5F37D0D7" w:rsidR="007D7F38" w:rsidRPr="00481594" w:rsidRDefault="007D7F38" w:rsidP="00303435">
      <w:r w:rsidRPr="00481594">
        <w:rPr>
          <w:noProof/>
          <w:lang w:val="en-GB" w:eastAsia="en-GB"/>
        </w:rPr>
        <w:drawing>
          <wp:inline distT="0" distB="0" distL="0" distR="0" wp14:anchorId="381A22E4" wp14:editId="5C5434B2">
            <wp:extent cx="5400040" cy="5836183"/>
            <wp:effectExtent l="0" t="0" r="0" b="0"/>
            <wp:docPr id="30" name="Picture 30" descr="Figure 4: Study V114-016 Forest plot of opsonophagocytic activity geometric mean titre ratios at Month 13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4: Study V114-016 Forest plot of opsonophagocytic activity geometric mean titre ratios at Month 13 (per protocol populatio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40" cy="5836183"/>
                    </a:xfrm>
                    <a:prstGeom prst="rect">
                      <a:avLst/>
                    </a:prstGeom>
                    <a:noFill/>
                    <a:ln>
                      <a:noFill/>
                    </a:ln>
                  </pic:spPr>
                </pic:pic>
              </a:graphicData>
            </a:graphic>
          </wp:inline>
        </w:drawing>
      </w:r>
    </w:p>
    <w:p w14:paraId="7B53B725" w14:textId="7BFB677E" w:rsidR="0077693A" w:rsidRPr="00481594" w:rsidRDefault="0047397D" w:rsidP="0077693A">
      <w:pPr>
        <w:pStyle w:val="FigureDescription"/>
      </w:pPr>
      <w:r w:rsidRPr="00481594">
        <w:t xml:space="preserve">Abbreviations: </w:t>
      </w:r>
      <w:r w:rsidR="0077693A" w:rsidRPr="00481594">
        <w:t xml:space="preserve">CI = confidence interval; GMT = geometric mean titre; n=number of subjects contributing to the analysis; V114 = sponsor’s product development code for </w:t>
      </w:r>
      <w:proofErr w:type="spellStart"/>
      <w:r w:rsidR="0077693A" w:rsidRPr="00481594">
        <w:t>Vaxneuvance</w:t>
      </w:r>
      <w:proofErr w:type="spellEnd"/>
      <w:r w:rsidR="0077693A" w:rsidRPr="00481594">
        <w:t>.</w:t>
      </w:r>
    </w:p>
    <w:p w14:paraId="52B60229" w14:textId="2559A0C6" w:rsidR="00B638B1" w:rsidRPr="00481594" w:rsidRDefault="00B638B1" w:rsidP="00B638B1">
      <w:r w:rsidRPr="00481594">
        <w:t>Serotype</w:t>
      </w:r>
      <w:r w:rsidR="00BE31ED" w:rsidRPr="00481594">
        <w:t xml:space="preserve"> </w:t>
      </w:r>
      <w:r w:rsidRPr="00481594">
        <w:t xml:space="preserve">specific IgG GMCs at 30 days post-vaccination with </w:t>
      </w:r>
      <w:r w:rsidR="00DE0933" w:rsidRPr="00481594">
        <w:t>Pneumovax 23</w:t>
      </w:r>
      <w:r w:rsidRPr="00481594">
        <w:t>, between</w:t>
      </w:r>
      <w:r w:rsidR="00BE31ED" w:rsidRPr="00481594">
        <w:t xml:space="preserve"> </w:t>
      </w:r>
      <w:r w:rsidRPr="00481594">
        <w:t xml:space="preserve">group comparisons at 30 days following the </w:t>
      </w:r>
      <w:r w:rsidR="00DE0933" w:rsidRPr="00481594">
        <w:t xml:space="preserve">Pneumovax 23 </w:t>
      </w:r>
      <w:r w:rsidRPr="00481594">
        <w:t xml:space="preserve">vaccination at </w:t>
      </w:r>
      <w:r w:rsidR="00C87B92" w:rsidRPr="00481594">
        <w:t>Month</w:t>
      </w:r>
      <w:r w:rsidRPr="00481594">
        <w:t xml:space="preserve"> 13 were consistent with the OPA GMTs, as shown in </w:t>
      </w:r>
      <w:r w:rsidR="00F20ABC" w:rsidRPr="00481594">
        <w:fldChar w:fldCharType="begin"/>
      </w:r>
      <w:r w:rsidR="00F20ABC" w:rsidRPr="00481594">
        <w:instrText xml:space="preserve"> REF _Ref108774281 \h </w:instrText>
      </w:r>
      <w:r w:rsidR="00481594">
        <w:instrText xml:space="preserve"> \* MERGEFORMAT </w:instrText>
      </w:r>
      <w:r w:rsidR="00F20ABC" w:rsidRPr="00481594">
        <w:fldChar w:fldCharType="separate"/>
      </w:r>
      <w:r w:rsidR="00190330" w:rsidRPr="00481594">
        <w:t xml:space="preserve">Table </w:t>
      </w:r>
      <w:r w:rsidR="00190330">
        <w:rPr>
          <w:noProof/>
        </w:rPr>
        <w:t>23</w:t>
      </w:r>
      <w:r w:rsidR="00F20ABC" w:rsidRPr="00481594">
        <w:fldChar w:fldCharType="end"/>
      </w:r>
      <w:r w:rsidRPr="00481594">
        <w:t xml:space="preserve"> and </w:t>
      </w:r>
      <w:r w:rsidR="00F20ABC" w:rsidRPr="00481594">
        <w:fldChar w:fldCharType="begin"/>
      </w:r>
      <w:r w:rsidR="00F20ABC" w:rsidRPr="00481594">
        <w:instrText xml:space="preserve"> REF _Ref108774449 \h </w:instrText>
      </w:r>
      <w:r w:rsidR="00481594">
        <w:instrText xml:space="preserve"> \* MERGEFORMAT </w:instrText>
      </w:r>
      <w:r w:rsidR="00F20ABC" w:rsidRPr="00481594">
        <w:fldChar w:fldCharType="separate"/>
      </w:r>
      <w:r w:rsidR="00190330" w:rsidRPr="00481594">
        <w:t xml:space="preserve">Figure </w:t>
      </w:r>
      <w:r w:rsidR="00190330">
        <w:rPr>
          <w:noProof/>
        </w:rPr>
        <w:t>5</w:t>
      </w:r>
      <w:r w:rsidR="00F20ABC" w:rsidRPr="00481594">
        <w:fldChar w:fldCharType="end"/>
      </w:r>
      <w:r w:rsidRPr="00481594">
        <w:t>.</w:t>
      </w:r>
    </w:p>
    <w:p w14:paraId="24A9E44C" w14:textId="6CF6DD39" w:rsidR="00F20ABC" w:rsidRPr="00481594" w:rsidRDefault="00F20ABC" w:rsidP="0061675B">
      <w:pPr>
        <w:pStyle w:val="TableTitle"/>
      </w:pPr>
      <w:bookmarkStart w:id="74" w:name="_Ref108774281"/>
      <w:r w:rsidRPr="00481594">
        <w:lastRenderedPageBreak/>
        <w:t xml:space="preserve">Table </w:t>
      </w:r>
      <w:r w:rsidRPr="00481594">
        <w:fldChar w:fldCharType="begin"/>
      </w:r>
      <w:r w:rsidRPr="00481594">
        <w:instrText>SEQ Table \* ARABIC</w:instrText>
      </w:r>
      <w:r w:rsidRPr="00481594">
        <w:fldChar w:fldCharType="separate"/>
      </w:r>
      <w:r w:rsidR="00190330">
        <w:rPr>
          <w:noProof/>
        </w:rPr>
        <w:t>23</w:t>
      </w:r>
      <w:r w:rsidRPr="00481594">
        <w:fldChar w:fldCharType="end"/>
      </w:r>
      <w:bookmarkEnd w:id="74"/>
      <w:r w:rsidRPr="00481594">
        <w:t xml:space="preserve">: </w:t>
      </w:r>
      <w:r w:rsidR="0061675B" w:rsidRPr="00481594">
        <w:t xml:space="preserve">Study </w:t>
      </w:r>
      <w:r w:rsidR="00040793" w:rsidRPr="00481594">
        <w:t>V114-016</w:t>
      </w:r>
      <w:r w:rsidR="0061675B" w:rsidRPr="00481594">
        <w:t xml:space="preserve"> </w:t>
      </w:r>
      <w:r w:rsidRPr="00481594">
        <w:t xml:space="preserve">Analysis of </w:t>
      </w:r>
      <w:r w:rsidR="000C3C7C" w:rsidRPr="00481594">
        <w:t>immunoglobulin G</w:t>
      </w:r>
      <w:r w:rsidRPr="00481594">
        <w:t xml:space="preserve"> </w:t>
      </w:r>
      <w:r w:rsidR="000C3C7C" w:rsidRPr="00481594">
        <w:t>geometric mean concentration</w:t>
      </w:r>
      <w:r w:rsidRPr="00481594">
        <w:t xml:space="preserve">s at </w:t>
      </w:r>
      <w:r w:rsidR="0061675B" w:rsidRPr="00481594">
        <w:t>M</w:t>
      </w:r>
      <w:r w:rsidRPr="00481594">
        <w:t>onth 13 (</w:t>
      </w:r>
      <w:r w:rsidR="000C3C7C" w:rsidRPr="00481594">
        <w:t>per</w:t>
      </w:r>
      <w:r w:rsidR="000C3C7C" w:rsidRPr="00481594">
        <w:noBreakHyphen/>
        <w:t>protocol population</w:t>
      </w:r>
      <w:r w:rsidRPr="00481594">
        <w:t>)</w:t>
      </w:r>
    </w:p>
    <w:p w14:paraId="24E844E7" w14:textId="4344C8CA" w:rsidR="00F20ABC" w:rsidRPr="00481594" w:rsidRDefault="00F20ABC" w:rsidP="00303435">
      <w:r w:rsidRPr="00481594">
        <w:rPr>
          <w:noProof/>
          <w:lang w:val="en-GB" w:eastAsia="en-GB"/>
        </w:rPr>
        <w:drawing>
          <wp:inline distT="0" distB="0" distL="0" distR="0" wp14:anchorId="0FAB820C" wp14:editId="7E0A1C51">
            <wp:extent cx="5400040" cy="4266565"/>
            <wp:effectExtent l="0" t="0" r="0" b="635"/>
            <wp:docPr id="31" name="Picture 31" descr="Table 23: Study V114-016 Analysis of immunoglobulin G geometric mean concentrations at Month 13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able 23: Study V114-016 Analysis of immunoglobulin G geometric mean concentrations at Month 13 (per protocol population)"/>
                    <pic:cNvPicPr/>
                  </pic:nvPicPr>
                  <pic:blipFill>
                    <a:blip r:embed="rId52"/>
                    <a:stretch>
                      <a:fillRect/>
                    </a:stretch>
                  </pic:blipFill>
                  <pic:spPr>
                    <a:xfrm>
                      <a:off x="0" y="0"/>
                      <a:ext cx="5400040" cy="4266565"/>
                    </a:xfrm>
                    <a:prstGeom prst="rect">
                      <a:avLst/>
                    </a:prstGeom>
                  </pic:spPr>
                </pic:pic>
              </a:graphicData>
            </a:graphic>
          </wp:inline>
        </w:drawing>
      </w:r>
    </w:p>
    <w:p w14:paraId="2F19FD5E" w14:textId="2F3D5131" w:rsidR="008807E3" w:rsidRPr="00481594" w:rsidRDefault="0047397D" w:rsidP="008807E3">
      <w:pPr>
        <w:pStyle w:val="TableDescription"/>
      </w:pPr>
      <w:r w:rsidRPr="00481594">
        <w:t xml:space="preserve">Abbreviations: </w:t>
      </w:r>
      <w:r w:rsidR="008807E3" w:rsidRPr="00481594">
        <w:t xml:space="preserve">CI = confidence interval; GMC = geometric mean concentration; N = number of subjects randomised and vaccinated; n = number of subjects contributing to the analysis; V114 = sponsor’s product development code for </w:t>
      </w:r>
      <w:proofErr w:type="spellStart"/>
      <w:r w:rsidR="008807E3" w:rsidRPr="00481594">
        <w:t>Vaxneuvance</w:t>
      </w:r>
      <w:proofErr w:type="spellEnd"/>
      <w:r w:rsidR="008807E3" w:rsidRPr="00481594">
        <w:t>.</w:t>
      </w:r>
    </w:p>
    <w:p w14:paraId="1319BC38" w14:textId="0D0B4E82" w:rsidR="008807E3" w:rsidRPr="00481594" w:rsidRDefault="008807E3" w:rsidP="008807E3">
      <w:pPr>
        <w:pStyle w:val="TableDescription"/>
      </w:pPr>
      <w:r w:rsidRPr="00481594">
        <w:rPr>
          <w:rFonts w:hint="eastAsia"/>
        </w:rPr>
        <w:t>†</w:t>
      </w:r>
      <w:r w:rsidRPr="00481594">
        <w:t xml:space="preserve"> Geometric mean concentrations (GMCs), GMC ratio and 95% CI are estimated from a constrained longitudinal data analysis (</w:t>
      </w:r>
      <w:proofErr w:type="spellStart"/>
      <w:r w:rsidRPr="00481594">
        <w:t>cLDA</w:t>
      </w:r>
      <w:proofErr w:type="spellEnd"/>
      <w:r w:rsidRPr="00481594">
        <w:t>) model.</w:t>
      </w:r>
    </w:p>
    <w:p w14:paraId="1815C06B" w14:textId="17D406A9" w:rsidR="00F20ABC" w:rsidRPr="00481594" w:rsidRDefault="008807E3" w:rsidP="008807E3">
      <w:pPr>
        <w:pStyle w:val="TableDescription"/>
      </w:pPr>
      <w:r w:rsidRPr="00481594">
        <w:t>Per-protocol, Month 13 is 13 months following vaccination with pneumococcal polysaccharide vaccine (Pneumovax 23)</w:t>
      </w:r>
      <w:r w:rsidR="00EE68BF" w:rsidRPr="00481594">
        <w:t xml:space="preserve"> (PPV23)</w:t>
      </w:r>
      <w:r w:rsidRPr="00481594">
        <w:t>.</w:t>
      </w:r>
    </w:p>
    <w:p w14:paraId="1F4857FE" w14:textId="071274C6" w:rsidR="00F20ABC" w:rsidRPr="00481594" w:rsidRDefault="00F20ABC" w:rsidP="00C216EE">
      <w:pPr>
        <w:pStyle w:val="FigureTitle"/>
      </w:pPr>
      <w:bookmarkStart w:id="75" w:name="_Ref108774449"/>
      <w:r w:rsidRPr="00481594">
        <w:lastRenderedPageBreak/>
        <w:t xml:space="preserve">Figure </w:t>
      </w:r>
      <w:r w:rsidRPr="00481594">
        <w:fldChar w:fldCharType="begin"/>
      </w:r>
      <w:r w:rsidRPr="00481594">
        <w:instrText>SEQ Figure \* ARABIC</w:instrText>
      </w:r>
      <w:r w:rsidRPr="00481594">
        <w:fldChar w:fldCharType="separate"/>
      </w:r>
      <w:r w:rsidR="00190330">
        <w:rPr>
          <w:noProof/>
        </w:rPr>
        <w:t>5</w:t>
      </w:r>
      <w:r w:rsidRPr="00481594">
        <w:fldChar w:fldCharType="end"/>
      </w:r>
      <w:bookmarkEnd w:id="75"/>
      <w:r w:rsidRPr="00481594">
        <w:t xml:space="preserve">: </w:t>
      </w:r>
      <w:r w:rsidR="0061675B" w:rsidRPr="00481594">
        <w:t xml:space="preserve">Study </w:t>
      </w:r>
      <w:r w:rsidR="00040793" w:rsidRPr="00481594">
        <w:t>V114-016</w:t>
      </w:r>
      <w:r w:rsidR="0061675B" w:rsidRPr="00481594">
        <w:t xml:space="preserve"> </w:t>
      </w:r>
      <w:r w:rsidRPr="00481594">
        <w:t xml:space="preserve">Forest </w:t>
      </w:r>
      <w:r w:rsidR="0061675B" w:rsidRPr="00481594">
        <w:t xml:space="preserve">plot </w:t>
      </w:r>
      <w:r w:rsidRPr="00481594">
        <w:t xml:space="preserve">of </w:t>
      </w:r>
      <w:r w:rsidR="000C3C7C" w:rsidRPr="00481594">
        <w:t>immunoglobulin G</w:t>
      </w:r>
      <w:r w:rsidRPr="00481594">
        <w:t xml:space="preserve"> </w:t>
      </w:r>
      <w:r w:rsidR="000C3C7C" w:rsidRPr="00481594">
        <w:t>geometric mean concentration</w:t>
      </w:r>
      <w:r w:rsidRPr="00481594">
        <w:t xml:space="preserve"> ratios at </w:t>
      </w:r>
      <w:r w:rsidR="0061675B" w:rsidRPr="00481594">
        <w:t xml:space="preserve">Month </w:t>
      </w:r>
      <w:r w:rsidRPr="00481594">
        <w:t>13 (</w:t>
      </w:r>
      <w:r w:rsidR="000C3C7C" w:rsidRPr="00481594">
        <w:t>per</w:t>
      </w:r>
      <w:r w:rsidR="000C3C7C" w:rsidRPr="00481594">
        <w:noBreakHyphen/>
        <w:t>protocol population</w:t>
      </w:r>
      <w:r w:rsidRPr="00481594">
        <w:t>)</w:t>
      </w:r>
    </w:p>
    <w:p w14:paraId="0FA422A4" w14:textId="73F240AD" w:rsidR="00F20ABC" w:rsidRPr="00481594" w:rsidRDefault="00F20ABC" w:rsidP="00303435">
      <w:r w:rsidRPr="00481594">
        <w:rPr>
          <w:noProof/>
          <w:lang w:val="en-GB" w:eastAsia="en-GB"/>
        </w:rPr>
        <w:drawing>
          <wp:inline distT="0" distB="0" distL="0" distR="0" wp14:anchorId="378878E5" wp14:editId="346B49C4">
            <wp:extent cx="5400040" cy="6042589"/>
            <wp:effectExtent l="0" t="0" r="0" b="0"/>
            <wp:docPr id="34" name="Picture 34" descr="Figure 5: Study V114-016 Forest plot of immunoglobulin G geometric mean concentration ratios at Month 13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5: Study V114-016 Forest plot of immunoglobulin G geometric mean concentration ratios at Month 13 (per protocol populatio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0040" cy="6042589"/>
                    </a:xfrm>
                    <a:prstGeom prst="rect">
                      <a:avLst/>
                    </a:prstGeom>
                    <a:noFill/>
                    <a:ln>
                      <a:noFill/>
                    </a:ln>
                  </pic:spPr>
                </pic:pic>
              </a:graphicData>
            </a:graphic>
          </wp:inline>
        </w:drawing>
      </w:r>
    </w:p>
    <w:p w14:paraId="2FA81872" w14:textId="29115381" w:rsidR="008807E3" w:rsidRPr="00481594" w:rsidRDefault="0047397D" w:rsidP="008807E3">
      <w:pPr>
        <w:pStyle w:val="FigureDescription"/>
      </w:pPr>
      <w:r w:rsidRPr="00481594">
        <w:t xml:space="preserve">Abbreviations: </w:t>
      </w:r>
      <w:r w:rsidR="008807E3" w:rsidRPr="00481594">
        <w:t xml:space="preserve">CI = confidence interval; GMT = geometric mean titre; n=number of subjects contributing to the analysis; V114 = sponsor’s product development code for </w:t>
      </w:r>
      <w:proofErr w:type="spellStart"/>
      <w:r w:rsidR="008807E3" w:rsidRPr="00481594">
        <w:t>Vaxneuvance</w:t>
      </w:r>
      <w:proofErr w:type="spellEnd"/>
      <w:r w:rsidR="008807E3" w:rsidRPr="00481594">
        <w:t>.</w:t>
      </w:r>
    </w:p>
    <w:p w14:paraId="2B7DCFAA" w14:textId="70321728" w:rsidR="00B638B1" w:rsidRPr="00481594" w:rsidRDefault="00B638B1" w:rsidP="00B638B1">
      <w:r w:rsidRPr="00481594">
        <w:t>Serotype</w:t>
      </w:r>
      <w:r w:rsidR="00BE31ED" w:rsidRPr="00481594">
        <w:t xml:space="preserve"> </w:t>
      </w:r>
      <w:r w:rsidRPr="00481594">
        <w:t xml:space="preserve">specific OPA GMTs and IgG </w:t>
      </w:r>
      <w:r w:rsidR="000C3C7C" w:rsidRPr="00481594">
        <w:t>geometric mean concentration</w:t>
      </w:r>
      <w:r w:rsidRPr="00481594">
        <w:t xml:space="preserve">s at 30 days after vaccinations with </w:t>
      </w:r>
      <w:proofErr w:type="spellStart"/>
      <w:r w:rsidR="0047397D" w:rsidRPr="00481594">
        <w:t>Vaxneuvance</w:t>
      </w:r>
      <w:proofErr w:type="spellEnd"/>
      <w:r w:rsidR="0047397D" w:rsidRPr="00481594">
        <w:t xml:space="preserve"> </w:t>
      </w:r>
      <w:r w:rsidRPr="00481594">
        <w:t>or Prevnar 13 (</w:t>
      </w:r>
      <w:r w:rsidR="00C87B92" w:rsidRPr="00481594">
        <w:t>Day</w:t>
      </w:r>
      <w:r w:rsidRPr="00481594">
        <w:t xml:space="preserve"> 30) were comparable across intervention groups for the 13 shared serotypes and higher values for the 2 serotypes unique for </w:t>
      </w:r>
      <w:proofErr w:type="spellStart"/>
      <w:r w:rsidR="0047397D" w:rsidRPr="00481594">
        <w:t>Vaxneuvance</w:t>
      </w:r>
      <w:proofErr w:type="spellEnd"/>
      <w:r w:rsidR="0047397D" w:rsidRPr="00481594">
        <w:t xml:space="preserve"> </w:t>
      </w:r>
      <w:r w:rsidRPr="00481594">
        <w:t xml:space="preserve">, as shown in </w:t>
      </w:r>
      <w:r w:rsidR="00F20ABC" w:rsidRPr="00481594">
        <w:fldChar w:fldCharType="begin"/>
      </w:r>
      <w:r w:rsidR="00F20ABC" w:rsidRPr="00481594">
        <w:instrText xml:space="preserve"> REF _Ref108774601 \h </w:instrText>
      </w:r>
      <w:r w:rsidR="00481594">
        <w:instrText xml:space="preserve"> \* MERGEFORMAT </w:instrText>
      </w:r>
      <w:r w:rsidR="00F20ABC" w:rsidRPr="00481594">
        <w:fldChar w:fldCharType="separate"/>
      </w:r>
      <w:r w:rsidR="00190330" w:rsidRPr="00481594">
        <w:t xml:space="preserve">Table </w:t>
      </w:r>
      <w:r w:rsidR="00190330">
        <w:rPr>
          <w:noProof/>
        </w:rPr>
        <w:t>24</w:t>
      </w:r>
      <w:r w:rsidR="00F20ABC" w:rsidRPr="00481594">
        <w:fldChar w:fldCharType="end"/>
      </w:r>
      <w:r w:rsidR="00F20ABC" w:rsidRPr="00481594">
        <w:t xml:space="preserve"> and </w:t>
      </w:r>
      <w:r w:rsidR="00F20ABC" w:rsidRPr="00481594">
        <w:fldChar w:fldCharType="begin"/>
      </w:r>
      <w:r w:rsidR="00F20ABC" w:rsidRPr="00481594">
        <w:instrText xml:space="preserve"> REF _Ref108774606 \h </w:instrText>
      </w:r>
      <w:r w:rsidR="00481594">
        <w:instrText xml:space="preserve"> \* MERGEFORMAT </w:instrText>
      </w:r>
      <w:r w:rsidR="00F20ABC" w:rsidRPr="00481594">
        <w:fldChar w:fldCharType="separate"/>
      </w:r>
      <w:r w:rsidR="00190330" w:rsidRPr="00481594">
        <w:t xml:space="preserve">Table </w:t>
      </w:r>
      <w:r w:rsidR="00190330">
        <w:rPr>
          <w:noProof/>
        </w:rPr>
        <w:t>25</w:t>
      </w:r>
      <w:r w:rsidR="00F20ABC" w:rsidRPr="00481594">
        <w:fldChar w:fldCharType="end"/>
      </w:r>
      <w:r w:rsidRPr="00481594">
        <w:t>.</w:t>
      </w:r>
    </w:p>
    <w:p w14:paraId="31FE9993" w14:textId="55C14451" w:rsidR="00F20ABC" w:rsidRPr="00481594" w:rsidRDefault="00F20ABC" w:rsidP="0061675B">
      <w:pPr>
        <w:pStyle w:val="TableTitle"/>
      </w:pPr>
      <w:bookmarkStart w:id="76" w:name="_Ref108774601"/>
      <w:r w:rsidRPr="00481594">
        <w:lastRenderedPageBreak/>
        <w:t xml:space="preserve">Table </w:t>
      </w:r>
      <w:r w:rsidRPr="00481594">
        <w:fldChar w:fldCharType="begin"/>
      </w:r>
      <w:r w:rsidRPr="00481594">
        <w:instrText>SEQ Table \* ARABIC</w:instrText>
      </w:r>
      <w:r w:rsidRPr="00481594">
        <w:fldChar w:fldCharType="separate"/>
      </w:r>
      <w:r w:rsidR="00190330">
        <w:rPr>
          <w:noProof/>
        </w:rPr>
        <w:t>24</w:t>
      </w:r>
      <w:r w:rsidRPr="00481594">
        <w:fldChar w:fldCharType="end"/>
      </w:r>
      <w:bookmarkEnd w:id="76"/>
      <w:r w:rsidRPr="00481594">
        <w:t xml:space="preserve">: </w:t>
      </w:r>
      <w:r w:rsidR="0061675B" w:rsidRPr="00481594">
        <w:t xml:space="preserve">Study </w:t>
      </w:r>
      <w:r w:rsidR="00040793" w:rsidRPr="00481594">
        <w:t>V114-016</w:t>
      </w:r>
      <w:r w:rsidR="0061675B" w:rsidRPr="00481594">
        <w:t xml:space="preserve"> </w:t>
      </w:r>
      <w:r w:rsidRPr="00481594">
        <w:t xml:space="preserve">Analysis of </w:t>
      </w:r>
      <w:r w:rsidR="000C3C7C" w:rsidRPr="00481594">
        <w:t>opsonophagocytic activity</w:t>
      </w:r>
      <w:r w:rsidRPr="00481594">
        <w:t xml:space="preserve"> </w:t>
      </w:r>
      <w:r w:rsidR="000C3C7C" w:rsidRPr="00481594">
        <w:t>geometric mean titre</w:t>
      </w:r>
      <w:r w:rsidRPr="00481594">
        <w:t>s at Month</w:t>
      </w:r>
      <w:r w:rsidR="0061675B" w:rsidRPr="00481594">
        <w:t> </w:t>
      </w:r>
      <w:r w:rsidRPr="00481594">
        <w:t>12 (</w:t>
      </w:r>
      <w:r w:rsidR="000C3C7C" w:rsidRPr="00481594">
        <w:t>per</w:t>
      </w:r>
      <w:r w:rsidR="000C3C7C" w:rsidRPr="00481594">
        <w:noBreakHyphen/>
        <w:t>protocol population</w:t>
      </w:r>
      <w:r w:rsidRPr="00481594">
        <w:t>)</w:t>
      </w:r>
    </w:p>
    <w:p w14:paraId="2801CF91" w14:textId="08F8B7CE" w:rsidR="00F20ABC" w:rsidRPr="00481594" w:rsidRDefault="00F20ABC" w:rsidP="00303435">
      <w:r w:rsidRPr="00481594">
        <w:rPr>
          <w:noProof/>
          <w:lang w:val="en-GB" w:eastAsia="en-GB"/>
        </w:rPr>
        <w:drawing>
          <wp:inline distT="0" distB="0" distL="0" distR="0" wp14:anchorId="4A9A3DB2" wp14:editId="44856A54">
            <wp:extent cx="5400040" cy="4238625"/>
            <wp:effectExtent l="0" t="0" r="0" b="9525"/>
            <wp:docPr id="35" name="Picture 35" descr="Table 24: Study V114-016 Analysis of opsonophagocytic activity geometric mean titres at Month 12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able 24: Study V114-016 Analysis of opsonophagocytic activity geometric mean titres at Month 12 (per protocol population)"/>
                    <pic:cNvPicPr/>
                  </pic:nvPicPr>
                  <pic:blipFill>
                    <a:blip r:embed="rId54"/>
                    <a:stretch>
                      <a:fillRect/>
                    </a:stretch>
                  </pic:blipFill>
                  <pic:spPr>
                    <a:xfrm>
                      <a:off x="0" y="0"/>
                      <a:ext cx="5400040" cy="4238625"/>
                    </a:xfrm>
                    <a:prstGeom prst="rect">
                      <a:avLst/>
                    </a:prstGeom>
                  </pic:spPr>
                </pic:pic>
              </a:graphicData>
            </a:graphic>
          </wp:inline>
        </w:drawing>
      </w:r>
    </w:p>
    <w:p w14:paraId="267F9647" w14:textId="3584FD9F" w:rsidR="008807E3" w:rsidRPr="00481594" w:rsidRDefault="0047397D" w:rsidP="00D30D1B">
      <w:pPr>
        <w:pStyle w:val="TableDescription"/>
      </w:pPr>
      <w:r w:rsidRPr="00481594">
        <w:t xml:space="preserve">Abbreviations: </w:t>
      </w:r>
      <w:r w:rsidR="008807E3" w:rsidRPr="00481594">
        <w:t xml:space="preserve">CI = confidence interval; GMT = geometric mean titre; N = number of subjects randomised and vaccinated; n = number of subjects contributing to the analysis; V114 = sponsor’s product development code for </w:t>
      </w:r>
      <w:proofErr w:type="spellStart"/>
      <w:r w:rsidR="008807E3" w:rsidRPr="00481594">
        <w:t>Vaxneuvance</w:t>
      </w:r>
      <w:proofErr w:type="spellEnd"/>
      <w:r w:rsidR="008807E3" w:rsidRPr="00481594">
        <w:t>.</w:t>
      </w:r>
    </w:p>
    <w:p w14:paraId="07B4E7EE" w14:textId="3B8A8ECE" w:rsidR="008807E3" w:rsidRPr="00481594" w:rsidRDefault="008807E3" w:rsidP="00D30D1B">
      <w:pPr>
        <w:pStyle w:val="TableDescription"/>
      </w:pPr>
      <w:r w:rsidRPr="00481594">
        <w:rPr>
          <w:rFonts w:hint="eastAsia"/>
        </w:rPr>
        <w:t>†</w:t>
      </w:r>
      <w:r w:rsidRPr="00481594">
        <w:t xml:space="preserve"> Geometric mean titres (GMTs), GMT ratio and 95% CI are estimated from a constrained longitudinal data analysis (</w:t>
      </w:r>
      <w:proofErr w:type="spellStart"/>
      <w:r w:rsidRPr="00481594">
        <w:t>cLDA</w:t>
      </w:r>
      <w:proofErr w:type="spellEnd"/>
      <w:r w:rsidRPr="00481594">
        <w:t>) model.</w:t>
      </w:r>
    </w:p>
    <w:p w14:paraId="5A6EAD0F" w14:textId="3E6D3CB6" w:rsidR="00F20ABC" w:rsidRPr="00481594" w:rsidRDefault="008807E3" w:rsidP="00D30D1B">
      <w:pPr>
        <w:pStyle w:val="TableDescription"/>
      </w:pPr>
      <w:r w:rsidRPr="00481594">
        <w:t>Per-protocol, Month 12 is 12 months following vaccination with pneumococcal conjugate vaccine (</w:t>
      </w:r>
      <w:proofErr w:type="spellStart"/>
      <w:r w:rsidR="0047397D" w:rsidRPr="00481594">
        <w:t>Vaxneuvance</w:t>
      </w:r>
      <w:proofErr w:type="spellEnd"/>
      <w:r w:rsidR="0047397D" w:rsidRPr="00481594">
        <w:t xml:space="preserve"> </w:t>
      </w:r>
      <w:r w:rsidRPr="00481594">
        <w:t>or Prevnar 13)</w:t>
      </w:r>
      <w:r w:rsidR="00EE68BF" w:rsidRPr="00481594">
        <w:t xml:space="preserve"> (PCV)</w:t>
      </w:r>
      <w:r w:rsidRPr="00481594">
        <w:t xml:space="preserve"> and pre-vaccination with pneumococcal polysaccharide vaccine (Pneumovax 23)</w:t>
      </w:r>
      <w:r w:rsidR="00EE68BF" w:rsidRPr="00481594">
        <w:t xml:space="preserve"> (PPV23)</w:t>
      </w:r>
      <w:r w:rsidRPr="00481594">
        <w:t>.</w:t>
      </w:r>
    </w:p>
    <w:p w14:paraId="3095E772" w14:textId="39657946" w:rsidR="00F20ABC" w:rsidRPr="00481594" w:rsidRDefault="00F20ABC" w:rsidP="0061675B">
      <w:pPr>
        <w:pStyle w:val="TableTitle"/>
      </w:pPr>
      <w:bookmarkStart w:id="77" w:name="_Ref108774606"/>
      <w:r w:rsidRPr="00481594">
        <w:lastRenderedPageBreak/>
        <w:t xml:space="preserve">Table </w:t>
      </w:r>
      <w:r w:rsidRPr="00481594">
        <w:fldChar w:fldCharType="begin"/>
      </w:r>
      <w:r w:rsidRPr="00481594">
        <w:instrText>SEQ Table \* ARABIC</w:instrText>
      </w:r>
      <w:r w:rsidRPr="00481594">
        <w:fldChar w:fldCharType="separate"/>
      </w:r>
      <w:r w:rsidR="00190330">
        <w:rPr>
          <w:noProof/>
        </w:rPr>
        <w:t>25</w:t>
      </w:r>
      <w:r w:rsidRPr="00481594">
        <w:fldChar w:fldCharType="end"/>
      </w:r>
      <w:bookmarkEnd w:id="77"/>
      <w:r w:rsidRPr="00481594">
        <w:t xml:space="preserve">: </w:t>
      </w:r>
      <w:r w:rsidR="0061675B" w:rsidRPr="00481594">
        <w:t xml:space="preserve">Study </w:t>
      </w:r>
      <w:r w:rsidR="00040793" w:rsidRPr="00481594">
        <w:t>V114-016</w:t>
      </w:r>
      <w:r w:rsidR="0061675B" w:rsidRPr="00481594">
        <w:t xml:space="preserve"> </w:t>
      </w:r>
      <w:r w:rsidRPr="00481594">
        <w:t xml:space="preserve">Analysis of </w:t>
      </w:r>
      <w:r w:rsidR="000C3C7C" w:rsidRPr="00481594">
        <w:t>immunoglobulin G</w:t>
      </w:r>
      <w:r w:rsidRPr="00481594">
        <w:t xml:space="preserve"> </w:t>
      </w:r>
      <w:r w:rsidR="000C3C7C" w:rsidRPr="00481594">
        <w:t>geometric mean concentration</w:t>
      </w:r>
      <w:r w:rsidRPr="00481594">
        <w:t>s at Month</w:t>
      </w:r>
      <w:r w:rsidR="0061675B" w:rsidRPr="00481594">
        <w:t> </w:t>
      </w:r>
      <w:r w:rsidRPr="00481594">
        <w:t>12 (</w:t>
      </w:r>
      <w:r w:rsidR="000C3C7C" w:rsidRPr="00481594">
        <w:t>per</w:t>
      </w:r>
      <w:r w:rsidR="000C3C7C" w:rsidRPr="00481594">
        <w:noBreakHyphen/>
        <w:t>protocol population</w:t>
      </w:r>
      <w:r w:rsidRPr="00481594">
        <w:t>)</w:t>
      </w:r>
    </w:p>
    <w:p w14:paraId="2FB99D4D" w14:textId="13351D3E" w:rsidR="00F20ABC" w:rsidRPr="00481594" w:rsidRDefault="00F20ABC" w:rsidP="00303435">
      <w:r w:rsidRPr="00481594">
        <w:rPr>
          <w:noProof/>
          <w:lang w:val="en-GB" w:eastAsia="en-GB"/>
        </w:rPr>
        <w:drawing>
          <wp:inline distT="0" distB="0" distL="0" distR="0" wp14:anchorId="45B9EEAF" wp14:editId="2C94068D">
            <wp:extent cx="5400040" cy="4251960"/>
            <wp:effectExtent l="0" t="0" r="0" b="0"/>
            <wp:docPr id="37" name="Picture 37" descr="Table 25: Study V114-016 Analysis of immunoglobulin G geometric mean concentrations at Month 12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able 25: Study V114-016 Analysis of immunoglobulin G geometric mean concentrations at Month 12 (per protocol population)"/>
                    <pic:cNvPicPr/>
                  </pic:nvPicPr>
                  <pic:blipFill>
                    <a:blip r:embed="rId55"/>
                    <a:stretch>
                      <a:fillRect/>
                    </a:stretch>
                  </pic:blipFill>
                  <pic:spPr>
                    <a:xfrm>
                      <a:off x="0" y="0"/>
                      <a:ext cx="5400040" cy="4251960"/>
                    </a:xfrm>
                    <a:prstGeom prst="rect">
                      <a:avLst/>
                    </a:prstGeom>
                  </pic:spPr>
                </pic:pic>
              </a:graphicData>
            </a:graphic>
          </wp:inline>
        </w:drawing>
      </w:r>
    </w:p>
    <w:p w14:paraId="275E9432" w14:textId="23F63AFD" w:rsidR="00D30D1B" w:rsidRPr="00481594" w:rsidRDefault="0047397D" w:rsidP="00D30D1B">
      <w:pPr>
        <w:pStyle w:val="TableDescription"/>
      </w:pPr>
      <w:r w:rsidRPr="00481594">
        <w:t xml:space="preserve">Abbreviations: </w:t>
      </w:r>
      <w:r w:rsidR="00D30D1B" w:rsidRPr="00481594">
        <w:t xml:space="preserve">CI = confidence interval; GMC = geometric mean concentration; N = number of subjects randomised and vaccinated; n = number of subjects contributing to the analysis; V114 = sponsor’s product development code for </w:t>
      </w:r>
      <w:proofErr w:type="spellStart"/>
      <w:r w:rsidR="00D30D1B" w:rsidRPr="00481594">
        <w:t>Vaxneuvance</w:t>
      </w:r>
      <w:proofErr w:type="spellEnd"/>
      <w:r w:rsidR="00D30D1B" w:rsidRPr="00481594">
        <w:t>.</w:t>
      </w:r>
    </w:p>
    <w:p w14:paraId="726803B9" w14:textId="7BEC1F35" w:rsidR="00D30D1B" w:rsidRPr="00481594" w:rsidRDefault="00D30D1B" w:rsidP="00D30D1B">
      <w:pPr>
        <w:pStyle w:val="TableDescription"/>
      </w:pPr>
      <w:r w:rsidRPr="00481594">
        <w:rPr>
          <w:rFonts w:hint="eastAsia"/>
        </w:rPr>
        <w:t>†</w:t>
      </w:r>
      <w:r w:rsidRPr="00481594">
        <w:t xml:space="preserve"> Geometric mean concentrations (GMCs), GMC ratio and 95% CI are estimated from a constrained longitudinal data analysis (</w:t>
      </w:r>
      <w:proofErr w:type="spellStart"/>
      <w:r w:rsidRPr="00481594">
        <w:t>cLDA</w:t>
      </w:r>
      <w:proofErr w:type="spellEnd"/>
      <w:r w:rsidRPr="00481594">
        <w:t>) model.</w:t>
      </w:r>
    </w:p>
    <w:p w14:paraId="6293703A" w14:textId="7FBEEDE7" w:rsidR="00F20ABC" w:rsidRPr="00481594" w:rsidRDefault="00D30D1B" w:rsidP="00D30D1B">
      <w:pPr>
        <w:pStyle w:val="TableDescription"/>
      </w:pPr>
      <w:r w:rsidRPr="00481594">
        <w:t>Per-protocol, Month 12 is 12 months following vaccination with pneumococcal conjugate vaccine (</w:t>
      </w:r>
      <w:proofErr w:type="spellStart"/>
      <w:r w:rsidR="0047397D" w:rsidRPr="00481594">
        <w:t>Vaxneuvance</w:t>
      </w:r>
      <w:proofErr w:type="spellEnd"/>
      <w:r w:rsidR="0047397D" w:rsidRPr="00481594">
        <w:t xml:space="preserve"> </w:t>
      </w:r>
      <w:r w:rsidRPr="00481594">
        <w:t>or Prevnar 13)</w:t>
      </w:r>
      <w:r w:rsidR="00EE68BF" w:rsidRPr="00481594">
        <w:t xml:space="preserve"> (PCV)</w:t>
      </w:r>
      <w:r w:rsidRPr="00481594">
        <w:t xml:space="preserve"> and pre-vaccination with pneumococcal polysaccharide vaccine (Pneumovax 23)</w:t>
      </w:r>
      <w:r w:rsidR="00EE68BF" w:rsidRPr="00481594">
        <w:t xml:space="preserve"> (PPV23)</w:t>
      </w:r>
      <w:r w:rsidRPr="00481594">
        <w:t>.</w:t>
      </w:r>
    </w:p>
    <w:p w14:paraId="14946E66" w14:textId="77777777" w:rsidR="00B638B1" w:rsidRPr="00481594" w:rsidRDefault="00B638B1" w:rsidP="00B638B1">
      <w:r w:rsidRPr="00481594">
        <w:t xml:space="preserve">Subgroup analyses of OPA GMT ratios by age were generally consistent with ratios observed in the overall population, as were subgroup analyses for sex, </w:t>
      </w:r>
      <w:proofErr w:type="gramStart"/>
      <w:r w:rsidRPr="00481594">
        <w:t>race</w:t>
      </w:r>
      <w:proofErr w:type="gramEnd"/>
      <w:r w:rsidRPr="00481594">
        <w:t xml:space="preserve"> and ethnicity.</w:t>
      </w:r>
    </w:p>
    <w:p w14:paraId="13CB5C1A" w14:textId="7B98FBC7" w:rsidR="00BE31ED" w:rsidRPr="00481594" w:rsidRDefault="00BE31ED" w:rsidP="00BE31ED">
      <w:pPr>
        <w:pStyle w:val="Heading5"/>
      </w:pPr>
      <w:r w:rsidRPr="00481594">
        <w:t>Study V114-021</w:t>
      </w:r>
    </w:p>
    <w:p w14:paraId="1D5BF707" w14:textId="5AB9A450" w:rsidR="00B638B1" w:rsidRPr="00481594" w:rsidRDefault="00B638B1" w:rsidP="00B638B1">
      <w:r w:rsidRPr="00481594">
        <w:t xml:space="preserve">Study V114-021 was a </w:t>
      </w:r>
      <w:r w:rsidR="00262F42" w:rsidRPr="00481594">
        <w:t>Phase III</w:t>
      </w:r>
      <w:r w:rsidRPr="00481594">
        <w:t xml:space="preserve"> multicentre, randomised, double</w:t>
      </w:r>
      <w:r w:rsidR="00BE31ED" w:rsidRPr="00481594">
        <w:t xml:space="preserve"> </w:t>
      </w:r>
      <w:r w:rsidRPr="00481594">
        <w:t xml:space="preserve">blind, </w:t>
      </w:r>
      <w:proofErr w:type="gramStart"/>
      <w:r w:rsidRPr="00481594">
        <w:t>placebo controlled</w:t>
      </w:r>
      <w:proofErr w:type="gramEnd"/>
      <w:r w:rsidRPr="00481594">
        <w:t xml:space="preserve"> study which assessed safety and immunogenicity of </w:t>
      </w:r>
      <w:proofErr w:type="spellStart"/>
      <w:r w:rsidR="0047397D" w:rsidRPr="00481594">
        <w:t>Vaxneuvance</w:t>
      </w:r>
      <w:proofErr w:type="spellEnd"/>
      <w:r w:rsidR="0047397D" w:rsidRPr="00481594">
        <w:t xml:space="preserve"> </w:t>
      </w:r>
      <w:r w:rsidRPr="00481594">
        <w:t>given with influenza vaccine in healthy adults aged 50 years or older.</w:t>
      </w:r>
    </w:p>
    <w:p w14:paraId="6C209551" w14:textId="49EE64A8" w:rsidR="00B638B1" w:rsidRPr="00481594" w:rsidRDefault="00B638B1" w:rsidP="00B638B1">
      <w:r w:rsidRPr="00481594">
        <w:t>The efficacy objective was to compare the serotype</w:t>
      </w:r>
      <w:r w:rsidR="00BE31ED" w:rsidRPr="00481594">
        <w:t xml:space="preserve"> </w:t>
      </w:r>
      <w:r w:rsidRPr="00481594">
        <w:t>specific OPA GMTs at 30 days post</w:t>
      </w:r>
      <w:r w:rsidR="00BE31ED" w:rsidRPr="00481594">
        <w:noBreakHyphen/>
      </w:r>
      <w:r w:rsidRPr="00481594">
        <w:t xml:space="preserve">vaccination with </w:t>
      </w:r>
      <w:proofErr w:type="spellStart"/>
      <w:r w:rsidR="0047397D" w:rsidRPr="00481594">
        <w:t>Vaxneuvance</w:t>
      </w:r>
      <w:proofErr w:type="spellEnd"/>
      <w:r w:rsidR="0047397D" w:rsidRPr="00481594">
        <w:t xml:space="preserve"> </w:t>
      </w:r>
      <w:r w:rsidRPr="00481594">
        <w:t>given concurrently or non-concurrently with influenza vaccine. The other primary endpoint was to demonstrate non-inferiority of strain</w:t>
      </w:r>
      <w:r w:rsidR="00BE31ED" w:rsidRPr="00481594">
        <w:t xml:space="preserve"> </w:t>
      </w:r>
      <w:r w:rsidRPr="00481594">
        <w:t xml:space="preserve">specific haemagglutination inhibition GMTs at 30-days post-vaccination of the 4 influenza strains in the influenza vaccine at 30 days, for concomitant </w:t>
      </w:r>
      <w:r w:rsidR="00262F42" w:rsidRPr="00481594">
        <w:t>versus</w:t>
      </w:r>
      <w:r w:rsidRPr="00481594">
        <w:t xml:space="preserve"> non-concomitant administration with </w:t>
      </w:r>
      <w:proofErr w:type="spellStart"/>
      <w:r w:rsidR="0047397D" w:rsidRPr="00481594">
        <w:t>Vaxneuvance</w:t>
      </w:r>
      <w:proofErr w:type="spellEnd"/>
      <w:r w:rsidRPr="00481594">
        <w:t>.</w:t>
      </w:r>
    </w:p>
    <w:p w14:paraId="390D3318" w14:textId="1802DDB2" w:rsidR="00B638B1" w:rsidRPr="00481594" w:rsidRDefault="00BE31ED" w:rsidP="00B638B1">
      <w:r w:rsidRPr="00481594">
        <w:t>Six hundred (</w:t>
      </w:r>
      <w:r w:rsidR="00B638B1" w:rsidRPr="00481594">
        <w:t>600</w:t>
      </w:r>
      <w:r w:rsidRPr="00481594">
        <w:t>)</w:t>
      </w:r>
      <w:r w:rsidR="00B638B1" w:rsidRPr="00481594">
        <w:t xml:space="preserve"> subjects were randomised to the concomitant group and 600 subjects were randomised to non-concomitant groups. 97.2% completed the study. Randomisation was stratified by age and history of prior </w:t>
      </w:r>
      <w:r w:rsidR="00DE0933" w:rsidRPr="00481594">
        <w:t>Pneumovax 23</w:t>
      </w:r>
      <w:r w:rsidR="00B638B1" w:rsidRPr="00481594">
        <w:t>.</w:t>
      </w:r>
    </w:p>
    <w:p w14:paraId="4A6E047F" w14:textId="4747E43B" w:rsidR="00B638B1" w:rsidRPr="00481594" w:rsidRDefault="00B638B1" w:rsidP="00B638B1">
      <w:r w:rsidRPr="00481594">
        <w:lastRenderedPageBreak/>
        <w:t>Demographic and baseline characteristics were comparable for vaccinated participants across treatment groups, as shown in</w:t>
      </w:r>
      <w:r w:rsidR="00F20ABC" w:rsidRPr="00481594">
        <w:t xml:space="preserve"> </w:t>
      </w:r>
      <w:r w:rsidR="00F20ABC" w:rsidRPr="00481594">
        <w:fldChar w:fldCharType="begin"/>
      </w:r>
      <w:r w:rsidR="00F20ABC" w:rsidRPr="00481594">
        <w:instrText xml:space="preserve"> REF _Ref108774718 \h </w:instrText>
      </w:r>
      <w:r w:rsidR="00481594">
        <w:instrText xml:space="preserve"> \* MERGEFORMAT </w:instrText>
      </w:r>
      <w:r w:rsidR="00F20ABC" w:rsidRPr="00481594">
        <w:fldChar w:fldCharType="separate"/>
      </w:r>
      <w:r w:rsidR="00190330" w:rsidRPr="00481594">
        <w:t xml:space="preserve">Table </w:t>
      </w:r>
      <w:r w:rsidR="00190330">
        <w:rPr>
          <w:noProof/>
        </w:rPr>
        <w:t>26</w:t>
      </w:r>
      <w:r w:rsidR="00F20ABC" w:rsidRPr="00481594">
        <w:fldChar w:fldCharType="end"/>
      </w:r>
      <w:r w:rsidRPr="00481594">
        <w:t>.</w:t>
      </w:r>
    </w:p>
    <w:p w14:paraId="24B53F32" w14:textId="7F0569A8" w:rsidR="00F20ABC" w:rsidRPr="00481594" w:rsidRDefault="00F20ABC" w:rsidP="0061675B">
      <w:pPr>
        <w:pStyle w:val="TableTitle"/>
      </w:pPr>
      <w:bookmarkStart w:id="78" w:name="_Ref108774718"/>
      <w:r w:rsidRPr="00481594">
        <w:t xml:space="preserve">Table </w:t>
      </w:r>
      <w:r w:rsidRPr="00481594">
        <w:fldChar w:fldCharType="begin"/>
      </w:r>
      <w:r w:rsidRPr="00481594">
        <w:instrText>SEQ Table \* ARABIC</w:instrText>
      </w:r>
      <w:r w:rsidRPr="00481594">
        <w:fldChar w:fldCharType="separate"/>
      </w:r>
      <w:r w:rsidR="00190330">
        <w:rPr>
          <w:noProof/>
        </w:rPr>
        <w:t>26</w:t>
      </w:r>
      <w:r w:rsidRPr="00481594">
        <w:fldChar w:fldCharType="end"/>
      </w:r>
      <w:bookmarkEnd w:id="78"/>
      <w:r w:rsidRPr="00481594">
        <w:t xml:space="preserve">: </w:t>
      </w:r>
      <w:r w:rsidR="0061675B" w:rsidRPr="00481594">
        <w:t xml:space="preserve">Study </w:t>
      </w:r>
      <w:r w:rsidR="00040793" w:rsidRPr="00481594">
        <w:t>V114-021</w:t>
      </w:r>
      <w:r w:rsidR="0061675B" w:rsidRPr="00481594">
        <w:t xml:space="preserve"> </w:t>
      </w:r>
      <w:r w:rsidRPr="00481594">
        <w:t xml:space="preserve">Subject </w:t>
      </w:r>
      <w:r w:rsidR="0061675B" w:rsidRPr="00481594">
        <w:t>c</w:t>
      </w:r>
      <w:r w:rsidRPr="00481594">
        <w:t>haracteristics (all vaccinated subjects)</w:t>
      </w:r>
    </w:p>
    <w:p w14:paraId="3F5CE975" w14:textId="01A82312" w:rsidR="00F20ABC" w:rsidRPr="00481594" w:rsidRDefault="00F20ABC" w:rsidP="00303435">
      <w:r w:rsidRPr="00481594">
        <w:rPr>
          <w:noProof/>
          <w:lang w:val="en-GB" w:eastAsia="en-GB"/>
        </w:rPr>
        <w:drawing>
          <wp:inline distT="0" distB="0" distL="0" distR="0" wp14:anchorId="37A76652" wp14:editId="58F6138C">
            <wp:extent cx="5400040" cy="5302250"/>
            <wp:effectExtent l="0" t="0" r="0" b="0"/>
            <wp:docPr id="39" name="Picture 39" descr="Table 26: Study V114-021 Subject characteristics (all vaccinated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able 26: Study V114-021 Subject characteristics (all vaccinated subjects)"/>
                    <pic:cNvPicPr/>
                  </pic:nvPicPr>
                  <pic:blipFill>
                    <a:blip r:embed="rId56"/>
                    <a:stretch>
                      <a:fillRect/>
                    </a:stretch>
                  </pic:blipFill>
                  <pic:spPr>
                    <a:xfrm>
                      <a:off x="0" y="0"/>
                      <a:ext cx="5400040" cy="5302250"/>
                    </a:xfrm>
                    <a:prstGeom prst="rect">
                      <a:avLst/>
                    </a:prstGeom>
                  </pic:spPr>
                </pic:pic>
              </a:graphicData>
            </a:graphic>
          </wp:inline>
        </w:drawing>
      </w:r>
    </w:p>
    <w:p w14:paraId="677D0C98" w14:textId="2A36D466" w:rsidR="00D30D1B" w:rsidRPr="00481594" w:rsidRDefault="0047397D" w:rsidP="00D30D1B">
      <w:pPr>
        <w:pStyle w:val="TableDescription"/>
      </w:pPr>
      <w:r w:rsidRPr="00481594">
        <w:t xml:space="preserve">Abbreviations: </w:t>
      </w:r>
      <w:r w:rsidR="00D30D1B" w:rsidRPr="00481594">
        <w:t>n = number of subjects contributing to the analysis; SD = standard deviation; PPV23 = pneumococcal polysaccharide vaccine (Pneumovax 23).</w:t>
      </w:r>
    </w:p>
    <w:p w14:paraId="79AF61BC" w14:textId="458AAF40" w:rsidR="00B638B1" w:rsidRPr="00481594" w:rsidRDefault="0047397D" w:rsidP="00B638B1">
      <w:proofErr w:type="spellStart"/>
      <w:r w:rsidRPr="00481594">
        <w:t>Vaxneuvance</w:t>
      </w:r>
      <w:proofErr w:type="spellEnd"/>
      <w:r w:rsidRPr="00481594">
        <w:t xml:space="preserve"> </w:t>
      </w:r>
      <w:r w:rsidR="00B638B1" w:rsidRPr="00481594">
        <w:t xml:space="preserve">given concomitantly with </w:t>
      </w:r>
      <w:r w:rsidR="00DE0933" w:rsidRPr="00481594">
        <w:t>quadrivalent influenza vaccine</w:t>
      </w:r>
      <w:r w:rsidR="00B638B1" w:rsidRPr="00481594">
        <w:t xml:space="preserve"> was found to be non-inferior to </w:t>
      </w:r>
      <w:proofErr w:type="spellStart"/>
      <w:r w:rsidR="00482C41" w:rsidRPr="00481594">
        <w:t>Vaxneuvance</w:t>
      </w:r>
      <w:proofErr w:type="spellEnd"/>
      <w:r w:rsidR="00B638B1" w:rsidRPr="00481594">
        <w:t xml:space="preserve"> given non</w:t>
      </w:r>
      <w:r w:rsidR="00BE31ED" w:rsidRPr="00481594">
        <w:noBreakHyphen/>
      </w:r>
      <w:r w:rsidR="00B638B1" w:rsidRPr="00481594">
        <w:t xml:space="preserve">concomitantly with </w:t>
      </w:r>
      <w:r w:rsidR="00DE0933" w:rsidRPr="00481594">
        <w:t>quadrivalent influenza vaccine</w:t>
      </w:r>
      <w:r w:rsidR="00B638B1" w:rsidRPr="00481594">
        <w:t xml:space="preserve"> as assessed by serotype</w:t>
      </w:r>
      <w:r w:rsidR="00BE31ED" w:rsidRPr="00481594">
        <w:t xml:space="preserve"> </w:t>
      </w:r>
      <w:r w:rsidR="00B638B1" w:rsidRPr="00481594">
        <w:t>specific OPA GMTs at 30 days post</w:t>
      </w:r>
      <w:r w:rsidR="00BE31ED" w:rsidRPr="00481594">
        <w:noBreakHyphen/>
      </w:r>
      <w:r w:rsidR="00B638B1" w:rsidRPr="00481594">
        <w:t xml:space="preserve">vaccination with </w:t>
      </w:r>
      <w:proofErr w:type="spellStart"/>
      <w:r w:rsidRPr="00481594">
        <w:t>Vaxneuvance</w:t>
      </w:r>
      <w:proofErr w:type="spellEnd"/>
      <w:r w:rsidR="00B638B1" w:rsidRPr="00481594">
        <w:t xml:space="preserve">, as shown in </w:t>
      </w:r>
      <w:r w:rsidR="00F20ABC" w:rsidRPr="00481594">
        <w:fldChar w:fldCharType="begin"/>
      </w:r>
      <w:r w:rsidR="00F20ABC" w:rsidRPr="00481594">
        <w:instrText xml:space="preserve"> REF _Ref108774897 \h </w:instrText>
      </w:r>
      <w:r w:rsidR="00481594">
        <w:instrText xml:space="preserve"> \* MERGEFORMAT </w:instrText>
      </w:r>
      <w:r w:rsidR="00F20ABC" w:rsidRPr="00481594">
        <w:fldChar w:fldCharType="separate"/>
      </w:r>
      <w:r w:rsidR="00190330" w:rsidRPr="00481594">
        <w:t xml:space="preserve">Table </w:t>
      </w:r>
      <w:r w:rsidR="00190330">
        <w:rPr>
          <w:noProof/>
        </w:rPr>
        <w:t>27</w:t>
      </w:r>
      <w:r w:rsidR="00F20ABC" w:rsidRPr="00481594">
        <w:fldChar w:fldCharType="end"/>
      </w:r>
      <w:r w:rsidR="00F20ABC" w:rsidRPr="00481594">
        <w:t xml:space="preserve"> and </w:t>
      </w:r>
      <w:r w:rsidR="00F20ABC" w:rsidRPr="00481594">
        <w:fldChar w:fldCharType="begin"/>
      </w:r>
      <w:r w:rsidR="00F20ABC" w:rsidRPr="00481594">
        <w:instrText xml:space="preserve"> REF _Ref108774905 \h </w:instrText>
      </w:r>
      <w:r w:rsidR="00481594">
        <w:instrText xml:space="preserve"> \* MERGEFORMAT </w:instrText>
      </w:r>
      <w:r w:rsidR="00F20ABC" w:rsidRPr="00481594">
        <w:fldChar w:fldCharType="separate"/>
      </w:r>
      <w:r w:rsidR="00190330" w:rsidRPr="00481594">
        <w:t xml:space="preserve">Figure </w:t>
      </w:r>
      <w:r w:rsidR="00190330">
        <w:rPr>
          <w:noProof/>
        </w:rPr>
        <w:t>6</w:t>
      </w:r>
      <w:r w:rsidR="00F20ABC" w:rsidRPr="00481594">
        <w:fldChar w:fldCharType="end"/>
      </w:r>
      <w:r w:rsidR="00F20ABC" w:rsidRPr="00481594">
        <w:t>.</w:t>
      </w:r>
    </w:p>
    <w:p w14:paraId="2C0C616F" w14:textId="3AE0E4BC" w:rsidR="00F20ABC" w:rsidRPr="00481594" w:rsidRDefault="00F20ABC" w:rsidP="0061675B">
      <w:pPr>
        <w:pStyle w:val="TableTitle"/>
      </w:pPr>
      <w:bookmarkStart w:id="79" w:name="_Ref108774897"/>
      <w:r w:rsidRPr="00481594">
        <w:lastRenderedPageBreak/>
        <w:t xml:space="preserve">Table </w:t>
      </w:r>
      <w:r w:rsidRPr="00481594">
        <w:fldChar w:fldCharType="begin"/>
      </w:r>
      <w:r w:rsidRPr="00481594">
        <w:instrText>SEQ Table \* ARABIC</w:instrText>
      </w:r>
      <w:r w:rsidRPr="00481594">
        <w:fldChar w:fldCharType="separate"/>
      </w:r>
      <w:r w:rsidR="00190330">
        <w:rPr>
          <w:noProof/>
        </w:rPr>
        <w:t>27</w:t>
      </w:r>
      <w:r w:rsidRPr="00481594">
        <w:fldChar w:fldCharType="end"/>
      </w:r>
      <w:bookmarkEnd w:id="79"/>
      <w:r w:rsidRPr="00481594">
        <w:t xml:space="preserve">: </w:t>
      </w:r>
      <w:r w:rsidR="0061675B" w:rsidRPr="00481594">
        <w:t xml:space="preserve">Study </w:t>
      </w:r>
      <w:r w:rsidR="00040793" w:rsidRPr="00481594">
        <w:t>V114-021</w:t>
      </w:r>
      <w:r w:rsidR="0061675B" w:rsidRPr="00481594">
        <w:t xml:space="preserve"> </w:t>
      </w:r>
      <w:r w:rsidRPr="00481594">
        <w:t xml:space="preserve">Analysis of post-vaccination </w:t>
      </w:r>
      <w:r w:rsidR="000C3C7C" w:rsidRPr="00481594">
        <w:t>opsonophagocytic activity</w:t>
      </w:r>
      <w:r w:rsidRPr="00481594">
        <w:t xml:space="preserve"> </w:t>
      </w:r>
      <w:r w:rsidR="000C3C7C" w:rsidRPr="00481594">
        <w:t>geometric mean titre</w:t>
      </w:r>
      <w:r w:rsidRPr="00481594">
        <w:t>s (</w:t>
      </w:r>
      <w:r w:rsidR="000C3C7C" w:rsidRPr="00481594">
        <w:t>per</w:t>
      </w:r>
      <w:r w:rsidR="000C3C7C" w:rsidRPr="00481594">
        <w:noBreakHyphen/>
        <w:t>protocol population</w:t>
      </w:r>
      <w:r w:rsidRPr="00481594">
        <w:t>)</w:t>
      </w:r>
    </w:p>
    <w:p w14:paraId="545E51A9" w14:textId="71843643" w:rsidR="00F20ABC" w:rsidRPr="00481594" w:rsidRDefault="00F20ABC" w:rsidP="00303435">
      <w:r w:rsidRPr="00481594">
        <w:rPr>
          <w:noProof/>
          <w:lang w:val="en-GB" w:eastAsia="en-GB"/>
        </w:rPr>
        <w:drawing>
          <wp:inline distT="0" distB="0" distL="0" distR="0" wp14:anchorId="6D16690D" wp14:editId="0C337413">
            <wp:extent cx="5400040" cy="3707765"/>
            <wp:effectExtent l="0" t="0" r="0" b="6985"/>
            <wp:docPr id="40" name="Picture 40" descr="Table 27: Study V114-021 Analysis of post-vaccination opsonophagocytic activity geometric mean titres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 27: Study V114-021 Analysis of post-vaccination opsonophagocytic activity geometric mean titres (per protocol population)"/>
                    <pic:cNvPicPr/>
                  </pic:nvPicPr>
                  <pic:blipFill>
                    <a:blip r:embed="rId57"/>
                    <a:stretch>
                      <a:fillRect/>
                    </a:stretch>
                  </pic:blipFill>
                  <pic:spPr>
                    <a:xfrm>
                      <a:off x="0" y="0"/>
                      <a:ext cx="5400040" cy="3707765"/>
                    </a:xfrm>
                    <a:prstGeom prst="rect">
                      <a:avLst/>
                    </a:prstGeom>
                  </pic:spPr>
                </pic:pic>
              </a:graphicData>
            </a:graphic>
          </wp:inline>
        </w:drawing>
      </w:r>
    </w:p>
    <w:p w14:paraId="652168CF" w14:textId="543A5466" w:rsidR="00D30D1B" w:rsidRPr="00481594" w:rsidRDefault="0047397D" w:rsidP="00EE68BF">
      <w:pPr>
        <w:pStyle w:val="TableDescription"/>
      </w:pPr>
      <w:r w:rsidRPr="00481594">
        <w:t xml:space="preserve">Abbreviations: </w:t>
      </w:r>
      <w:r w:rsidR="00D30D1B" w:rsidRPr="00481594">
        <w:t>CI = confidence interval; GMT = geometric mean titre</w:t>
      </w:r>
      <w:r w:rsidR="00D30D1B" w:rsidRPr="00481594">
        <w:rPr>
          <w:rStyle w:val="CommentReference"/>
          <w:sz w:val="19"/>
          <w:szCs w:val="19"/>
        </w:rPr>
        <w:t>;</w:t>
      </w:r>
      <w:r w:rsidR="00D30D1B" w:rsidRPr="00481594">
        <w:t xml:space="preserve"> N = number of subjects randomised and vaccinated; n = number of subjects contributing to the analysis.</w:t>
      </w:r>
    </w:p>
    <w:p w14:paraId="7C6910B7" w14:textId="77777777" w:rsidR="00D30D1B" w:rsidRPr="00481594" w:rsidRDefault="00D30D1B" w:rsidP="00EE68BF">
      <w:pPr>
        <w:pStyle w:val="TableDescription"/>
      </w:pPr>
      <w:r w:rsidRPr="00481594">
        <w:rPr>
          <w:rFonts w:hint="eastAsia"/>
        </w:rPr>
        <w:t>†</w:t>
      </w:r>
      <w:r w:rsidRPr="00481594">
        <w:t xml:space="preserve"> Geometric mean titres (GMTs), GMT ratio, 95% CI, and p-value are estimated from a constrained longitudinal data analysis (</w:t>
      </w:r>
      <w:proofErr w:type="spellStart"/>
      <w:r w:rsidRPr="00481594">
        <w:t>cLDA</w:t>
      </w:r>
      <w:proofErr w:type="spellEnd"/>
      <w:r w:rsidRPr="00481594">
        <w:t>) model.</w:t>
      </w:r>
    </w:p>
    <w:p w14:paraId="29E69098" w14:textId="07ADC846" w:rsidR="00D30D1B" w:rsidRPr="00481594" w:rsidRDefault="00D30D1B" w:rsidP="00EE68BF">
      <w:pPr>
        <w:pStyle w:val="TableDescription"/>
      </w:pPr>
      <w:r w:rsidRPr="00481594">
        <w:t xml:space="preserve">A conclusion of non-inferiority is based on the lower bound of the 95% CI for the estimated GMT ratio (concomitant group/non-concomitant group) being </w:t>
      </w:r>
      <w:r w:rsidR="00841429" w:rsidRPr="00481594">
        <w:t>greater than</w:t>
      </w:r>
      <w:r w:rsidRPr="00481594">
        <w:t xml:space="preserve"> 0.5 (one-sided p-value &lt; 0.025).</w:t>
      </w:r>
    </w:p>
    <w:p w14:paraId="54D90C13" w14:textId="70E91C5A" w:rsidR="00F20ABC" w:rsidRPr="00481594" w:rsidRDefault="00EE68BF" w:rsidP="00EE68BF">
      <w:pPr>
        <w:pStyle w:val="TableDescription"/>
      </w:pPr>
      <w:r w:rsidRPr="00481594">
        <w:t xml:space="preserve">Post-vaccination = 30 days following vaccination with </w:t>
      </w:r>
      <w:proofErr w:type="spellStart"/>
      <w:r w:rsidRPr="00481594">
        <w:t>Vaxneuvance</w:t>
      </w:r>
      <w:proofErr w:type="spellEnd"/>
      <w:r w:rsidRPr="00481594">
        <w:t xml:space="preserve"> (V114) (Day 30 for concomitant group and Day 60 for non-concomitant group).</w:t>
      </w:r>
    </w:p>
    <w:p w14:paraId="4FFE7A0E" w14:textId="481DC485" w:rsidR="00F20ABC" w:rsidRPr="00481594" w:rsidRDefault="00F20ABC" w:rsidP="00A022CA">
      <w:pPr>
        <w:pStyle w:val="FigureTitle"/>
      </w:pPr>
      <w:bookmarkStart w:id="80" w:name="_Ref108774905"/>
      <w:r w:rsidRPr="00481594">
        <w:lastRenderedPageBreak/>
        <w:t xml:space="preserve">Figure </w:t>
      </w:r>
      <w:r w:rsidRPr="00481594">
        <w:fldChar w:fldCharType="begin"/>
      </w:r>
      <w:r w:rsidRPr="00481594">
        <w:instrText>SEQ Figure \* ARABIC</w:instrText>
      </w:r>
      <w:r w:rsidRPr="00481594">
        <w:fldChar w:fldCharType="separate"/>
      </w:r>
      <w:r w:rsidR="00190330">
        <w:rPr>
          <w:noProof/>
        </w:rPr>
        <w:t>6</w:t>
      </w:r>
      <w:r w:rsidRPr="00481594">
        <w:fldChar w:fldCharType="end"/>
      </w:r>
      <w:bookmarkEnd w:id="80"/>
      <w:r w:rsidRPr="00481594">
        <w:t xml:space="preserve">: </w:t>
      </w:r>
      <w:r w:rsidR="0061675B" w:rsidRPr="00481594">
        <w:t xml:space="preserve">Study </w:t>
      </w:r>
      <w:r w:rsidR="00040793" w:rsidRPr="00481594">
        <w:t>V114-021</w:t>
      </w:r>
      <w:r w:rsidR="0061675B" w:rsidRPr="00481594">
        <w:t xml:space="preserve"> </w:t>
      </w:r>
      <w:r w:rsidRPr="00481594">
        <w:t xml:space="preserve">Forest </w:t>
      </w:r>
      <w:r w:rsidR="0061675B" w:rsidRPr="00481594">
        <w:t>plot of post-vaccination opsonophagocytic activity geometric mean titre ratios (per</w:t>
      </w:r>
      <w:r w:rsidR="0061675B" w:rsidRPr="00481594">
        <w:noBreakHyphen/>
        <w:t>protocol population</w:t>
      </w:r>
      <w:r w:rsidRPr="00481594">
        <w:t>)</w:t>
      </w:r>
    </w:p>
    <w:p w14:paraId="469B53C5" w14:textId="2EFC5298" w:rsidR="00F20ABC" w:rsidRPr="00481594" w:rsidRDefault="00F20ABC" w:rsidP="00303435">
      <w:r w:rsidRPr="00481594">
        <w:rPr>
          <w:noProof/>
          <w:lang w:val="en-GB" w:eastAsia="en-GB"/>
        </w:rPr>
        <w:drawing>
          <wp:inline distT="0" distB="0" distL="0" distR="0" wp14:anchorId="572E473D" wp14:editId="0780E3B6">
            <wp:extent cx="5400040" cy="6497320"/>
            <wp:effectExtent l="0" t="0" r="0" b="0"/>
            <wp:docPr id="42" name="Picture 42" descr="Figure 6: Study V114-021 Forest plot of post-vaccination opsonophagocytic activity geometric mean titre ratios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ure 6: Study V114-021 Forest plot of post-vaccination opsonophagocytic activity geometric mean titre ratios (per protocol population)"/>
                    <pic:cNvPicPr/>
                  </pic:nvPicPr>
                  <pic:blipFill>
                    <a:blip r:embed="rId58"/>
                    <a:stretch>
                      <a:fillRect/>
                    </a:stretch>
                  </pic:blipFill>
                  <pic:spPr>
                    <a:xfrm>
                      <a:off x="0" y="0"/>
                      <a:ext cx="5400040" cy="6497320"/>
                    </a:xfrm>
                    <a:prstGeom prst="rect">
                      <a:avLst/>
                    </a:prstGeom>
                  </pic:spPr>
                </pic:pic>
              </a:graphicData>
            </a:graphic>
          </wp:inline>
        </w:drawing>
      </w:r>
    </w:p>
    <w:p w14:paraId="20F95F39" w14:textId="17501F86" w:rsidR="00EE68BF" w:rsidRPr="00481594" w:rsidRDefault="0047397D" w:rsidP="00EE68BF">
      <w:pPr>
        <w:pStyle w:val="FigureDescription"/>
      </w:pPr>
      <w:r w:rsidRPr="00481594">
        <w:t xml:space="preserve">Abbreviations: </w:t>
      </w:r>
      <w:r w:rsidR="00EE68BF" w:rsidRPr="00481594">
        <w:t>CI = confidence interval; GMT = geometric mean titre; n=number of subjects contributing to the analysis.</w:t>
      </w:r>
    </w:p>
    <w:p w14:paraId="58457530" w14:textId="7369707B" w:rsidR="00B638B1" w:rsidRPr="00481594" w:rsidRDefault="00B638B1" w:rsidP="00B638B1">
      <w:r w:rsidRPr="00481594">
        <w:t xml:space="preserve">Similarly, </w:t>
      </w:r>
      <w:r w:rsidR="00DE0933" w:rsidRPr="00481594">
        <w:t>quadrivalent influenza vaccine</w:t>
      </w:r>
      <w:r w:rsidRPr="00481594">
        <w:t xml:space="preserve"> given concomitantly with </w:t>
      </w:r>
      <w:proofErr w:type="spellStart"/>
      <w:r w:rsidR="00482C41" w:rsidRPr="00481594">
        <w:t>Vaxneuvance</w:t>
      </w:r>
      <w:proofErr w:type="spellEnd"/>
      <w:r w:rsidRPr="00481594">
        <w:t xml:space="preserve"> was found to be non-inferior to </w:t>
      </w:r>
      <w:r w:rsidR="00DE0933" w:rsidRPr="00481594">
        <w:t>quadrivalent influenza vaccine</w:t>
      </w:r>
      <w:r w:rsidRPr="00481594">
        <w:t xml:space="preserve"> given non-concomitantly with </w:t>
      </w:r>
      <w:proofErr w:type="spellStart"/>
      <w:r w:rsidR="00482C41" w:rsidRPr="00481594">
        <w:t>Vaxneuvance</w:t>
      </w:r>
      <w:proofErr w:type="spellEnd"/>
      <w:r w:rsidRPr="00481594">
        <w:t xml:space="preserve"> as assessed by strain</w:t>
      </w:r>
      <w:r w:rsidR="00BE31ED" w:rsidRPr="00481594">
        <w:t xml:space="preserve"> </w:t>
      </w:r>
      <w:r w:rsidRPr="00481594">
        <w:t xml:space="preserve">specific </w:t>
      </w:r>
      <w:r w:rsidR="00BE31ED" w:rsidRPr="00481594">
        <w:t>haemagglutination inhibition</w:t>
      </w:r>
      <w:r w:rsidRPr="00481594">
        <w:t xml:space="preserve"> GMTs at 30 days post-vaccination with </w:t>
      </w:r>
      <w:r w:rsidR="00DE0933" w:rsidRPr="00481594">
        <w:t>quadrivalent influenza vaccine</w:t>
      </w:r>
      <w:r w:rsidRPr="00481594">
        <w:t xml:space="preserve"> for all 4 strains, as shown in </w:t>
      </w:r>
      <w:r w:rsidR="00586C2F" w:rsidRPr="00481594">
        <w:fldChar w:fldCharType="begin"/>
      </w:r>
      <w:r w:rsidR="00586C2F" w:rsidRPr="00481594">
        <w:instrText xml:space="preserve"> REF _Ref108775069 \h </w:instrText>
      </w:r>
      <w:r w:rsidR="00481594">
        <w:instrText xml:space="preserve"> \* MERGEFORMAT </w:instrText>
      </w:r>
      <w:r w:rsidR="00586C2F" w:rsidRPr="00481594">
        <w:fldChar w:fldCharType="separate"/>
      </w:r>
      <w:r w:rsidR="00190330" w:rsidRPr="00481594">
        <w:t xml:space="preserve">Table </w:t>
      </w:r>
      <w:r w:rsidR="00190330">
        <w:rPr>
          <w:noProof/>
        </w:rPr>
        <w:t>28</w:t>
      </w:r>
      <w:r w:rsidR="00586C2F" w:rsidRPr="00481594">
        <w:fldChar w:fldCharType="end"/>
      </w:r>
      <w:r w:rsidR="00586C2F" w:rsidRPr="00481594">
        <w:t xml:space="preserve"> and </w:t>
      </w:r>
      <w:r w:rsidR="00586C2F" w:rsidRPr="00481594">
        <w:fldChar w:fldCharType="begin"/>
      </w:r>
      <w:r w:rsidR="00586C2F" w:rsidRPr="00481594">
        <w:instrText xml:space="preserve"> REF _Ref108775058 \h </w:instrText>
      </w:r>
      <w:r w:rsidR="00481594">
        <w:instrText xml:space="preserve"> \* MERGEFORMAT </w:instrText>
      </w:r>
      <w:r w:rsidR="00586C2F" w:rsidRPr="00481594">
        <w:fldChar w:fldCharType="separate"/>
      </w:r>
      <w:r w:rsidR="00190330" w:rsidRPr="00481594">
        <w:t xml:space="preserve">Figure </w:t>
      </w:r>
      <w:r w:rsidR="00190330">
        <w:rPr>
          <w:noProof/>
        </w:rPr>
        <w:t>7</w:t>
      </w:r>
      <w:r w:rsidR="00586C2F" w:rsidRPr="00481594">
        <w:fldChar w:fldCharType="end"/>
      </w:r>
      <w:r w:rsidR="00586C2F" w:rsidRPr="00481594">
        <w:t>.</w:t>
      </w:r>
    </w:p>
    <w:p w14:paraId="3955DB26" w14:textId="72F63CBB" w:rsidR="00F20ABC" w:rsidRPr="00481594" w:rsidRDefault="00F20ABC" w:rsidP="00A022CA">
      <w:pPr>
        <w:pStyle w:val="TableTitle"/>
      </w:pPr>
      <w:bookmarkStart w:id="81" w:name="_Ref108775069"/>
      <w:r w:rsidRPr="00481594">
        <w:lastRenderedPageBreak/>
        <w:t xml:space="preserve">Table </w:t>
      </w:r>
      <w:r w:rsidRPr="00481594">
        <w:fldChar w:fldCharType="begin"/>
      </w:r>
      <w:r w:rsidRPr="00481594">
        <w:instrText>SEQ Table \* ARABIC</w:instrText>
      </w:r>
      <w:r w:rsidRPr="00481594">
        <w:fldChar w:fldCharType="separate"/>
      </w:r>
      <w:r w:rsidR="00190330">
        <w:rPr>
          <w:noProof/>
        </w:rPr>
        <w:t>28</w:t>
      </w:r>
      <w:r w:rsidRPr="00481594">
        <w:fldChar w:fldCharType="end"/>
      </w:r>
      <w:bookmarkEnd w:id="81"/>
      <w:r w:rsidRPr="00481594">
        <w:t xml:space="preserve">: </w:t>
      </w:r>
      <w:r w:rsidR="00A022CA" w:rsidRPr="00481594">
        <w:t xml:space="preserve">Study </w:t>
      </w:r>
      <w:r w:rsidR="00040793" w:rsidRPr="00481594">
        <w:t>V114-021</w:t>
      </w:r>
      <w:r w:rsidR="00A022CA" w:rsidRPr="00481594">
        <w:t xml:space="preserve"> </w:t>
      </w:r>
      <w:r w:rsidRPr="00481594">
        <w:t xml:space="preserve">Analysis of </w:t>
      </w:r>
      <w:r w:rsidR="00A022CA" w:rsidRPr="00481594">
        <w:t>post-vaccination h</w:t>
      </w:r>
      <w:r w:rsidR="00BC705F" w:rsidRPr="00481594">
        <w:t>a</w:t>
      </w:r>
      <w:r w:rsidR="00A022CA" w:rsidRPr="00481594">
        <w:t>emagglutination inhibition geometric mean titres (per</w:t>
      </w:r>
      <w:r w:rsidR="00A022CA" w:rsidRPr="00481594">
        <w:noBreakHyphen/>
        <w:t>protocol population)</w:t>
      </w:r>
    </w:p>
    <w:p w14:paraId="0E80AE17" w14:textId="79D7A5C5" w:rsidR="00F20ABC" w:rsidRPr="00481594" w:rsidRDefault="00F20ABC" w:rsidP="00303435">
      <w:r w:rsidRPr="00481594">
        <w:rPr>
          <w:noProof/>
          <w:lang w:val="en-GB" w:eastAsia="en-GB"/>
        </w:rPr>
        <w:drawing>
          <wp:inline distT="0" distB="0" distL="0" distR="0" wp14:anchorId="25BF6933" wp14:editId="7DE890DC">
            <wp:extent cx="5400040" cy="1438275"/>
            <wp:effectExtent l="0" t="0" r="0" b="9525"/>
            <wp:docPr id="43" name="Picture 43" descr="Table 28: Study V114-021 Analysis of post-vaccination haemagglutination inhibition geometric mean titres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able 28: Study V114-021 Analysis of post-vaccination haemagglutination inhibition geometric mean titres (per protocol population)"/>
                    <pic:cNvPicPr/>
                  </pic:nvPicPr>
                  <pic:blipFill>
                    <a:blip r:embed="rId59"/>
                    <a:stretch>
                      <a:fillRect/>
                    </a:stretch>
                  </pic:blipFill>
                  <pic:spPr>
                    <a:xfrm>
                      <a:off x="0" y="0"/>
                      <a:ext cx="5400040" cy="1438275"/>
                    </a:xfrm>
                    <a:prstGeom prst="rect">
                      <a:avLst/>
                    </a:prstGeom>
                  </pic:spPr>
                </pic:pic>
              </a:graphicData>
            </a:graphic>
          </wp:inline>
        </w:drawing>
      </w:r>
    </w:p>
    <w:p w14:paraId="442B8D59" w14:textId="4720FFF7" w:rsidR="00EE68BF" w:rsidRPr="00481594" w:rsidRDefault="0047397D" w:rsidP="0038239F">
      <w:pPr>
        <w:pStyle w:val="TableDescription"/>
      </w:pPr>
      <w:r w:rsidRPr="00481594">
        <w:t xml:space="preserve">Abbreviations: </w:t>
      </w:r>
      <w:r w:rsidR="00EE68BF" w:rsidRPr="00481594">
        <w:t>CI = confidence interval; GMT = geometric mean titre</w:t>
      </w:r>
      <w:r w:rsidR="00EE68BF" w:rsidRPr="00481594">
        <w:rPr>
          <w:rStyle w:val="CommentReference"/>
          <w:sz w:val="19"/>
          <w:szCs w:val="19"/>
        </w:rPr>
        <w:t>;</w:t>
      </w:r>
      <w:r w:rsidR="00EE68BF" w:rsidRPr="00481594">
        <w:t xml:space="preserve"> N = number of subjects randomised and vaccinated; n = number of subjects contributing to the analysis.</w:t>
      </w:r>
    </w:p>
    <w:p w14:paraId="55DA79E1" w14:textId="77777777" w:rsidR="00EE68BF" w:rsidRPr="00481594" w:rsidRDefault="00EE68BF" w:rsidP="0038239F">
      <w:pPr>
        <w:pStyle w:val="TableDescription"/>
      </w:pPr>
      <w:r w:rsidRPr="00481594">
        <w:rPr>
          <w:rFonts w:hint="eastAsia"/>
        </w:rPr>
        <w:t>†</w:t>
      </w:r>
      <w:r w:rsidRPr="00481594">
        <w:t xml:space="preserve"> Geometric mean titres (GMTs), GMT ratio, 95% CI, and p-value are estimated from a constrained longitudinal data analysis (</w:t>
      </w:r>
      <w:proofErr w:type="spellStart"/>
      <w:r w:rsidRPr="00481594">
        <w:t>cLDA</w:t>
      </w:r>
      <w:proofErr w:type="spellEnd"/>
      <w:r w:rsidRPr="00481594">
        <w:t>) model.</w:t>
      </w:r>
    </w:p>
    <w:p w14:paraId="398291D1" w14:textId="120C6341" w:rsidR="00EE68BF" w:rsidRPr="00481594" w:rsidRDefault="00EE68BF" w:rsidP="0038239F">
      <w:pPr>
        <w:pStyle w:val="TableDescription"/>
      </w:pPr>
      <w:r w:rsidRPr="00481594">
        <w:t xml:space="preserve">A conclusion of non-inferiority is based on the lower bound of the 95% CI for the estimated GMT ratio (concomitant group/non-concomitant group) being </w:t>
      </w:r>
      <w:r w:rsidR="00841429" w:rsidRPr="00481594">
        <w:t>greater than</w:t>
      </w:r>
      <w:r w:rsidRPr="00481594">
        <w:t xml:space="preserve"> 0.5 (one-sided p-value &lt; 0.025).</w:t>
      </w:r>
    </w:p>
    <w:p w14:paraId="4BFF1092" w14:textId="364981EE" w:rsidR="00586C2F" w:rsidRPr="00481594" w:rsidRDefault="00EE68BF" w:rsidP="0038239F">
      <w:pPr>
        <w:pStyle w:val="TableDescription"/>
      </w:pPr>
      <w:r w:rsidRPr="00481594">
        <w:t>Post-vaccination = 30 days following vaccination with quadrivalent influenza vaccine (QIV) (Day 30 for concomitant group and non</w:t>
      </w:r>
      <w:r w:rsidRPr="00481594">
        <w:noBreakHyphen/>
        <w:t>concomitant group).</w:t>
      </w:r>
    </w:p>
    <w:p w14:paraId="25E27DA6" w14:textId="6614FA92" w:rsidR="00F20ABC" w:rsidRPr="00481594" w:rsidRDefault="00F20ABC" w:rsidP="00A022CA">
      <w:pPr>
        <w:pStyle w:val="FigureTitle"/>
      </w:pPr>
      <w:bookmarkStart w:id="82" w:name="_Ref108775058"/>
      <w:r w:rsidRPr="00481594">
        <w:t xml:space="preserve">Figure </w:t>
      </w:r>
      <w:r w:rsidRPr="00481594">
        <w:fldChar w:fldCharType="begin"/>
      </w:r>
      <w:r w:rsidRPr="00481594">
        <w:instrText>SEQ Figure \* ARABIC</w:instrText>
      </w:r>
      <w:r w:rsidRPr="00481594">
        <w:fldChar w:fldCharType="separate"/>
      </w:r>
      <w:r w:rsidR="00190330">
        <w:rPr>
          <w:noProof/>
        </w:rPr>
        <w:t>7</w:t>
      </w:r>
      <w:r w:rsidRPr="00481594">
        <w:fldChar w:fldCharType="end"/>
      </w:r>
      <w:bookmarkEnd w:id="82"/>
      <w:r w:rsidRPr="00481594">
        <w:t xml:space="preserve">: </w:t>
      </w:r>
      <w:r w:rsidR="00A022CA" w:rsidRPr="00481594">
        <w:t xml:space="preserve">Study </w:t>
      </w:r>
      <w:r w:rsidR="00040793" w:rsidRPr="00481594">
        <w:t>V114-021</w:t>
      </w:r>
      <w:r w:rsidR="00A022CA" w:rsidRPr="00481594">
        <w:t xml:space="preserve"> </w:t>
      </w:r>
      <w:r w:rsidRPr="00481594">
        <w:t xml:space="preserve">Forest </w:t>
      </w:r>
      <w:r w:rsidR="00A022CA" w:rsidRPr="00481594">
        <w:t>plot of post-vaccination h</w:t>
      </w:r>
      <w:r w:rsidR="00BC705F" w:rsidRPr="00481594">
        <w:t>a</w:t>
      </w:r>
      <w:r w:rsidR="00A022CA" w:rsidRPr="00481594">
        <w:t>emagglutination inhibition geometric mean titres (per</w:t>
      </w:r>
      <w:r w:rsidR="00A022CA" w:rsidRPr="00481594">
        <w:noBreakHyphen/>
        <w:t>protocol population</w:t>
      </w:r>
      <w:r w:rsidRPr="00481594">
        <w:t>)</w:t>
      </w:r>
    </w:p>
    <w:p w14:paraId="08A71D58" w14:textId="72FD8A6A" w:rsidR="00586C2F" w:rsidRPr="00481594" w:rsidRDefault="00586C2F" w:rsidP="00303435">
      <w:r w:rsidRPr="00481594">
        <w:rPr>
          <w:noProof/>
          <w:lang w:val="en-GB" w:eastAsia="en-GB"/>
        </w:rPr>
        <w:drawing>
          <wp:inline distT="0" distB="0" distL="0" distR="0" wp14:anchorId="43BF29E9" wp14:editId="50ABF0A9">
            <wp:extent cx="5400040" cy="3721735"/>
            <wp:effectExtent l="0" t="0" r="0" b="0"/>
            <wp:docPr id="45" name="Picture 45" descr="Figure 7: Study V114-021 Forest plot of post-vaccination haemagglutination inhibition geometric mean titres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igure 7: Study V114-021 Forest plot of post-vaccination haemagglutination inhibition geometric mean titres (per protocol population)"/>
                    <pic:cNvPicPr/>
                  </pic:nvPicPr>
                  <pic:blipFill>
                    <a:blip r:embed="rId60"/>
                    <a:stretch>
                      <a:fillRect/>
                    </a:stretch>
                  </pic:blipFill>
                  <pic:spPr>
                    <a:xfrm>
                      <a:off x="0" y="0"/>
                      <a:ext cx="5400040" cy="3721735"/>
                    </a:xfrm>
                    <a:prstGeom prst="rect">
                      <a:avLst/>
                    </a:prstGeom>
                  </pic:spPr>
                </pic:pic>
              </a:graphicData>
            </a:graphic>
          </wp:inline>
        </w:drawing>
      </w:r>
    </w:p>
    <w:p w14:paraId="03B3E817" w14:textId="73060DE5" w:rsidR="00EE68BF" w:rsidRPr="00481594" w:rsidRDefault="0047397D" w:rsidP="0038239F">
      <w:pPr>
        <w:pStyle w:val="FigureDescription"/>
      </w:pPr>
      <w:r w:rsidRPr="00481594">
        <w:t xml:space="preserve">Abbreviations: </w:t>
      </w:r>
      <w:r w:rsidR="00EE68BF" w:rsidRPr="00481594">
        <w:t>CI = confidence interval; GMT = geometric mean titre; n=number of subjects contributing to the analysis.</w:t>
      </w:r>
    </w:p>
    <w:p w14:paraId="7BAD9112" w14:textId="2E292FE5" w:rsidR="00B638B1" w:rsidRPr="00481594" w:rsidRDefault="00B638B1" w:rsidP="00B638B1">
      <w:r w:rsidRPr="00481594">
        <w:t>In terms of secondary immunogenicity endpoints, serotype-specific IgG GMCs at 30 days post</w:t>
      </w:r>
      <w:r w:rsidR="00BE31ED" w:rsidRPr="00481594">
        <w:noBreakHyphen/>
      </w:r>
      <w:r w:rsidRPr="00481594">
        <w:t xml:space="preserve">vaccination with </w:t>
      </w:r>
      <w:proofErr w:type="spellStart"/>
      <w:r w:rsidR="00482C41" w:rsidRPr="00481594">
        <w:t>Vaxneuvance</w:t>
      </w:r>
      <w:proofErr w:type="spellEnd"/>
      <w:r w:rsidRPr="00481594">
        <w:t xml:space="preserve"> were consistent with trends seen for the primary analysis of OPA GMTs, as shown in </w:t>
      </w:r>
      <w:r w:rsidR="00586C2F" w:rsidRPr="00481594">
        <w:fldChar w:fldCharType="begin"/>
      </w:r>
      <w:r w:rsidR="00586C2F" w:rsidRPr="00481594">
        <w:instrText xml:space="preserve"> REF _Ref108775155 \h </w:instrText>
      </w:r>
      <w:r w:rsidR="00481594">
        <w:instrText xml:space="preserve"> \* MERGEFORMAT </w:instrText>
      </w:r>
      <w:r w:rsidR="00586C2F" w:rsidRPr="00481594">
        <w:fldChar w:fldCharType="separate"/>
      </w:r>
      <w:r w:rsidR="00190330" w:rsidRPr="00481594">
        <w:t xml:space="preserve">Table </w:t>
      </w:r>
      <w:r w:rsidR="00190330">
        <w:rPr>
          <w:noProof/>
        </w:rPr>
        <w:t>29</w:t>
      </w:r>
      <w:r w:rsidR="00586C2F" w:rsidRPr="00481594">
        <w:fldChar w:fldCharType="end"/>
      </w:r>
      <w:r w:rsidRPr="00481594">
        <w:t>.</w:t>
      </w:r>
    </w:p>
    <w:p w14:paraId="29D0370C" w14:textId="2B26BF0D" w:rsidR="00586C2F" w:rsidRPr="00481594" w:rsidRDefault="00586C2F" w:rsidP="00A022CA">
      <w:pPr>
        <w:pStyle w:val="TableTitle"/>
      </w:pPr>
      <w:bookmarkStart w:id="83" w:name="_Ref108775155"/>
      <w:r w:rsidRPr="00481594">
        <w:lastRenderedPageBreak/>
        <w:t xml:space="preserve">Table </w:t>
      </w:r>
      <w:r w:rsidRPr="00481594">
        <w:fldChar w:fldCharType="begin"/>
      </w:r>
      <w:r w:rsidRPr="00481594">
        <w:instrText>SEQ Table \* ARABIC</w:instrText>
      </w:r>
      <w:r w:rsidRPr="00481594">
        <w:fldChar w:fldCharType="separate"/>
      </w:r>
      <w:r w:rsidR="00190330">
        <w:rPr>
          <w:noProof/>
        </w:rPr>
        <w:t>29</w:t>
      </w:r>
      <w:r w:rsidRPr="00481594">
        <w:fldChar w:fldCharType="end"/>
      </w:r>
      <w:bookmarkEnd w:id="83"/>
      <w:r w:rsidRPr="00481594">
        <w:t xml:space="preserve">: </w:t>
      </w:r>
      <w:r w:rsidR="00A022CA" w:rsidRPr="00481594">
        <w:t xml:space="preserve">Study </w:t>
      </w:r>
      <w:r w:rsidR="00040793" w:rsidRPr="00481594">
        <w:t>V114-021</w:t>
      </w:r>
      <w:r w:rsidR="00A022CA" w:rsidRPr="00481594">
        <w:t xml:space="preserve"> </w:t>
      </w:r>
      <w:r w:rsidRPr="00481594">
        <w:t xml:space="preserve">Analysis of post-vaccination </w:t>
      </w:r>
      <w:r w:rsidR="000C3C7C" w:rsidRPr="00481594">
        <w:t>immunoglobulin G</w:t>
      </w:r>
      <w:r w:rsidRPr="00481594">
        <w:t xml:space="preserve"> </w:t>
      </w:r>
      <w:r w:rsidR="000C3C7C" w:rsidRPr="00481594">
        <w:t>geometric mean concentration</w:t>
      </w:r>
      <w:r w:rsidRPr="00481594">
        <w:t>s (</w:t>
      </w:r>
      <w:r w:rsidR="000C3C7C" w:rsidRPr="00481594">
        <w:t>per</w:t>
      </w:r>
      <w:r w:rsidR="000C3C7C" w:rsidRPr="00481594">
        <w:noBreakHyphen/>
        <w:t>protocol population</w:t>
      </w:r>
      <w:r w:rsidRPr="00481594">
        <w:t>)</w:t>
      </w:r>
    </w:p>
    <w:p w14:paraId="2D544FDF" w14:textId="5A91AA9D" w:rsidR="00586C2F" w:rsidRPr="00481594" w:rsidRDefault="00586C2F" w:rsidP="00303435">
      <w:r w:rsidRPr="00481594">
        <w:rPr>
          <w:noProof/>
          <w:lang w:val="en-GB" w:eastAsia="en-GB"/>
        </w:rPr>
        <w:drawing>
          <wp:inline distT="0" distB="0" distL="0" distR="0" wp14:anchorId="3DF20F80" wp14:editId="72E02693">
            <wp:extent cx="5400040" cy="3706495"/>
            <wp:effectExtent l="0" t="0" r="0" b="8255"/>
            <wp:docPr id="46" name="Picture 46" descr="Table 29: Study V114-021 Analysis of post-vaccination immunoglobulin G geometric mean concentrations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able 29: Study V114-021 Analysis of post-vaccination immunoglobulin G geometric mean concentrations (per protocol population)"/>
                    <pic:cNvPicPr/>
                  </pic:nvPicPr>
                  <pic:blipFill>
                    <a:blip r:embed="rId61"/>
                    <a:stretch>
                      <a:fillRect/>
                    </a:stretch>
                  </pic:blipFill>
                  <pic:spPr>
                    <a:xfrm>
                      <a:off x="0" y="0"/>
                      <a:ext cx="5400040" cy="3706495"/>
                    </a:xfrm>
                    <a:prstGeom prst="rect">
                      <a:avLst/>
                    </a:prstGeom>
                  </pic:spPr>
                </pic:pic>
              </a:graphicData>
            </a:graphic>
          </wp:inline>
        </w:drawing>
      </w:r>
    </w:p>
    <w:p w14:paraId="5D209F0B" w14:textId="1B82A7D4" w:rsidR="0038239F" w:rsidRPr="00481594" w:rsidRDefault="0047397D" w:rsidP="0038239F">
      <w:pPr>
        <w:pStyle w:val="TableDescription"/>
      </w:pPr>
      <w:r w:rsidRPr="00481594">
        <w:t xml:space="preserve">Abbreviations: </w:t>
      </w:r>
      <w:r w:rsidR="0038239F" w:rsidRPr="00481594">
        <w:t>CI = confidence interval; GMC = geometric mean concentration</w:t>
      </w:r>
      <w:r w:rsidR="0038239F" w:rsidRPr="00481594">
        <w:rPr>
          <w:rStyle w:val="CommentReference"/>
          <w:sz w:val="19"/>
          <w:szCs w:val="19"/>
        </w:rPr>
        <w:t>;</w:t>
      </w:r>
      <w:r w:rsidR="0038239F" w:rsidRPr="00481594">
        <w:t xml:space="preserve"> N = number of subjects randomised and vaccinated; n = number of subjects contributing to the analysis.</w:t>
      </w:r>
    </w:p>
    <w:p w14:paraId="47824562" w14:textId="489657BC" w:rsidR="0038239F" w:rsidRPr="00481594" w:rsidRDefault="0038239F" w:rsidP="0038239F">
      <w:pPr>
        <w:pStyle w:val="TableDescription"/>
      </w:pPr>
      <w:r w:rsidRPr="00481594">
        <w:rPr>
          <w:rFonts w:hint="eastAsia"/>
        </w:rPr>
        <w:t>†</w:t>
      </w:r>
      <w:r w:rsidRPr="00481594">
        <w:t xml:space="preserve"> Geometric mean concentrations (GMCs), GMC ratio, 95% CI are estimated from a constrained longitudinal data analysis (</w:t>
      </w:r>
      <w:proofErr w:type="spellStart"/>
      <w:r w:rsidRPr="00481594">
        <w:t>cLDA</w:t>
      </w:r>
      <w:proofErr w:type="spellEnd"/>
      <w:r w:rsidRPr="00481594">
        <w:t>) model.</w:t>
      </w:r>
    </w:p>
    <w:p w14:paraId="5F15599B" w14:textId="0C4DEDB6" w:rsidR="00586C2F" w:rsidRPr="00481594" w:rsidRDefault="0038239F" w:rsidP="0038239F">
      <w:pPr>
        <w:pStyle w:val="TableDescription"/>
      </w:pPr>
      <w:r w:rsidRPr="00481594">
        <w:t xml:space="preserve">Post-vaccination = 30 days following vaccination with </w:t>
      </w:r>
      <w:proofErr w:type="spellStart"/>
      <w:r w:rsidRPr="00481594">
        <w:t>Vaxneuvance</w:t>
      </w:r>
      <w:proofErr w:type="spellEnd"/>
      <w:r w:rsidRPr="00481594">
        <w:t xml:space="preserve"> (V114) (Day 30 for concomitant group and Day 60 for non</w:t>
      </w:r>
      <w:r w:rsidRPr="00481594">
        <w:noBreakHyphen/>
        <w:t>concomitant group).</w:t>
      </w:r>
    </w:p>
    <w:p w14:paraId="4CA34930" w14:textId="0AE8672D" w:rsidR="00B638B1" w:rsidRPr="00481594" w:rsidRDefault="001527B0" w:rsidP="00B638B1">
      <w:r w:rsidRPr="00481594">
        <w:t>Opsonophagocytic activity (</w:t>
      </w:r>
      <w:r w:rsidR="00B638B1" w:rsidRPr="00481594">
        <w:t>OPA</w:t>
      </w:r>
      <w:r w:rsidRPr="00481594">
        <w:t>)</w:t>
      </w:r>
      <w:r w:rsidR="00B638B1" w:rsidRPr="00481594">
        <w:t xml:space="preserve"> GMFRs and proportions of subjects with a</w:t>
      </w:r>
      <w:r w:rsidR="007F232D">
        <w:t>n</w:t>
      </w:r>
      <w:r w:rsidR="00B638B1" w:rsidRPr="00481594">
        <w:t xml:space="preserve"> </w:t>
      </w:r>
      <w:r w:rsidR="00626CC0" w:rsidRPr="00481594">
        <w:t>at least</w:t>
      </w:r>
      <w:r w:rsidR="00BE31ED" w:rsidRPr="00481594">
        <w:t xml:space="preserve"> </w:t>
      </w:r>
      <w:r w:rsidR="00B638B1" w:rsidRPr="00481594">
        <w:t>4</w:t>
      </w:r>
      <w:r w:rsidR="00626CC0" w:rsidRPr="00481594">
        <w:noBreakHyphen/>
      </w:r>
      <w:r w:rsidR="00B638B1" w:rsidRPr="00481594">
        <w:t>fold</w:t>
      </w:r>
      <w:r w:rsidR="00BE31ED" w:rsidRPr="00481594">
        <w:t xml:space="preserve"> </w:t>
      </w:r>
      <w:r w:rsidR="00B638B1" w:rsidRPr="00481594">
        <w:t xml:space="preserve">rise in OPA with </w:t>
      </w:r>
      <w:proofErr w:type="spellStart"/>
      <w:r w:rsidR="00E31079" w:rsidRPr="00481594">
        <w:t>Vaxneuvance</w:t>
      </w:r>
      <w:proofErr w:type="spellEnd"/>
      <w:r w:rsidR="00E31079" w:rsidRPr="00481594">
        <w:t xml:space="preserve"> </w:t>
      </w:r>
      <w:r w:rsidR="00B638B1" w:rsidRPr="00481594">
        <w:t xml:space="preserve">were generally comparable between the concomitant and non-concomitant groups. </w:t>
      </w:r>
      <w:r w:rsidR="00BE31ED" w:rsidRPr="00481594">
        <w:t>haemagglutination inhibition</w:t>
      </w:r>
      <w:r w:rsidR="00B638B1" w:rsidRPr="00481594">
        <w:t xml:space="preserve"> GMTs, GMFRs, proportions of subjects with </w:t>
      </w:r>
      <w:r w:rsidR="00BE31ED" w:rsidRPr="00481594">
        <w:t>haemagglutination inhibition</w:t>
      </w:r>
      <w:r w:rsidR="00B638B1" w:rsidRPr="00481594">
        <w:t xml:space="preserve"> titre </w:t>
      </w:r>
      <w:r w:rsidR="00841429" w:rsidRPr="00481594">
        <w:t>greater than</w:t>
      </w:r>
      <w:r w:rsidR="00BE31ED" w:rsidRPr="00481594">
        <w:t xml:space="preserve"> </w:t>
      </w:r>
      <w:r w:rsidR="00B638B1" w:rsidRPr="00481594">
        <w:t xml:space="preserve">1:40 and proportions of participants who seroconverted at 30 days post-vaccination with </w:t>
      </w:r>
      <w:r w:rsidR="00DE0933" w:rsidRPr="00481594">
        <w:t>quadrivalent influenza vaccine</w:t>
      </w:r>
      <w:r w:rsidR="00B638B1" w:rsidRPr="00481594">
        <w:t xml:space="preserve"> were generally comparable between the concomitant and non-concomitant groups.</w:t>
      </w:r>
    </w:p>
    <w:p w14:paraId="2F3B94C6" w14:textId="50BBA59F" w:rsidR="00B638B1" w:rsidRPr="00481594" w:rsidRDefault="00B638B1" w:rsidP="00B638B1">
      <w:r w:rsidRPr="00481594">
        <w:t xml:space="preserve">Subgroup analyses by age, sex, </w:t>
      </w:r>
      <w:proofErr w:type="gramStart"/>
      <w:r w:rsidRPr="00481594">
        <w:t>race</w:t>
      </w:r>
      <w:proofErr w:type="gramEnd"/>
      <w:r w:rsidRPr="00481594">
        <w:t xml:space="preserve"> and ethnicity were consistent with the overall population for serotype</w:t>
      </w:r>
      <w:r w:rsidR="00BE31ED" w:rsidRPr="00481594">
        <w:t xml:space="preserve"> </w:t>
      </w:r>
      <w:r w:rsidRPr="00481594">
        <w:t>specific OPA GMT ratios and strain</w:t>
      </w:r>
      <w:r w:rsidR="00BE31ED" w:rsidRPr="00481594">
        <w:t xml:space="preserve"> </w:t>
      </w:r>
      <w:r w:rsidRPr="00481594">
        <w:t xml:space="preserve">specific </w:t>
      </w:r>
      <w:r w:rsidR="00BE31ED" w:rsidRPr="00481594">
        <w:t>haemagglutination inhibition</w:t>
      </w:r>
      <w:r w:rsidRPr="00481594">
        <w:t xml:space="preserve"> GMT ratios at 30 days post-vaccination. </w:t>
      </w:r>
      <w:r w:rsidR="00BE31ED" w:rsidRPr="00481594">
        <w:t>Similarly,</w:t>
      </w:r>
      <w:r w:rsidRPr="00481594">
        <w:t xml:space="preserve"> subgroup analyses by history of Pneumovax 23 administration was consistent with the overall population.</w:t>
      </w:r>
    </w:p>
    <w:p w14:paraId="2E62D153" w14:textId="20051B0C" w:rsidR="00B638B1" w:rsidRPr="00481594" w:rsidRDefault="00B638B1" w:rsidP="00B638B1">
      <w:pPr>
        <w:pStyle w:val="Heading5"/>
        <w:rPr>
          <w:lang w:eastAsia="ja-JP"/>
        </w:rPr>
      </w:pPr>
      <w:r w:rsidRPr="00481594">
        <w:rPr>
          <w:lang w:eastAsia="ja-JP"/>
        </w:rPr>
        <w:t>Study V114-007</w:t>
      </w:r>
    </w:p>
    <w:p w14:paraId="1BC73DB5" w14:textId="35F9FF6D" w:rsidR="00B638B1" w:rsidRPr="00481594" w:rsidRDefault="00B638B1" w:rsidP="00B638B1">
      <w:r w:rsidRPr="00481594">
        <w:t xml:space="preserve">Study V114-007 was a </w:t>
      </w:r>
      <w:r w:rsidR="00262F42" w:rsidRPr="00481594">
        <w:t>Phase II</w:t>
      </w:r>
      <w:r w:rsidRPr="00481594">
        <w:t xml:space="preserve">, multicentre, </w:t>
      </w:r>
      <w:proofErr w:type="gramStart"/>
      <w:r w:rsidRPr="00481594">
        <w:t>double</w:t>
      </w:r>
      <w:r w:rsidR="00BE31ED" w:rsidRPr="00481594">
        <w:t xml:space="preserve"> </w:t>
      </w:r>
      <w:r w:rsidRPr="00481594">
        <w:t>blind</w:t>
      </w:r>
      <w:proofErr w:type="gramEnd"/>
      <w:r w:rsidRPr="00481594">
        <w:t xml:space="preserve"> study of the safety and immunogenicity of </w:t>
      </w:r>
      <w:proofErr w:type="spellStart"/>
      <w:r w:rsidR="00E31079" w:rsidRPr="00481594">
        <w:t>Vaxneuvance</w:t>
      </w:r>
      <w:proofErr w:type="spellEnd"/>
      <w:r w:rsidR="00E31079" w:rsidRPr="00481594">
        <w:t xml:space="preserve"> </w:t>
      </w:r>
      <w:r w:rsidRPr="00481594">
        <w:t>compared to Prevnar 13 in healthy adults 65 years of age or older previously vaccinated with a 23-valent pneumococcal polysaccharide vaccine.</w:t>
      </w:r>
    </w:p>
    <w:p w14:paraId="4597110F" w14:textId="2C1B2686" w:rsidR="00B638B1" w:rsidRPr="00481594" w:rsidRDefault="00B638B1" w:rsidP="00B638B1">
      <w:r w:rsidRPr="00481594">
        <w:t>The primary objectives were to demonstrate safety and tolerability of both vaccinations and to summarise the serotype</w:t>
      </w:r>
      <w:r w:rsidR="00BE31ED" w:rsidRPr="00481594">
        <w:t xml:space="preserve"> </w:t>
      </w:r>
      <w:r w:rsidRPr="00481594">
        <w:t xml:space="preserve">specific IgG response measured at </w:t>
      </w:r>
      <w:r w:rsidR="00C87B92" w:rsidRPr="00481594">
        <w:t>Day</w:t>
      </w:r>
      <w:r w:rsidRPr="00481594">
        <w:t xml:space="preserve"> 1 and </w:t>
      </w:r>
      <w:r w:rsidR="00C87B92" w:rsidRPr="00481594">
        <w:t>Day</w:t>
      </w:r>
      <w:r w:rsidRPr="00481594">
        <w:t xml:space="preserve"> 30 post</w:t>
      </w:r>
      <w:r w:rsidR="00BE31ED" w:rsidRPr="00481594">
        <w:noBreakHyphen/>
      </w:r>
      <w:r w:rsidRPr="00481594">
        <w:t>vaccination.</w:t>
      </w:r>
    </w:p>
    <w:p w14:paraId="4F765127" w14:textId="69C82D32" w:rsidR="00B638B1" w:rsidRPr="00481594" w:rsidRDefault="00B638B1" w:rsidP="00B638B1">
      <w:r w:rsidRPr="00481594">
        <w:lastRenderedPageBreak/>
        <w:t xml:space="preserve">A total of 253 subjects were randomised in the study (127 in the </w:t>
      </w:r>
      <w:proofErr w:type="spellStart"/>
      <w:r w:rsidR="00482C41" w:rsidRPr="00481594">
        <w:t>Vaxneuvance</w:t>
      </w:r>
      <w:proofErr w:type="spellEnd"/>
      <w:r w:rsidRPr="00481594">
        <w:t xml:space="preserve"> group and 126 in the Prevnar 13 group). Baseline demographic characteristics were similar in both treatment groups.</w:t>
      </w:r>
    </w:p>
    <w:p w14:paraId="091423CE" w14:textId="54B08CEE" w:rsidR="00B638B1" w:rsidRPr="00481594" w:rsidRDefault="00B638B1" w:rsidP="00B638B1">
      <w:r w:rsidRPr="00481594">
        <w:t xml:space="preserve">Baseline antibody levels were similar across the 2 vaccination groups and observed values were similar in subjects given </w:t>
      </w:r>
      <w:proofErr w:type="spellStart"/>
      <w:r w:rsidR="00482C41" w:rsidRPr="00481594">
        <w:t>Vaxneuvance</w:t>
      </w:r>
      <w:proofErr w:type="spellEnd"/>
      <w:r w:rsidRPr="00481594">
        <w:t xml:space="preserve"> compared to Prevnar 13 recipients for IgG GMCs at </w:t>
      </w:r>
      <w:r w:rsidR="00C87B92" w:rsidRPr="00481594">
        <w:t>Day</w:t>
      </w:r>
      <w:r w:rsidRPr="00481594">
        <w:t xml:space="preserve"> 30, GMFRs and percentages of subjects with a</w:t>
      </w:r>
      <w:r w:rsidR="007F232D">
        <w:t>n</w:t>
      </w:r>
      <w:r w:rsidRPr="00481594">
        <w:t xml:space="preserve"> </w:t>
      </w:r>
      <w:r w:rsidR="00626CC0" w:rsidRPr="00481594">
        <w:t>at least</w:t>
      </w:r>
      <w:r w:rsidR="00BE31ED" w:rsidRPr="00481594">
        <w:t xml:space="preserve"> </w:t>
      </w:r>
      <w:r w:rsidRPr="00481594">
        <w:t>4-fold</w:t>
      </w:r>
      <w:r w:rsidR="00BE31ED" w:rsidRPr="00481594">
        <w:t xml:space="preserve"> </w:t>
      </w:r>
      <w:r w:rsidRPr="00481594">
        <w:t xml:space="preserve">rise from </w:t>
      </w:r>
      <w:r w:rsidR="00BE31ED" w:rsidRPr="00481594">
        <w:t xml:space="preserve">Baseline </w:t>
      </w:r>
      <w:r w:rsidRPr="00481594">
        <w:t xml:space="preserve">for the shared serotypes in the 2 vaccines, as shown in </w:t>
      </w:r>
      <w:r w:rsidR="008D1F77" w:rsidRPr="00481594">
        <w:fldChar w:fldCharType="begin"/>
      </w:r>
      <w:r w:rsidR="008D1F77" w:rsidRPr="00481594">
        <w:instrText xml:space="preserve"> REF _Ref108802759 \h </w:instrText>
      </w:r>
      <w:r w:rsidR="00481594">
        <w:instrText xml:space="preserve"> \* MERGEFORMAT </w:instrText>
      </w:r>
      <w:r w:rsidR="008D1F77" w:rsidRPr="00481594">
        <w:fldChar w:fldCharType="separate"/>
      </w:r>
      <w:r w:rsidR="00190330" w:rsidRPr="00481594">
        <w:t xml:space="preserve">Table </w:t>
      </w:r>
      <w:r w:rsidR="00190330">
        <w:rPr>
          <w:noProof/>
        </w:rPr>
        <w:t>30</w:t>
      </w:r>
      <w:r w:rsidR="008D1F77" w:rsidRPr="00481594">
        <w:fldChar w:fldCharType="end"/>
      </w:r>
      <w:r w:rsidR="008D1F77" w:rsidRPr="00481594">
        <w:t>.</w:t>
      </w:r>
    </w:p>
    <w:p w14:paraId="4C2B78D6" w14:textId="160310C3" w:rsidR="008D1F77" w:rsidRPr="00481594" w:rsidRDefault="008D1F77" w:rsidP="00A022CA">
      <w:pPr>
        <w:pStyle w:val="TableTitle"/>
      </w:pPr>
      <w:bookmarkStart w:id="84" w:name="_Ref108802759"/>
      <w:r w:rsidRPr="00481594">
        <w:lastRenderedPageBreak/>
        <w:t xml:space="preserve">Table </w:t>
      </w:r>
      <w:r w:rsidRPr="00481594">
        <w:fldChar w:fldCharType="begin"/>
      </w:r>
      <w:r w:rsidRPr="00481594">
        <w:instrText>SEQ Table \* ARABIC</w:instrText>
      </w:r>
      <w:r w:rsidRPr="00481594">
        <w:fldChar w:fldCharType="separate"/>
      </w:r>
      <w:r w:rsidR="00190330">
        <w:rPr>
          <w:noProof/>
        </w:rPr>
        <w:t>30</w:t>
      </w:r>
      <w:r w:rsidRPr="00481594">
        <w:fldChar w:fldCharType="end"/>
      </w:r>
      <w:bookmarkEnd w:id="84"/>
      <w:r w:rsidRPr="00481594">
        <w:t xml:space="preserve">: </w:t>
      </w:r>
      <w:r w:rsidR="00A022CA" w:rsidRPr="00481594">
        <w:t xml:space="preserve">Study </w:t>
      </w:r>
      <w:r w:rsidR="001F5987" w:rsidRPr="00481594">
        <w:t xml:space="preserve">V114-007 </w:t>
      </w:r>
      <w:r w:rsidRPr="00481594">
        <w:t xml:space="preserve">Summary of </w:t>
      </w:r>
      <w:r w:rsidR="000C3C7C" w:rsidRPr="00481594">
        <w:t>immunoglobulin G</w:t>
      </w:r>
      <w:r w:rsidRPr="00481594">
        <w:t xml:space="preserve"> </w:t>
      </w:r>
      <w:r w:rsidR="00A022CA" w:rsidRPr="00481594">
        <w:t>antibody responses (per</w:t>
      </w:r>
      <w:r w:rsidR="00A022CA" w:rsidRPr="00481594">
        <w:noBreakHyphen/>
        <w:t>protocol population)</w:t>
      </w:r>
    </w:p>
    <w:p w14:paraId="4E0D0223" w14:textId="29954080" w:rsidR="008D1F77" w:rsidRPr="00481594" w:rsidRDefault="008D1F77" w:rsidP="00303435">
      <w:r w:rsidRPr="00481594">
        <w:rPr>
          <w:noProof/>
          <w:lang w:val="en-GB" w:eastAsia="en-GB"/>
        </w:rPr>
        <w:drawing>
          <wp:inline distT="0" distB="0" distL="0" distR="0" wp14:anchorId="6430701C" wp14:editId="6E915F41">
            <wp:extent cx="5400040" cy="7222490"/>
            <wp:effectExtent l="19050" t="19050" r="10160" b="16510"/>
            <wp:docPr id="67" name="Picture 67" descr="Table 30: Study V114-007 Summary of immunoglobulin G antibody responses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able 30: Study V114-007 Summary of immunoglobulin G antibody responses (per protocol population)"/>
                    <pic:cNvPicPr/>
                  </pic:nvPicPr>
                  <pic:blipFill>
                    <a:blip r:embed="rId62"/>
                    <a:stretch>
                      <a:fillRect/>
                    </a:stretch>
                  </pic:blipFill>
                  <pic:spPr>
                    <a:xfrm>
                      <a:off x="0" y="0"/>
                      <a:ext cx="5400040" cy="7222490"/>
                    </a:xfrm>
                    <a:prstGeom prst="rect">
                      <a:avLst/>
                    </a:prstGeom>
                    <a:ln>
                      <a:solidFill>
                        <a:schemeClr val="tx1"/>
                      </a:solidFill>
                    </a:ln>
                  </pic:spPr>
                </pic:pic>
              </a:graphicData>
            </a:graphic>
          </wp:inline>
        </w:drawing>
      </w:r>
    </w:p>
    <w:p w14:paraId="551EBDAB" w14:textId="52194E4B" w:rsidR="008839FF" w:rsidRPr="00481594" w:rsidRDefault="00E31079" w:rsidP="008839FF">
      <w:pPr>
        <w:pStyle w:val="TableDescription"/>
      </w:pPr>
      <w:r w:rsidRPr="00481594">
        <w:t xml:space="preserve">Abbreviations: </w:t>
      </w:r>
      <w:r w:rsidR="008839FF" w:rsidRPr="00481594">
        <w:t xml:space="preserve">CI = confidence interval; GMC = geometric mean concentration; GMFR = geometric mean fold rise; N = number of subjects randomised and vaccinated; n = number of subjects contributing to the analysis; V114 = sponsor’s product development code for </w:t>
      </w:r>
      <w:proofErr w:type="spellStart"/>
      <w:r w:rsidR="008839FF" w:rsidRPr="00481594">
        <w:t>Vaxneuvance</w:t>
      </w:r>
      <w:proofErr w:type="spellEnd"/>
      <w:r w:rsidR="008839FF" w:rsidRPr="00481594">
        <w:t>.</w:t>
      </w:r>
    </w:p>
    <w:p w14:paraId="2AD6C903" w14:textId="619C2C0C" w:rsidR="008839FF" w:rsidRPr="00481594" w:rsidRDefault="0075727A" w:rsidP="0075727A">
      <w:pPr>
        <w:pStyle w:val="TableDescription"/>
      </w:pPr>
      <w:r w:rsidRPr="00481594">
        <w:rPr>
          <w:rFonts w:hint="eastAsia"/>
        </w:rPr>
        <w:t>†</w:t>
      </w:r>
      <w:r w:rsidR="008839FF" w:rsidRPr="00481594">
        <w:t xml:space="preserve"> For the continuous endpoints, the within group 95% CIs are obtained by exponentiating the CIs of the mean of the natural log values based on the t-distribution. For the dichotomous endpoints, the within group 95% CIs are based on the exact binomial method proposed by clopper and Pearson.</w:t>
      </w:r>
    </w:p>
    <w:p w14:paraId="00641A78" w14:textId="79AC188E" w:rsidR="008D1F77" w:rsidRPr="00481594" w:rsidRDefault="008839FF" w:rsidP="0075727A">
      <w:pPr>
        <w:pStyle w:val="TableDescription"/>
      </w:pPr>
      <w:r w:rsidRPr="00481594">
        <w:lastRenderedPageBreak/>
        <w:t>Day 1 is pre-vaccination with pneumococcal conjugate vaccine (</w:t>
      </w:r>
      <w:proofErr w:type="spellStart"/>
      <w:r w:rsidR="00E31079" w:rsidRPr="00481594">
        <w:t>Vaxneuvance</w:t>
      </w:r>
      <w:proofErr w:type="spellEnd"/>
      <w:r w:rsidR="00E31079" w:rsidRPr="00481594">
        <w:t xml:space="preserve"> </w:t>
      </w:r>
      <w:r w:rsidRPr="00481594">
        <w:t>or Prevnar 13) (PCV). Day</w:t>
      </w:r>
      <w:r w:rsidR="00E31079" w:rsidRPr="00481594">
        <w:t> </w:t>
      </w:r>
      <w:r w:rsidRPr="00481594">
        <w:t>30 is 30 days following vaccination with PCV.</w:t>
      </w:r>
    </w:p>
    <w:p w14:paraId="64AE591F" w14:textId="093D2A77" w:rsidR="00B638B1" w:rsidRPr="00481594" w:rsidRDefault="00B638B1" w:rsidP="00B638B1">
      <w:r w:rsidRPr="00481594">
        <w:t>Serotype</w:t>
      </w:r>
      <w:r w:rsidR="00BE31ED" w:rsidRPr="00481594">
        <w:t xml:space="preserve"> </w:t>
      </w:r>
      <w:r w:rsidRPr="00481594">
        <w:t xml:space="preserve">specific OPA responses were a secondary immunogenicity objective. Observed values were similar in subjects given </w:t>
      </w:r>
      <w:proofErr w:type="spellStart"/>
      <w:r w:rsidR="00482C41" w:rsidRPr="00481594">
        <w:t>Vaxneuvance</w:t>
      </w:r>
      <w:proofErr w:type="spellEnd"/>
      <w:r w:rsidRPr="00481594">
        <w:t xml:space="preserve"> </w:t>
      </w:r>
      <w:r w:rsidR="00262F42" w:rsidRPr="00481594">
        <w:t>versus</w:t>
      </w:r>
      <w:r w:rsidRPr="00481594">
        <w:t xml:space="preserve"> Prevnar 13 for OPA GMTs at </w:t>
      </w:r>
      <w:r w:rsidR="00C87B92" w:rsidRPr="00481594">
        <w:t>Day</w:t>
      </w:r>
      <w:r w:rsidRPr="00481594">
        <w:t xml:space="preserve"> 30, GMFRs and percentages of subjects with a</w:t>
      </w:r>
      <w:r w:rsidR="007F232D">
        <w:t>n</w:t>
      </w:r>
      <w:r w:rsidRPr="00481594">
        <w:t xml:space="preserve"> </w:t>
      </w:r>
      <w:r w:rsidR="00626CC0" w:rsidRPr="00481594">
        <w:t>at least</w:t>
      </w:r>
      <w:r w:rsidR="00BE31ED" w:rsidRPr="00481594">
        <w:t xml:space="preserve"> </w:t>
      </w:r>
      <w:r w:rsidRPr="00481594">
        <w:t>4-fold</w:t>
      </w:r>
      <w:r w:rsidR="00BE31ED" w:rsidRPr="00481594">
        <w:t xml:space="preserve"> </w:t>
      </w:r>
      <w:r w:rsidRPr="00481594">
        <w:t xml:space="preserve">rise from </w:t>
      </w:r>
      <w:r w:rsidR="00BE31ED" w:rsidRPr="00481594">
        <w:t xml:space="preserve">Baseline </w:t>
      </w:r>
      <w:r w:rsidRPr="00481594">
        <w:t xml:space="preserve">in OPA responses for the 13 shared serotypes from both vaccines, whilst being higher after </w:t>
      </w:r>
      <w:proofErr w:type="spellStart"/>
      <w:r w:rsidR="00E31079" w:rsidRPr="00481594">
        <w:t>Vaxneuvance</w:t>
      </w:r>
      <w:proofErr w:type="spellEnd"/>
      <w:r w:rsidR="00E31079" w:rsidRPr="00481594">
        <w:t xml:space="preserve"> </w:t>
      </w:r>
      <w:r w:rsidR="00262F42" w:rsidRPr="00481594">
        <w:t>versus</w:t>
      </w:r>
      <w:r w:rsidRPr="00481594">
        <w:t xml:space="preserve"> Prevnar 13 for the unique serotypes 22F and 33 F</w:t>
      </w:r>
      <w:r w:rsidR="00BE31ED" w:rsidRPr="00481594">
        <w:t xml:space="preserve"> </w:t>
      </w:r>
      <w:r w:rsidRPr="00481594">
        <w:t>(</w:t>
      </w:r>
      <w:r w:rsidR="008D1F77" w:rsidRPr="00481594">
        <w:fldChar w:fldCharType="begin"/>
      </w:r>
      <w:r w:rsidR="008D1F77" w:rsidRPr="00481594">
        <w:instrText xml:space="preserve"> REF _Ref108803042 \h </w:instrText>
      </w:r>
      <w:r w:rsidR="00481594">
        <w:instrText xml:space="preserve"> \* MERGEFORMAT </w:instrText>
      </w:r>
      <w:r w:rsidR="008D1F77" w:rsidRPr="00481594">
        <w:fldChar w:fldCharType="separate"/>
      </w:r>
      <w:r w:rsidR="00190330" w:rsidRPr="00481594">
        <w:t xml:space="preserve">Table </w:t>
      </w:r>
      <w:r w:rsidR="00190330">
        <w:rPr>
          <w:noProof/>
        </w:rPr>
        <w:t>31</w:t>
      </w:r>
      <w:r w:rsidR="008D1F77" w:rsidRPr="00481594">
        <w:fldChar w:fldCharType="end"/>
      </w:r>
      <w:r w:rsidRPr="00481594">
        <w:t>).</w:t>
      </w:r>
    </w:p>
    <w:p w14:paraId="46E213AC" w14:textId="33A08E24" w:rsidR="008D1F77" w:rsidRPr="00481594" w:rsidRDefault="008D1F77" w:rsidP="00A022CA">
      <w:pPr>
        <w:pStyle w:val="TableTitle"/>
      </w:pPr>
      <w:bookmarkStart w:id="85" w:name="_Ref108803042"/>
      <w:r w:rsidRPr="00481594">
        <w:t xml:space="preserve">Table </w:t>
      </w:r>
      <w:r w:rsidRPr="00481594">
        <w:fldChar w:fldCharType="begin"/>
      </w:r>
      <w:r w:rsidRPr="00481594">
        <w:instrText>SEQ Table \* ARABIC</w:instrText>
      </w:r>
      <w:r w:rsidRPr="00481594">
        <w:fldChar w:fldCharType="separate"/>
      </w:r>
      <w:r w:rsidR="00190330">
        <w:rPr>
          <w:noProof/>
        </w:rPr>
        <w:t>31</w:t>
      </w:r>
      <w:r w:rsidRPr="00481594">
        <w:fldChar w:fldCharType="end"/>
      </w:r>
      <w:bookmarkEnd w:id="85"/>
      <w:r w:rsidRPr="00481594">
        <w:t xml:space="preserve">: </w:t>
      </w:r>
      <w:r w:rsidR="00A022CA" w:rsidRPr="00481594">
        <w:t xml:space="preserve">Study </w:t>
      </w:r>
      <w:r w:rsidR="001F5987" w:rsidRPr="00481594">
        <w:t xml:space="preserve">V114-007 </w:t>
      </w:r>
      <w:r w:rsidRPr="00481594">
        <w:t xml:space="preserve">Summary of </w:t>
      </w:r>
      <w:r w:rsidR="000C3C7C" w:rsidRPr="00481594">
        <w:t>opsonophagocytic activity</w:t>
      </w:r>
      <w:r w:rsidRPr="00481594">
        <w:t xml:space="preserve"> </w:t>
      </w:r>
      <w:r w:rsidR="00A022CA" w:rsidRPr="00481594">
        <w:t>antibody responses (per</w:t>
      </w:r>
      <w:r w:rsidR="00A022CA" w:rsidRPr="00481594">
        <w:noBreakHyphen/>
        <w:t>protocol population)</w:t>
      </w:r>
    </w:p>
    <w:p w14:paraId="61B79E72" w14:textId="45919722" w:rsidR="008D1F77" w:rsidRPr="00481594" w:rsidRDefault="008D1F77" w:rsidP="00303435">
      <w:r w:rsidRPr="00481594">
        <w:rPr>
          <w:noProof/>
          <w:lang w:val="en-GB" w:eastAsia="en-GB"/>
        </w:rPr>
        <w:drawing>
          <wp:inline distT="0" distB="0" distL="0" distR="0" wp14:anchorId="6E0FC78A" wp14:editId="668DC0DB">
            <wp:extent cx="5400040" cy="7245985"/>
            <wp:effectExtent l="19050" t="19050" r="10160" b="12065"/>
            <wp:docPr id="69" name="Picture 69" descr="Table 31: Study V114-007 Summary of opsonophagocytic activity antibody responses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able 31: Study V114-007 Summary of opsonophagocytic activity antibody responses (per protocol population)"/>
                    <pic:cNvPicPr/>
                  </pic:nvPicPr>
                  <pic:blipFill>
                    <a:blip r:embed="rId63"/>
                    <a:stretch>
                      <a:fillRect/>
                    </a:stretch>
                  </pic:blipFill>
                  <pic:spPr>
                    <a:xfrm>
                      <a:off x="0" y="0"/>
                      <a:ext cx="5400040" cy="7245985"/>
                    </a:xfrm>
                    <a:prstGeom prst="rect">
                      <a:avLst/>
                    </a:prstGeom>
                    <a:ln>
                      <a:solidFill>
                        <a:schemeClr val="tx1"/>
                      </a:solidFill>
                    </a:ln>
                  </pic:spPr>
                </pic:pic>
              </a:graphicData>
            </a:graphic>
          </wp:inline>
        </w:drawing>
      </w:r>
    </w:p>
    <w:p w14:paraId="609753BA" w14:textId="7FFE9271" w:rsidR="008839FF" w:rsidRPr="00481594" w:rsidRDefault="00E31079" w:rsidP="0075727A">
      <w:pPr>
        <w:pStyle w:val="TableDescription"/>
      </w:pPr>
      <w:r w:rsidRPr="00481594">
        <w:lastRenderedPageBreak/>
        <w:t xml:space="preserve">Abbreviations: </w:t>
      </w:r>
      <w:r w:rsidR="008839FF" w:rsidRPr="00481594">
        <w:t xml:space="preserve">CI = confidence interval; GMC = geometric mean concentration; GMFR = geometric mean fold rise; N = number of subjects randomised and vaccinated; n = number of subjects contributing to the analysis; V114 = sponsor’s product development code for </w:t>
      </w:r>
      <w:proofErr w:type="spellStart"/>
      <w:r w:rsidR="008839FF" w:rsidRPr="00481594">
        <w:t>Vaxneuvance</w:t>
      </w:r>
      <w:proofErr w:type="spellEnd"/>
      <w:r w:rsidR="008839FF" w:rsidRPr="00481594">
        <w:t>.</w:t>
      </w:r>
    </w:p>
    <w:p w14:paraId="2873FCE2" w14:textId="634A2BFC" w:rsidR="008839FF" w:rsidRPr="00481594" w:rsidRDefault="0075727A" w:rsidP="0075727A">
      <w:pPr>
        <w:pStyle w:val="TableDescription"/>
      </w:pPr>
      <w:r w:rsidRPr="00481594">
        <w:rPr>
          <w:rFonts w:hint="eastAsia"/>
        </w:rPr>
        <w:t>†</w:t>
      </w:r>
      <w:r w:rsidR="008839FF" w:rsidRPr="00481594">
        <w:t xml:space="preserve"> For the continuous endpoints, the within group 95% CIs are obtained by exponentiating the CIs of the mean of the natural log values based on the t-distribution. For the dichotomous endpoints, the within group 95% CIs are based on the exact binomial method proposed by clopper and Pearson.</w:t>
      </w:r>
    </w:p>
    <w:p w14:paraId="171A61D9" w14:textId="090F690C" w:rsidR="008D1F77" w:rsidRPr="00481594" w:rsidRDefault="008839FF" w:rsidP="0075727A">
      <w:pPr>
        <w:pStyle w:val="TableDescription"/>
      </w:pPr>
      <w:r w:rsidRPr="00481594">
        <w:t>Day 1 is pre-vaccination with pneumococcal conjugate vaccine (</w:t>
      </w:r>
      <w:proofErr w:type="spellStart"/>
      <w:r w:rsidR="00E31079" w:rsidRPr="00481594">
        <w:t>Vaxneuvance</w:t>
      </w:r>
      <w:proofErr w:type="spellEnd"/>
      <w:r w:rsidR="00E31079" w:rsidRPr="00481594">
        <w:t xml:space="preserve"> </w:t>
      </w:r>
      <w:r w:rsidRPr="00481594">
        <w:t>or Prevnar 13) (PCV). Day</w:t>
      </w:r>
      <w:r w:rsidR="00E31079" w:rsidRPr="00481594">
        <w:t> </w:t>
      </w:r>
      <w:r w:rsidRPr="00481594">
        <w:t>30 is 30 days following vaccination with PCV.</w:t>
      </w:r>
    </w:p>
    <w:p w14:paraId="0F9DD873" w14:textId="77777777" w:rsidR="00B638B1" w:rsidRPr="00481594" w:rsidRDefault="00B638B1" w:rsidP="00B638B1">
      <w:pPr>
        <w:pStyle w:val="Heading4"/>
      </w:pPr>
      <w:r w:rsidRPr="00481594">
        <w:t>Safety</w:t>
      </w:r>
    </w:p>
    <w:p w14:paraId="3585739E" w14:textId="2F3DAFDA" w:rsidR="00B638B1" w:rsidRPr="00481594" w:rsidRDefault="00B638B1" w:rsidP="00B638B1">
      <w:r w:rsidRPr="00481594">
        <w:t>A summary of clinical safety was provided from the 7 main clinical studies (</w:t>
      </w:r>
      <w:r w:rsidR="00262F42" w:rsidRPr="00481594">
        <w:t>Phase</w:t>
      </w:r>
      <w:r w:rsidR="00BE31ED" w:rsidRPr="00481594">
        <w:t> </w:t>
      </w:r>
      <w:r w:rsidR="00262F42" w:rsidRPr="00481594">
        <w:t>II</w:t>
      </w:r>
      <w:r w:rsidRPr="00481594">
        <w:t xml:space="preserve"> clinical </w:t>
      </w:r>
      <w:r w:rsidR="001C5DCA" w:rsidRPr="00481594">
        <w:t>Study</w:t>
      </w:r>
      <w:r w:rsidRPr="00481594">
        <w:t xml:space="preserve"> V114-007 and the 6 </w:t>
      </w:r>
      <w:r w:rsidR="00262F42" w:rsidRPr="00481594">
        <w:t>Phase III</w:t>
      </w:r>
      <w:r w:rsidRPr="00481594">
        <w:t xml:space="preserve"> studies (</w:t>
      </w:r>
      <w:r w:rsidR="00BE31ED" w:rsidRPr="00481594">
        <w:t xml:space="preserve">Studies </w:t>
      </w:r>
      <w:r w:rsidRPr="00481594">
        <w:t>V114-016, V114-017, V114</w:t>
      </w:r>
      <w:r w:rsidR="00BE31ED" w:rsidRPr="00481594">
        <w:noBreakHyphen/>
      </w:r>
      <w:r w:rsidRPr="00481594">
        <w:t xml:space="preserve">018, V114-019, V114-020 and V114-021). Over 5,600 adults received </w:t>
      </w:r>
      <w:proofErr w:type="spellStart"/>
      <w:r w:rsidR="00E31079" w:rsidRPr="00481594">
        <w:t>Vaxneuvance</w:t>
      </w:r>
      <w:proofErr w:type="spellEnd"/>
      <w:r w:rsidR="00E31079" w:rsidRPr="00481594">
        <w:t xml:space="preserve"> </w:t>
      </w:r>
      <w:r w:rsidRPr="00481594">
        <w:t>in these studies. The integrated population was based on 3 studies (</w:t>
      </w:r>
      <w:r w:rsidR="00BE31ED" w:rsidRPr="00481594">
        <w:t xml:space="preserve">Studies </w:t>
      </w:r>
      <w:r w:rsidRPr="00481594">
        <w:t>V114-016, V114-019</w:t>
      </w:r>
      <w:r w:rsidR="00DA5013" w:rsidRPr="00481594">
        <w:t xml:space="preserve"> and</w:t>
      </w:r>
      <w:r w:rsidRPr="00481594">
        <w:t xml:space="preserve"> V114-020).</w:t>
      </w:r>
    </w:p>
    <w:p w14:paraId="5BB144F2" w14:textId="169BD631" w:rsidR="00B638B1" w:rsidRPr="00481594" w:rsidRDefault="00586C2F" w:rsidP="00B638B1">
      <w:r w:rsidRPr="00481594">
        <w:fldChar w:fldCharType="begin"/>
      </w:r>
      <w:r w:rsidRPr="00481594">
        <w:instrText xml:space="preserve"> REF _Ref108775328 \h </w:instrText>
      </w:r>
      <w:r w:rsidR="00481594">
        <w:instrText xml:space="preserve"> \* MERGEFORMAT </w:instrText>
      </w:r>
      <w:r w:rsidRPr="00481594">
        <w:fldChar w:fldCharType="separate"/>
      </w:r>
      <w:r w:rsidR="00190330" w:rsidRPr="00481594">
        <w:t xml:space="preserve">Table </w:t>
      </w:r>
      <w:r w:rsidR="00190330">
        <w:rPr>
          <w:noProof/>
        </w:rPr>
        <w:t>32</w:t>
      </w:r>
      <w:r w:rsidRPr="00481594">
        <w:fldChar w:fldCharType="end"/>
      </w:r>
      <w:r w:rsidR="00B638B1" w:rsidRPr="00481594">
        <w:t xml:space="preserve"> summarises participant exposure in the 7 studies and </w:t>
      </w:r>
      <w:r w:rsidR="00870EF8" w:rsidRPr="00481594">
        <w:fldChar w:fldCharType="begin"/>
      </w:r>
      <w:r w:rsidR="00870EF8" w:rsidRPr="00481594">
        <w:instrText xml:space="preserve"> REF _Ref108776232 \h </w:instrText>
      </w:r>
      <w:r w:rsidR="00481594">
        <w:instrText xml:space="preserve"> \* MERGEFORMAT </w:instrText>
      </w:r>
      <w:r w:rsidR="00870EF8" w:rsidRPr="00481594">
        <w:fldChar w:fldCharType="separate"/>
      </w:r>
      <w:r w:rsidR="00190330" w:rsidRPr="00481594">
        <w:t xml:space="preserve">Table </w:t>
      </w:r>
      <w:r w:rsidR="00190330">
        <w:rPr>
          <w:noProof/>
        </w:rPr>
        <w:t>33</w:t>
      </w:r>
      <w:r w:rsidR="00870EF8" w:rsidRPr="00481594">
        <w:fldChar w:fldCharType="end"/>
      </w:r>
      <w:r w:rsidR="00B638B1" w:rsidRPr="00481594">
        <w:t xml:space="preserve"> summaries disposition. A total of 5630 participants received </w:t>
      </w:r>
      <w:proofErr w:type="spellStart"/>
      <w:r w:rsidR="00E31079" w:rsidRPr="00481594">
        <w:t>Vaxneuvance</w:t>
      </w:r>
      <w:proofErr w:type="spellEnd"/>
      <w:r w:rsidR="00E31079" w:rsidRPr="00481594">
        <w:t xml:space="preserve"> </w:t>
      </w:r>
      <w:r w:rsidR="00B638B1" w:rsidRPr="00481594">
        <w:t xml:space="preserve">and 1808 participants received </w:t>
      </w:r>
      <w:r w:rsidR="00BE31ED" w:rsidRPr="00481594">
        <w:t xml:space="preserve">Prevnar </w:t>
      </w:r>
      <w:r w:rsidR="00B638B1" w:rsidRPr="00481594">
        <w:t xml:space="preserve">13. </w:t>
      </w:r>
      <w:r w:rsidR="00BE31ED" w:rsidRPr="00481594">
        <w:t>Overall,</w:t>
      </w:r>
      <w:r w:rsidR="00B638B1" w:rsidRPr="00481594">
        <w:t xml:space="preserve"> 96.5% participants completed studies.</w:t>
      </w:r>
    </w:p>
    <w:p w14:paraId="33FCFC99" w14:textId="1A6B364D" w:rsidR="00586C2F" w:rsidRPr="00481594" w:rsidRDefault="00586C2F" w:rsidP="00A022CA">
      <w:pPr>
        <w:pStyle w:val="TableTitle"/>
      </w:pPr>
      <w:bookmarkStart w:id="86" w:name="_Ref108775328"/>
      <w:r w:rsidRPr="00481594">
        <w:t xml:space="preserve">Table </w:t>
      </w:r>
      <w:r w:rsidRPr="00481594">
        <w:fldChar w:fldCharType="begin"/>
      </w:r>
      <w:r w:rsidRPr="00481594">
        <w:instrText>SEQ Table \* ARABIC</w:instrText>
      </w:r>
      <w:r w:rsidRPr="00481594">
        <w:fldChar w:fldCharType="separate"/>
      </w:r>
      <w:r w:rsidR="00190330">
        <w:rPr>
          <w:noProof/>
        </w:rPr>
        <w:t>32</w:t>
      </w:r>
      <w:r w:rsidRPr="00481594">
        <w:fldChar w:fldCharType="end"/>
      </w:r>
      <w:bookmarkEnd w:id="86"/>
      <w:r w:rsidRPr="00481594">
        <w:t xml:space="preserve">: </w:t>
      </w:r>
      <w:r w:rsidR="00A022CA" w:rsidRPr="00481594">
        <w:t xml:space="preserve">Studies V114-007, V114-016, V114-017, V114-018, V114-019, V114-020 and V114-021 </w:t>
      </w:r>
      <w:r w:rsidRPr="00481594">
        <w:t xml:space="preserve">Number of participants who received </w:t>
      </w:r>
      <w:proofErr w:type="spellStart"/>
      <w:r w:rsidR="00E31079" w:rsidRPr="00481594">
        <w:t>Vaxneuvance</w:t>
      </w:r>
      <w:proofErr w:type="spellEnd"/>
      <w:r w:rsidR="00E31079" w:rsidRPr="00481594">
        <w:t xml:space="preserve"> </w:t>
      </w:r>
      <w:r w:rsidRPr="00481594">
        <w:t>or Prevnar 13</w:t>
      </w:r>
    </w:p>
    <w:p w14:paraId="19AE2349" w14:textId="2B37DA41" w:rsidR="003D38B8" w:rsidRPr="00481594" w:rsidRDefault="003D38B8" w:rsidP="00303435">
      <w:r w:rsidRPr="00481594">
        <w:rPr>
          <w:noProof/>
          <w:lang w:val="en-GB" w:eastAsia="en-GB"/>
        </w:rPr>
        <w:drawing>
          <wp:inline distT="0" distB="0" distL="0" distR="0" wp14:anchorId="18BCC4A9" wp14:editId="11D8DC92">
            <wp:extent cx="5400040" cy="2472690"/>
            <wp:effectExtent l="0" t="0" r="0" b="3810"/>
            <wp:docPr id="65" name="Picture 65" descr="Table 32: Studies V114-007, V114-016, V114-017, V114-018, V114-019, V114-020 and V114-021 Number of participants who received Vaxneuvance or Prevnar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able 32: Studies V114-007, V114-016, V114-017, V114-018, V114-019, V114-020 and V114-021 Number of participants who received Vaxneuvance or Prevnar 13"/>
                    <pic:cNvPicPr/>
                  </pic:nvPicPr>
                  <pic:blipFill>
                    <a:blip r:embed="rId64"/>
                    <a:stretch>
                      <a:fillRect/>
                    </a:stretch>
                  </pic:blipFill>
                  <pic:spPr>
                    <a:xfrm>
                      <a:off x="0" y="0"/>
                      <a:ext cx="5400040" cy="2472690"/>
                    </a:xfrm>
                    <a:prstGeom prst="rect">
                      <a:avLst/>
                    </a:prstGeom>
                  </pic:spPr>
                </pic:pic>
              </a:graphicData>
            </a:graphic>
          </wp:inline>
        </w:drawing>
      </w:r>
    </w:p>
    <w:p w14:paraId="6DD18EA9" w14:textId="0E0AAB32" w:rsidR="00D56FD5" w:rsidRPr="00481594" w:rsidRDefault="00E31079" w:rsidP="000E3ED8">
      <w:pPr>
        <w:pStyle w:val="TableDescription"/>
      </w:pPr>
      <w:r w:rsidRPr="00481594">
        <w:t xml:space="preserve">Abbreviations: </w:t>
      </w:r>
      <w:r w:rsidR="00D56FD5" w:rsidRPr="00481594">
        <w:t>NA=not applicable</w:t>
      </w:r>
      <w:r w:rsidR="008839FF" w:rsidRPr="00481594">
        <w:t xml:space="preserve">; V114 = sponsor’s product development code for </w:t>
      </w:r>
      <w:proofErr w:type="spellStart"/>
      <w:r w:rsidR="008839FF" w:rsidRPr="00481594">
        <w:t>Vaxneuvance</w:t>
      </w:r>
      <w:proofErr w:type="spellEnd"/>
      <w:r w:rsidR="008839FF" w:rsidRPr="00481594">
        <w:t>.</w:t>
      </w:r>
    </w:p>
    <w:p w14:paraId="39420468" w14:textId="345CB196" w:rsidR="00D56FD5" w:rsidRPr="00481594" w:rsidRDefault="00713DAD" w:rsidP="000E3ED8">
      <w:pPr>
        <w:pStyle w:val="TableDescription"/>
      </w:pPr>
      <w:r w:rsidRPr="00481594">
        <w:rPr>
          <w:rFonts w:hint="eastAsia"/>
        </w:rPr>
        <w:t>†</w:t>
      </w:r>
      <w:r w:rsidR="00D56FD5" w:rsidRPr="00481594">
        <w:t xml:space="preserve"> Participants were included in the intervention group according to the intervention they </w:t>
      </w:r>
      <w:proofErr w:type="gramStart"/>
      <w:r w:rsidR="00D56FD5" w:rsidRPr="00481594">
        <w:t>actually received</w:t>
      </w:r>
      <w:proofErr w:type="gramEnd"/>
      <w:r w:rsidR="00D56FD5" w:rsidRPr="00481594">
        <w:t>. One participant randomi</w:t>
      </w:r>
      <w:r w:rsidR="003B32D6" w:rsidRPr="00481594">
        <w:t>s</w:t>
      </w:r>
      <w:r w:rsidR="00D56FD5" w:rsidRPr="00481594">
        <w:t xml:space="preserve">ed to the Prevnar 13 group inadvertently received </w:t>
      </w:r>
      <w:proofErr w:type="spellStart"/>
      <w:r w:rsidR="00482C41" w:rsidRPr="00481594">
        <w:t>Vaxneuvance</w:t>
      </w:r>
      <w:proofErr w:type="spellEnd"/>
      <w:r w:rsidR="00D56FD5" w:rsidRPr="00481594">
        <w:t xml:space="preserve"> in each of the following studies: </w:t>
      </w:r>
      <w:r w:rsidR="000E3ED8" w:rsidRPr="00481594">
        <w:t xml:space="preserve">Studies </w:t>
      </w:r>
      <w:r w:rsidR="00D56FD5" w:rsidRPr="00481594">
        <w:t>V114-016, V114-017, and V114-020 (</w:t>
      </w:r>
      <w:r w:rsidR="000E3ED8" w:rsidRPr="00481594">
        <w:t>Lot</w:t>
      </w:r>
      <w:r w:rsidR="00D56FD5" w:rsidRPr="00481594">
        <w:t xml:space="preserve"> 1).</w:t>
      </w:r>
    </w:p>
    <w:p w14:paraId="0458FE5D" w14:textId="6315A6B9" w:rsidR="00586C2F" w:rsidRPr="00481594" w:rsidRDefault="00D56FD5" w:rsidP="000E3ED8">
      <w:pPr>
        <w:pStyle w:val="TableDescription"/>
      </w:pPr>
      <w:r w:rsidRPr="00481594">
        <w:rPr>
          <w:rFonts w:hint="eastAsia"/>
        </w:rPr>
        <w:t>‡</w:t>
      </w:r>
      <w:r w:rsidRPr="00481594">
        <w:t xml:space="preserve"> One participant in Study V114-021 in the non-concomitant group who received </w:t>
      </w:r>
      <w:proofErr w:type="spellStart"/>
      <w:r w:rsidR="00482C41" w:rsidRPr="00481594">
        <w:t>Vaxneuvance</w:t>
      </w:r>
      <w:proofErr w:type="spellEnd"/>
      <w:r w:rsidR="00482C41" w:rsidRPr="00481594">
        <w:t xml:space="preserve"> </w:t>
      </w:r>
      <w:r w:rsidRPr="00481594">
        <w:t>at both vaccination timepoints was excluded from the safety population and is therefore not represented in this table.</w:t>
      </w:r>
    </w:p>
    <w:p w14:paraId="6C67897F" w14:textId="6ACD37DC" w:rsidR="00870EF8" w:rsidRPr="00481594" w:rsidRDefault="00870EF8" w:rsidP="00A022CA">
      <w:pPr>
        <w:pStyle w:val="TableTitle"/>
      </w:pPr>
      <w:bookmarkStart w:id="87" w:name="_Ref108776232"/>
      <w:r w:rsidRPr="00481594">
        <w:lastRenderedPageBreak/>
        <w:t xml:space="preserve">Table </w:t>
      </w:r>
      <w:r w:rsidRPr="00481594">
        <w:fldChar w:fldCharType="begin"/>
      </w:r>
      <w:r w:rsidRPr="00481594">
        <w:instrText>SEQ Table \* ARABIC</w:instrText>
      </w:r>
      <w:r w:rsidRPr="00481594">
        <w:fldChar w:fldCharType="separate"/>
      </w:r>
      <w:r w:rsidR="00190330">
        <w:rPr>
          <w:noProof/>
        </w:rPr>
        <w:t>33</w:t>
      </w:r>
      <w:r w:rsidRPr="00481594">
        <w:fldChar w:fldCharType="end"/>
      </w:r>
      <w:bookmarkEnd w:id="87"/>
      <w:r w:rsidRPr="00481594">
        <w:t xml:space="preserve">: </w:t>
      </w:r>
      <w:r w:rsidR="00A022CA" w:rsidRPr="00481594">
        <w:t xml:space="preserve">Studies V114-007, V114-016, V114-017, V114-018, V114-019, V114-020 and V114-021 </w:t>
      </w:r>
      <w:r w:rsidRPr="00481594">
        <w:t xml:space="preserve">Disposition </w:t>
      </w:r>
      <w:r w:rsidR="00A022CA" w:rsidRPr="00481594">
        <w:t>of subjects (all participants versus treated population)</w:t>
      </w:r>
    </w:p>
    <w:p w14:paraId="4019E1AE" w14:textId="25B2B903" w:rsidR="006B6A61" w:rsidRPr="00481594" w:rsidRDefault="006B6A61" w:rsidP="00303435">
      <w:r w:rsidRPr="00481594">
        <w:rPr>
          <w:noProof/>
          <w:lang w:val="en-GB" w:eastAsia="en-GB"/>
        </w:rPr>
        <w:drawing>
          <wp:inline distT="0" distB="0" distL="0" distR="0" wp14:anchorId="547061C9" wp14:editId="7FD9FE87">
            <wp:extent cx="5400040" cy="2329815"/>
            <wp:effectExtent l="19050" t="19050" r="10160" b="13335"/>
            <wp:docPr id="2" name="Picture 2" descr="Table 33: Studies V114-007, V114-016, V114-017, V114-018, V114-019, V114-020 and V114-021 Disposition of subjects (all participants versus treat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 33: Studies V114-007, V114-016, V114-017, V114-018, V114-019, V114-020 and V114-021 Disposition of subjects (all participants versus treated population)"/>
                    <pic:cNvPicPr/>
                  </pic:nvPicPr>
                  <pic:blipFill>
                    <a:blip r:embed="rId65"/>
                    <a:stretch>
                      <a:fillRect/>
                    </a:stretch>
                  </pic:blipFill>
                  <pic:spPr>
                    <a:xfrm>
                      <a:off x="0" y="0"/>
                      <a:ext cx="5400040" cy="2329815"/>
                    </a:xfrm>
                    <a:prstGeom prst="rect">
                      <a:avLst/>
                    </a:prstGeom>
                    <a:ln>
                      <a:solidFill>
                        <a:schemeClr val="tx1"/>
                      </a:solidFill>
                    </a:ln>
                  </pic:spPr>
                </pic:pic>
              </a:graphicData>
            </a:graphic>
          </wp:inline>
        </w:drawing>
      </w:r>
    </w:p>
    <w:p w14:paraId="04B36784" w14:textId="50AA023D" w:rsidR="000E3ED8" w:rsidRPr="00481594" w:rsidRDefault="00E31079" w:rsidP="000E3ED8">
      <w:pPr>
        <w:pStyle w:val="TableDescription"/>
      </w:pPr>
      <w:r w:rsidRPr="00481594">
        <w:t xml:space="preserve">Abbreviations: </w:t>
      </w:r>
      <w:r w:rsidR="000E3ED8" w:rsidRPr="00481594">
        <w:t>n = number of subjects contributing to the analysis; PCV = pneumococcal conjugate vaccine (</w:t>
      </w:r>
      <w:proofErr w:type="spellStart"/>
      <w:r w:rsidR="00482C41" w:rsidRPr="00481594">
        <w:t>Vaxneuvance</w:t>
      </w:r>
      <w:proofErr w:type="spellEnd"/>
      <w:r w:rsidR="000E3ED8" w:rsidRPr="00481594">
        <w:t xml:space="preserve"> or Prevnar 13); V114 = sponsor’s product development code for </w:t>
      </w:r>
      <w:proofErr w:type="spellStart"/>
      <w:r w:rsidR="000E3ED8" w:rsidRPr="00481594">
        <w:t>Vaxneuvance</w:t>
      </w:r>
      <w:proofErr w:type="spellEnd"/>
      <w:r w:rsidR="000E3ED8" w:rsidRPr="00481594">
        <w:t>.</w:t>
      </w:r>
    </w:p>
    <w:p w14:paraId="2CB9C9AA" w14:textId="3A0B990A" w:rsidR="006B6A61" w:rsidRPr="00481594" w:rsidRDefault="006B6A61" w:rsidP="000E3ED8">
      <w:pPr>
        <w:pStyle w:val="TableDescription"/>
      </w:pPr>
      <w:r w:rsidRPr="00481594">
        <w:t xml:space="preserve">Each subject is counted once for </w:t>
      </w:r>
      <w:r w:rsidR="000E3ED8" w:rsidRPr="00481594">
        <w:t xml:space="preserve">trial disposition </w:t>
      </w:r>
      <w:r w:rsidRPr="00481594">
        <w:t>based on the latest corresponding disposition record.</w:t>
      </w:r>
    </w:p>
    <w:p w14:paraId="6532E7EF" w14:textId="2EF9C356" w:rsidR="006B6A61" w:rsidRPr="00481594" w:rsidRDefault="006B6A61" w:rsidP="000E3ED8">
      <w:pPr>
        <w:pStyle w:val="TableDescription"/>
      </w:pPr>
      <w:r w:rsidRPr="00481594">
        <w:t xml:space="preserve">Subjects with status not recorded were all from </w:t>
      </w:r>
      <w:r w:rsidR="000E3ED8" w:rsidRPr="00481594">
        <w:t xml:space="preserve">Study </w:t>
      </w:r>
      <w:r w:rsidRPr="00481594">
        <w:t>V114-020 and were unable to complete the Month</w:t>
      </w:r>
      <w:r w:rsidR="000E3ED8" w:rsidRPr="00481594">
        <w:t> </w:t>
      </w:r>
      <w:r w:rsidRPr="00481594">
        <w:t xml:space="preserve">6 follow-up telephone contact due to </w:t>
      </w:r>
      <w:r w:rsidR="000E3ED8" w:rsidRPr="00481594">
        <w:t>coronavirus disease 2019 (</w:t>
      </w:r>
      <w:r w:rsidRPr="00481594">
        <w:t>COVID-19</w:t>
      </w:r>
      <w:r w:rsidR="000E3ED8" w:rsidRPr="00481594">
        <w:t>)</w:t>
      </w:r>
      <w:r w:rsidRPr="00481594">
        <w:t>.</w:t>
      </w:r>
    </w:p>
    <w:p w14:paraId="6CF8B62E" w14:textId="0E2958DD" w:rsidR="006B6A61" w:rsidRPr="00481594" w:rsidRDefault="00713DAD" w:rsidP="000E3ED8">
      <w:pPr>
        <w:pStyle w:val="TableDescription"/>
      </w:pPr>
      <w:r w:rsidRPr="00481594">
        <w:rPr>
          <w:rFonts w:hint="eastAsia"/>
        </w:rPr>
        <w:t>†</w:t>
      </w:r>
      <w:r w:rsidR="000E3ED8" w:rsidRPr="00481594">
        <w:rPr>
          <w:rFonts w:hint="eastAsia"/>
        </w:rPr>
        <w:t xml:space="preserve"> </w:t>
      </w:r>
      <w:r w:rsidR="006B6A61" w:rsidRPr="00481594">
        <w:t>Subjects from</w:t>
      </w:r>
      <w:r w:rsidR="000E3ED8" w:rsidRPr="00481594">
        <w:t xml:space="preserve"> Study</w:t>
      </w:r>
      <w:r w:rsidR="006B6A61" w:rsidRPr="00481594">
        <w:t xml:space="preserve"> V114-021 vaccinated with </w:t>
      </w:r>
      <w:proofErr w:type="spellStart"/>
      <w:r w:rsidR="00482C41" w:rsidRPr="00481594">
        <w:t>Vaxneuvance</w:t>
      </w:r>
      <w:proofErr w:type="spellEnd"/>
      <w:r w:rsidR="00482C41" w:rsidRPr="00481594">
        <w:t xml:space="preserve"> </w:t>
      </w:r>
      <w:r w:rsidR="006B6A61" w:rsidRPr="00481594">
        <w:t xml:space="preserve">are included in the </w:t>
      </w:r>
      <w:proofErr w:type="spellStart"/>
      <w:r w:rsidR="00482C41" w:rsidRPr="00481594">
        <w:t>Vaxneuvance</w:t>
      </w:r>
      <w:proofErr w:type="spellEnd"/>
      <w:r w:rsidR="00482C41" w:rsidRPr="00481594">
        <w:t xml:space="preserve"> </w:t>
      </w:r>
      <w:r w:rsidR="006B6A61" w:rsidRPr="00481594">
        <w:t>group.</w:t>
      </w:r>
    </w:p>
    <w:p w14:paraId="3AAEDBDE" w14:textId="77777777" w:rsidR="00B638B1" w:rsidRPr="00481594" w:rsidRDefault="00B638B1" w:rsidP="00B638B1">
      <w:r w:rsidRPr="00481594">
        <w:t>Demographic characteristics of subjects in the 7 studies were broadly comparable across treatment groups. The median age was 62 years (range 18 to 98 years); overall, 54.6% of subjects were female, the majority (72.3%) of subjects being White. 302 (4.1%) were immunocompromised due to HIV infection (in Study V114-018).</w:t>
      </w:r>
    </w:p>
    <w:p w14:paraId="6135B953" w14:textId="292CF995" w:rsidR="00B638B1" w:rsidRPr="00481594" w:rsidRDefault="00B638B1" w:rsidP="00B638B1">
      <w:r w:rsidRPr="00481594">
        <w:t xml:space="preserve">Adverse </w:t>
      </w:r>
      <w:r w:rsidR="00611D75" w:rsidRPr="00481594">
        <w:t xml:space="preserve">events in pneumococcal vaccine naïve adults </w:t>
      </w:r>
      <w:r w:rsidR="00841429" w:rsidRPr="00481594">
        <w:t>older than</w:t>
      </w:r>
      <w:r w:rsidR="00611D75" w:rsidRPr="00481594">
        <w:t xml:space="preserve"> </w:t>
      </w:r>
      <w:r w:rsidRPr="00481594">
        <w:t>50 years of age (</w:t>
      </w:r>
      <w:r w:rsidR="00611D75" w:rsidRPr="00481594">
        <w:t xml:space="preserve">Studies </w:t>
      </w:r>
      <w:r w:rsidRPr="00481594">
        <w:t xml:space="preserve">V114-016, V114-019 and V114-020) </w:t>
      </w:r>
      <w:r w:rsidR="00611D75" w:rsidRPr="00481594">
        <w:t>of i</w:t>
      </w:r>
      <w:r w:rsidRPr="00481594">
        <w:t xml:space="preserve">ntegrated population are shown in </w:t>
      </w:r>
      <w:r w:rsidR="00870EF8" w:rsidRPr="00481594">
        <w:fldChar w:fldCharType="begin"/>
      </w:r>
      <w:r w:rsidR="00870EF8" w:rsidRPr="00481594">
        <w:instrText xml:space="preserve"> REF _Ref108776335 \h </w:instrText>
      </w:r>
      <w:r w:rsidR="00481594">
        <w:instrText xml:space="preserve"> \* MERGEFORMAT </w:instrText>
      </w:r>
      <w:r w:rsidR="00870EF8" w:rsidRPr="00481594">
        <w:fldChar w:fldCharType="separate"/>
      </w:r>
      <w:r w:rsidR="00190330" w:rsidRPr="00481594">
        <w:t xml:space="preserve">Table </w:t>
      </w:r>
      <w:r w:rsidR="00190330">
        <w:rPr>
          <w:noProof/>
        </w:rPr>
        <w:t>34</w:t>
      </w:r>
      <w:r w:rsidR="00870EF8" w:rsidRPr="00481594">
        <w:fldChar w:fldCharType="end"/>
      </w:r>
      <w:r w:rsidRPr="00481594">
        <w:t xml:space="preserve">. Of the 3032 subjects who received </w:t>
      </w:r>
      <w:proofErr w:type="spellStart"/>
      <w:r w:rsidR="00E31079" w:rsidRPr="00481594">
        <w:t>Vaxneuvance</w:t>
      </w:r>
      <w:proofErr w:type="spellEnd"/>
      <w:r w:rsidRPr="00481594">
        <w:t xml:space="preserve">, </w:t>
      </w:r>
      <w:bookmarkStart w:id="88" w:name="_Hlk85710942"/>
      <w:r w:rsidRPr="00481594">
        <w:t xml:space="preserve">72.3% experienced </w:t>
      </w:r>
      <w:r w:rsidR="00611D75" w:rsidRPr="00481594">
        <w:t>one</w:t>
      </w:r>
      <w:r w:rsidRPr="00481594">
        <w:t xml:space="preserve"> or more </w:t>
      </w:r>
      <w:r w:rsidR="001527B0" w:rsidRPr="00481594">
        <w:t>adverse events (</w:t>
      </w:r>
      <w:r w:rsidRPr="00481594">
        <w:t>AE</w:t>
      </w:r>
      <w:r w:rsidR="001527B0" w:rsidRPr="00481594">
        <w:t>s)</w:t>
      </w:r>
      <w:r w:rsidRPr="00481594">
        <w:t>, 63.7% local AE</w:t>
      </w:r>
      <w:r w:rsidR="00E31079" w:rsidRPr="00481594">
        <w:t>s</w:t>
      </w:r>
      <w:r w:rsidRPr="00481594">
        <w:t xml:space="preserve"> and 45.1% systemic AE</w:t>
      </w:r>
      <w:r w:rsidR="00E31079" w:rsidRPr="00481594">
        <w:t>s</w:t>
      </w:r>
      <w:r w:rsidRPr="00481594">
        <w:t xml:space="preserve">. </w:t>
      </w:r>
      <w:bookmarkEnd w:id="88"/>
      <w:r w:rsidRPr="00481594">
        <w:t xml:space="preserve">Of the 1154 subjects who received </w:t>
      </w:r>
      <w:r w:rsidR="00611D75" w:rsidRPr="00481594">
        <w:t xml:space="preserve">Prevnar </w:t>
      </w:r>
      <w:r w:rsidRPr="00481594">
        <w:t xml:space="preserve">13, 62.2% experienced </w:t>
      </w:r>
      <w:r w:rsidR="00611D75" w:rsidRPr="00481594">
        <w:t>one</w:t>
      </w:r>
      <w:r w:rsidRPr="00481594">
        <w:t xml:space="preserve"> or more AE, 51.4% local AE</w:t>
      </w:r>
      <w:r w:rsidR="00E31079" w:rsidRPr="00481594">
        <w:t>s</w:t>
      </w:r>
      <w:r w:rsidRPr="00481594">
        <w:t xml:space="preserve"> and 39.1% systemic AE</w:t>
      </w:r>
      <w:r w:rsidR="00E31079" w:rsidRPr="00481594">
        <w:t>s</w:t>
      </w:r>
      <w:r w:rsidRPr="00481594">
        <w:t>. Vaccine</w:t>
      </w:r>
      <w:r w:rsidR="00E31079" w:rsidRPr="00481594">
        <w:t>-</w:t>
      </w:r>
      <w:r w:rsidRPr="00481594">
        <w:t>related AE</w:t>
      </w:r>
      <w:r w:rsidR="00E31079" w:rsidRPr="00481594">
        <w:t>s</w:t>
      </w:r>
      <w:r w:rsidRPr="00481594">
        <w:t xml:space="preserve"> were reported in 68% in the </w:t>
      </w:r>
      <w:proofErr w:type="spellStart"/>
      <w:r w:rsidR="00E31079" w:rsidRPr="00481594">
        <w:t>Vaxneuvance</w:t>
      </w:r>
      <w:proofErr w:type="spellEnd"/>
      <w:r w:rsidR="00E31079" w:rsidRPr="00481594">
        <w:t xml:space="preserve"> </w:t>
      </w:r>
      <w:r w:rsidRPr="00481594">
        <w:t xml:space="preserve">group and 57.7% in the </w:t>
      </w:r>
      <w:r w:rsidR="00611D75" w:rsidRPr="00481594">
        <w:t xml:space="preserve">Prevnar </w:t>
      </w:r>
      <w:r w:rsidRPr="00481594">
        <w:t>13 group.</w:t>
      </w:r>
    </w:p>
    <w:p w14:paraId="483F2BE2" w14:textId="46229CA4" w:rsidR="00870EF8" w:rsidRPr="00481594" w:rsidRDefault="00870EF8" w:rsidP="00A022CA">
      <w:pPr>
        <w:pStyle w:val="TableTitle"/>
      </w:pPr>
      <w:bookmarkStart w:id="89" w:name="_Ref108776335"/>
      <w:r w:rsidRPr="00481594">
        <w:t xml:space="preserve">Table </w:t>
      </w:r>
      <w:r w:rsidRPr="00481594">
        <w:fldChar w:fldCharType="begin"/>
      </w:r>
      <w:r w:rsidRPr="00481594">
        <w:instrText>SEQ Table \* ARABIC</w:instrText>
      </w:r>
      <w:r w:rsidRPr="00481594">
        <w:fldChar w:fldCharType="separate"/>
      </w:r>
      <w:r w:rsidR="00190330">
        <w:rPr>
          <w:noProof/>
        </w:rPr>
        <w:t>34</w:t>
      </w:r>
      <w:r w:rsidRPr="00481594">
        <w:fldChar w:fldCharType="end"/>
      </w:r>
      <w:bookmarkEnd w:id="89"/>
      <w:r w:rsidRPr="00481594">
        <w:t xml:space="preserve">: </w:t>
      </w:r>
      <w:r w:rsidR="00A022CA" w:rsidRPr="00481594">
        <w:t xml:space="preserve">Studies V114-016, V114-019 and V114-020 </w:t>
      </w:r>
      <w:r w:rsidRPr="00481594">
        <w:t xml:space="preserve">Analysis of </w:t>
      </w:r>
      <w:r w:rsidR="00A022CA" w:rsidRPr="00481594">
        <w:t>adverse event summary (all participants as treated population; following</w:t>
      </w:r>
      <w:r w:rsidRPr="00481594">
        <w:t xml:space="preserve"> </w:t>
      </w:r>
      <w:r w:rsidR="00A022CA" w:rsidRPr="00481594">
        <w:t>pneumococcal conjugate vaccine)</w:t>
      </w:r>
    </w:p>
    <w:p w14:paraId="17B99F1A" w14:textId="0B8CD1A4" w:rsidR="00870EF8" w:rsidRPr="00481594" w:rsidRDefault="00870EF8" w:rsidP="00303435">
      <w:r w:rsidRPr="00481594">
        <w:rPr>
          <w:noProof/>
          <w:lang w:val="en-GB" w:eastAsia="en-GB"/>
        </w:rPr>
        <w:drawing>
          <wp:inline distT="0" distB="0" distL="0" distR="0" wp14:anchorId="1F356D61" wp14:editId="3AE51388">
            <wp:extent cx="5400040" cy="2062480"/>
            <wp:effectExtent l="0" t="0" r="0" b="0"/>
            <wp:docPr id="52" name="Picture 52" descr="Table 34: Studies V114-016, V114-019 and V114-020 Analysis of adverse event summary (all participants as treated population; following pneumococcal conjugate vac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able 34: Studies V114-016, V114-019 and V114-020 Analysis of adverse event summary (all participants as treated population; following pneumococcal conjugate vaccine)"/>
                    <pic:cNvPicPr/>
                  </pic:nvPicPr>
                  <pic:blipFill>
                    <a:blip r:embed="rId66"/>
                    <a:stretch>
                      <a:fillRect/>
                    </a:stretch>
                  </pic:blipFill>
                  <pic:spPr>
                    <a:xfrm>
                      <a:off x="0" y="0"/>
                      <a:ext cx="5400040" cy="2062480"/>
                    </a:xfrm>
                    <a:prstGeom prst="rect">
                      <a:avLst/>
                    </a:prstGeom>
                  </pic:spPr>
                </pic:pic>
              </a:graphicData>
            </a:graphic>
          </wp:inline>
        </w:drawing>
      </w:r>
    </w:p>
    <w:p w14:paraId="76F26F67" w14:textId="197C7C5E" w:rsidR="000E3ED8" w:rsidRPr="00481594" w:rsidRDefault="00E31079" w:rsidP="000E3ED8">
      <w:pPr>
        <w:pStyle w:val="TableDescription"/>
      </w:pPr>
      <w:r w:rsidRPr="00481594">
        <w:t xml:space="preserve">Abbreviations: </w:t>
      </w:r>
      <w:r w:rsidR="000E3ED8" w:rsidRPr="00481594">
        <w:t xml:space="preserve">CI = confidence interval; n = number of subjects contributing to the analysis; V114 = sponsor’s product development code for </w:t>
      </w:r>
      <w:proofErr w:type="spellStart"/>
      <w:r w:rsidR="000E3ED8" w:rsidRPr="00481594">
        <w:t>Vaxneuvance</w:t>
      </w:r>
      <w:proofErr w:type="spellEnd"/>
      <w:r w:rsidR="000E3ED8" w:rsidRPr="00481594">
        <w:t>; vs = versus.</w:t>
      </w:r>
    </w:p>
    <w:p w14:paraId="218E1271" w14:textId="74078EAF" w:rsidR="000E3ED8" w:rsidRPr="00481594" w:rsidRDefault="000E3ED8" w:rsidP="00E51FD2">
      <w:pPr>
        <w:pStyle w:val="TableDescription"/>
      </w:pPr>
      <w:r w:rsidRPr="00481594">
        <w:rPr>
          <w:rFonts w:hint="eastAsia"/>
        </w:rPr>
        <w:lastRenderedPageBreak/>
        <w:t>†P</w:t>
      </w:r>
      <w:r w:rsidRPr="00481594">
        <w:t xml:space="preserve">ercentages, </w:t>
      </w:r>
      <w:r w:rsidR="00E51FD2" w:rsidRPr="00481594">
        <w:t>differences,</w:t>
      </w:r>
      <w:r w:rsidRPr="00481594">
        <w:t xml:space="preserve"> and confidence intervals are calculated </w:t>
      </w:r>
      <w:proofErr w:type="spellStart"/>
      <w:r w:rsidRPr="00481594">
        <w:t>base don</w:t>
      </w:r>
      <w:proofErr w:type="spellEnd"/>
      <w:r w:rsidRPr="00481594">
        <w:t xml:space="preserve"> stratified Miettinen and </w:t>
      </w:r>
      <w:proofErr w:type="spellStart"/>
      <w:r w:rsidRPr="00481594">
        <w:t>Murminen</w:t>
      </w:r>
      <w:proofErr w:type="spellEnd"/>
      <w:r w:rsidRPr="00481594">
        <w:t xml:space="preserve"> method with Cochran-Mantel-Haenszel weights. Differences and confidence intervals are provided in accordance with the integrated statistical analysis plan.</w:t>
      </w:r>
    </w:p>
    <w:p w14:paraId="2528D99D" w14:textId="7927B9C4" w:rsidR="000E3ED8" w:rsidRPr="00481594" w:rsidRDefault="000E3ED8" w:rsidP="00E51FD2">
      <w:pPr>
        <w:pStyle w:val="TableDescription"/>
      </w:pPr>
      <w:r w:rsidRPr="00481594">
        <w:rPr>
          <w:rFonts w:hint="eastAsia"/>
        </w:rPr>
        <w:t>‡</w:t>
      </w:r>
      <w:r w:rsidRPr="00481594">
        <w:t>Determined by the investigator to be related to the vaccine.</w:t>
      </w:r>
    </w:p>
    <w:p w14:paraId="75631C93" w14:textId="05715263" w:rsidR="00870EF8" w:rsidRPr="00481594" w:rsidRDefault="000E3ED8" w:rsidP="00E51FD2">
      <w:pPr>
        <w:pStyle w:val="TableDescription"/>
      </w:pPr>
      <w:r w:rsidRPr="00481594">
        <w:t>Reported adverse event including non-serious adverse events within 14 days of vaccination and serious adverse events occurring Day 1 through Month 6.</w:t>
      </w:r>
    </w:p>
    <w:p w14:paraId="651391A6" w14:textId="58B11568" w:rsidR="00B638B1" w:rsidRPr="00481594" w:rsidRDefault="00B638B1" w:rsidP="00B638B1">
      <w:r w:rsidRPr="00481594">
        <w:t xml:space="preserve">There was a higher rate of local injection site reactions with </w:t>
      </w:r>
      <w:proofErr w:type="spellStart"/>
      <w:r w:rsidR="00E31079" w:rsidRPr="00481594">
        <w:t>Vaxneuvance</w:t>
      </w:r>
      <w:proofErr w:type="spellEnd"/>
      <w:r w:rsidR="00E31079" w:rsidRPr="00481594">
        <w:t xml:space="preserve"> </w:t>
      </w:r>
      <w:r w:rsidR="00262F42" w:rsidRPr="00481594">
        <w:t>versus</w:t>
      </w:r>
      <w:r w:rsidRPr="00481594">
        <w:t xml:space="preserve"> Prevnar</w:t>
      </w:r>
      <w:r w:rsidR="00E31079" w:rsidRPr="00481594">
        <w:t> </w:t>
      </w:r>
      <w:r w:rsidRPr="00481594">
        <w:t xml:space="preserve">13. Most events were considered mild and comparable across intervention groups and of short duration. The 3 most common AEs following </w:t>
      </w:r>
      <w:proofErr w:type="spellStart"/>
      <w:r w:rsidR="00E31079" w:rsidRPr="00481594">
        <w:t>Vaxneuvance</w:t>
      </w:r>
      <w:proofErr w:type="spellEnd"/>
      <w:r w:rsidR="00E31079" w:rsidRPr="00481594">
        <w:t xml:space="preserve"> </w:t>
      </w:r>
      <w:r w:rsidRPr="00481594">
        <w:t xml:space="preserve">vaccination were injection-site pain, </w:t>
      </w:r>
      <w:proofErr w:type="gramStart"/>
      <w:r w:rsidRPr="00481594">
        <w:t>fatigue</w:t>
      </w:r>
      <w:proofErr w:type="gramEnd"/>
      <w:r w:rsidRPr="00481594">
        <w:t xml:space="preserve"> and myalgia.</w:t>
      </w:r>
    </w:p>
    <w:p w14:paraId="3AC767BE" w14:textId="1AEA0641" w:rsidR="00B638B1" w:rsidRPr="00481594" w:rsidRDefault="00B638B1" w:rsidP="00B638B1">
      <w:r w:rsidRPr="00481594">
        <w:t xml:space="preserve">There were 5 deaths in the integrated population, all occurring </w:t>
      </w:r>
      <w:r w:rsidR="00841429" w:rsidRPr="00481594">
        <w:t>more than</w:t>
      </w:r>
      <w:r w:rsidR="00611D75" w:rsidRPr="00481594">
        <w:t xml:space="preserve"> </w:t>
      </w:r>
      <w:r w:rsidRPr="00481594">
        <w:t xml:space="preserve">50 days following vaccination. None </w:t>
      </w:r>
      <w:proofErr w:type="gramStart"/>
      <w:r w:rsidRPr="00481594">
        <w:t>were considered to be</w:t>
      </w:r>
      <w:proofErr w:type="gramEnd"/>
      <w:r w:rsidRPr="00481594">
        <w:t xml:space="preserve"> related to study vaccine. </w:t>
      </w:r>
      <w:bookmarkStart w:id="90" w:name="_Hlk85711480"/>
      <w:r w:rsidRPr="00481594">
        <w:t xml:space="preserve">In the </w:t>
      </w:r>
      <w:proofErr w:type="spellStart"/>
      <w:r w:rsidR="00E31079" w:rsidRPr="00481594">
        <w:t>Vaxneuvance</w:t>
      </w:r>
      <w:proofErr w:type="spellEnd"/>
      <w:r w:rsidR="00E31079" w:rsidRPr="00481594">
        <w:t xml:space="preserve"> </w:t>
      </w:r>
      <w:r w:rsidRPr="00481594">
        <w:t xml:space="preserve">group there were </w:t>
      </w:r>
      <w:bookmarkEnd w:id="90"/>
      <w:r w:rsidRPr="00481594">
        <w:t>4 deaths (0.1%) due to acute respiratory failure</w:t>
      </w:r>
      <w:r w:rsidR="00611D75" w:rsidRPr="00481594">
        <w:t xml:space="preserve">, </w:t>
      </w:r>
      <w:r w:rsidRPr="00481594">
        <w:t>cardiac failure congestive</w:t>
      </w:r>
      <w:r w:rsidR="00611D75" w:rsidRPr="00481594">
        <w:t xml:space="preserve">, </w:t>
      </w:r>
      <w:r w:rsidRPr="00481594">
        <w:t>chronic obstructive pulmonary disease (n</w:t>
      </w:r>
      <w:r w:rsidR="00611D75" w:rsidRPr="00481594">
        <w:t xml:space="preserve"> </w:t>
      </w:r>
      <w:r w:rsidRPr="00481594">
        <w:t>=</w:t>
      </w:r>
      <w:r w:rsidR="00611D75" w:rsidRPr="00481594">
        <w:t xml:space="preserve"> </w:t>
      </w:r>
      <w:r w:rsidRPr="00481594">
        <w:t>1), pancreatic carcinoma (n</w:t>
      </w:r>
      <w:r w:rsidR="00841429" w:rsidRPr="00481594">
        <w:t> </w:t>
      </w:r>
      <w:r w:rsidRPr="00481594">
        <w:t>=</w:t>
      </w:r>
      <w:r w:rsidR="00611D75" w:rsidRPr="00481594">
        <w:t xml:space="preserve"> </w:t>
      </w:r>
      <w:r w:rsidRPr="00481594">
        <w:t>1), death (specific cause of death not reported; n</w:t>
      </w:r>
      <w:r w:rsidR="00611D75" w:rsidRPr="00481594">
        <w:t xml:space="preserve"> </w:t>
      </w:r>
      <w:r w:rsidRPr="00481594">
        <w:t>=</w:t>
      </w:r>
      <w:r w:rsidR="00611D75" w:rsidRPr="00481594">
        <w:t xml:space="preserve"> </w:t>
      </w:r>
      <w:r w:rsidRPr="00481594">
        <w:t xml:space="preserve">2). In the </w:t>
      </w:r>
      <w:r w:rsidR="00611D75" w:rsidRPr="00481594">
        <w:t xml:space="preserve">Prevnar </w:t>
      </w:r>
      <w:r w:rsidRPr="00481594">
        <w:t xml:space="preserve">13 group there was </w:t>
      </w:r>
      <w:r w:rsidR="00611D75" w:rsidRPr="00481594">
        <w:t>one</w:t>
      </w:r>
      <w:r w:rsidRPr="00481594">
        <w:t xml:space="preserve"> death (0.1%) due to arrhythmia.</w:t>
      </w:r>
    </w:p>
    <w:p w14:paraId="0EE3C715" w14:textId="76781557" w:rsidR="00B638B1" w:rsidRPr="00481594" w:rsidRDefault="001527B0" w:rsidP="00611D75">
      <w:r w:rsidRPr="00481594">
        <w:t>Serious adverse events (</w:t>
      </w:r>
      <w:r w:rsidR="00B638B1" w:rsidRPr="00481594">
        <w:t>SAEs</w:t>
      </w:r>
      <w:r w:rsidRPr="00481594">
        <w:t>)</w:t>
      </w:r>
      <w:r w:rsidR="00B638B1" w:rsidRPr="00481594">
        <w:t xml:space="preserve"> were reported across multiple </w:t>
      </w:r>
      <w:r w:rsidRPr="00481594">
        <w:t>System Organ Classes</w:t>
      </w:r>
      <w:r w:rsidR="00B638B1" w:rsidRPr="00481594">
        <w:t xml:space="preserve"> in these studies. SAE </w:t>
      </w:r>
      <w:r w:rsidR="00E31079" w:rsidRPr="00481594">
        <w:t>P</w:t>
      </w:r>
      <w:r w:rsidR="00B638B1" w:rsidRPr="00481594">
        <w:t xml:space="preserve">referred </w:t>
      </w:r>
      <w:r w:rsidR="00E31079" w:rsidRPr="00481594">
        <w:t>T</w:t>
      </w:r>
      <w:r w:rsidR="00B638B1" w:rsidRPr="00481594">
        <w:t xml:space="preserve">erms reported in more than 2 participants in the </w:t>
      </w:r>
      <w:proofErr w:type="spellStart"/>
      <w:r w:rsidR="00E31079" w:rsidRPr="00481594">
        <w:t>Vaxneuvance</w:t>
      </w:r>
      <w:proofErr w:type="spellEnd"/>
      <w:r w:rsidR="00E31079" w:rsidRPr="00481594">
        <w:t xml:space="preserve"> </w:t>
      </w:r>
      <w:r w:rsidR="00B638B1" w:rsidRPr="00481594">
        <w:t>group were cellulitis (n</w:t>
      </w:r>
      <w:r w:rsidR="00611D75" w:rsidRPr="00481594">
        <w:t xml:space="preserve"> </w:t>
      </w:r>
      <w:r w:rsidR="00B638B1" w:rsidRPr="00481594">
        <w:t>=</w:t>
      </w:r>
      <w:r w:rsidR="00611D75" w:rsidRPr="00481594">
        <w:t xml:space="preserve"> </w:t>
      </w:r>
      <w:r w:rsidR="00B638B1" w:rsidRPr="00481594">
        <w:t xml:space="preserve">3 </w:t>
      </w:r>
      <w:r w:rsidR="00173B1B" w:rsidRPr="00481594">
        <w:t>(</w:t>
      </w:r>
      <w:r w:rsidR="00B638B1" w:rsidRPr="00481594">
        <w:t>0.1%</w:t>
      </w:r>
      <w:r w:rsidR="00173B1B" w:rsidRPr="00481594">
        <w:t>)</w:t>
      </w:r>
      <w:r w:rsidR="00B638B1" w:rsidRPr="00481594">
        <w:t>), pneumonia (n</w:t>
      </w:r>
      <w:r w:rsidR="00611D75" w:rsidRPr="00481594">
        <w:t> </w:t>
      </w:r>
      <w:r w:rsidR="00B638B1" w:rsidRPr="00481594">
        <w:t>=</w:t>
      </w:r>
      <w:r w:rsidR="00611D75" w:rsidRPr="00481594">
        <w:t xml:space="preserve"> </w:t>
      </w:r>
      <w:r w:rsidR="00B638B1" w:rsidRPr="00481594">
        <w:t xml:space="preserve">3 </w:t>
      </w:r>
      <w:r w:rsidR="00173B1B" w:rsidRPr="00481594">
        <w:t>(</w:t>
      </w:r>
      <w:r w:rsidR="00B638B1" w:rsidRPr="00481594">
        <w:t>0.1%</w:t>
      </w:r>
      <w:r w:rsidR="00173B1B" w:rsidRPr="00481594">
        <w:t>)</w:t>
      </w:r>
      <w:r w:rsidR="00B638B1" w:rsidRPr="00481594">
        <w:t>), and acute respiratory failure (n</w:t>
      </w:r>
      <w:r w:rsidR="00611D75" w:rsidRPr="00481594">
        <w:t xml:space="preserve"> </w:t>
      </w:r>
      <w:r w:rsidR="00B638B1" w:rsidRPr="00481594">
        <w:t>=</w:t>
      </w:r>
      <w:r w:rsidR="00611D75" w:rsidRPr="00481594">
        <w:t xml:space="preserve"> </w:t>
      </w:r>
      <w:r w:rsidR="00B638B1" w:rsidRPr="00481594">
        <w:t xml:space="preserve">3 </w:t>
      </w:r>
      <w:r w:rsidR="00173B1B" w:rsidRPr="00481594">
        <w:t>(</w:t>
      </w:r>
      <w:r w:rsidR="00B638B1" w:rsidRPr="00481594">
        <w:t>0.1%</w:t>
      </w:r>
      <w:r w:rsidR="00173B1B" w:rsidRPr="00481594">
        <w:t>)</w:t>
      </w:r>
      <w:r w:rsidR="00B638B1" w:rsidRPr="00481594">
        <w:t>). No SAE preferred terms were reported in more than 2</w:t>
      </w:r>
      <w:r w:rsidR="00E31079" w:rsidRPr="00481594">
        <w:t> </w:t>
      </w:r>
      <w:r w:rsidR="00B638B1" w:rsidRPr="00481594">
        <w:t>participants in the Prevnar 13 groups. In Study V114-016, 3</w:t>
      </w:r>
      <w:r w:rsidR="00611D75" w:rsidRPr="00481594">
        <w:t> </w:t>
      </w:r>
      <w:r w:rsidR="00B638B1" w:rsidRPr="00481594">
        <w:t>participants discontinued study intervention (</w:t>
      </w:r>
      <w:r w:rsidR="00611D75" w:rsidRPr="00481594">
        <w:t>that is,</w:t>
      </w:r>
      <w:r w:rsidR="00B638B1" w:rsidRPr="00481594">
        <w:t xml:space="preserve"> did not receive </w:t>
      </w:r>
      <w:r w:rsidR="00DE0933" w:rsidRPr="00481594">
        <w:t>Pneumovax 23</w:t>
      </w:r>
      <w:r w:rsidR="00B638B1" w:rsidRPr="00481594">
        <w:t xml:space="preserve"> at Month</w:t>
      </w:r>
      <w:r w:rsidR="00611D75" w:rsidRPr="00481594">
        <w:t> </w:t>
      </w:r>
      <w:r w:rsidR="00B638B1" w:rsidRPr="00481594">
        <w:t xml:space="preserve">12) due to AEs. Two participants in the </w:t>
      </w:r>
      <w:proofErr w:type="spellStart"/>
      <w:r w:rsidR="00E31079" w:rsidRPr="00481594">
        <w:t>Vaxneuvance</w:t>
      </w:r>
      <w:proofErr w:type="spellEnd"/>
      <w:r w:rsidR="00E31079" w:rsidRPr="00481594">
        <w:t xml:space="preserve"> </w:t>
      </w:r>
      <w:r w:rsidR="00B638B1" w:rsidRPr="00481594">
        <w:t>group had events that were nonserious and considered vaccine</w:t>
      </w:r>
      <w:r w:rsidR="00611D75" w:rsidRPr="00481594">
        <w:t xml:space="preserve"> </w:t>
      </w:r>
      <w:r w:rsidR="00B638B1" w:rsidRPr="00481594">
        <w:t>related by the investigator (vertigo, injection</w:t>
      </w:r>
      <w:r w:rsidR="00611D75" w:rsidRPr="00481594">
        <w:t xml:space="preserve"> </w:t>
      </w:r>
      <w:r w:rsidR="00B638B1" w:rsidRPr="00481594">
        <w:t>site pain). One participant in the Prevnar 13 group had a serious event not considered to be vaccine</w:t>
      </w:r>
      <w:r w:rsidR="00611D75" w:rsidRPr="00481594">
        <w:t xml:space="preserve"> </w:t>
      </w:r>
      <w:r w:rsidR="00B638B1" w:rsidRPr="00481594">
        <w:t>related (squamous cell carcinoma of the hypopharynx).</w:t>
      </w:r>
    </w:p>
    <w:p w14:paraId="5359290D" w14:textId="4345091D" w:rsidR="00B638B1" w:rsidRPr="00481594" w:rsidRDefault="00B638B1" w:rsidP="00B638B1">
      <w:r w:rsidRPr="00481594">
        <w:t xml:space="preserve">In terms of laboratory evaluations, these were provided only for the HIV </w:t>
      </w:r>
      <w:r w:rsidR="001C5DCA" w:rsidRPr="00481594">
        <w:t>Study</w:t>
      </w:r>
      <w:r w:rsidRPr="00481594">
        <w:t xml:space="preserve"> V114-018 and a </w:t>
      </w:r>
      <w:r w:rsidR="00262F42" w:rsidRPr="00481594">
        <w:t>Phase I</w:t>
      </w:r>
      <w:r w:rsidRPr="00481594">
        <w:t xml:space="preserve"> study (Study V114-001). In terms of vital signs and physical findings, these were comparable across treatment groups and across age, </w:t>
      </w:r>
      <w:proofErr w:type="gramStart"/>
      <w:r w:rsidRPr="00481594">
        <w:t>sex</w:t>
      </w:r>
      <w:proofErr w:type="gramEnd"/>
      <w:r w:rsidRPr="00481594">
        <w:t xml:space="preserve"> and racial groups.</w:t>
      </w:r>
    </w:p>
    <w:p w14:paraId="1E88A8F3" w14:textId="5833CAAE" w:rsidR="00B638B1" w:rsidRPr="00481594" w:rsidRDefault="00B638B1" w:rsidP="00B638B1">
      <w:r w:rsidRPr="00481594">
        <w:t xml:space="preserve">In immunocompetent adults 18 to 49 years of age (Study V114-017) with a single or </w:t>
      </w:r>
      <w:r w:rsidR="00626CC0" w:rsidRPr="00481594">
        <w:t xml:space="preserve">at least </w:t>
      </w:r>
      <w:r w:rsidRPr="00481594">
        <w:t>2</w:t>
      </w:r>
      <w:r w:rsidR="00611D75" w:rsidRPr="00481594">
        <w:t> </w:t>
      </w:r>
      <w:r w:rsidRPr="00481594">
        <w:t xml:space="preserve">risk factors for pneumococcal disease, safety results were consistent with those seen in the overall study population as shown in </w:t>
      </w:r>
      <w:r w:rsidR="00295270" w:rsidRPr="00481594">
        <w:fldChar w:fldCharType="begin"/>
      </w:r>
      <w:r w:rsidR="00295270" w:rsidRPr="00481594">
        <w:instrText xml:space="preserve"> REF _Ref108776430 \h </w:instrText>
      </w:r>
      <w:r w:rsidR="00481594">
        <w:instrText xml:space="preserve"> \* MERGEFORMAT </w:instrText>
      </w:r>
      <w:r w:rsidR="00295270" w:rsidRPr="00481594">
        <w:fldChar w:fldCharType="separate"/>
      </w:r>
      <w:r w:rsidR="00190330" w:rsidRPr="00481594">
        <w:t xml:space="preserve">Table </w:t>
      </w:r>
      <w:r w:rsidR="00190330">
        <w:rPr>
          <w:noProof/>
        </w:rPr>
        <w:t>35</w:t>
      </w:r>
      <w:r w:rsidR="00295270" w:rsidRPr="00481594">
        <w:fldChar w:fldCharType="end"/>
      </w:r>
      <w:r w:rsidRPr="00481594">
        <w:t xml:space="preserve"> and </w:t>
      </w:r>
      <w:r w:rsidR="00295270" w:rsidRPr="00481594">
        <w:fldChar w:fldCharType="begin"/>
      </w:r>
      <w:r w:rsidR="00295270" w:rsidRPr="00481594">
        <w:instrText xml:space="preserve"> REF _Ref108776505 \h </w:instrText>
      </w:r>
      <w:r w:rsidR="00481594">
        <w:instrText xml:space="preserve"> \* MERGEFORMAT </w:instrText>
      </w:r>
      <w:r w:rsidR="00295270" w:rsidRPr="00481594">
        <w:fldChar w:fldCharType="separate"/>
      </w:r>
      <w:r w:rsidR="00190330" w:rsidRPr="00481594">
        <w:t xml:space="preserve">Table </w:t>
      </w:r>
      <w:r w:rsidR="00190330">
        <w:rPr>
          <w:noProof/>
        </w:rPr>
        <w:t>36</w:t>
      </w:r>
      <w:r w:rsidR="00295270" w:rsidRPr="00481594">
        <w:fldChar w:fldCharType="end"/>
      </w:r>
      <w:r w:rsidRPr="00481594">
        <w:t>. In immunocompromised adults 18 years of age</w:t>
      </w:r>
      <w:r w:rsidR="00626CC0" w:rsidRPr="00481594">
        <w:t xml:space="preserve"> and older</w:t>
      </w:r>
      <w:r w:rsidRPr="00481594">
        <w:t xml:space="preserve"> with HIV, in </w:t>
      </w:r>
      <w:r w:rsidR="001C5DCA" w:rsidRPr="00481594">
        <w:t>Study</w:t>
      </w:r>
      <w:r w:rsidRPr="00481594">
        <w:t xml:space="preserve"> V114-018, safety results were consistent with those seen in immunocompetent pneumococcal vaccine</w:t>
      </w:r>
      <w:r w:rsidR="001B5950" w:rsidRPr="00481594">
        <w:t xml:space="preserve"> </w:t>
      </w:r>
      <w:r w:rsidRPr="00481594">
        <w:t xml:space="preserve">naïve adults as shown in </w:t>
      </w:r>
      <w:r w:rsidR="00295270" w:rsidRPr="00481594">
        <w:fldChar w:fldCharType="begin"/>
      </w:r>
      <w:r w:rsidR="00295270" w:rsidRPr="00481594">
        <w:instrText xml:space="preserve"> REF _Ref108776583 \h </w:instrText>
      </w:r>
      <w:r w:rsidR="00481594">
        <w:instrText xml:space="preserve"> \* MERGEFORMAT </w:instrText>
      </w:r>
      <w:r w:rsidR="00295270" w:rsidRPr="00481594">
        <w:fldChar w:fldCharType="separate"/>
      </w:r>
      <w:r w:rsidR="00190330" w:rsidRPr="00481594">
        <w:t xml:space="preserve">Table </w:t>
      </w:r>
      <w:r w:rsidR="00190330">
        <w:rPr>
          <w:noProof/>
        </w:rPr>
        <w:t>37</w:t>
      </w:r>
      <w:r w:rsidR="00295270" w:rsidRPr="00481594">
        <w:fldChar w:fldCharType="end"/>
      </w:r>
      <w:r w:rsidRPr="00481594">
        <w:t>.</w:t>
      </w:r>
    </w:p>
    <w:p w14:paraId="049C2709" w14:textId="322B2C08" w:rsidR="00870EF8" w:rsidRPr="00481594" w:rsidRDefault="00870EF8" w:rsidP="00A022CA">
      <w:pPr>
        <w:pStyle w:val="TableTitle"/>
      </w:pPr>
      <w:bookmarkStart w:id="91" w:name="_Ref108776430"/>
      <w:r w:rsidRPr="00481594">
        <w:t xml:space="preserve">Table </w:t>
      </w:r>
      <w:r w:rsidRPr="00481594">
        <w:fldChar w:fldCharType="begin"/>
      </w:r>
      <w:r w:rsidRPr="00481594">
        <w:instrText>SEQ Table \* ARABIC</w:instrText>
      </w:r>
      <w:r w:rsidRPr="00481594">
        <w:fldChar w:fldCharType="separate"/>
      </w:r>
      <w:r w:rsidR="00190330">
        <w:rPr>
          <w:noProof/>
        </w:rPr>
        <w:t>35</w:t>
      </w:r>
      <w:r w:rsidRPr="00481594">
        <w:fldChar w:fldCharType="end"/>
      </w:r>
      <w:bookmarkEnd w:id="91"/>
      <w:r w:rsidRPr="00481594">
        <w:t xml:space="preserve">: </w:t>
      </w:r>
      <w:r w:rsidR="00A022CA" w:rsidRPr="00481594">
        <w:t>Study V114-017 Adverse event s</w:t>
      </w:r>
      <w:r w:rsidRPr="00481594">
        <w:t>ummary by number of risk factors (</w:t>
      </w:r>
      <w:r w:rsidR="00A022CA" w:rsidRPr="00481594">
        <w:t>a</w:t>
      </w:r>
      <w:r w:rsidRPr="00481594">
        <w:t>ll participants as treated population</w:t>
      </w:r>
      <w:r w:rsidR="00A022CA" w:rsidRPr="00481594">
        <w:t>; f</w:t>
      </w:r>
      <w:r w:rsidRPr="00481594">
        <w:t xml:space="preserve">ollowing </w:t>
      </w:r>
      <w:r w:rsidR="00A022CA" w:rsidRPr="00481594">
        <w:t>pneumococcal conjugate vaccine</w:t>
      </w:r>
      <w:r w:rsidRPr="00481594">
        <w:t>)</w:t>
      </w:r>
    </w:p>
    <w:p w14:paraId="4942543A" w14:textId="0680D1E1" w:rsidR="00870EF8" w:rsidRPr="00481594" w:rsidRDefault="00295270" w:rsidP="00303435">
      <w:r w:rsidRPr="00481594">
        <w:rPr>
          <w:noProof/>
          <w:lang w:val="en-GB" w:eastAsia="en-GB"/>
        </w:rPr>
        <w:drawing>
          <wp:inline distT="0" distB="0" distL="0" distR="0" wp14:anchorId="4BE213D5" wp14:editId="6F772754">
            <wp:extent cx="5400040" cy="1795145"/>
            <wp:effectExtent l="0" t="0" r="0" b="0"/>
            <wp:docPr id="54" name="Picture 54" descr="Table 35: Study V114-017 Adverse event summary by number of risk factors (all participants as treated population; following pneumococcal conjugate vac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able 35: Study V114-017 Adverse event summary by number of risk factors (all participants as treated population; following pneumococcal conjugate vaccine)"/>
                    <pic:cNvPicPr/>
                  </pic:nvPicPr>
                  <pic:blipFill>
                    <a:blip r:embed="rId67"/>
                    <a:stretch>
                      <a:fillRect/>
                    </a:stretch>
                  </pic:blipFill>
                  <pic:spPr>
                    <a:xfrm>
                      <a:off x="0" y="0"/>
                      <a:ext cx="5400040" cy="1795145"/>
                    </a:xfrm>
                    <a:prstGeom prst="rect">
                      <a:avLst/>
                    </a:prstGeom>
                  </pic:spPr>
                </pic:pic>
              </a:graphicData>
            </a:graphic>
          </wp:inline>
        </w:drawing>
      </w:r>
    </w:p>
    <w:p w14:paraId="311B9A0F" w14:textId="520922BA" w:rsidR="00E51FD2" w:rsidRPr="00481594" w:rsidRDefault="00E31079" w:rsidP="00E51FD2">
      <w:pPr>
        <w:pStyle w:val="TableDescription"/>
      </w:pPr>
      <w:r w:rsidRPr="00481594">
        <w:t xml:space="preserve">Abbreviations: </w:t>
      </w:r>
      <w:r w:rsidR="00E51FD2" w:rsidRPr="00481594">
        <w:t xml:space="preserve">n = number of subjects contributing to the analysis; V114 = sponsor’s product development code for </w:t>
      </w:r>
      <w:proofErr w:type="spellStart"/>
      <w:r w:rsidR="00E51FD2" w:rsidRPr="00481594">
        <w:t>Vaxneuvance</w:t>
      </w:r>
      <w:proofErr w:type="spellEnd"/>
      <w:r w:rsidR="00E51FD2" w:rsidRPr="00481594">
        <w:t>.</w:t>
      </w:r>
    </w:p>
    <w:p w14:paraId="21E633E5" w14:textId="0E996CBE" w:rsidR="00E51FD2" w:rsidRPr="00481594" w:rsidRDefault="00E51FD2" w:rsidP="00E51FD2">
      <w:pPr>
        <w:pStyle w:val="TableDescription"/>
      </w:pPr>
      <w:r w:rsidRPr="00481594">
        <w:rPr>
          <w:rFonts w:hint="eastAsia"/>
        </w:rPr>
        <w:lastRenderedPageBreak/>
        <w:t>†</w:t>
      </w:r>
      <w:r w:rsidRPr="00481594">
        <w:t>Determined by the investigator to be related to the vaccine.</w:t>
      </w:r>
    </w:p>
    <w:p w14:paraId="33A7C6A4" w14:textId="6D2334A5" w:rsidR="00E51FD2" w:rsidRPr="00481594" w:rsidRDefault="00E51FD2" w:rsidP="00E51FD2">
      <w:pPr>
        <w:pStyle w:val="TableDescription"/>
      </w:pPr>
      <w:r w:rsidRPr="00481594">
        <w:t>Reported adverse events include non-serious adverse events within 14 days of vaccination and serious adverse events occurring Day 1 through Month 6.</w:t>
      </w:r>
    </w:p>
    <w:p w14:paraId="07856A95" w14:textId="0A5ECF61" w:rsidR="00E51FD2" w:rsidRPr="00481594" w:rsidRDefault="00E51FD2" w:rsidP="00E51FD2">
      <w:pPr>
        <w:pStyle w:val="TableDescription"/>
      </w:pPr>
      <w:r w:rsidRPr="00481594">
        <w:t xml:space="preserve">Risk factors include chronic lung disease, tobacco use, diabetes mellitus, chronic liver disease, chronic heart disease, or alcohol consumption. The risk factor of alcohol consumption is defined as the alcohol use disorders identification test-consumption (AUDIT-C) score </w:t>
      </w:r>
      <w:r w:rsidR="00626CC0" w:rsidRPr="00481594">
        <w:t>at least</w:t>
      </w:r>
      <w:r w:rsidRPr="00481594">
        <w:t xml:space="preserve"> 5.</w:t>
      </w:r>
    </w:p>
    <w:p w14:paraId="22A10C87" w14:textId="5899393C" w:rsidR="00E51FD2" w:rsidRPr="00481594" w:rsidRDefault="00E51FD2" w:rsidP="00E51FD2">
      <w:pPr>
        <w:pStyle w:val="TableDescription"/>
      </w:pPr>
      <w:r w:rsidRPr="00481594">
        <w:t xml:space="preserve">All subjects with no risk factors and subjects with a single risk factor of alcohol consumption were enrolled at </w:t>
      </w:r>
      <w:proofErr w:type="spellStart"/>
      <w:r w:rsidRPr="00481594">
        <w:t>Center</w:t>
      </w:r>
      <w:proofErr w:type="spellEnd"/>
      <w:r w:rsidRPr="00481594">
        <w:t xml:space="preserve"> for American Indian Health (CAIH) sites.</w:t>
      </w:r>
    </w:p>
    <w:p w14:paraId="4A964567" w14:textId="5349D851" w:rsidR="00295270" w:rsidRPr="00481594" w:rsidRDefault="00295270" w:rsidP="00A022CA">
      <w:pPr>
        <w:pStyle w:val="TableTitle"/>
      </w:pPr>
      <w:bookmarkStart w:id="92" w:name="_Ref108776505"/>
      <w:r w:rsidRPr="00481594">
        <w:t xml:space="preserve">Table </w:t>
      </w:r>
      <w:r w:rsidRPr="00481594">
        <w:fldChar w:fldCharType="begin"/>
      </w:r>
      <w:r w:rsidRPr="00481594">
        <w:instrText>SEQ Table \* ARABIC</w:instrText>
      </w:r>
      <w:r w:rsidRPr="00481594">
        <w:fldChar w:fldCharType="separate"/>
      </w:r>
      <w:r w:rsidR="00190330">
        <w:rPr>
          <w:noProof/>
        </w:rPr>
        <w:t>36</w:t>
      </w:r>
      <w:r w:rsidRPr="00481594">
        <w:fldChar w:fldCharType="end"/>
      </w:r>
      <w:bookmarkEnd w:id="92"/>
      <w:r w:rsidRPr="00481594">
        <w:t xml:space="preserve">: </w:t>
      </w:r>
      <w:r w:rsidR="00A022CA" w:rsidRPr="00481594">
        <w:t xml:space="preserve">Study V114-017 </w:t>
      </w:r>
      <w:r w:rsidRPr="00481594">
        <w:t xml:space="preserve">Subjects with solicited </w:t>
      </w:r>
      <w:r w:rsidR="00A022CA" w:rsidRPr="00481594">
        <w:t>adverse events</w:t>
      </w:r>
      <w:r w:rsidRPr="00481594">
        <w:t xml:space="preserve"> by number of risk factors (</w:t>
      </w:r>
      <w:r w:rsidR="00A022CA" w:rsidRPr="00481594">
        <w:t>i</w:t>
      </w:r>
      <w:r w:rsidRPr="00481594">
        <w:t xml:space="preserve">ncidence </w:t>
      </w:r>
      <w:r w:rsidR="00841429" w:rsidRPr="00481594">
        <w:t xml:space="preserve">more than </w:t>
      </w:r>
      <w:r w:rsidRPr="00481594">
        <w:t>0% in any column</w:t>
      </w:r>
      <w:r w:rsidR="00A022CA" w:rsidRPr="00481594">
        <w:t>; a</w:t>
      </w:r>
      <w:r w:rsidRPr="00481594">
        <w:t>ll participants as treated population</w:t>
      </w:r>
      <w:r w:rsidR="00A022CA" w:rsidRPr="00481594">
        <w:t>; f</w:t>
      </w:r>
      <w:r w:rsidRPr="00481594">
        <w:t xml:space="preserve">ollowing </w:t>
      </w:r>
      <w:r w:rsidR="00A022CA" w:rsidRPr="00481594">
        <w:t>pneumococcal conjugate vaccine</w:t>
      </w:r>
      <w:r w:rsidRPr="00481594">
        <w:t>)</w:t>
      </w:r>
    </w:p>
    <w:p w14:paraId="59C1ED4E" w14:textId="2EED6401" w:rsidR="00295270" w:rsidRPr="00481594" w:rsidRDefault="00295270" w:rsidP="00303435">
      <w:r w:rsidRPr="00481594">
        <w:rPr>
          <w:noProof/>
          <w:lang w:val="en-GB" w:eastAsia="en-GB"/>
        </w:rPr>
        <w:drawing>
          <wp:inline distT="0" distB="0" distL="0" distR="0" wp14:anchorId="361A0BA1" wp14:editId="7A02D9AB">
            <wp:extent cx="5400040" cy="1786890"/>
            <wp:effectExtent l="0" t="0" r="0" b="3810"/>
            <wp:docPr id="56" name="Picture 56" descr="Table 36: Study V114-017 Subjects with solicited adverse events by number of risk factors (incidence more than 0% in any column; all participants as treated population; following pneumococcal conjugate vac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able 36: Study V114-017 Subjects with solicited adverse events by number of risk factors (incidence more than 0% in any column; all participants as treated population; following pneumococcal conjugate vaccine)"/>
                    <pic:cNvPicPr/>
                  </pic:nvPicPr>
                  <pic:blipFill>
                    <a:blip r:embed="rId68"/>
                    <a:stretch>
                      <a:fillRect/>
                    </a:stretch>
                  </pic:blipFill>
                  <pic:spPr>
                    <a:xfrm>
                      <a:off x="0" y="0"/>
                      <a:ext cx="5400040" cy="1786890"/>
                    </a:xfrm>
                    <a:prstGeom prst="rect">
                      <a:avLst/>
                    </a:prstGeom>
                  </pic:spPr>
                </pic:pic>
              </a:graphicData>
            </a:graphic>
          </wp:inline>
        </w:drawing>
      </w:r>
    </w:p>
    <w:p w14:paraId="377FA50F" w14:textId="1898B49D" w:rsidR="00E51FD2" w:rsidRPr="00481594" w:rsidRDefault="00E31079" w:rsidP="00E51FD2">
      <w:pPr>
        <w:pStyle w:val="TableDescription"/>
      </w:pPr>
      <w:r w:rsidRPr="00481594">
        <w:t xml:space="preserve">Abbreviations: </w:t>
      </w:r>
      <w:r w:rsidR="00E51FD2" w:rsidRPr="00481594">
        <w:t xml:space="preserve">n = number of subjects contributing to the analysis; V114 = sponsor’s product development code for </w:t>
      </w:r>
      <w:proofErr w:type="spellStart"/>
      <w:r w:rsidR="00E51FD2" w:rsidRPr="00481594">
        <w:t>Vaxneuvance</w:t>
      </w:r>
      <w:proofErr w:type="spellEnd"/>
      <w:r w:rsidR="00E51FD2" w:rsidRPr="00481594">
        <w:t>.</w:t>
      </w:r>
    </w:p>
    <w:p w14:paraId="64224FEE" w14:textId="5151AFAD" w:rsidR="00E51FD2" w:rsidRPr="00481594" w:rsidRDefault="00E51FD2" w:rsidP="00E51FD2">
      <w:pPr>
        <w:pStyle w:val="TableDescription"/>
      </w:pPr>
      <w:r w:rsidRPr="00481594">
        <w:t>Every subject is counted a single time for each application row and column.</w:t>
      </w:r>
    </w:p>
    <w:p w14:paraId="45CD5FC1" w14:textId="4DD263D0" w:rsidR="00E51FD2" w:rsidRPr="00481594" w:rsidRDefault="00E51FD2" w:rsidP="00E51FD2">
      <w:pPr>
        <w:pStyle w:val="TableDescription"/>
      </w:pPr>
      <w:r w:rsidRPr="00481594">
        <w:t>Injection site erythema, injection site pain, and injection site swelling were solicited from Day 1 to Day 5 following vaccination. Arthralgia, fatigue, headache, and myalgia were solicited from Day 1 to Day 14 following vaccination.</w:t>
      </w:r>
    </w:p>
    <w:p w14:paraId="1B4BF13D" w14:textId="2EBDCD67" w:rsidR="00E51FD2" w:rsidRPr="00481594" w:rsidRDefault="00480377" w:rsidP="00E51FD2">
      <w:pPr>
        <w:pStyle w:val="TableDescription"/>
      </w:pPr>
      <w:r w:rsidRPr="00481594">
        <w:t>Medical Dictionary for Regulatory Activities (</w:t>
      </w:r>
      <w:r w:rsidR="00E51FD2" w:rsidRPr="00481594">
        <w:t>MedDRA</w:t>
      </w:r>
      <w:r w:rsidRPr="00481594">
        <w:t>)</w:t>
      </w:r>
      <w:r w:rsidRPr="00481594">
        <w:rPr>
          <w:rStyle w:val="FootnoteReference"/>
        </w:rPr>
        <w:footnoteReference w:id="14"/>
      </w:r>
      <w:r w:rsidR="00E51FD2" w:rsidRPr="00481594">
        <w:t xml:space="preserve"> version 23.0 was used in the reporting of this study.</w:t>
      </w:r>
    </w:p>
    <w:p w14:paraId="31C97B9A" w14:textId="194A1748" w:rsidR="00E51FD2" w:rsidRPr="00481594" w:rsidRDefault="00E51FD2" w:rsidP="00E51FD2">
      <w:pPr>
        <w:pStyle w:val="TableDescription"/>
      </w:pPr>
      <w:r w:rsidRPr="00481594">
        <w:t xml:space="preserve">Risk factors include chronic lung disease, tobacco use, diabetes mellitus, chronic liver disease, chronic heart disease, or alcohol consumption. The risk factor of alcohol consumption is defined as the alcohol use disorders identification test-consumption (AUDIT-C) score </w:t>
      </w:r>
      <w:r w:rsidR="00626CC0" w:rsidRPr="00481594">
        <w:t>at least</w:t>
      </w:r>
      <w:r w:rsidRPr="00481594">
        <w:t xml:space="preserve"> 5.</w:t>
      </w:r>
    </w:p>
    <w:p w14:paraId="0D930564" w14:textId="6EFF8A48" w:rsidR="00295270" w:rsidRPr="00481594" w:rsidRDefault="00E51FD2" w:rsidP="00E51FD2">
      <w:pPr>
        <w:pStyle w:val="TableDescription"/>
      </w:pPr>
      <w:r w:rsidRPr="00481594">
        <w:t xml:space="preserve">All subjects with no risk factors and subjects with a single risk factor of alcohol consumption were enrolled at </w:t>
      </w:r>
      <w:proofErr w:type="spellStart"/>
      <w:r w:rsidRPr="00481594">
        <w:t>Center</w:t>
      </w:r>
      <w:proofErr w:type="spellEnd"/>
      <w:r w:rsidRPr="00481594">
        <w:t xml:space="preserve"> for American Indian Health (CAIH) sites.</w:t>
      </w:r>
    </w:p>
    <w:p w14:paraId="41ABCB82" w14:textId="1AB24597" w:rsidR="00295270" w:rsidRPr="00481594" w:rsidRDefault="00295270" w:rsidP="00A022CA">
      <w:pPr>
        <w:pStyle w:val="TableTitle"/>
      </w:pPr>
      <w:bookmarkStart w:id="93" w:name="_Ref108776583"/>
      <w:r w:rsidRPr="00481594">
        <w:lastRenderedPageBreak/>
        <w:t xml:space="preserve">Table </w:t>
      </w:r>
      <w:r w:rsidRPr="00481594">
        <w:fldChar w:fldCharType="begin"/>
      </w:r>
      <w:r w:rsidRPr="00481594">
        <w:instrText>SEQ Table \* ARABIC</w:instrText>
      </w:r>
      <w:r w:rsidRPr="00481594">
        <w:fldChar w:fldCharType="separate"/>
      </w:r>
      <w:r w:rsidR="00190330">
        <w:rPr>
          <w:noProof/>
        </w:rPr>
        <w:t>37</w:t>
      </w:r>
      <w:r w:rsidRPr="00481594">
        <w:fldChar w:fldCharType="end"/>
      </w:r>
      <w:bookmarkEnd w:id="93"/>
      <w:r w:rsidRPr="00481594">
        <w:t xml:space="preserve">: </w:t>
      </w:r>
      <w:r w:rsidR="00A022CA" w:rsidRPr="00481594">
        <w:t xml:space="preserve">Study V114-018 </w:t>
      </w:r>
      <w:r w:rsidRPr="00481594">
        <w:t xml:space="preserve">Summary of </w:t>
      </w:r>
      <w:r w:rsidR="00A022CA" w:rsidRPr="00481594">
        <w:t>adverse events</w:t>
      </w:r>
      <w:r w:rsidRPr="00481594">
        <w:t xml:space="preserve"> (</w:t>
      </w:r>
      <w:r w:rsidR="00A022CA" w:rsidRPr="00481594">
        <w:t>a</w:t>
      </w:r>
      <w:r w:rsidRPr="00481594">
        <w:t>ll participants as treated population</w:t>
      </w:r>
      <w:r w:rsidR="00A022CA" w:rsidRPr="00481594">
        <w:t>; f</w:t>
      </w:r>
      <w:r w:rsidRPr="00481594">
        <w:t xml:space="preserve">ollowing </w:t>
      </w:r>
      <w:r w:rsidR="00A022CA" w:rsidRPr="00481594">
        <w:t>pneumococcal conjugate vaccine</w:t>
      </w:r>
      <w:r w:rsidRPr="00481594">
        <w:t>)</w:t>
      </w:r>
    </w:p>
    <w:p w14:paraId="2F9CC9BE" w14:textId="3F5781B8" w:rsidR="00295270" w:rsidRPr="00481594" w:rsidRDefault="00295270" w:rsidP="00303435">
      <w:r w:rsidRPr="00481594">
        <w:rPr>
          <w:noProof/>
          <w:lang w:val="en-GB" w:eastAsia="en-GB"/>
        </w:rPr>
        <w:drawing>
          <wp:inline distT="0" distB="0" distL="0" distR="0" wp14:anchorId="631887B1" wp14:editId="3CCB414E">
            <wp:extent cx="5400040" cy="3432175"/>
            <wp:effectExtent l="0" t="0" r="0" b="0"/>
            <wp:docPr id="58" name="Picture 58" descr="Table 37: Study V114-018 Summary of adverse events (all participants as treated population; following pneumococcal conjugate vac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able 37: Study V114-018 Summary of adverse events (all participants as treated population; following pneumococcal conjugate vaccine)"/>
                    <pic:cNvPicPr/>
                  </pic:nvPicPr>
                  <pic:blipFill>
                    <a:blip r:embed="rId69"/>
                    <a:stretch>
                      <a:fillRect/>
                    </a:stretch>
                  </pic:blipFill>
                  <pic:spPr>
                    <a:xfrm>
                      <a:off x="0" y="0"/>
                      <a:ext cx="5400040" cy="3432175"/>
                    </a:xfrm>
                    <a:prstGeom prst="rect">
                      <a:avLst/>
                    </a:prstGeom>
                  </pic:spPr>
                </pic:pic>
              </a:graphicData>
            </a:graphic>
          </wp:inline>
        </w:drawing>
      </w:r>
    </w:p>
    <w:p w14:paraId="442BAE81" w14:textId="18068FAB" w:rsidR="00E51FD2" w:rsidRPr="00481594" w:rsidRDefault="00482C41" w:rsidP="00480377">
      <w:pPr>
        <w:pStyle w:val="TableDescription"/>
      </w:pPr>
      <w:r w:rsidRPr="00481594">
        <w:t xml:space="preserve">Abbreviations: </w:t>
      </w:r>
      <w:r w:rsidR="00E51FD2" w:rsidRPr="00481594">
        <w:t xml:space="preserve">CI = confidence interval; n = number of subjects contributing to the analysis; V114 = sponsor’s product development code for </w:t>
      </w:r>
      <w:proofErr w:type="spellStart"/>
      <w:r w:rsidR="00E51FD2" w:rsidRPr="00481594">
        <w:t>Vaxneuvance</w:t>
      </w:r>
      <w:proofErr w:type="spellEnd"/>
      <w:r w:rsidR="00E51FD2" w:rsidRPr="00481594">
        <w:t>.</w:t>
      </w:r>
    </w:p>
    <w:p w14:paraId="1B184BB5" w14:textId="0B1305C2" w:rsidR="00E51FD2" w:rsidRPr="00481594" w:rsidRDefault="00480377" w:rsidP="00480377">
      <w:pPr>
        <w:pStyle w:val="TableDescription"/>
      </w:pPr>
      <w:r w:rsidRPr="00481594">
        <w:rPr>
          <w:rFonts w:hint="eastAsia"/>
        </w:rPr>
        <w:t>†</w:t>
      </w:r>
      <w:r w:rsidR="00E51FD2" w:rsidRPr="00481594">
        <w:t>Based on the exact binomial method proposed by Clopper and Pearson for the percentages. CIs are provided in accordance with the statistical analysis plan.</w:t>
      </w:r>
    </w:p>
    <w:p w14:paraId="6F82B282" w14:textId="11F646AF" w:rsidR="00E51FD2" w:rsidRPr="00481594" w:rsidRDefault="00480377" w:rsidP="00480377">
      <w:pPr>
        <w:pStyle w:val="TableDescription"/>
      </w:pPr>
      <w:r w:rsidRPr="00481594">
        <w:rPr>
          <w:rFonts w:hint="eastAsia"/>
        </w:rPr>
        <w:t>‡</w:t>
      </w:r>
      <w:r w:rsidR="00E51FD2" w:rsidRPr="00481594">
        <w:t>Determined by the investigator to be related to the vaccine.</w:t>
      </w:r>
    </w:p>
    <w:p w14:paraId="092A2AE2" w14:textId="667167A0" w:rsidR="00295270" w:rsidRPr="00481594" w:rsidRDefault="00E51FD2" w:rsidP="00480377">
      <w:pPr>
        <w:pStyle w:val="TableDescription"/>
      </w:pPr>
      <w:r w:rsidRPr="00481594">
        <w:t xml:space="preserve">Reported </w:t>
      </w:r>
      <w:r w:rsidR="00480377" w:rsidRPr="00481594">
        <w:t>adverse events include non-serious adverse events within 14 days of vaccination and serious adverse events occurring Day 1 through Week 8.</w:t>
      </w:r>
    </w:p>
    <w:p w14:paraId="0C181B69" w14:textId="16800CED" w:rsidR="00295270" w:rsidRPr="00481594" w:rsidRDefault="00E31079" w:rsidP="00B638B1">
      <w:bookmarkStart w:id="94" w:name="_Hlk111654728"/>
      <w:proofErr w:type="spellStart"/>
      <w:r w:rsidRPr="00481594">
        <w:t>Vaxneuvance</w:t>
      </w:r>
      <w:proofErr w:type="spellEnd"/>
      <w:r w:rsidRPr="00481594">
        <w:t xml:space="preserve"> </w:t>
      </w:r>
      <w:r w:rsidR="00B638B1" w:rsidRPr="00481594">
        <w:t>was well</w:t>
      </w:r>
      <w:r w:rsidR="00611D75" w:rsidRPr="00481594">
        <w:t xml:space="preserve"> </w:t>
      </w:r>
      <w:r w:rsidR="00B638B1" w:rsidRPr="00481594">
        <w:t xml:space="preserve">tolerated in adults </w:t>
      </w:r>
      <w:bookmarkEnd w:id="94"/>
      <w:r w:rsidR="00B638B1" w:rsidRPr="00481594">
        <w:t>65 years of age</w:t>
      </w:r>
      <w:r w:rsidR="00626CC0" w:rsidRPr="00481594">
        <w:t xml:space="preserve"> and older</w:t>
      </w:r>
      <w:r w:rsidR="00B638B1" w:rsidRPr="00481594">
        <w:t xml:space="preserve"> previously vaccinated with </w:t>
      </w:r>
      <w:r w:rsidR="00DE0933" w:rsidRPr="00481594">
        <w:t>Pneumovax 23</w:t>
      </w:r>
      <w:r w:rsidR="00B638B1" w:rsidRPr="00481594">
        <w:t xml:space="preserve"> (</w:t>
      </w:r>
      <w:r w:rsidR="00611D75" w:rsidRPr="00481594">
        <w:t>Study </w:t>
      </w:r>
      <w:r w:rsidR="00B638B1" w:rsidRPr="00481594">
        <w:t xml:space="preserve">V114-007), </w:t>
      </w:r>
      <w:r w:rsidR="00611D75" w:rsidRPr="00481594">
        <w:t>more than one</w:t>
      </w:r>
      <w:r w:rsidR="00B638B1" w:rsidRPr="00481594">
        <w:t xml:space="preserve"> year prior to study entry. Safety results were consistent with those seen in pneumococcal vaccine</w:t>
      </w:r>
      <w:r w:rsidR="001B5950" w:rsidRPr="00481594">
        <w:t xml:space="preserve"> </w:t>
      </w:r>
      <w:r w:rsidR="00B638B1" w:rsidRPr="00481594">
        <w:t>naïve adults 50 years of age</w:t>
      </w:r>
      <w:r w:rsidR="00626CC0" w:rsidRPr="00481594">
        <w:t xml:space="preserve"> and older</w:t>
      </w:r>
      <w:r w:rsidR="00B638B1" w:rsidRPr="00481594">
        <w:t xml:space="preserve">, as shown in </w:t>
      </w:r>
      <w:r w:rsidR="00295270" w:rsidRPr="00481594">
        <w:fldChar w:fldCharType="begin"/>
      </w:r>
      <w:r w:rsidR="00295270" w:rsidRPr="00481594">
        <w:instrText xml:space="preserve"> REF _Ref108776675 \h </w:instrText>
      </w:r>
      <w:r w:rsidR="00481594">
        <w:instrText xml:space="preserve"> \* MERGEFORMAT </w:instrText>
      </w:r>
      <w:r w:rsidR="00295270" w:rsidRPr="00481594">
        <w:fldChar w:fldCharType="separate"/>
      </w:r>
      <w:r w:rsidR="00190330" w:rsidRPr="00481594">
        <w:t xml:space="preserve">Table </w:t>
      </w:r>
      <w:r w:rsidR="00190330">
        <w:rPr>
          <w:noProof/>
        </w:rPr>
        <w:t>38</w:t>
      </w:r>
      <w:r w:rsidR="00295270" w:rsidRPr="00481594">
        <w:fldChar w:fldCharType="end"/>
      </w:r>
      <w:r w:rsidR="00B638B1" w:rsidRPr="00481594">
        <w:t>.</w:t>
      </w:r>
    </w:p>
    <w:p w14:paraId="075DC93A" w14:textId="58DA2EFC" w:rsidR="00295270" w:rsidRPr="00481594" w:rsidRDefault="00295270" w:rsidP="00A022CA">
      <w:pPr>
        <w:pStyle w:val="TableTitle"/>
      </w:pPr>
      <w:bookmarkStart w:id="95" w:name="_Ref108776675"/>
      <w:r w:rsidRPr="00481594">
        <w:lastRenderedPageBreak/>
        <w:t xml:space="preserve">Table </w:t>
      </w:r>
      <w:r w:rsidRPr="00481594">
        <w:fldChar w:fldCharType="begin"/>
      </w:r>
      <w:r w:rsidRPr="00481594">
        <w:instrText>SEQ Table \* ARABIC</w:instrText>
      </w:r>
      <w:r w:rsidRPr="00481594">
        <w:fldChar w:fldCharType="separate"/>
      </w:r>
      <w:r w:rsidR="00190330">
        <w:rPr>
          <w:noProof/>
        </w:rPr>
        <w:t>38</w:t>
      </w:r>
      <w:r w:rsidRPr="00481594">
        <w:fldChar w:fldCharType="end"/>
      </w:r>
      <w:bookmarkEnd w:id="95"/>
      <w:r w:rsidRPr="00481594">
        <w:t xml:space="preserve">: </w:t>
      </w:r>
      <w:r w:rsidR="00A022CA" w:rsidRPr="00481594">
        <w:t xml:space="preserve">Study V114-007 </w:t>
      </w:r>
      <w:r w:rsidRPr="00481594">
        <w:t xml:space="preserve">Analysis of </w:t>
      </w:r>
      <w:r w:rsidR="00A022CA" w:rsidRPr="00481594">
        <w:t xml:space="preserve">adverse event </w:t>
      </w:r>
      <w:r w:rsidRPr="00481594">
        <w:t>summary (all subjects as treated population</w:t>
      </w:r>
      <w:r w:rsidR="00A022CA" w:rsidRPr="00481594">
        <w:t>; f</w:t>
      </w:r>
      <w:r w:rsidRPr="00481594">
        <w:t xml:space="preserve">ollowing </w:t>
      </w:r>
      <w:r w:rsidR="00A022CA" w:rsidRPr="00481594">
        <w:t>pneumococcal conjugate vaccine</w:t>
      </w:r>
      <w:r w:rsidRPr="00481594">
        <w:t>)</w:t>
      </w:r>
    </w:p>
    <w:p w14:paraId="3F349856" w14:textId="2AD9F468" w:rsidR="00295270" w:rsidRPr="00481594" w:rsidRDefault="00295270" w:rsidP="00303435">
      <w:r w:rsidRPr="00481594">
        <w:rPr>
          <w:noProof/>
          <w:lang w:val="en-GB" w:eastAsia="en-GB"/>
        </w:rPr>
        <w:drawing>
          <wp:inline distT="0" distB="0" distL="0" distR="0" wp14:anchorId="3771C6AB" wp14:editId="77F6A6F3">
            <wp:extent cx="5400040" cy="3317240"/>
            <wp:effectExtent l="0" t="0" r="0" b="0"/>
            <wp:docPr id="60" name="Picture 60" descr="Table 38: Study V114-007 Analysis of adverse event summary (all subjects as treated population; following pneumococcal conjugate vac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able 38: Study V114-007 Analysis of adverse event summary (all subjects as treated population; following pneumococcal conjugate vaccine)"/>
                    <pic:cNvPicPr/>
                  </pic:nvPicPr>
                  <pic:blipFill>
                    <a:blip r:embed="rId70"/>
                    <a:stretch>
                      <a:fillRect/>
                    </a:stretch>
                  </pic:blipFill>
                  <pic:spPr>
                    <a:xfrm>
                      <a:off x="0" y="0"/>
                      <a:ext cx="5400040" cy="3317240"/>
                    </a:xfrm>
                    <a:prstGeom prst="rect">
                      <a:avLst/>
                    </a:prstGeom>
                  </pic:spPr>
                </pic:pic>
              </a:graphicData>
            </a:graphic>
          </wp:inline>
        </w:drawing>
      </w:r>
    </w:p>
    <w:p w14:paraId="4693B3CE" w14:textId="4A3C7407" w:rsidR="00480377" w:rsidRPr="00481594" w:rsidRDefault="00E31079" w:rsidP="00480377">
      <w:pPr>
        <w:pStyle w:val="TableDescription"/>
      </w:pPr>
      <w:r w:rsidRPr="00481594">
        <w:t xml:space="preserve">Abbreviations: </w:t>
      </w:r>
      <w:r w:rsidR="00480377" w:rsidRPr="00481594">
        <w:t xml:space="preserve">CI = confidence interval; n = number of subjects contributing to the analysis; V114 = sponsor’s product development code for </w:t>
      </w:r>
      <w:proofErr w:type="spellStart"/>
      <w:r w:rsidR="00480377" w:rsidRPr="00481594">
        <w:t>Vaxneuvance</w:t>
      </w:r>
      <w:proofErr w:type="spellEnd"/>
      <w:r w:rsidR="00480377" w:rsidRPr="00481594">
        <w:t>; vs = versus.</w:t>
      </w:r>
    </w:p>
    <w:p w14:paraId="2B65C3F3" w14:textId="77CC6ADC" w:rsidR="00480377" w:rsidRPr="00481594" w:rsidRDefault="00480377" w:rsidP="00480377">
      <w:pPr>
        <w:pStyle w:val="TableDescription"/>
      </w:pPr>
      <w:r w:rsidRPr="00481594">
        <w:rPr>
          <w:rFonts w:hint="eastAsia"/>
        </w:rPr>
        <w:t>†</w:t>
      </w:r>
      <w:r w:rsidRPr="00481594">
        <w:t xml:space="preserve">Based on Miettinen and </w:t>
      </w:r>
      <w:proofErr w:type="spellStart"/>
      <w:r w:rsidRPr="00481594">
        <w:t>Nurminen</w:t>
      </w:r>
      <w:proofErr w:type="spellEnd"/>
      <w:r w:rsidRPr="00481594">
        <w:t xml:space="preserve"> method.</w:t>
      </w:r>
    </w:p>
    <w:p w14:paraId="7A1AFA25" w14:textId="77777777" w:rsidR="00480377" w:rsidRPr="00481594" w:rsidRDefault="00480377" w:rsidP="00480377">
      <w:pPr>
        <w:pStyle w:val="TableDescription"/>
      </w:pPr>
      <w:r w:rsidRPr="00481594">
        <w:rPr>
          <w:rFonts w:hint="eastAsia"/>
        </w:rPr>
        <w:t>‡</w:t>
      </w:r>
      <w:r w:rsidRPr="00481594">
        <w:t>Determined by the investigator to be related to the vaccine.</w:t>
      </w:r>
    </w:p>
    <w:p w14:paraId="3B3829A6" w14:textId="7E1251EE" w:rsidR="00295270" w:rsidRPr="00481594" w:rsidRDefault="00480377" w:rsidP="00480377">
      <w:pPr>
        <w:pStyle w:val="TableDescription"/>
      </w:pPr>
      <w:r w:rsidRPr="00481594">
        <w:t>Reported adverse events include non-serious adverse events within 14 days of vaccination and serious adverse events occurring Day 1 through Day 30.</w:t>
      </w:r>
    </w:p>
    <w:p w14:paraId="7B0DB582" w14:textId="365FD885" w:rsidR="00B638B1" w:rsidRPr="00481594" w:rsidRDefault="00B638B1" w:rsidP="00B638B1">
      <w:r w:rsidRPr="00481594">
        <w:t xml:space="preserve">Study V114-016 assessed </w:t>
      </w:r>
      <w:proofErr w:type="spellStart"/>
      <w:r w:rsidR="00E31079" w:rsidRPr="00481594">
        <w:t>Vaxneuvance</w:t>
      </w:r>
      <w:proofErr w:type="spellEnd"/>
      <w:r w:rsidR="00E31079" w:rsidRPr="00481594">
        <w:t xml:space="preserve"> </w:t>
      </w:r>
      <w:r w:rsidRPr="00481594">
        <w:t xml:space="preserve">or Prevnar 13 given sequential administration of </w:t>
      </w:r>
      <w:r w:rsidR="00DE0933" w:rsidRPr="00481594">
        <w:t>Pneumovax 23</w:t>
      </w:r>
      <w:r w:rsidRPr="00481594">
        <w:t>, 12</w:t>
      </w:r>
      <w:r w:rsidR="00611D75" w:rsidRPr="00481594">
        <w:t> </w:t>
      </w:r>
      <w:r w:rsidRPr="00481594">
        <w:t xml:space="preserve">months after </w:t>
      </w:r>
      <w:proofErr w:type="spellStart"/>
      <w:r w:rsidR="00E31079" w:rsidRPr="00481594">
        <w:t>Vaxneuvance</w:t>
      </w:r>
      <w:proofErr w:type="spellEnd"/>
      <w:r w:rsidR="00E31079" w:rsidRPr="00481594">
        <w:t xml:space="preserve"> </w:t>
      </w:r>
      <w:r w:rsidRPr="00481594">
        <w:t>or Prevnar 13. This was well tolerated in adults (50 years of age</w:t>
      </w:r>
      <w:r w:rsidR="00626CC0" w:rsidRPr="00481594">
        <w:t xml:space="preserve"> and older</w:t>
      </w:r>
      <w:r w:rsidRPr="00481594">
        <w:t>) and AE proportions were comparable across treatment groups (</w:t>
      </w:r>
      <w:r w:rsidR="00295270" w:rsidRPr="00481594">
        <w:fldChar w:fldCharType="begin"/>
      </w:r>
      <w:r w:rsidR="00295270" w:rsidRPr="00481594">
        <w:instrText xml:space="preserve"> REF _Ref108776768 \h </w:instrText>
      </w:r>
      <w:r w:rsidR="00481594">
        <w:instrText xml:space="preserve"> \* MERGEFORMAT </w:instrText>
      </w:r>
      <w:r w:rsidR="00295270" w:rsidRPr="00481594">
        <w:fldChar w:fldCharType="separate"/>
      </w:r>
      <w:r w:rsidR="00190330" w:rsidRPr="00481594">
        <w:t xml:space="preserve">Table </w:t>
      </w:r>
      <w:r w:rsidR="00190330">
        <w:rPr>
          <w:noProof/>
        </w:rPr>
        <w:t>39</w:t>
      </w:r>
      <w:r w:rsidR="00295270" w:rsidRPr="00481594">
        <w:fldChar w:fldCharType="end"/>
      </w:r>
      <w:r w:rsidRPr="00481594">
        <w:t>). There were low proportions of subjects experiencing SAEs, which were comparable across treatment groups. No participant died during the study.</w:t>
      </w:r>
    </w:p>
    <w:p w14:paraId="3DD37DEC" w14:textId="0E3BF322" w:rsidR="00295270" w:rsidRPr="00481594" w:rsidRDefault="00295270" w:rsidP="00A022CA">
      <w:pPr>
        <w:pStyle w:val="TableTitle"/>
      </w:pPr>
      <w:bookmarkStart w:id="96" w:name="_Ref108776768"/>
      <w:r w:rsidRPr="00481594">
        <w:t xml:space="preserve">Table </w:t>
      </w:r>
      <w:r w:rsidRPr="00481594">
        <w:fldChar w:fldCharType="begin"/>
      </w:r>
      <w:r w:rsidRPr="00481594">
        <w:instrText>SEQ Table \* ARABIC</w:instrText>
      </w:r>
      <w:r w:rsidRPr="00481594">
        <w:fldChar w:fldCharType="separate"/>
      </w:r>
      <w:r w:rsidR="00190330">
        <w:rPr>
          <w:noProof/>
        </w:rPr>
        <w:t>39</w:t>
      </w:r>
      <w:r w:rsidRPr="00481594">
        <w:fldChar w:fldCharType="end"/>
      </w:r>
      <w:bookmarkEnd w:id="96"/>
      <w:r w:rsidRPr="00481594">
        <w:t>:</w:t>
      </w:r>
      <w:r w:rsidR="00A022CA" w:rsidRPr="00481594">
        <w:t xml:space="preserve"> Study</w:t>
      </w:r>
      <w:r w:rsidRPr="00481594">
        <w:t xml:space="preserve"> </w:t>
      </w:r>
      <w:r w:rsidR="00A022CA" w:rsidRPr="00481594">
        <w:t>V114-016</w:t>
      </w:r>
      <w:r w:rsidR="0075727A" w:rsidRPr="00481594">
        <w:t xml:space="preserve"> </w:t>
      </w:r>
      <w:r w:rsidRPr="00481594">
        <w:t xml:space="preserve">Analysis of </w:t>
      </w:r>
      <w:r w:rsidR="00A022CA" w:rsidRPr="00481594">
        <w:t xml:space="preserve">adverse event </w:t>
      </w:r>
      <w:r w:rsidRPr="00481594">
        <w:t>summary (</w:t>
      </w:r>
      <w:r w:rsidR="00A022CA" w:rsidRPr="00481594">
        <w:t>a</w:t>
      </w:r>
      <w:r w:rsidRPr="00481594">
        <w:t>ll participants as treated population</w:t>
      </w:r>
      <w:r w:rsidR="00A022CA" w:rsidRPr="00481594">
        <w:t>; f</w:t>
      </w:r>
      <w:r w:rsidRPr="00481594">
        <w:t xml:space="preserve">ollowing </w:t>
      </w:r>
      <w:r w:rsidR="00A022CA" w:rsidRPr="00481594">
        <w:t>Pneumovax 23</w:t>
      </w:r>
      <w:r w:rsidRPr="00481594">
        <w:t>)</w:t>
      </w:r>
    </w:p>
    <w:p w14:paraId="503D5B8C" w14:textId="0FE006DD" w:rsidR="00295270" w:rsidRPr="00481594" w:rsidRDefault="00295270" w:rsidP="00303435">
      <w:r w:rsidRPr="00481594">
        <w:rPr>
          <w:noProof/>
          <w:lang w:val="en-GB" w:eastAsia="en-GB"/>
        </w:rPr>
        <w:drawing>
          <wp:inline distT="0" distB="0" distL="0" distR="0" wp14:anchorId="07DEFF01" wp14:editId="0497E6AC">
            <wp:extent cx="5400040" cy="2092325"/>
            <wp:effectExtent l="0" t="0" r="0" b="3175"/>
            <wp:docPr id="62" name="Picture 62" descr="Table 39: Study V114-016 Analysis of adverse event summary (all participants as treated population; following Pneumovax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able 39: Study V114-016 Analysis of adverse event summary (all participants as treated population; following Pneumovax 23)"/>
                    <pic:cNvPicPr/>
                  </pic:nvPicPr>
                  <pic:blipFill>
                    <a:blip r:embed="rId71"/>
                    <a:stretch>
                      <a:fillRect/>
                    </a:stretch>
                  </pic:blipFill>
                  <pic:spPr>
                    <a:xfrm>
                      <a:off x="0" y="0"/>
                      <a:ext cx="5400040" cy="2092325"/>
                    </a:xfrm>
                    <a:prstGeom prst="rect">
                      <a:avLst/>
                    </a:prstGeom>
                  </pic:spPr>
                </pic:pic>
              </a:graphicData>
            </a:graphic>
          </wp:inline>
        </w:drawing>
      </w:r>
    </w:p>
    <w:p w14:paraId="1E5E1F8C" w14:textId="71B85C2B" w:rsidR="00480377" w:rsidRPr="00481594" w:rsidRDefault="00F96359" w:rsidP="00480377">
      <w:pPr>
        <w:pStyle w:val="TableDescription"/>
      </w:pPr>
      <w:r w:rsidRPr="00481594">
        <w:t xml:space="preserve">Abbreviations: </w:t>
      </w:r>
      <w:r w:rsidR="00480377" w:rsidRPr="00481594">
        <w:t xml:space="preserve">CI = confidence interval; n = number of subjects contributing to the analysis; V114 = sponsor’s product development code for </w:t>
      </w:r>
      <w:proofErr w:type="spellStart"/>
      <w:r w:rsidR="00480377" w:rsidRPr="00481594">
        <w:t>Vaxneuvance</w:t>
      </w:r>
      <w:proofErr w:type="spellEnd"/>
      <w:r w:rsidR="00480377" w:rsidRPr="00481594">
        <w:t>; vs = versus.</w:t>
      </w:r>
    </w:p>
    <w:p w14:paraId="1BED002C" w14:textId="432AB0B9" w:rsidR="00480377" w:rsidRPr="00481594" w:rsidRDefault="00480377" w:rsidP="00480377">
      <w:pPr>
        <w:pStyle w:val="TableDescription"/>
      </w:pPr>
      <w:r w:rsidRPr="00481594">
        <w:rPr>
          <w:rFonts w:hint="eastAsia"/>
        </w:rPr>
        <w:lastRenderedPageBreak/>
        <w:t>†E</w:t>
      </w:r>
      <w:r w:rsidRPr="00481594">
        <w:t xml:space="preserve">stimated differences and CIs are calculated based on the Miettinen and </w:t>
      </w:r>
      <w:proofErr w:type="spellStart"/>
      <w:r w:rsidRPr="00481594">
        <w:t>Nurminen</w:t>
      </w:r>
      <w:proofErr w:type="spellEnd"/>
      <w:r w:rsidRPr="00481594">
        <w:t xml:space="preserve"> method and are provided in accordance with the statistical analysis plan.</w:t>
      </w:r>
    </w:p>
    <w:p w14:paraId="6E2C684E" w14:textId="77777777" w:rsidR="00480377" w:rsidRPr="00481594" w:rsidRDefault="00480377" w:rsidP="00480377">
      <w:pPr>
        <w:pStyle w:val="TableDescription"/>
      </w:pPr>
      <w:r w:rsidRPr="00481594">
        <w:rPr>
          <w:rFonts w:hint="eastAsia"/>
        </w:rPr>
        <w:t>‡</w:t>
      </w:r>
      <w:r w:rsidRPr="00481594">
        <w:t>Determined by the investigator to be related to the vaccine.</w:t>
      </w:r>
    </w:p>
    <w:p w14:paraId="0C8180FA" w14:textId="51BF0F02" w:rsidR="00295270" w:rsidRPr="00481594" w:rsidRDefault="00480377" w:rsidP="00480377">
      <w:pPr>
        <w:pStyle w:val="TableDescription"/>
      </w:pPr>
      <w:r w:rsidRPr="00481594">
        <w:t>Reported adverse events include non-serious adverse events within 14 days of vaccination and serious adverse events occurring Month 12 (Day 1 relative to vaccination with Pneumovax 23) through Month 13.</w:t>
      </w:r>
    </w:p>
    <w:p w14:paraId="57F92C3E" w14:textId="0BC0BDCF" w:rsidR="00B638B1" w:rsidRPr="00481594" w:rsidRDefault="00B638B1" w:rsidP="00B638B1">
      <w:r w:rsidRPr="00481594">
        <w:t xml:space="preserve">In Study V114-021, </w:t>
      </w:r>
      <w:proofErr w:type="spellStart"/>
      <w:r w:rsidR="00C81AF5" w:rsidRPr="00481594">
        <w:t>Vaxneuvance</w:t>
      </w:r>
      <w:proofErr w:type="spellEnd"/>
      <w:r w:rsidR="00C81AF5" w:rsidRPr="00481594">
        <w:t xml:space="preserve"> </w:t>
      </w:r>
      <w:r w:rsidRPr="00481594">
        <w:t xml:space="preserve">was well-tolerated when concomitantly administered with </w:t>
      </w:r>
      <w:r w:rsidR="00DE0933" w:rsidRPr="00481594">
        <w:t>quadrivalent influenza vaccine</w:t>
      </w:r>
      <w:r w:rsidRPr="00481594">
        <w:t xml:space="preserve"> in adults 50 years of age</w:t>
      </w:r>
      <w:r w:rsidR="00626CC0" w:rsidRPr="00481594">
        <w:t xml:space="preserve"> and older</w:t>
      </w:r>
      <w:r w:rsidRPr="00481594">
        <w:t>. The proportions of subjects with local and systemic AEs were comparable across concomitant and non-concomitant treatment groups with low SAE rates.</w:t>
      </w:r>
    </w:p>
    <w:p w14:paraId="0D2335A5" w14:textId="3644C9C0" w:rsidR="00B638B1" w:rsidRPr="00481594" w:rsidRDefault="00B638B1" w:rsidP="00B638B1">
      <w:r w:rsidRPr="00481594">
        <w:t>Although pregnant subjects were excluded, across the 7 studies, a total of 14 subjects (10</w:t>
      </w:r>
      <w:r w:rsidR="00F96359" w:rsidRPr="00481594">
        <w:t> </w:t>
      </w:r>
      <w:r w:rsidRPr="00481594">
        <w:t xml:space="preserve">in the </w:t>
      </w:r>
      <w:proofErr w:type="spellStart"/>
      <w:r w:rsidR="00F96359" w:rsidRPr="00481594">
        <w:t>Vaxneuvance</w:t>
      </w:r>
      <w:proofErr w:type="spellEnd"/>
      <w:r w:rsidR="00F96359" w:rsidRPr="00481594">
        <w:t xml:space="preserve"> </w:t>
      </w:r>
      <w:r w:rsidRPr="00481594">
        <w:t xml:space="preserve">and 4 in the Prevnar 13 group) reported 15 pregnancies (10 in the </w:t>
      </w:r>
      <w:proofErr w:type="spellStart"/>
      <w:r w:rsidR="00F96359" w:rsidRPr="00481594">
        <w:t>Vaxneuvance</w:t>
      </w:r>
      <w:proofErr w:type="spellEnd"/>
      <w:r w:rsidR="00F96359" w:rsidRPr="00481594">
        <w:t xml:space="preserve"> </w:t>
      </w:r>
      <w:r w:rsidRPr="00481594">
        <w:t xml:space="preserve">and 5 in the Prevnar 13 group), all being in </w:t>
      </w:r>
      <w:r w:rsidR="00F96359" w:rsidRPr="00481594">
        <w:t>S</w:t>
      </w:r>
      <w:r w:rsidRPr="00481594">
        <w:t xml:space="preserve">tudy V114-017. In the </w:t>
      </w:r>
      <w:proofErr w:type="spellStart"/>
      <w:r w:rsidR="00F96359" w:rsidRPr="00481594">
        <w:t>Vaxneuvance</w:t>
      </w:r>
      <w:proofErr w:type="spellEnd"/>
      <w:r w:rsidR="00F96359" w:rsidRPr="00481594">
        <w:t xml:space="preserve"> </w:t>
      </w:r>
      <w:r w:rsidRPr="00481594">
        <w:t>group, 4 of the 10</w:t>
      </w:r>
      <w:r w:rsidR="00611D75" w:rsidRPr="00481594">
        <w:t> </w:t>
      </w:r>
      <w:r w:rsidRPr="00481594">
        <w:t xml:space="preserve">subjects were vaccinated within 6 weeks prior to conception. Pregnancy outcomes included 8 live births, </w:t>
      </w:r>
      <w:r w:rsidR="00611D75" w:rsidRPr="00481594">
        <w:t>one</w:t>
      </w:r>
      <w:r w:rsidRPr="00481594">
        <w:t xml:space="preserve"> spontaneous abortion and </w:t>
      </w:r>
      <w:r w:rsidR="00611D75" w:rsidRPr="00481594">
        <w:t>one</w:t>
      </w:r>
      <w:r w:rsidRPr="00481594">
        <w:t xml:space="preserve"> elective abortion in the </w:t>
      </w:r>
      <w:proofErr w:type="spellStart"/>
      <w:r w:rsidR="00F96359" w:rsidRPr="00481594">
        <w:t>Vaxneuvance</w:t>
      </w:r>
      <w:proofErr w:type="spellEnd"/>
      <w:r w:rsidR="00F96359" w:rsidRPr="00481594">
        <w:t xml:space="preserve"> </w:t>
      </w:r>
      <w:r w:rsidRPr="00481594">
        <w:t>group. No other congenital abnormalities were reported.</w:t>
      </w:r>
    </w:p>
    <w:p w14:paraId="1ACDBCBB" w14:textId="3464C2BE" w:rsidR="00B638B1" w:rsidRPr="00481594" w:rsidRDefault="00B638B1" w:rsidP="00B638B1">
      <w:bookmarkStart w:id="97" w:name="_Hlk86147219"/>
      <w:r w:rsidRPr="00481594">
        <w:t>Post</w:t>
      </w:r>
      <w:r w:rsidR="00611D75" w:rsidRPr="00481594">
        <w:t>-</w:t>
      </w:r>
      <w:r w:rsidRPr="00481594">
        <w:t>marketing experience data were not available when the dossier was submitted.</w:t>
      </w:r>
    </w:p>
    <w:bookmarkEnd w:id="97"/>
    <w:p w14:paraId="61CE17D7" w14:textId="552912DB" w:rsidR="00B638B1" w:rsidRPr="00481594" w:rsidRDefault="00B638B1" w:rsidP="00B638B1">
      <w:pPr>
        <w:pStyle w:val="Heading4"/>
        <w:rPr>
          <w:lang w:eastAsia="ja-JP"/>
        </w:rPr>
      </w:pPr>
      <w:r w:rsidRPr="00481594">
        <w:rPr>
          <w:lang w:eastAsia="ja-JP"/>
        </w:rPr>
        <w:t>Benefit-</w:t>
      </w:r>
      <w:r w:rsidR="00611D75" w:rsidRPr="00481594">
        <w:rPr>
          <w:lang w:eastAsia="ja-JP"/>
        </w:rPr>
        <w:t>risk balance</w:t>
      </w:r>
    </w:p>
    <w:p w14:paraId="3272D9CB" w14:textId="5C907A4E" w:rsidR="00B638B1" w:rsidRPr="00481594" w:rsidRDefault="00B638B1" w:rsidP="00B638B1">
      <w:r w:rsidRPr="00481594">
        <w:t xml:space="preserve">The benefit-risk balance is favourable in terms of demonstrating appropriate immunogenic responses which are non-inferior to the 13 shared pneumococcal serotypes of the Prevnar 13 vaccine and superior for the </w:t>
      </w:r>
      <w:proofErr w:type="spellStart"/>
      <w:r w:rsidR="00F96359" w:rsidRPr="00481594">
        <w:t>Vaxneuvance</w:t>
      </w:r>
      <w:proofErr w:type="spellEnd"/>
      <w:r w:rsidR="00F96359" w:rsidRPr="00481594">
        <w:t xml:space="preserve"> </w:t>
      </w:r>
      <w:r w:rsidRPr="00481594">
        <w:t xml:space="preserve">vaccine which covers the additional serotypes 22F and 33F. No outcome data on differential patterns of severe pneumococcal disease following the </w:t>
      </w:r>
      <w:proofErr w:type="spellStart"/>
      <w:r w:rsidR="00F96359" w:rsidRPr="00481594">
        <w:t>Vaxneuvance</w:t>
      </w:r>
      <w:proofErr w:type="spellEnd"/>
      <w:r w:rsidR="00F96359" w:rsidRPr="00481594">
        <w:t xml:space="preserve"> </w:t>
      </w:r>
      <w:r w:rsidRPr="00481594">
        <w:t xml:space="preserve">vaccine have been provided. The safety profile, other than an increase in local injection site reactions with </w:t>
      </w:r>
      <w:proofErr w:type="spellStart"/>
      <w:r w:rsidR="00F96359" w:rsidRPr="00481594">
        <w:t>Vaxneuvance</w:t>
      </w:r>
      <w:proofErr w:type="spellEnd"/>
      <w:r w:rsidR="00F96359" w:rsidRPr="00481594">
        <w:t xml:space="preserve"> </w:t>
      </w:r>
      <w:r w:rsidR="00262F42" w:rsidRPr="00481594">
        <w:t>versus</w:t>
      </w:r>
      <w:r w:rsidRPr="00481594">
        <w:t xml:space="preserve"> Prevnar 13, is acceptable in all patients exposed.</w:t>
      </w:r>
    </w:p>
    <w:p w14:paraId="3127F398" w14:textId="77777777" w:rsidR="008E7846" w:rsidRPr="00481594" w:rsidRDefault="00386150" w:rsidP="007B6132">
      <w:pPr>
        <w:pStyle w:val="Heading3"/>
        <w:rPr>
          <w:lang w:eastAsia="en-AU"/>
        </w:rPr>
      </w:pPr>
      <w:bookmarkStart w:id="98" w:name="_Toc314842514"/>
      <w:bookmarkStart w:id="99" w:name="_Toc116652738"/>
      <w:r w:rsidRPr="00481594">
        <w:rPr>
          <w:lang w:eastAsia="en-AU"/>
        </w:rPr>
        <w:t>Risk m</w:t>
      </w:r>
      <w:r w:rsidR="008E7846" w:rsidRPr="00481594">
        <w:rPr>
          <w:lang w:eastAsia="en-AU"/>
        </w:rPr>
        <w:t xml:space="preserve">anagement </w:t>
      </w:r>
      <w:r w:rsidRPr="00481594">
        <w:rPr>
          <w:lang w:eastAsia="en-AU"/>
        </w:rPr>
        <w:t>p</w:t>
      </w:r>
      <w:r w:rsidR="008E7846" w:rsidRPr="00481594">
        <w:rPr>
          <w:lang w:eastAsia="en-AU"/>
        </w:rPr>
        <w:t>lan</w:t>
      </w:r>
      <w:bookmarkEnd w:id="98"/>
      <w:bookmarkEnd w:id="99"/>
    </w:p>
    <w:p w14:paraId="0F7C7F44" w14:textId="127C59A2" w:rsidR="0011644E" w:rsidRPr="00481594" w:rsidRDefault="0011644E" w:rsidP="0011644E">
      <w:bookmarkStart w:id="100" w:name="_Toc247691531"/>
      <w:bookmarkStart w:id="101" w:name="_Toc314842515"/>
      <w:bookmarkStart w:id="102" w:name="_Toc196046505"/>
      <w:bookmarkStart w:id="103" w:name="_Toc196046949"/>
      <w:r w:rsidRPr="00481594">
        <w:t>The sponsor has submitted EU-RMP version 0.1 (date</w:t>
      </w:r>
      <w:r w:rsidR="00611D75" w:rsidRPr="00481594">
        <w:t>d</w:t>
      </w:r>
      <w:r w:rsidRPr="00481594">
        <w:t xml:space="preserve"> 2 November 2020; </w:t>
      </w:r>
      <w:r w:rsidR="001527B0" w:rsidRPr="00481594">
        <w:t>data lock point (</w:t>
      </w:r>
      <w:r w:rsidRPr="00481594">
        <w:t>DLP</w:t>
      </w:r>
      <w:r w:rsidR="001527B0" w:rsidRPr="00481594">
        <w:t>)</w:t>
      </w:r>
      <w:r w:rsidRPr="00481594">
        <w:t xml:space="preserve"> 16</w:t>
      </w:r>
      <w:r w:rsidR="00611D75" w:rsidRPr="00481594">
        <w:t> </w:t>
      </w:r>
      <w:r w:rsidRPr="00481594">
        <w:t xml:space="preserve">September 2020) and </w:t>
      </w:r>
      <w:r w:rsidR="001527B0" w:rsidRPr="00481594">
        <w:t>Australia specific annex (</w:t>
      </w:r>
      <w:r w:rsidRPr="00481594">
        <w:t>ASA</w:t>
      </w:r>
      <w:r w:rsidR="001527B0" w:rsidRPr="00481594">
        <w:t>)</w:t>
      </w:r>
      <w:r w:rsidRPr="00481594">
        <w:t xml:space="preserve"> version 0.1 (date</w:t>
      </w:r>
      <w:r w:rsidR="00611D75" w:rsidRPr="00481594">
        <w:t>d</w:t>
      </w:r>
      <w:r w:rsidRPr="00481594">
        <w:t xml:space="preserve"> 01 December 2020) in support of this application.</w:t>
      </w:r>
    </w:p>
    <w:p w14:paraId="254F31C0" w14:textId="4C5B296E" w:rsidR="0074163C" w:rsidRPr="00481594" w:rsidRDefault="0074163C" w:rsidP="0074163C">
      <w:r w:rsidRPr="00481594">
        <w:t xml:space="preserve">The summary of safety concerns and their associated risk monitoring and mitigation strategies are summarised in </w:t>
      </w:r>
      <w:r w:rsidR="00611D75" w:rsidRPr="00481594">
        <w:fldChar w:fldCharType="begin"/>
      </w:r>
      <w:r w:rsidR="00611D75" w:rsidRPr="00481594">
        <w:instrText xml:space="preserve"> REF _Ref108005929 \h </w:instrText>
      </w:r>
      <w:r w:rsidR="0044374C" w:rsidRPr="00481594">
        <w:instrText xml:space="preserve"> \* MERGEFORMAT </w:instrText>
      </w:r>
      <w:r w:rsidR="00611D75" w:rsidRPr="00481594">
        <w:fldChar w:fldCharType="separate"/>
      </w:r>
      <w:r w:rsidR="00190330" w:rsidRPr="00481594">
        <w:t xml:space="preserve">Figure </w:t>
      </w:r>
      <w:r w:rsidR="00190330">
        <w:rPr>
          <w:noProof/>
        </w:rPr>
        <w:t>2</w:t>
      </w:r>
      <w:r w:rsidR="00611D75" w:rsidRPr="00481594">
        <w:fldChar w:fldCharType="end"/>
      </w:r>
      <w:r w:rsidRPr="00481594">
        <w:t xml:space="preserve">. Further information regarding </w:t>
      </w:r>
      <w:r w:rsidR="00CC5044" w:rsidRPr="00481594">
        <w:t>the TGA</w:t>
      </w:r>
      <w:r w:rsidR="00BF7063" w:rsidRPr="00481594">
        <w:t>’</w:t>
      </w:r>
      <w:r w:rsidR="00CC5044" w:rsidRPr="00481594">
        <w:t>s r</w:t>
      </w:r>
      <w:r w:rsidRPr="00481594">
        <w:t xml:space="preserve">isk management approach can be found in </w:t>
      </w:r>
      <w:hyperlink r:id="rId72" w:history="1">
        <w:r w:rsidRPr="00481594">
          <w:rPr>
            <w:rStyle w:val="Hyperlink"/>
          </w:rPr>
          <w:t>risk management plans for medicines and biologicals</w:t>
        </w:r>
      </w:hyperlink>
      <w:r w:rsidRPr="00481594">
        <w:t xml:space="preserve"> and </w:t>
      </w:r>
      <w:hyperlink r:id="rId73" w:history="1">
        <w:r w:rsidRPr="00481594">
          <w:rPr>
            <w:rStyle w:val="Hyperlink"/>
          </w:rPr>
          <w:t>the TGA's risk management approach</w:t>
        </w:r>
      </w:hyperlink>
      <w:r w:rsidRPr="00481594">
        <w:t>.</w:t>
      </w:r>
    </w:p>
    <w:p w14:paraId="6A34676B" w14:textId="239BEFB0" w:rsidR="0074163C" w:rsidRPr="00481594" w:rsidRDefault="0074163C">
      <w:pPr>
        <w:pStyle w:val="TableTitle"/>
      </w:pPr>
      <w:bookmarkStart w:id="104" w:name="_Ref97629131"/>
      <w:r w:rsidRPr="00481594">
        <w:lastRenderedPageBreak/>
        <w:t xml:space="preserve">Table </w:t>
      </w:r>
      <w:r w:rsidRPr="00481594">
        <w:fldChar w:fldCharType="begin"/>
      </w:r>
      <w:r w:rsidRPr="00481594">
        <w:instrText>SEQ Table \* ARABIC</w:instrText>
      </w:r>
      <w:r w:rsidRPr="00481594">
        <w:fldChar w:fldCharType="separate"/>
      </w:r>
      <w:r w:rsidR="00190330">
        <w:rPr>
          <w:noProof/>
        </w:rPr>
        <w:t>40</w:t>
      </w:r>
      <w:r w:rsidRPr="00481594">
        <w:fldChar w:fldCharType="end"/>
      </w:r>
      <w:bookmarkEnd w:id="104"/>
      <w:r w:rsidRPr="00481594">
        <w:t>: Summary of safety concerns</w:t>
      </w:r>
    </w:p>
    <w:tbl>
      <w:tblPr>
        <w:tblStyle w:val="TableTGAblue"/>
        <w:tblW w:w="7933" w:type="dxa"/>
        <w:tblLayout w:type="fixed"/>
        <w:tblLook w:val="04A0" w:firstRow="1" w:lastRow="0" w:firstColumn="1" w:lastColumn="0" w:noHBand="0" w:noVBand="1"/>
      </w:tblPr>
      <w:tblGrid>
        <w:gridCol w:w="1327"/>
        <w:gridCol w:w="2354"/>
        <w:gridCol w:w="992"/>
        <w:gridCol w:w="1134"/>
        <w:gridCol w:w="992"/>
        <w:gridCol w:w="1134"/>
      </w:tblGrid>
      <w:tr w:rsidR="0011644E" w:rsidRPr="00481594" w14:paraId="348039E6" w14:textId="77777777" w:rsidTr="5F7462FF">
        <w:trPr>
          <w:cnfStyle w:val="100000000000" w:firstRow="1" w:lastRow="0" w:firstColumn="0" w:lastColumn="0" w:oddVBand="0" w:evenVBand="0" w:oddHBand="0" w:evenHBand="0" w:firstRowFirstColumn="0" w:firstRowLastColumn="0" w:lastRowFirstColumn="0" w:lastRowLastColumn="0"/>
          <w:trHeight w:val="131"/>
        </w:trPr>
        <w:tc>
          <w:tcPr>
            <w:tcW w:w="3681" w:type="dxa"/>
            <w:gridSpan w:val="2"/>
            <w:vMerge w:val="restart"/>
            <w:tcBorders>
              <w:top w:val="single" w:sz="4" w:space="0" w:color="auto"/>
              <w:left w:val="single" w:sz="4" w:space="0" w:color="auto"/>
              <w:bottom w:val="single" w:sz="4" w:space="0" w:color="auto"/>
              <w:right w:val="single" w:sz="4" w:space="0" w:color="auto"/>
            </w:tcBorders>
          </w:tcPr>
          <w:p w14:paraId="2F29F48A" w14:textId="77777777" w:rsidR="0011644E" w:rsidRPr="00481594" w:rsidRDefault="0011644E">
            <w:pPr>
              <w:pStyle w:val="Tabletext"/>
              <w:ind w:left="0" w:right="0"/>
              <w:rPr>
                <w:b w:val="0"/>
              </w:rPr>
            </w:pPr>
            <w:r w:rsidRPr="00481594">
              <w:t>Summary of safety concerns</w:t>
            </w:r>
          </w:p>
        </w:tc>
        <w:tc>
          <w:tcPr>
            <w:tcW w:w="2126" w:type="dxa"/>
            <w:gridSpan w:val="2"/>
            <w:tcBorders>
              <w:top w:val="single" w:sz="4" w:space="0" w:color="auto"/>
              <w:left w:val="single" w:sz="4" w:space="0" w:color="auto"/>
              <w:bottom w:val="single" w:sz="4" w:space="0" w:color="auto"/>
              <w:right w:val="single" w:sz="4" w:space="0" w:color="auto"/>
            </w:tcBorders>
          </w:tcPr>
          <w:p w14:paraId="779717BD" w14:textId="77777777" w:rsidR="0011644E" w:rsidRPr="00481594" w:rsidRDefault="0011644E">
            <w:pPr>
              <w:pStyle w:val="Tabletext"/>
              <w:ind w:left="0" w:right="0"/>
              <w:rPr>
                <w:b w:val="0"/>
                <w:sz w:val="18"/>
              </w:rPr>
            </w:pPr>
            <w:r w:rsidRPr="00481594">
              <w:rPr>
                <w:sz w:val="18"/>
              </w:rPr>
              <w:t>Pharmacovigilance</w:t>
            </w:r>
          </w:p>
        </w:tc>
        <w:tc>
          <w:tcPr>
            <w:tcW w:w="2126" w:type="dxa"/>
            <w:gridSpan w:val="2"/>
            <w:tcBorders>
              <w:top w:val="single" w:sz="4" w:space="0" w:color="auto"/>
              <w:left w:val="single" w:sz="4" w:space="0" w:color="auto"/>
              <w:bottom w:val="single" w:sz="4" w:space="0" w:color="auto"/>
              <w:right w:val="single" w:sz="4" w:space="0" w:color="auto"/>
            </w:tcBorders>
          </w:tcPr>
          <w:p w14:paraId="7A76A40B" w14:textId="08FDBF61" w:rsidR="0011644E" w:rsidRPr="00481594" w:rsidRDefault="0011644E">
            <w:pPr>
              <w:pStyle w:val="Tabletext"/>
              <w:ind w:left="0" w:right="0"/>
              <w:rPr>
                <w:b w:val="0"/>
                <w:sz w:val="18"/>
              </w:rPr>
            </w:pPr>
            <w:r w:rsidRPr="00481594">
              <w:rPr>
                <w:sz w:val="18"/>
              </w:rPr>
              <w:t>Risk minimisation</w:t>
            </w:r>
          </w:p>
        </w:tc>
      </w:tr>
      <w:tr w:rsidR="0011644E" w:rsidRPr="00481594" w14:paraId="267AD368" w14:textId="77777777" w:rsidTr="00900837">
        <w:trPr>
          <w:trHeight w:val="150"/>
        </w:trPr>
        <w:tc>
          <w:tcPr>
            <w:tcW w:w="3681" w:type="dxa"/>
            <w:gridSpan w:val="2"/>
            <w:vMerge/>
            <w:tcBorders>
              <w:top w:val="single" w:sz="4" w:space="0" w:color="auto"/>
              <w:left w:val="single" w:sz="4" w:space="0" w:color="auto"/>
              <w:bottom w:val="single" w:sz="4" w:space="0" w:color="auto"/>
              <w:right w:val="single" w:sz="4" w:space="0" w:color="auto"/>
            </w:tcBorders>
          </w:tcPr>
          <w:p w14:paraId="363A08CB" w14:textId="77777777" w:rsidR="0011644E" w:rsidRPr="00481594" w:rsidRDefault="0011644E" w:rsidP="00900837">
            <w:pPr>
              <w:pStyle w:val="Tabletext"/>
              <w:keepNext/>
              <w:ind w:left="0" w:right="0"/>
              <w:rPr>
                <w:b/>
              </w:rPr>
            </w:pPr>
          </w:p>
        </w:tc>
        <w:tc>
          <w:tcPr>
            <w:tcW w:w="992" w:type="dxa"/>
            <w:tcBorders>
              <w:top w:val="single" w:sz="4" w:space="0" w:color="auto"/>
              <w:left w:val="single" w:sz="4" w:space="0" w:color="auto"/>
              <w:bottom w:val="single" w:sz="4" w:space="0" w:color="auto"/>
              <w:right w:val="single" w:sz="4" w:space="0" w:color="auto"/>
            </w:tcBorders>
            <w:shd w:val="clear" w:color="auto" w:fill="006DA7" w:themeFill="accent3"/>
          </w:tcPr>
          <w:p w14:paraId="6B701E39" w14:textId="77777777" w:rsidR="0011644E" w:rsidRPr="00481594" w:rsidRDefault="0011644E" w:rsidP="00900837">
            <w:pPr>
              <w:pStyle w:val="Tabletext"/>
              <w:keepNext/>
              <w:ind w:left="0" w:right="0"/>
              <w:rPr>
                <w:b/>
                <w:bCs/>
                <w:color w:val="FFFFFF" w:themeColor="background1"/>
                <w:sz w:val="18"/>
              </w:rPr>
            </w:pPr>
            <w:r w:rsidRPr="00481594">
              <w:rPr>
                <w:b/>
                <w:bCs/>
                <w:color w:val="FFFFFF" w:themeColor="background1"/>
                <w:sz w:val="18"/>
              </w:rPr>
              <w:t>Routine</w:t>
            </w:r>
          </w:p>
        </w:tc>
        <w:tc>
          <w:tcPr>
            <w:tcW w:w="1134" w:type="dxa"/>
            <w:tcBorders>
              <w:top w:val="single" w:sz="4" w:space="0" w:color="auto"/>
              <w:left w:val="single" w:sz="4" w:space="0" w:color="auto"/>
              <w:bottom w:val="single" w:sz="4" w:space="0" w:color="auto"/>
              <w:right w:val="single" w:sz="4" w:space="0" w:color="auto"/>
            </w:tcBorders>
            <w:shd w:val="clear" w:color="auto" w:fill="006DA7" w:themeFill="accent3"/>
          </w:tcPr>
          <w:p w14:paraId="47445FAD" w14:textId="77777777" w:rsidR="0011644E" w:rsidRPr="00481594" w:rsidRDefault="0011644E" w:rsidP="00900837">
            <w:pPr>
              <w:pStyle w:val="Tabletext"/>
              <w:keepNext/>
              <w:ind w:left="0" w:right="0"/>
              <w:rPr>
                <w:b/>
                <w:bCs/>
                <w:color w:val="FFFFFF" w:themeColor="background1"/>
                <w:sz w:val="18"/>
              </w:rPr>
            </w:pPr>
            <w:r w:rsidRPr="00481594">
              <w:rPr>
                <w:b/>
                <w:bCs/>
                <w:color w:val="FFFFFF" w:themeColor="background1"/>
                <w:sz w:val="18"/>
              </w:rPr>
              <w:t>Additional</w:t>
            </w:r>
          </w:p>
        </w:tc>
        <w:tc>
          <w:tcPr>
            <w:tcW w:w="992" w:type="dxa"/>
            <w:tcBorders>
              <w:top w:val="single" w:sz="4" w:space="0" w:color="auto"/>
              <w:left w:val="single" w:sz="4" w:space="0" w:color="auto"/>
              <w:bottom w:val="single" w:sz="4" w:space="0" w:color="auto"/>
              <w:right w:val="single" w:sz="4" w:space="0" w:color="auto"/>
            </w:tcBorders>
            <w:shd w:val="clear" w:color="auto" w:fill="006DA7" w:themeFill="accent3"/>
          </w:tcPr>
          <w:p w14:paraId="25174A23" w14:textId="77777777" w:rsidR="0011644E" w:rsidRPr="00481594" w:rsidRDefault="0011644E" w:rsidP="00900837">
            <w:pPr>
              <w:pStyle w:val="Tabletext"/>
              <w:keepNext/>
              <w:ind w:left="0" w:right="0"/>
              <w:rPr>
                <w:b/>
                <w:bCs/>
                <w:color w:val="FFFFFF" w:themeColor="background1"/>
                <w:sz w:val="18"/>
              </w:rPr>
            </w:pPr>
            <w:r w:rsidRPr="00481594">
              <w:rPr>
                <w:b/>
                <w:bCs/>
                <w:color w:val="FFFFFF" w:themeColor="background1"/>
                <w:sz w:val="18"/>
              </w:rPr>
              <w:t>Routine</w:t>
            </w:r>
          </w:p>
        </w:tc>
        <w:tc>
          <w:tcPr>
            <w:tcW w:w="1134" w:type="dxa"/>
            <w:tcBorders>
              <w:top w:val="single" w:sz="4" w:space="0" w:color="auto"/>
              <w:left w:val="single" w:sz="4" w:space="0" w:color="auto"/>
              <w:bottom w:val="single" w:sz="4" w:space="0" w:color="auto"/>
              <w:right w:val="single" w:sz="4" w:space="0" w:color="auto"/>
            </w:tcBorders>
            <w:shd w:val="clear" w:color="auto" w:fill="006DA7" w:themeFill="accent3"/>
          </w:tcPr>
          <w:p w14:paraId="0983F5D6" w14:textId="77777777" w:rsidR="0011644E" w:rsidRPr="00481594" w:rsidRDefault="0011644E" w:rsidP="00900837">
            <w:pPr>
              <w:pStyle w:val="Tabletext"/>
              <w:keepNext/>
              <w:ind w:left="0" w:right="0"/>
              <w:rPr>
                <w:b/>
                <w:bCs/>
                <w:color w:val="FFFFFF" w:themeColor="background1"/>
                <w:sz w:val="18"/>
              </w:rPr>
            </w:pPr>
            <w:r w:rsidRPr="00481594">
              <w:rPr>
                <w:b/>
                <w:bCs/>
                <w:color w:val="FFFFFF" w:themeColor="background1"/>
                <w:sz w:val="18"/>
              </w:rPr>
              <w:t>Additional</w:t>
            </w:r>
          </w:p>
        </w:tc>
      </w:tr>
      <w:tr w:rsidR="0011644E" w:rsidRPr="00481594" w14:paraId="13F49A78" w14:textId="77777777" w:rsidTr="5F7462FF">
        <w:trPr>
          <w:trHeight w:val="137"/>
        </w:trPr>
        <w:tc>
          <w:tcPr>
            <w:tcW w:w="1327" w:type="dxa"/>
            <w:tcBorders>
              <w:top w:val="single" w:sz="4" w:space="0" w:color="auto"/>
              <w:left w:val="single" w:sz="4" w:space="0" w:color="auto"/>
              <w:bottom w:val="single" w:sz="4" w:space="0" w:color="auto"/>
              <w:right w:val="single" w:sz="4" w:space="0" w:color="auto"/>
            </w:tcBorders>
          </w:tcPr>
          <w:p w14:paraId="510D0D41" w14:textId="77777777" w:rsidR="0011644E" w:rsidRPr="00481594" w:rsidRDefault="0011644E" w:rsidP="00900837">
            <w:pPr>
              <w:pStyle w:val="Tabletext"/>
              <w:keepNext/>
              <w:ind w:left="0" w:right="0"/>
              <w:rPr>
                <w:b/>
              </w:rPr>
            </w:pPr>
            <w:r w:rsidRPr="00481594">
              <w:rPr>
                <w:b/>
              </w:rPr>
              <w:t>Important identified risks</w:t>
            </w:r>
          </w:p>
        </w:tc>
        <w:tc>
          <w:tcPr>
            <w:tcW w:w="2354" w:type="dxa"/>
            <w:tcBorders>
              <w:top w:val="single" w:sz="4" w:space="0" w:color="auto"/>
              <w:left w:val="single" w:sz="4" w:space="0" w:color="auto"/>
              <w:bottom w:val="single" w:sz="4" w:space="0" w:color="auto"/>
              <w:right w:val="single" w:sz="4" w:space="0" w:color="auto"/>
            </w:tcBorders>
          </w:tcPr>
          <w:p w14:paraId="7CC25399" w14:textId="77777777" w:rsidR="0011644E" w:rsidRPr="00481594" w:rsidRDefault="0011644E" w:rsidP="00900837">
            <w:pPr>
              <w:pStyle w:val="Tabletext"/>
              <w:keepNext/>
              <w:ind w:left="0" w:right="0"/>
            </w:pPr>
            <w:r w:rsidRPr="00481594">
              <w:t>None</w:t>
            </w:r>
          </w:p>
        </w:tc>
        <w:tc>
          <w:tcPr>
            <w:tcW w:w="992" w:type="dxa"/>
            <w:tcBorders>
              <w:top w:val="single" w:sz="4" w:space="0" w:color="auto"/>
              <w:left w:val="single" w:sz="4" w:space="0" w:color="auto"/>
              <w:bottom w:val="single" w:sz="4" w:space="0" w:color="auto"/>
              <w:right w:val="single" w:sz="4" w:space="0" w:color="auto"/>
            </w:tcBorders>
          </w:tcPr>
          <w:p w14:paraId="460DFE61" w14:textId="77777777" w:rsidR="0011644E" w:rsidRPr="00481594" w:rsidRDefault="0011644E" w:rsidP="00900837">
            <w:pPr>
              <w:pStyle w:val="Tabletext"/>
              <w:keepNext/>
              <w:ind w:left="0" w:right="0"/>
              <w:jc w:val="center"/>
            </w:pPr>
            <w:r w:rsidRPr="00481594">
              <w:t>–</w:t>
            </w:r>
          </w:p>
        </w:tc>
        <w:tc>
          <w:tcPr>
            <w:tcW w:w="1134" w:type="dxa"/>
            <w:tcBorders>
              <w:top w:val="single" w:sz="4" w:space="0" w:color="auto"/>
              <w:left w:val="single" w:sz="4" w:space="0" w:color="auto"/>
              <w:bottom w:val="single" w:sz="4" w:space="0" w:color="auto"/>
              <w:right w:val="single" w:sz="4" w:space="0" w:color="auto"/>
            </w:tcBorders>
          </w:tcPr>
          <w:p w14:paraId="21E4BB5D" w14:textId="77777777" w:rsidR="0011644E" w:rsidRPr="00481594" w:rsidRDefault="0011644E" w:rsidP="00900837">
            <w:pPr>
              <w:pStyle w:val="Tabletext"/>
              <w:keepNext/>
              <w:ind w:left="0" w:right="0"/>
              <w:jc w:val="center"/>
            </w:pPr>
            <w:r w:rsidRPr="00481594">
              <w:t>–</w:t>
            </w:r>
          </w:p>
        </w:tc>
        <w:tc>
          <w:tcPr>
            <w:tcW w:w="992" w:type="dxa"/>
            <w:tcBorders>
              <w:top w:val="single" w:sz="4" w:space="0" w:color="auto"/>
              <w:left w:val="single" w:sz="4" w:space="0" w:color="auto"/>
              <w:bottom w:val="single" w:sz="4" w:space="0" w:color="auto"/>
              <w:right w:val="single" w:sz="4" w:space="0" w:color="auto"/>
            </w:tcBorders>
          </w:tcPr>
          <w:p w14:paraId="5EF49661" w14:textId="77777777" w:rsidR="0011644E" w:rsidRPr="00481594" w:rsidRDefault="0011644E" w:rsidP="00900837">
            <w:pPr>
              <w:pStyle w:val="Tabletext"/>
              <w:keepNext/>
              <w:ind w:left="0" w:right="0"/>
              <w:jc w:val="center"/>
            </w:pPr>
            <w:r w:rsidRPr="00481594">
              <w:t>–</w:t>
            </w:r>
          </w:p>
        </w:tc>
        <w:tc>
          <w:tcPr>
            <w:tcW w:w="1134" w:type="dxa"/>
            <w:tcBorders>
              <w:top w:val="single" w:sz="4" w:space="0" w:color="auto"/>
              <w:left w:val="single" w:sz="4" w:space="0" w:color="auto"/>
              <w:bottom w:val="single" w:sz="4" w:space="0" w:color="auto"/>
              <w:right w:val="single" w:sz="4" w:space="0" w:color="auto"/>
            </w:tcBorders>
          </w:tcPr>
          <w:p w14:paraId="6839FEE6" w14:textId="77777777" w:rsidR="0011644E" w:rsidRPr="00481594" w:rsidRDefault="0011644E" w:rsidP="00900837">
            <w:pPr>
              <w:pStyle w:val="Tabletext"/>
              <w:keepNext/>
              <w:ind w:left="0" w:right="0"/>
              <w:jc w:val="center"/>
            </w:pPr>
            <w:r w:rsidRPr="00481594">
              <w:t>–</w:t>
            </w:r>
          </w:p>
        </w:tc>
      </w:tr>
      <w:tr w:rsidR="0011644E" w:rsidRPr="00481594" w14:paraId="5CBE5568" w14:textId="77777777" w:rsidTr="5F7462FF">
        <w:trPr>
          <w:trHeight w:val="159"/>
        </w:trPr>
        <w:tc>
          <w:tcPr>
            <w:tcW w:w="1327" w:type="dxa"/>
            <w:tcBorders>
              <w:top w:val="single" w:sz="4" w:space="0" w:color="auto"/>
              <w:left w:val="single" w:sz="4" w:space="0" w:color="auto"/>
              <w:bottom w:val="single" w:sz="4" w:space="0" w:color="auto"/>
              <w:right w:val="single" w:sz="4" w:space="0" w:color="auto"/>
            </w:tcBorders>
          </w:tcPr>
          <w:p w14:paraId="29D6AA10" w14:textId="77777777" w:rsidR="0011644E" w:rsidRPr="00481594" w:rsidRDefault="0011644E" w:rsidP="00900837">
            <w:pPr>
              <w:pStyle w:val="Tabletext"/>
              <w:keepNext/>
              <w:ind w:left="0" w:right="0"/>
              <w:rPr>
                <w:b/>
              </w:rPr>
            </w:pPr>
            <w:r w:rsidRPr="00481594">
              <w:rPr>
                <w:b/>
              </w:rPr>
              <w:t>Important potential risks</w:t>
            </w:r>
          </w:p>
        </w:tc>
        <w:tc>
          <w:tcPr>
            <w:tcW w:w="2354" w:type="dxa"/>
            <w:tcBorders>
              <w:top w:val="single" w:sz="4" w:space="0" w:color="auto"/>
              <w:left w:val="single" w:sz="4" w:space="0" w:color="auto"/>
              <w:bottom w:val="single" w:sz="4" w:space="0" w:color="auto"/>
              <w:right w:val="single" w:sz="4" w:space="0" w:color="auto"/>
            </w:tcBorders>
          </w:tcPr>
          <w:p w14:paraId="2B46F1B2" w14:textId="77777777" w:rsidR="0011644E" w:rsidRPr="00481594" w:rsidRDefault="0011644E" w:rsidP="00900837">
            <w:pPr>
              <w:pStyle w:val="Tabletext"/>
              <w:keepNext/>
              <w:ind w:left="0" w:right="0"/>
            </w:pPr>
            <w:r w:rsidRPr="00481594">
              <w:t>None</w:t>
            </w:r>
          </w:p>
        </w:tc>
        <w:tc>
          <w:tcPr>
            <w:tcW w:w="992" w:type="dxa"/>
            <w:tcBorders>
              <w:top w:val="single" w:sz="4" w:space="0" w:color="auto"/>
              <w:left w:val="single" w:sz="4" w:space="0" w:color="auto"/>
              <w:bottom w:val="single" w:sz="4" w:space="0" w:color="auto"/>
              <w:right w:val="single" w:sz="4" w:space="0" w:color="auto"/>
            </w:tcBorders>
          </w:tcPr>
          <w:p w14:paraId="5BB2F0E3" w14:textId="77777777" w:rsidR="0011644E" w:rsidRPr="00481594" w:rsidRDefault="0011644E" w:rsidP="00900837">
            <w:pPr>
              <w:pStyle w:val="Tabletext"/>
              <w:keepNext/>
              <w:ind w:left="0" w:right="0"/>
              <w:jc w:val="center"/>
            </w:pPr>
            <w:r w:rsidRPr="00481594">
              <w:t>–</w:t>
            </w:r>
          </w:p>
        </w:tc>
        <w:tc>
          <w:tcPr>
            <w:tcW w:w="1134" w:type="dxa"/>
            <w:tcBorders>
              <w:top w:val="single" w:sz="4" w:space="0" w:color="auto"/>
              <w:left w:val="single" w:sz="4" w:space="0" w:color="auto"/>
              <w:bottom w:val="single" w:sz="4" w:space="0" w:color="auto"/>
              <w:right w:val="single" w:sz="4" w:space="0" w:color="auto"/>
            </w:tcBorders>
          </w:tcPr>
          <w:p w14:paraId="7AD00948" w14:textId="77777777" w:rsidR="0011644E" w:rsidRPr="00481594" w:rsidRDefault="0011644E" w:rsidP="00900837">
            <w:pPr>
              <w:pStyle w:val="Tabletext"/>
              <w:keepNext/>
              <w:ind w:left="0" w:right="0"/>
              <w:jc w:val="center"/>
            </w:pPr>
            <w:r w:rsidRPr="00481594">
              <w:t>–</w:t>
            </w:r>
          </w:p>
        </w:tc>
        <w:tc>
          <w:tcPr>
            <w:tcW w:w="992" w:type="dxa"/>
            <w:tcBorders>
              <w:top w:val="single" w:sz="4" w:space="0" w:color="auto"/>
              <w:left w:val="single" w:sz="4" w:space="0" w:color="auto"/>
              <w:bottom w:val="single" w:sz="4" w:space="0" w:color="auto"/>
              <w:right w:val="single" w:sz="4" w:space="0" w:color="auto"/>
            </w:tcBorders>
          </w:tcPr>
          <w:p w14:paraId="1A0100AD" w14:textId="77777777" w:rsidR="0011644E" w:rsidRPr="00481594" w:rsidRDefault="0011644E" w:rsidP="00900837">
            <w:pPr>
              <w:pStyle w:val="Tabletext"/>
              <w:keepNext/>
              <w:ind w:left="0" w:right="0"/>
              <w:jc w:val="center"/>
            </w:pPr>
            <w:r w:rsidRPr="00481594">
              <w:t>–</w:t>
            </w:r>
          </w:p>
        </w:tc>
        <w:tc>
          <w:tcPr>
            <w:tcW w:w="1134" w:type="dxa"/>
            <w:tcBorders>
              <w:top w:val="single" w:sz="4" w:space="0" w:color="auto"/>
              <w:left w:val="single" w:sz="4" w:space="0" w:color="auto"/>
              <w:bottom w:val="single" w:sz="4" w:space="0" w:color="auto"/>
              <w:right w:val="single" w:sz="4" w:space="0" w:color="auto"/>
            </w:tcBorders>
          </w:tcPr>
          <w:p w14:paraId="3383A785" w14:textId="77777777" w:rsidR="0011644E" w:rsidRPr="00481594" w:rsidRDefault="0011644E" w:rsidP="00900837">
            <w:pPr>
              <w:pStyle w:val="Tabletext"/>
              <w:keepNext/>
              <w:ind w:left="0" w:right="0"/>
              <w:jc w:val="center"/>
            </w:pPr>
            <w:r w:rsidRPr="00481594">
              <w:t>–</w:t>
            </w:r>
          </w:p>
        </w:tc>
      </w:tr>
      <w:tr w:rsidR="0011644E" w:rsidRPr="00481594" w14:paraId="53161D6B" w14:textId="77777777" w:rsidTr="5F7462FF">
        <w:trPr>
          <w:trHeight w:val="178"/>
        </w:trPr>
        <w:tc>
          <w:tcPr>
            <w:tcW w:w="1327" w:type="dxa"/>
            <w:tcBorders>
              <w:top w:val="single" w:sz="4" w:space="0" w:color="auto"/>
              <w:left w:val="single" w:sz="4" w:space="0" w:color="auto"/>
              <w:bottom w:val="single" w:sz="4" w:space="0" w:color="auto"/>
              <w:right w:val="single" w:sz="4" w:space="0" w:color="auto"/>
            </w:tcBorders>
          </w:tcPr>
          <w:p w14:paraId="0CDF6A8D" w14:textId="77777777" w:rsidR="0011644E" w:rsidRPr="00481594" w:rsidRDefault="0011644E" w:rsidP="00900837">
            <w:pPr>
              <w:pStyle w:val="Tabletext"/>
              <w:keepNext/>
              <w:ind w:left="0" w:right="0"/>
              <w:rPr>
                <w:b/>
              </w:rPr>
            </w:pPr>
            <w:r w:rsidRPr="00481594">
              <w:rPr>
                <w:b/>
              </w:rPr>
              <w:t>Missing information</w:t>
            </w:r>
          </w:p>
        </w:tc>
        <w:tc>
          <w:tcPr>
            <w:tcW w:w="2354" w:type="dxa"/>
            <w:tcBorders>
              <w:top w:val="single" w:sz="4" w:space="0" w:color="auto"/>
              <w:left w:val="single" w:sz="4" w:space="0" w:color="auto"/>
              <w:bottom w:val="single" w:sz="4" w:space="0" w:color="auto"/>
              <w:right w:val="single" w:sz="4" w:space="0" w:color="auto"/>
            </w:tcBorders>
          </w:tcPr>
          <w:p w14:paraId="720748AF" w14:textId="379CB44E" w:rsidR="0011644E" w:rsidRPr="00481594" w:rsidRDefault="0011644E" w:rsidP="00900837">
            <w:pPr>
              <w:pStyle w:val="Tabletext"/>
              <w:keepNext/>
              <w:ind w:left="0" w:right="0"/>
            </w:pPr>
            <w:r w:rsidRPr="00481594">
              <w:t xml:space="preserve">Safety of more than one dose administered </w:t>
            </w:r>
            <w:r w:rsidR="00611D75" w:rsidRPr="00481594">
              <w:t>less than one</w:t>
            </w:r>
            <w:r w:rsidRPr="00481594">
              <w:t xml:space="preserve"> year apart to immunocompromised adults</w:t>
            </w:r>
          </w:p>
        </w:tc>
        <w:tc>
          <w:tcPr>
            <w:tcW w:w="992" w:type="dxa"/>
            <w:tcBorders>
              <w:top w:val="single" w:sz="4" w:space="0" w:color="auto"/>
              <w:left w:val="single" w:sz="4" w:space="0" w:color="auto"/>
              <w:bottom w:val="single" w:sz="4" w:space="0" w:color="auto"/>
              <w:right w:val="single" w:sz="4" w:space="0" w:color="auto"/>
            </w:tcBorders>
          </w:tcPr>
          <w:p w14:paraId="1C7C5AE3" w14:textId="77777777" w:rsidR="0011644E" w:rsidRPr="00481594" w:rsidRDefault="0011644E" w:rsidP="00900837">
            <w:pPr>
              <w:pStyle w:val="Tabletext"/>
              <w:keepNext/>
              <w:ind w:left="0" w:right="0"/>
              <w:jc w:val="center"/>
            </w:pPr>
            <w:r w:rsidRPr="00481594">
              <w:rPr>
                <w:rFonts w:ascii="Wingdings" w:eastAsia="Wingdings" w:hAnsi="Wingdings" w:cs="Wingdings"/>
              </w:rPr>
              <w:t></w:t>
            </w:r>
          </w:p>
        </w:tc>
        <w:tc>
          <w:tcPr>
            <w:tcW w:w="1134" w:type="dxa"/>
            <w:tcBorders>
              <w:top w:val="single" w:sz="4" w:space="0" w:color="auto"/>
              <w:left w:val="single" w:sz="4" w:space="0" w:color="auto"/>
              <w:bottom w:val="single" w:sz="4" w:space="0" w:color="auto"/>
              <w:right w:val="single" w:sz="4" w:space="0" w:color="auto"/>
            </w:tcBorders>
          </w:tcPr>
          <w:p w14:paraId="69B76CEF" w14:textId="77777777" w:rsidR="0011644E" w:rsidRPr="00481594" w:rsidRDefault="0011644E" w:rsidP="00900837">
            <w:pPr>
              <w:pStyle w:val="Tabletext"/>
              <w:keepNext/>
              <w:ind w:left="0" w:right="0"/>
              <w:jc w:val="center"/>
            </w:pPr>
            <w:r w:rsidRPr="00481594">
              <w:rPr>
                <w:rFonts w:ascii="Wingdings" w:eastAsia="Wingdings" w:hAnsi="Wingdings" w:cs="Wingdings"/>
              </w:rPr>
              <w:t></w:t>
            </w:r>
            <w:r w:rsidRPr="00481594">
              <w:t>*</w:t>
            </w:r>
          </w:p>
        </w:tc>
        <w:tc>
          <w:tcPr>
            <w:tcW w:w="992" w:type="dxa"/>
            <w:tcBorders>
              <w:top w:val="single" w:sz="4" w:space="0" w:color="auto"/>
              <w:left w:val="single" w:sz="4" w:space="0" w:color="auto"/>
              <w:bottom w:val="single" w:sz="4" w:space="0" w:color="auto"/>
              <w:right w:val="single" w:sz="4" w:space="0" w:color="auto"/>
            </w:tcBorders>
          </w:tcPr>
          <w:p w14:paraId="3CDB0F0D" w14:textId="77777777" w:rsidR="0011644E" w:rsidRPr="00481594" w:rsidRDefault="0011644E" w:rsidP="00900837">
            <w:pPr>
              <w:pStyle w:val="Tabletext"/>
              <w:keepNext/>
              <w:ind w:left="0" w:right="0"/>
              <w:jc w:val="center"/>
            </w:pPr>
            <w:r w:rsidRPr="00481594">
              <w:t>–</w:t>
            </w:r>
          </w:p>
        </w:tc>
        <w:tc>
          <w:tcPr>
            <w:tcW w:w="1134" w:type="dxa"/>
            <w:tcBorders>
              <w:top w:val="single" w:sz="4" w:space="0" w:color="auto"/>
              <w:left w:val="single" w:sz="4" w:space="0" w:color="auto"/>
              <w:bottom w:val="single" w:sz="4" w:space="0" w:color="auto"/>
              <w:right w:val="single" w:sz="4" w:space="0" w:color="auto"/>
            </w:tcBorders>
          </w:tcPr>
          <w:p w14:paraId="3ADD33B9" w14:textId="52E875B0" w:rsidR="0011644E" w:rsidRPr="00481594" w:rsidRDefault="0011644E" w:rsidP="00900837">
            <w:pPr>
              <w:pStyle w:val="Tabletext"/>
              <w:keepNext/>
              <w:ind w:left="0" w:right="0"/>
              <w:jc w:val="center"/>
            </w:pPr>
            <w:r w:rsidRPr="00481594">
              <w:t>–</w:t>
            </w:r>
          </w:p>
        </w:tc>
      </w:tr>
    </w:tbl>
    <w:p w14:paraId="12736A37" w14:textId="77777777" w:rsidR="0011644E" w:rsidRPr="00481594" w:rsidRDefault="0011644E" w:rsidP="0011644E">
      <w:pPr>
        <w:pStyle w:val="TableDescription"/>
      </w:pPr>
      <w:r w:rsidRPr="00481594">
        <w:t>*Clinical study</w:t>
      </w:r>
    </w:p>
    <w:p w14:paraId="564336F5" w14:textId="77777777" w:rsidR="0011644E" w:rsidRPr="00481594" w:rsidRDefault="0011644E" w:rsidP="0011644E">
      <w:pPr>
        <w:pStyle w:val="ListBullet"/>
      </w:pPr>
      <w:r w:rsidRPr="00481594">
        <w:t>No important potential or identified risks have been proposed in the summary of safety concerns. Safety of administration of more than one dose, less than one year apart, in immunocompromised adults is proposed as missing information. The summary of safety concerns is considered acceptable.</w:t>
      </w:r>
    </w:p>
    <w:p w14:paraId="6BA0422C" w14:textId="77777777" w:rsidR="0011644E" w:rsidRPr="00481594" w:rsidRDefault="0011644E" w:rsidP="0011644E">
      <w:pPr>
        <w:pStyle w:val="ListBullet"/>
      </w:pPr>
      <w:r w:rsidRPr="00481594">
        <w:t>Routine pharmacovigilance and one additional pharmacovigilance activity has been proposed. This is acceptable.</w:t>
      </w:r>
    </w:p>
    <w:p w14:paraId="7E1784C5" w14:textId="77777777" w:rsidR="0011644E" w:rsidRPr="00481594" w:rsidRDefault="0011644E" w:rsidP="0011644E">
      <w:pPr>
        <w:pStyle w:val="ListBullet"/>
      </w:pPr>
      <w:r w:rsidRPr="00481594">
        <w:t>No risk minimisation activities have been proposed in the risk management plan which is acceptable considering the summary of safety concerns.</w:t>
      </w:r>
    </w:p>
    <w:p w14:paraId="29D7AA84" w14:textId="77777777" w:rsidR="008E7846" w:rsidRPr="00481594" w:rsidRDefault="00AA0ED0" w:rsidP="008E7846">
      <w:pPr>
        <w:pStyle w:val="Heading3"/>
      </w:pPr>
      <w:bookmarkStart w:id="105" w:name="_Toc116652739"/>
      <w:r w:rsidRPr="00481594">
        <w:t>Risk-benefit a</w:t>
      </w:r>
      <w:r w:rsidR="008E7846" w:rsidRPr="00481594">
        <w:t>nalysis</w:t>
      </w:r>
      <w:bookmarkEnd w:id="100"/>
      <w:bookmarkEnd w:id="101"/>
      <w:bookmarkEnd w:id="105"/>
    </w:p>
    <w:p w14:paraId="51B55841" w14:textId="77777777" w:rsidR="0074163C" w:rsidRPr="00481594" w:rsidRDefault="0074163C" w:rsidP="0074163C">
      <w:pPr>
        <w:pStyle w:val="Heading4"/>
      </w:pPr>
      <w:bookmarkStart w:id="106" w:name="_Toc98931932"/>
      <w:r w:rsidRPr="00481594">
        <w:t>Delegate’s considerations</w:t>
      </w:r>
      <w:bookmarkEnd w:id="106"/>
    </w:p>
    <w:p w14:paraId="4149D5A8" w14:textId="300FC7FC" w:rsidR="00B638B1" w:rsidRPr="00481594" w:rsidRDefault="00F96359" w:rsidP="00B638B1">
      <w:pPr>
        <w:rPr>
          <w:vertAlign w:val="superscript"/>
        </w:rPr>
      </w:pPr>
      <w:proofErr w:type="spellStart"/>
      <w:r w:rsidRPr="00481594">
        <w:t>Vaxneuvance</w:t>
      </w:r>
      <w:proofErr w:type="spellEnd"/>
      <w:r w:rsidRPr="00481594">
        <w:t xml:space="preserve"> </w:t>
      </w:r>
      <w:r w:rsidR="00B638B1" w:rsidRPr="00481594">
        <w:t xml:space="preserve">is </w:t>
      </w:r>
      <w:proofErr w:type="gramStart"/>
      <w:r w:rsidR="00B638B1" w:rsidRPr="00481594">
        <w:t>similar to</w:t>
      </w:r>
      <w:proofErr w:type="gramEnd"/>
      <w:r w:rsidR="00B638B1" w:rsidRPr="00481594">
        <w:t xml:space="preserve"> the pneumococcal 13-valent conjugate vaccine </w:t>
      </w:r>
      <w:r w:rsidR="00173B1B" w:rsidRPr="00481594">
        <w:t>(</w:t>
      </w:r>
      <w:r w:rsidR="00B638B1" w:rsidRPr="00481594">
        <w:t>CRM</w:t>
      </w:r>
      <w:r w:rsidR="00B638B1" w:rsidRPr="00481594">
        <w:rPr>
          <w:vertAlign w:val="subscript"/>
        </w:rPr>
        <w:t>197</w:t>
      </w:r>
      <w:r w:rsidR="00B638B1" w:rsidRPr="00481594">
        <w:t xml:space="preserve"> protein</w:t>
      </w:r>
      <w:r w:rsidR="00173B1B" w:rsidRPr="00481594">
        <w:t>)</w:t>
      </w:r>
      <w:r w:rsidR="00B638B1" w:rsidRPr="00481594">
        <w:t xml:space="preserve"> Prev</w:t>
      </w:r>
      <w:r w:rsidR="001B55A4" w:rsidRPr="00481594">
        <w:t>e</w:t>
      </w:r>
      <w:r w:rsidR="00B638B1" w:rsidRPr="00481594">
        <w:t>nar 13.</w:t>
      </w:r>
      <w:r w:rsidR="00BB76F6" w:rsidRPr="00481594">
        <w:rPr>
          <w:vertAlign w:val="superscript"/>
        </w:rPr>
        <w:fldChar w:fldCharType="begin"/>
      </w:r>
      <w:r w:rsidR="00BB76F6" w:rsidRPr="00481594">
        <w:rPr>
          <w:vertAlign w:val="superscript"/>
        </w:rPr>
        <w:instrText xml:space="preserve"> NOTEREF _Ref115164629 \h  \* MERGEFORMAT </w:instrText>
      </w:r>
      <w:r w:rsidR="00BB76F6" w:rsidRPr="00481594">
        <w:rPr>
          <w:vertAlign w:val="superscript"/>
        </w:rPr>
      </w:r>
      <w:r w:rsidR="00BB76F6" w:rsidRPr="00481594">
        <w:rPr>
          <w:vertAlign w:val="superscript"/>
        </w:rPr>
        <w:fldChar w:fldCharType="separate"/>
      </w:r>
      <w:r w:rsidR="00190330">
        <w:rPr>
          <w:vertAlign w:val="superscript"/>
        </w:rPr>
        <w:t>4</w:t>
      </w:r>
      <w:r w:rsidR="00BB76F6" w:rsidRPr="00481594">
        <w:rPr>
          <w:vertAlign w:val="superscript"/>
        </w:rPr>
        <w:fldChar w:fldCharType="end"/>
      </w:r>
      <w:r w:rsidR="00BB76F6" w:rsidRPr="00481594">
        <w:rPr>
          <w:vertAlign w:val="superscript"/>
        </w:rPr>
        <w:t>,</w:t>
      </w:r>
      <w:r w:rsidR="001B55A4" w:rsidRPr="00481594">
        <w:rPr>
          <w:rStyle w:val="FootnoteReference"/>
        </w:rPr>
        <w:footnoteReference w:id="15"/>
      </w:r>
      <w:r w:rsidR="00B638B1" w:rsidRPr="00481594">
        <w:t xml:space="preserve"> </w:t>
      </w:r>
      <w:proofErr w:type="spellStart"/>
      <w:r w:rsidR="00B638B1" w:rsidRPr="00481594">
        <w:t>Synflorix</w:t>
      </w:r>
      <w:proofErr w:type="spellEnd"/>
      <w:r w:rsidR="00E877A0" w:rsidRPr="00481594">
        <w:t>;</w:t>
      </w:r>
      <w:r w:rsidR="00E877A0" w:rsidRPr="00481594">
        <w:rPr>
          <w:rStyle w:val="FootnoteReference"/>
        </w:rPr>
        <w:footnoteReference w:id="16"/>
      </w:r>
      <w:r w:rsidR="00BB247E" w:rsidRPr="00481594">
        <w:rPr>
          <w:vertAlign w:val="superscript"/>
        </w:rPr>
        <w:t>,</w:t>
      </w:r>
      <w:r w:rsidR="00BB247E" w:rsidRPr="00481594">
        <w:rPr>
          <w:rStyle w:val="FootnoteReference"/>
        </w:rPr>
        <w:footnoteReference w:id="17"/>
      </w:r>
      <w:r w:rsidR="00BB247E" w:rsidRPr="00481594">
        <w:t xml:space="preserve"> </w:t>
      </w:r>
      <w:r w:rsidR="00B638B1" w:rsidRPr="00481594">
        <w:t>contains different conjugation proteins.</w:t>
      </w:r>
    </w:p>
    <w:p w14:paraId="489663D3" w14:textId="678D1A7D" w:rsidR="00B638B1" w:rsidRPr="00481594" w:rsidRDefault="00B638B1" w:rsidP="00B638B1">
      <w:r w:rsidRPr="00481594">
        <w:t>There is no immunological threshold level of antibody concentration that correlates with protection against pneumococcal disease in adults. Vaccination of adults with Prevnar</w:t>
      </w:r>
      <w:r w:rsidR="00611D75" w:rsidRPr="00481594">
        <w:t xml:space="preserve"> 13 </w:t>
      </w:r>
      <w:r w:rsidRPr="00481594">
        <w:t>elicited serotype</w:t>
      </w:r>
      <w:r w:rsidR="00611D75" w:rsidRPr="00481594">
        <w:t xml:space="preserve"> </w:t>
      </w:r>
      <w:r w:rsidRPr="00481594">
        <w:t xml:space="preserve">specific OPA </w:t>
      </w:r>
      <w:r w:rsidR="00611D75" w:rsidRPr="00481594">
        <w:t>titres</w:t>
      </w:r>
      <w:r w:rsidRPr="00481594">
        <w:t xml:space="preserve"> that were found to be concordant to those in children, the population in which efficacy against </w:t>
      </w:r>
      <w:r w:rsidR="001527B0" w:rsidRPr="00481594">
        <w:t>invasive pneumococcal disease</w:t>
      </w:r>
      <w:r w:rsidRPr="00481594">
        <w:t xml:space="preserve"> had been demonstrated. Licensure of Prevnar</w:t>
      </w:r>
      <w:r w:rsidR="00611D75" w:rsidRPr="00481594">
        <w:t> </w:t>
      </w:r>
      <w:r w:rsidRPr="00481594">
        <w:t xml:space="preserve">13 in adults was based on demonstration of noninferiority of OPA responses to those elicited by </w:t>
      </w:r>
      <w:r w:rsidR="00DE0933" w:rsidRPr="00481594">
        <w:t>Pneumovax 23</w:t>
      </w:r>
      <w:r w:rsidRPr="00481594">
        <w:t xml:space="preserve">. The </w:t>
      </w:r>
      <w:r w:rsidR="0044374C" w:rsidRPr="00481594">
        <w:t>community acquired pneumonia immuni</w:t>
      </w:r>
      <w:r w:rsidR="003B32D6" w:rsidRPr="00481594">
        <w:t>s</w:t>
      </w:r>
      <w:r w:rsidR="0044374C" w:rsidRPr="00481594">
        <w:t xml:space="preserve">ation trial in </w:t>
      </w:r>
      <w:proofErr w:type="gramStart"/>
      <w:r w:rsidR="0044374C" w:rsidRPr="00481594">
        <w:t>adults</w:t>
      </w:r>
      <w:proofErr w:type="gramEnd"/>
      <w:r w:rsidR="0044374C" w:rsidRPr="00481594">
        <w:t xml:space="preserve"> </w:t>
      </w:r>
      <w:r w:rsidRPr="00481594">
        <w:t>study subsequently confirmed protective efficacy of Prevnar</w:t>
      </w:r>
      <w:r w:rsidR="00611D75" w:rsidRPr="00481594">
        <w:t> </w:t>
      </w:r>
      <w:r w:rsidRPr="00481594">
        <w:t xml:space="preserve">13 for the prevention of </w:t>
      </w:r>
      <w:r w:rsidR="001527B0" w:rsidRPr="00481594">
        <w:t>invasive pneumococcal disease</w:t>
      </w:r>
      <w:r w:rsidRPr="00481594">
        <w:t xml:space="preserve"> and </w:t>
      </w:r>
      <w:r w:rsidRPr="00481594">
        <w:lastRenderedPageBreak/>
        <w:t xml:space="preserve">pneumococcal pneumonia, validating the results of </w:t>
      </w:r>
      <w:proofErr w:type="spellStart"/>
      <w:r w:rsidRPr="00481594">
        <w:t>immunobridging</w:t>
      </w:r>
      <w:proofErr w:type="spellEnd"/>
      <w:r w:rsidR="00B83C11" w:rsidRPr="00481594">
        <w:t>.</w:t>
      </w:r>
      <w:r w:rsidRPr="00481594">
        <w:t xml:space="preserve"> Based on this precedent and the lack of feasibility of conducting efficacy studies for new pneumococcal vaccines in settings where uptake of currently approved vaccines is high, </w:t>
      </w:r>
      <w:proofErr w:type="spellStart"/>
      <w:r w:rsidRPr="00481594">
        <w:t>immunobridging</w:t>
      </w:r>
      <w:proofErr w:type="spellEnd"/>
      <w:r w:rsidRPr="00481594">
        <w:t xml:space="preserve"> to Prevnar 13 for shared serotypes and demonstration of superior OPA responses to </w:t>
      </w:r>
      <w:bookmarkStart w:id="107" w:name="_Hlk85723592"/>
      <w:r w:rsidRPr="00481594">
        <w:t xml:space="preserve">serotypes 22F and 33F </w:t>
      </w:r>
      <w:bookmarkEnd w:id="107"/>
      <w:r w:rsidRPr="00481594">
        <w:t xml:space="preserve">has been proposed to regulatory agencies (US </w:t>
      </w:r>
      <w:r w:rsidR="0044374C" w:rsidRPr="00481594">
        <w:t>Food and Drug Administration (</w:t>
      </w:r>
      <w:r w:rsidRPr="00481594">
        <w:t>FDA</w:t>
      </w:r>
      <w:r w:rsidR="0044374C" w:rsidRPr="00481594">
        <w:t>)</w:t>
      </w:r>
      <w:r w:rsidRPr="00481594">
        <w:t xml:space="preserve">, </w:t>
      </w:r>
      <w:r w:rsidR="0044374C" w:rsidRPr="00481594">
        <w:t>European Medicines Agency (</w:t>
      </w:r>
      <w:r w:rsidRPr="00481594">
        <w:t>EMA</w:t>
      </w:r>
      <w:r w:rsidR="0044374C" w:rsidRPr="00481594">
        <w:t>)</w:t>
      </w:r>
      <w:r w:rsidRPr="00481594">
        <w:t>)</w:t>
      </w:r>
      <w:r w:rsidR="0044374C" w:rsidRPr="00481594">
        <w:t xml:space="preserve"> </w:t>
      </w:r>
      <w:r w:rsidRPr="00481594">
        <w:t xml:space="preserve">and accepted as basis for </w:t>
      </w:r>
      <w:proofErr w:type="spellStart"/>
      <w:r w:rsidR="00D50115" w:rsidRPr="00481594">
        <w:t>Vaxneuvance</w:t>
      </w:r>
      <w:proofErr w:type="spellEnd"/>
      <w:r w:rsidR="00D50115" w:rsidRPr="00481594">
        <w:t xml:space="preserve"> </w:t>
      </w:r>
      <w:r w:rsidRPr="00481594">
        <w:t>licensure.</w:t>
      </w:r>
    </w:p>
    <w:p w14:paraId="4C806EAB" w14:textId="061BEEC1" w:rsidR="00B638B1" w:rsidRPr="00481594" w:rsidRDefault="00B638B1" w:rsidP="00B638B1">
      <w:r w:rsidRPr="00481594">
        <w:t xml:space="preserve">A deficiency in the submission was that there were no clinical trial data provided to confirm differences in pneumococcal disease rates caused by the </w:t>
      </w:r>
      <w:r w:rsidR="00D50115" w:rsidRPr="00481594">
        <w:t>two</w:t>
      </w:r>
      <w:r w:rsidRPr="00481594">
        <w:t xml:space="preserve"> novel serotypes (serotypes 22F and 33F) found in the </w:t>
      </w:r>
      <w:proofErr w:type="spellStart"/>
      <w:r w:rsidR="00D50115" w:rsidRPr="00481594">
        <w:t>Vaxneuvance</w:t>
      </w:r>
      <w:proofErr w:type="spellEnd"/>
      <w:r w:rsidR="00D50115" w:rsidRPr="00481594">
        <w:t xml:space="preserve"> </w:t>
      </w:r>
      <w:r w:rsidR="00262F42" w:rsidRPr="00481594">
        <w:t>versus</w:t>
      </w:r>
      <w:r w:rsidRPr="00481594">
        <w:t xml:space="preserve"> Prevnar 13 vaccine.</w:t>
      </w:r>
    </w:p>
    <w:p w14:paraId="762267DD" w14:textId="21B9E7F7" w:rsidR="00B638B1" w:rsidRPr="00481594" w:rsidRDefault="00B638B1" w:rsidP="00B638B1">
      <w:r w:rsidRPr="00481594">
        <w:t xml:space="preserve">Adverse event experience in the clinical development program was acceptable. Higher proportions of AEs were seen in the </w:t>
      </w:r>
      <w:proofErr w:type="spellStart"/>
      <w:r w:rsidR="00D50115" w:rsidRPr="00481594">
        <w:t>Vaxneuvance</w:t>
      </w:r>
      <w:proofErr w:type="spellEnd"/>
      <w:r w:rsidR="00D50115" w:rsidRPr="00481594">
        <w:t xml:space="preserve"> </w:t>
      </w:r>
      <w:r w:rsidRPr="00481594">
        <w:t xml:space="preserve">groups </w:t>
      </w:r>
      <w:r w:rsidR="00262F42" w:rsidRPr="00481594">
        <w:t>versus</w:t>
      </w:r>
      <w:r w:rsidRPr="00481594">
        <w:t xml:space="preserve"> Prevnar 13 mostly due to higher proportions of subjects with injection site AEs following </w:t>
      </w:r>
      <w:proofErr w:type="spellStart"/>
      <w:r w:rsidR="00D50115" w:rsidRPr="00481594">
        <w:t>Vaxneuvance</w:t>
      </w:r>
      <w:proofErr w:type="spellEnd"/>
      <w:r w:rsidRPr="00481594">
        <w:t>. Most of these reactions were mild in intensity and short</w:t>
      </w:r>
      <w:r w:rsidR="00611D75" w:rsidRPr="00481594">
        <w:t xml:space="preserve"> </w:t>
      </w:r>
      <w:r w:rsidRPr="00481594">
        <w:t>lived.</w:t>
      </w:r>
    </w:p>
    <w:p w14:paraId="20F79002" w14:textId="31C517DB" w:rsidR="00B638B1" w:rsidRPr="00481594" w:rsidRDefault="00B638B1" w:rsidP="009E5D02">
      <w:r w:rsidRPr="00481594">
        <w:t xml:space="preserve">In subjects with increased risk for pneumococcal disease (immunocompetent adults </w:t>
      </w:r>
      <w:r w:rsidR="00D50115" w:rsidRPr="00481594">
        <w:t xml:space="preserve">from </w:t>
      </w:r>
      <w:r w:rsidRPr="00481594">
        <w:t xml:space="preserve">18 to 49 years of age in </w:t>
      </w:r>
      <w:r w:rsidR="001C5DCA" w:rsidRPr="00481594">
        <w:t>Study</w:t>
      </w:r>
      <w:r w:rsidRPr="00481594">
        <w:t xml:space="preserve"> V114-017 with risk factors and immunocompromised adults </w:t>
      </w:r>
      <w:r w:rsidR="00D50115" w:rsidRPr="00481594">
        <w:t>from</w:t>
      </w:r>
      <w:r w:rsidR="009E5D02" w:rsidRPr="00481594">
        <w:t xml:space="preserve"> </w:t>
      </w:r>
      <w:r w:rsidRPr="00481594">
        <w:t>18</w:t>
      </w:r>
      <w:r w:rsidR="00611D75" w:rsidRPr="00481594">
        <w:t> </w:t>
      </w:r>
      <w:r w:rsidRPr="00481594">
        <w:t xml:space="preserve">years of age with HIV in </w:t>
      </w:r>
      <w:r w:rsidR="001C5DCA" w:rsidRPr="00481594">
        <w:t>Study</w:t>
      </w:r>
      <w:r w:rsidRPr="00481594">
        <w:t xml:space="preserve"> V114-018, safety profiles were comparable to those seen in the overall population.</w:t>
      </w:r>
    </w:p>
    <w:p w14:paraId="545C66FB" w14:textId="23548B4E" w:rsidR="00B638B1" w:rsidRPr="00481594" w:rsidRDefault="00B638B1" w:rsidP="009E5D02">
      <w:r w:rsidRPr="00481594">
        <w:t>Safety profiles in subjects with prior pneumococcal vaccine (</w:t>
      </w:r>
      <w:r w:rsidR="00611D75" w:rsidRPr="00481594">
        <w:t xml:space="preserve">Studies </w:t>
      </w:r>
      <w:r w:rsidRPr="00481594">
        <w:t>V114-007 and V114</w:t>
      </w:r>
      <w:r w:rsidR="00611D75" w:rsidRPr="00481594">
        <w:noBreakHyphen/>
      </w:r>
      <w:r w:rsidRPr="00481594">
        <w:t xml:space="preserve">021) showed comparable </w:t>
      </w:r>
      <w:r w:rsidR="001527B0" w:rsidRPr="00481594">
        <w:t>AE</w:t>
      </w:r>
      <w:r w:rsidRPr="00481594">
        <w:t xml:space="preserve"> profiles across treatment groups and were comparable to those seen in vaccine</w:t>
      </w:r>
      <w:r w:rsidR="00611D75" w:rsidRPr="00481594">
        <w:t xml:space="preserve"> </w:t>
      </w:r>
      <w:r w:rsidRPr="00481594">
        <w:t>naïve subjects.</w:t>
      </w:r>
    </w:p>
    <w:p w14:paraId="77E7853F" w14:textId="7404A0B4" w:rsidR="00B638B1" w:rsidRPr="00481594" w:rsidRDefault="00B638B1" w:rsidP="009E5D02">
      <w:r w:rsidRPr="00481594">
        <w:t>Comparable vaccine profiles were seen in subjects given sequential administration of pneumococcal vaccine (</w:t>
      </w:r>
      <w:r w:rsidR="001C5DCA" w:rsidRPr="00481594">
        <w:t>Study</w:t>
      </w:r>
      <w:r w:rsidRPr="00481594">
        <w:t xml:space="preserve"> V114-016: </w:t>
      </w:r>
      <w:r w:rsidR="00DE0933" w:rsidRPr="00481594">
        <w:t xml:space="preserve">Pneumovax 23 </w:t>
      </w:r>
      <w:r w:rsidRPr="00481594">
        <w:t xml:space="preserve">given 12 months after </w:t>
      </w:r>
      <w:proofErr w:type="spellStart"/>
      <w:r w:rsidR="00D50115" w:rsidRPr="00481594">
        <w:t>Vaxneuvance</w:t>
      </w:r>
      <w:proofErr w:type="spellEnd"/>
      <w:r w:rsidR="00D50115" w:rsidRPr="00481594">
        <w:t xml:space="preserve"> </w:t>
      </w:r>
      <w:r w:rsidRPr="00481594">
        <w:t>or Prevnar</w:t>
      </w:r>
      <w:r w:rsidR="00575C3E" w:rsidRPr="00481594">
        <w:t> </w:t>
      </w:r>
      <w:r w:rsidRPr="00481594">
        <w:t>13</w:t>
      </w:r>
      <w:r w:rsidR="00D50115" w:rsidRPr="00481594">
        <w:t xml:space="preserve"> vaccination</w:t>
      </w:r>
      <w:r w:rsidRPr="00481594">
        <w:t>).</w:t>
      </w:r>
    </w:p>
    <w:p w14:paraId="07EFA878" w14:textId="70961F82" w:rsidR="00B638B1" w:rsidRPr="00481594" w:rsidRDefault="00B638B1" w:rsidP="009E5D02">
      <w:r w:rsidRPr="00481594">
        <w:t xml:space="preserve">The proportion of subjects with AEs with concomitant or non-concomitant treatment with influenza vaccine were comparable in both groups of timing of influenza vaccine with </w:t>
      </w:r>
      <w:proofErr w:type="spellStart"/>
      <w:r w:rsidR="00D50115" w:rsidRPr="00481594">
        <w:t>Vaxneuvance</w:t>
      </w:r>
      <w:proofErr w:type="spellEnd"/>
      <w:r w:rsidRPr="00481594">
        <w:t>.</w:t>
      </w:r>
    </w:p>
    <w:p w14:paraId="101EAA56" w14:textId="07A6693F" w:rsidR="00B638B1" w:rsidRPr="00481594" w:rsidRDefault="00B638B1" w:rsidP="009E5D02">
      <w:r w:rsidRPr="00481594">
        <w:t>Post</w:t>
      </w:r>
      <w:r w:rsidR="00575C3E" w:rsidRPr="00481594">
        <w:t>-</w:t>
      </w:r>
      <w:r w:rsidRPr="00481594">
        <w:t>marketing experience data were not available when the dossier was submitted.</w:t>
      </w:r>
    </w:p>
    <w:p w14:paraId="7D061318" w14:textId="77777777" w:rsidR="0074163C" w:rsidRPr="00481594" w:rsidRDefault="0074163C" w:rsidP="0074163C">
      <w:pPr>
        <w:pStyle w:val="Heading4"/>
      </w:pPr>
      <w:bookmarkStart w:id="108" w:name="_Toc98931933"/>
      <w:r w:rsidRPr="00481594">
        <w:t>Proposed action</w:t>
      </w:r>
      <w:bookmarkEnd w:id="108"/>
    </w:p>
    <w:p w14:paraId="3774AA7F" w14:textId="4F6C95B9" w:rsidR="00B638B1" w:rsidRPr="00481594" w:rsidRDefault="00B638B1" w:rsidP="00B638B1">
      <w:r w:rsidRPr="00481594">
        <w:t xml:space="preserve">It was found that the </w:t>
      </w:r>
      <w:proofErr w:type="spellStart"/>
      <w:r w:rsidR="00D50115" w:rsidRPr="00481594">
        <w:t>Vaxneuvance</w:t>
      </w:r>
      <w:proofErr w:type="spellEnd"/>
      <w:r w:rsidR="00D50115" w:rsidRPr="00481594">
        <w:t xml:space="preserve"> </w:t>
      </w:r>
      <w:r w:rsidRPr="00481594">
        <w:t>pneumococcal vaccine induces an immune response to all 15</w:t>
      </w:r>
      <w:r w:rsidR="00575C3E" w:rsidRPr="00481594">
        <w:t> </w:t>
      </w:r>
      <w:r w:rsidRPr="00481594">
        <w:t>serotypes in the vaccine in adults 18 years of age</w:t>
      </w:r>
      <w:r w:rsidR="00626CC0" w:rsidRPr="00481594">
        <w:t xml:space="preserve"> and older</w:t>
      </w:r>
      <w:r w:rsidRPr="00481594">
        <w:t xml:space="preserve"> and was found to be non-inferior to Prevnar 13 for the 13 shared epitopes and superior to Prevnar 13 for the 2 serotypes uniquely found in </w:t>
      </w:r>
      <w:proofErr w:type="spellStart"/>
      <w:r w:rsidR="00D50115" w:rsidRPr="00481594">
        <w:t>Vaxneuvance</w:t>
      </w:r>
      <w:proofErr w:type="spellEnd"/>
      <w:r w:rsidR="00D50115" w:rsidRPr="00481594">
        <w:t xml:space="preserve"> </w:t>
      </w:r>
      <w:r w:rsidRPr="00481594">
        <w:t>(as well as for serotype 3, only</w:t>
      </w:r>
      <w:r w:rsidR="004F7306" w:rsidRPr="00481594">
        <w:t xml:space="preserve"> seen</w:t>
      </w:r>
      <w:r w:rsidR="00922E24" w:rsidRPr="00481594">
        <w:t xml:space="preserve"> </w:t>
      </w:r>
      <w:r w:rsidRPr="00481594">
        <w:t xml:space="preserve">in </w:t>
      </w:r>
      <w:r w:rsidR="001C5DCA" w:rsidRPr="00481594">
        <w:t>Study</w:t>
      </w:r>
      <w:r w:rsidR="002C3228" w:rsidRPr="00481594">
        <w:t> </w:t>
      </w:r>
      <w:r w:rsidRPr="00481594">
        <w:t>V114-019, involving subjects 50 years of age</w:t>
      </w:r>
      <w:r w:rsidR="00626CC0" w:rsidRPr="00481594">
        <w:t xml:space="preserve"> and older</w:t>
      </w:r>
      <w:r w:rsidRPr="00481594">
        <w:t>).</w:t>
      </w:r>
    </w:p>
    <w:p w14:paraId="11BD9ECF" w14:textId="2EACDC3D" w:rsidR="00B638B1" w:rsidRPr="00481594" w:rsidRDefault="00B638B1" w:rsidP="00B638B1">
      <w:r w:rsidRPr="00481594">
        <w:t xml:space="preserve">Similar patterns of immunogenicity changes for </w:t>
      </w:r>
      <w:proofErr w:type="spellStart"/>
      <w:r w:rsidR="00D50115" w:rsidRPr="00481594">
        <w:t>Vaxneuvance</w:t>
      </w:r>
      <w:proofErr w:type="spellEnd"/>
      <w:r w:rsidR="00D50115" w:rsidRPr="00481594">
        <w:t xml:space="preserve"> </w:t>
      </w:r>
      <w:r w:rsidRPr="00481594">
        <w:t>were seen across different manufacturing lots, in immunocompetent adults 18</w:t>
      </w:r>
      <w:r w:rsidR="00575C3E" w:rsidRPr="00481594">
        <w:t xml:space="preserve"> to </w:t>
      </w:r>
      <w:r w:rsidRPr="00481594">
        <w:t xml:space="preserve">49 years of age (including subjects with or without risk factors for pneumococcal disease) and in immunosuppressed subjects with HIV. It was also found that </w:t>
      </w:r>
      <w:proofErr w:type="spellStart"/>
      <w:r w:rsidR="00D50115" w:rsidRPr="00481594">
        <w:t>Vaxneuvance</w:t>
      </w:r>
      <w:proofErr w:type="spellEnd"/>
      <w:r w:rsidR="00D50115" w:rsidRPr="00481594">
        <w:t xml:space="preserve"> </w:t>
      </w:r>
      <w:r w:rsidRPr="00481594">
        <w:t>could be given concomitantly with a quadrivalent, inactivated influenza vaccine.</w:t>
      </w:r>
    </w:p>
    <w:p w14:paraId="3282286B" w14:textId="1E13B17A" w:rsidR="00B638B1" w:rsidRPr="00481594" w:rsidRDefault="00B638B1" w:rsidP="00B638B1">
      <w:r w:rsidRPr="00481594">
        <w:t xml:space="preserve">It was shown that </w:t>
      </w:r>
      <w:proofErr w:type="spellStart"/>
      <w:r w:rsidR="00D50115" w:rsidRPr="00481594">
        <w:t>Vaxneuvance</w:t>
      </w:r>
      <w:proofErr w:type="spellEnd"/>
      <w:r w:rsidR="00D50115" w:rsidRPr="00481594">
        <w:t xml:space="preserve"> </w:t>
      </w:r>
      <w:r w:rsidRPr="00481594">
        <w:t xml:space="preserve">or Prevnar 13 vaccines followed 12 months later by </w:t>
      </w:r>
      <w:r w:rsidR="00DE0933" w:rsidRPr="00481594">
        <w:t xml:space="preserve">Pneumovax 23 </w:t>
      </w:r>
      <w:r w:rsidRPr="00481594">
        <w:t xml:space="preserve">induces comparable immune responses after </w:t>
      </w:r>
      <w:proofErr w:type="spellStart"/>
      <w:r w:rsidR="00D50115" w:rsidRPr="00481594">
        <w:t>Vaxneuvance</w:t>
      </w:r>
      <w:proofErr w:type="spellEnd"/>
      <w:r w:rsidR="00D50115" w:rsidRPr="00481594">
        <w:t xml:space="preserve"> </w:t>
      </w:r>
      <w:r w:rsidRPr="00481594">
        <w:t>or Prevnar 13.</w:t>
      </w:r>
    </w:p>
    <w:p w14:paraId="465553B5" w14:textId="748C4F03" w:rsidR="00B638B1" w:rsidRPr="00481594" w:rsidRDefault="00D50115" w:rsidP="00B638B1">
      <w:proofErr w:type="spellStart"/>
      <w:r w:rsidRPr="00481594">
        <w:t>Vaxneuvance</w:t>
      </w:r>
      <w:proofErr w:type="spellEnd"/>
      <w:r w:rsidRPr="00481594">
        <w:t xml:space="preserve"> </w:t>
      </w:r>
      <w:r w:rsidR="00B638B1" w:rsidRPr="00481594">
        <w:t xml:space="preserve">also induced immune responses for at least 12 months and was immunogenic with or without prior </w:t>
      </w:r>
      <w:r w:rsidR="00DE0933" w:rsidRPr="00481594">
        <w:t xml:space="preserve">Pneumovax 23 </w:t>
      </w:r>
      <w:r w:rsidR="00B638B1" w:rsidRPr="00481594">
        <w:t>vaccination.</w:t>
      </w:r>
    </w:p>
    <w:p w14:paraId="5279217E" w14:textId="77777777" w:rsidR="00B638B1" w:rsidRPr="00481594" w:rsidRDefault="00B638B1" w:rsidP="00B638B1">
      <w:r w:rsidRPr="00481594">
        <w:t>Adverse event experience in the clinical development program was acceptable.</w:t>
      </w:r>
    </w:p>
    <w:p w14:paraId="6B3AA008" w14:textId="77777777" w:rsidR="0074163C" w:rsidRPr="00481594" w:rsidRDefault="0074163C" w:rsidP="0074163C">
      <w:pPr>
        <w:pStyle w:val="Heading4"/>
      </w:pPr>
      <w:bookmarkStart w:id="109" w:name="_Toc98931936"/>
      <w:bookmarkStart w:id="110" w:name="_Toc247691532"/>
      <w:bookmarkStart w:id="111" w:name="_Toc314842516"/>
      <w:bookmarkEnd w:id="29"/>
      <w:bookmarkEnd w:id="102"/>
      <w:bookmarkEnd w:id="103"/>
      <w:r w:rsidRPr="00481594">
        <w:lastRenderedPageBreak/>
        <w:t>Advisory Committee considerations</w:t>
      </w:r>
      <w:bookmarkEnd w:id="109"/>
    </w:p>
    <w:p w14:paraId="431A4DDE" w14:textId="4C1312D8" w:rsidR="0074163C" w:rsidRPr="00481594" w:rsidRDefault="0074163C" w:rsidP="0074163C">
      <w:pPr>
        <w:rPr>
          <w:bCs/>
        </w:rPr>
      </w:pPr>
      <w:r w:rsidRPr="00481594">
        <w:rPr>
          <w:bCs/>
        </w:rPr>
        <w:t xml:space="preserve">The </w:t>
      </w:r>
      <w:hyperlink r:id="rId74" w:history="1">
        <w:r w:rsidRPr="00481594">
          <w:rPr>
            <w:rStyle w:val="Hyperlink"/>
            <w:szCs w:val="21"/>
          </w:rPr>
          <w:t>Advisory Committee on Vaccines (ACV)</w:t>
        </w:r>
      </w:hyperlink>
      <w:r w:rsidRPr="00481594">
        <w:rPr>
          <w:szCs w:val="21"/>
        </w:rPr>
        <w:t>,</w:t>
      </w:r>
      <w:r w:rsidRPr="00481594">
        <w:rPr>
          <w:bCs/>
        </w:rPr>
        <w:t xml:space="preserve"> having considered the evaluations and the Delegate’s overview, as well as the sponsor’s response to these documents, advised the following.</w:t>
      </w:r>
    </w:p>
    <w:p w14:paraId="632A0AE6" w14:textId="77777777" w:rsidR="0074163C" w:rsidRPr="00481594" w:rsidRDefault="0074163C" w:rsidP="0074163C">
      <w:pPr>
        <w:pStyle w:val="Heading5"/>
      </w:pPr>
      <w:r w:rsidRPr="00481594">
        <w:t>Specific advice to the Delegate</w:t>
      </w:r>
    </w:p>
    <w:p w14:paraId="0FE72645" w14:textId="2A9F270E" w:rsidR="00B638B1" w:rsidRPr="00481594" w:rsidRDefault="00B638B1" w:rsidP="00D50115">
      <w:pPr>
        <w:pStyle w:val="Numberbullet0"/>
        <w:numPr>
          <w:ilvl w:val="0"/>
          <w:numId w:val="36"/>
        </w:numPr>
        <w:rPr>
          <w:b/>
          <w:bCs/>
          <w:i/>
          <w:iCs/>
        </w:rPr>
      </w:pPr>
      <w:r w:rsidRPr="00481594">
        <w:rPr>
          <w:b/>
          <w:bCs/>
          <w:i/>
          <w:iCs/>
        </w:rPr>
        <w:t xml:space="preserve">The ACV is requested to advise on whether the clinical data are adequate to support the registration of </w:t>
      </w:r>
      <w:proofErr w:type="spellStart"/>
      <w:r w:rsidR="00D50115" w:rsidRPr="00481594">
        <w:rPr>
          <w:b/>
          <w:bCs/>
          <w:i/>
          <w:iCs/>
        </w:rPr>
        <w:t>Vaxneuvance</w:t>
      </w:r>
      <w:proofErr w:type="spellEnd"/>
      <w:r w:rsidR="00D50115" w:rsidRPr="00481594">
        <w:rPr>
          <w:b/>
          <w:bCs/>
          <w:i/>
          <w:iCs/>
        </w:rPr>
        <w:t xml:space="preserve"> </w:t>
      </w:r>
      <w:r w:rsidR="00575C3E" w:rsidRPr="00481594">
        <w:rPr>
          <w:b/>
          <w:bCs/>
          <w:i/>
          <w:iCs/>
        </w:rPr>
        <w:t xml:space="preserve">pneumococcal 15-valent conjugate vaccine </w:t>
      </w:r>
      <w:r w:rsidR="00173B1B" w:rsidRPr="00481594">
        <w:rPr>
          <w:b/>
          <w:bCs/>
          <w:i/>
          <w:iCs/>
        </w:rPr>
        <w:t>(</w:t>
      </w:r>
      <w:r w:rsidRPr="00481594">
        <w:rPr>
          <w:b/>
          <w:bCs/>
          <w:i/>
          <w:iCs/>
        </w:rPr>
        <w:t>CRM</w:t>
      </w:r>
      <w:r w:rsidRPr="00481594">
        <w:rPr>
          <w:b/>
          <w:bCs/>
          <w:i/>
          <w:iCs/>
          <w:vertAlign w:val="subscript"/>
        </w:rPr>
        <w:t>197</w:t>
      </w:r>
      <w:r w:rsidRPr="00481594">
        <w:rPr>
          <w:b/>
          <w:bCs/>
          <w:i/>
          <w:iCs/>
        </w:rPr>
        <w:t xml:space="preserve"> </w:t>
      </w:r>
      <w:r w:rsidR="00575C3E" w:rsidRPr="00481594">
        <w:rPr>
          <w:b/>
          <w:bCs/>
          <w:i/>
          <w:iCs/>
        </w:rPr>
        <w:t>p</w:t>
      </w:r>
      <w:r w:rsidRPr="00481594">
        <w:rPr>
          <w:b/>
          <w:bCs/>
          <w:i/>
          <w:iCs/>
        </w:rPr>
        <w:t>rotein</w:t>
      </w:r>
      <w:r w:rsidR="00173B1B" w:rsidRPr="00481594">
        <w:rPr>
          <w:b/>
          <w:bCs/>
          <w:i/>
          <w:iCs/>
        </w:rPr>
        <w:t>)</w:t>
      </w:r>
      <w:r w:rsidRPr="00481594">
        <w:rPr>
          <w:b/>
          <w:bCs/>
          <w:i/>
          <w:iCs/>
        </w:rPr>
        <w:t xml:space="preserve">, adsorbed, specifically in relation to the </w:t>
      </w:r>
      <w:proofErr w:type="spellStart"/>
      <w:r w:rsidRPr="00481594">
        <w:rPr>
          <w:b/>
          <w:bCs/>
          <w:i/>
          <w:iCs/>
        </w:rPr>
        <w:t>immunobridging</w:t>
      </w:r>
      <w:proofErr w:type="spellEnd"/>
      <w:r w:rsidRPr="00481594">
        <w:rPr>
          <w:b/>
          <w:bCs/>
          <w:i/>
          <w:iCs/>
        </w:rPr>
        <w:t xml:space="preserve"> approach.</w:t>
      </w:r>
    </w:p>
    <w:p w14:paraId="31B3DA0B" w14:textId="77777777" w:rsidR="00B638B1" w:rsidRPr="00481594" w:rsidRDefault="00B638B1" w:rsidP="00B638B1">
      <w:r w:rsidRPr="00481594">
        <w:t xml:space="preserve">The ACV advised that that </w:t>
      </w:r>
      <w:proofErr w:type="spellStart"/>
      <w:r w:rsidRPr="00481594">
        <w:t>immunobridging</w:t>
      </w:r>
      <w:proofErr w:type="spellEnd"/>
      <w:r w:rsidRPr="00481594">
        <w:t xml:space="preserve"> approach is acceptable and clinical data adequate to support registration.</w:t>
      </w:r>
    </w:p>
    <w:p w14:paraId="03D4A5BE" w14:textId="4EA2240A" w:rsidR="00B638B1" w:rsidRPr="00481594" w:rsidRDefault="00B638B1" w:rsidP="00B638B1">
      <w:r w:rsidRPr="00481594">
        <w:t xml:space="preserve">The ACV noted that no clinical outcomes data were available and there was no proposal to conduct either efficacy or effectiveness studies. The ACV agreed that it is not feasible to conduct efficacy studies for a new pneumococcal vaccine where uptake of currently approved vaccines is high. The ACV accepted that </w:t>
      </w:r>
      <w:proofErr w:type="spellStart"/>
      <w:r w:rsidRPr="00481594">
        <w:t>immunobridging</w:t>
      </w:r>
      <w:proofErr w:type="spellEnd"/>
      <w:r w:rsidRPr="00481594">
        <w:t xml:space="preserve"> to Prevenar 13 for shared serotypes and demonstration of superior OPA response to serotypes 22F/33F was a valid approach.</w:t>
      </w:r>
    </w:p>
    <w:p w14:paraId="5E45C963" w14:textId="77777777" w:rsidR="0074163C" w:rsidRPr="00481594" w:rsidRDefault="0074163C" w:rsidP="0074163C">
      <w:pPr>
        <w:pStyle w:val="Heading5"/>
      </w:pPr>
      <w:r w:rsidRPr="00481594">
        <w:t>Conclusion</w:t>
      </w:r>
    </w:p>
    <w:p w14:paraId="23FCFCC5" w14:textId="77777777" w:rsidR="00B638B1" w:rsidRPr="00481594" w:rsidRDefault="00B638B1" w:rsidP="00B638B1">
      <w:r w:rsidRPr="00481594">
        <w:t>The ACV considered this product to have an overall positive benefit-risk profile for the indication:</w:t>
      </w:r>
    </w:p>
    <w:p w14:paraId="3B79D60D" w14:textId="09B7F5E6" w:rsidR="00B638B1" w:rsidRPr="00481594" w:rsidRDefault="00C879EB" w:rsidP="00B638B1">
      <w:pPr>
        <w:ind w:left="720"/>
        <w:rPr>
          <w:i/>
          <w:iCs/>
        </w:rPr>
      </w:pPr>
      <w:proofErr w:type="spellStart"/>
      <w:r w:rsidRPr="00481594">
        <w:rPr>
          <w:i/>
          <w:iCs/>
        </w:rPr>
        <w:t>Vaxneuvance</w:t>
      </w:r>
      <w:proofErr w:type="spellEnd"/>
      <w:r w:rsidR="00B638B1" w:rsidRPr="00481594">
        <w:rPr>
          <w:i/>
          <w:iCs/>
        </w:rPr>
        <w:t xml:space="preserve"> is indicated for active immunisation for the prevention of pneumococcal disease caused by Streptococcus pneumoniae serotypes (1, 3, 4, 5, 6A, 6B, 7F, 9V, 14, 18C, 19A, 19F, 22F, 23F and 33F) in adults 18 years of age and older.</w:t>
      </w:r>
    </w:p>
    <w:p w14:paraId="4C158B50" w14:textId="4BB3DA72" w:rsidR="00B638B1" w:rsidRPr="00481594" w:rsidRDefault="00C879EB" w:rsidP="00B638B1">
      <w:pPr>
        <w:ind w:left="720"/>
        <w:rPr>
          <w:i/>
          <w:iCs/>
        </w:rPr>
      </w:pPr>
      <w:proofErr w:type="spellStart"/>
      <w:r w:rsidRPr="00481594">
        <w:rPr>
          <w:i/>
          <w:iCs/>
        </w:rPr>
        <w:t>Vaxneuvance</w:t>
      </w:r>
      <w:proofErr w:type="spellEnd"/>
      <w:r w:rsidR="00B638B1" w:rsidRPr="00481594">
        <w:rPr>
          <w:i/>
          <w:iCs/>
        </w:rPr>
        <w:t xml:space="preserve"> may not prevent disease caused by S. pneumoniae serotypes that are not contained in the vaccine.</w:t>
      </w:r>
    </w:p>
    <w:p w14:paraId="27F325A6" w14:textId="476CEBB2" w:rsidR="00B638B1" w:rsidRPr="00481594" w:rsidRDefault="00B638B1" w:rsidP="00B638B1">
      <w:pPr>
        <w:ind w:left="720"/>
        <w:rPr>
          <w:i/>
          <w:iCs/>
        </w:rPr>
      </w:pPr>
      <w:r w:rsidRPr="00481594">
        <w:rPr>
          <w:i/>
          <w:iCs/>
        </w:rPr>
        <w:t xml:space="preserve">The use of </w:t>
      </w:r>
      <w:proofErr w:type="spellStart"/>
      <w:r w:rsidR="00C879EB" w:rsidRPr="00481594">
        <w:rPr>
          <w:i/>
          <w:iCs/>
        </w:rPr>
        <w:t>Vaxneuvance</w:t>
      </w:r>
      <w:proofErr w:type="spellEnd"/>
      <w:r w:rsidRPr="00481594">
        <w:rPr>
          <w:i/>
          <w:iCs/>
        </w:rPr>
        <w:t xml:space="preserve"> should be guided by official recommendations.</w:t>
      </w:r>
    </w:p>
    <w:p w14:paraId="1857C982" w14:textId="77777777" w:rsidR="008E7846" w:rsidRPr="00481594" w:rsidRDefault="008E7846" w:rsidP="00D212F3">
      <w:pPr>
        <w:pStyle w:val="Heading2"/>
      </w:pPr>
      <w:bookmarkStart w:id="112" w:name="_Toc116652740"/>
      <w:r w:rsidRPr="00481594">
        <w:t>Outcome</w:t>
      </w:r>
      <w:bookmarkEnd w:id="110"/>
      <w:bookmarkEnd w:id="111"/>
      <w:bookmarkEnd w:id="112"/>
    </w:p>
    <w:p w14:paraId="7ADA3293" w14:textId="32780428" w:rsidR="0074163C" w:rsidRPr="00481594" w:rsidRDefault="0074163C" w:rsidP="0074163C">
      <w:bookmarkStart w:id="113" w:name="_Toc247691533"/>
      <w:bookmarkStart w:id="114" w:name="_Toc314842517"/>
      <w:r w:rsidRPr="00481594">
        <w:t xml:space="preserve">Based on a review of quality, </w:t>
      </w:r>
      <w:r w:rsidR="00CC5044" w:rsidRPr="00481594">
        <w:t>safety,</w:t>
      </w:r>
      <w:r w:rsidRPr="00481594">
        <w:t xml:space="preserve"> and efficacy, the TGA approved the registration of </w:t>
      </w:r>
      <w:proofErr w:type="spellStart"/>
      <w:r w:rsidR="00015688" w:rsidRPr="00481594">
        <w:t>Vaxneuvance</w:t>
      </w:r>
      <w:proofErr w:type="spellEnd"/>
      <w:r w:rsidR="00015688" w:rsidRPr="00481594">
        <w:t xml:space="preserve"> </w:t>
      </w:r>
      <w:r w:rsidRPr="00481594">
        <w:t>(</w:t>
      </w:r>
      <w:r w:rsidR="00015688" w:rsidRPr="00481594">
        <w:t>pneumococcal 15-valent conjugate vaccine</w:t>
      </w:r>
      <w:r w:rsidR="00352FDC" w:rsidRPr="00481594">
        <w:t xml:space="preserve"> (CRM</w:t>
      </w:r>
      <w:r w:rsidR="00352FDC" w:rsidRPr="00481594">
        <w:rPr>
          <w:vertAlign w:val="subscript"/>
        </w:rPr>
        <w:t>197</w:t>
      </w:r>
      <w:r w:rsidR="00352FDC" w:rsidRPr="00481594">
        <w:t xml:space="preserve"> </w:t>
      </w:r>
      <w:r w:rsidR="00D50115" w:rsidRPr="00481594">
        <w:t>p</w:t>
      </w:r>
      <w:r w:rsidR="00352FDC" w:rsidRPr="00481594">
        <w:t>rotein), adsorbed</w:t>
      </w:r>
      <w:r w:rsidRPr="00481594">
        <w:t xml:space="preserve">) </w:t>
      </w:r>
      <w:r w:rsidR="00015688" w:rsidRPr="00481594">
        <w:t>0.5</w:t>
      </w:r>
      <w:r w:rsidR="002C3228" w:rsidRPr="00481594">
        <w:t> </w:t>
      </w:r>
      <w:r w:rsidR="00015688" w:rsidRPr="00481594">
        <w:t>mL</w:t>
      </w:r>
      <w:r w:rsidRPr="00481594">
        <w:t xml:space="preserve">, </w:t>
      </w:r>
      <w:r w:rsidR="0011644E" w:rsidRPr="00481594">
        <w:t>suspension for injection</w:t>
      </w:r>
      <w:r w:rsidRPr="00481594">
        <w:t xml:space="preserve">, </w:t>
      </w:r>
      <w:r w:rsidR="0011644E" w:rsidRPr="00481594">
        <w:t>prefilled syringe</w:t>
      </w:r>
      <w:r w:rsidRPr="00481594">
        <w:t>, indicated for:</w:t>
      </w:r>
    </w:p>
    <w:p w14:paraId="410E91D1" w14:textId="619C449D" w:rsidR="00015688" w:rsidRPr="00481594" w:rsidRDefault="00015688" w:rsidP="00015688">
      <w:pPr>
        <w:ind w:left="720"/>
        <w:rPr>
          <w:i/>
          <w:iCs/>
        </w:rPr>
      </w:pPr>
      <w:proofErr w:type="spellStart"/>
      <w:r w:rsidRPr="00481594">
        <w:rPr>
          <w:i/>
          <w:iCs/>
        </w:rPr>
        <w:t>Vaxneuvance</w:t>
      </w:r>
      <w:proofErr w:type="spellEnd"/>
      <w:r w:rsidRPr="00481594">
        <w:rPr>
          <w:i/>
          <w:iCs/>
        </w:rPr>
        <w:t xml:space="preserve"> is indicated for active immunisation for the prevention of pneumococcal disease caused by Streptococcus pneumoniae serotypes (1, 3, 4, 5, 6A, 6B, 7F, 9V, 14, 18C, 19A, 19F, 22F, 23F and 33F) in adults 18 years of age and older.</w:t>
      </w:r>
    </w:p>
    <w:p w14:paraId="0B87FABA" w14:textId="1FAF5754" w:rsidR="00015688" w:rsidRPr="00481594" w:rsidRDefault="00015688" w:rsidP="00015688">
      <w:pPr>
        <w:ind w:left="720"/>
        <w:rPr>
          <w:i/>
          <w:iCs/>
        </w:rPr>
      </w:pPr>
      <w:proofErr w:type="spellStart"/>
      <w:r w:rsidRPr="00481594">
        <w:rPr>
          <w:i/>
          <w:iCs/>
        </w:rPr>
        <w:t>Vaxneuvance</w:t>
      </w:r>
      <w:proofErr w:type="spellEnd"/>
      <w:r w:rsidRPr="00481594">
        <w:rPr>
          <w:i/>
          <w:iCs/>
        </w:rPr>
        <w:t xml:space="preserve"> may not prevent disease caused by S. pneumoniae serotypes that are not contained in the vaccine.</w:t>
      </w:r>
    </w:p>
    <w:p w14:paraId="1FD33401" w14:textId="73213ECB" w:rsidR="0074163C" w:rsidRPr="00481594" w:rsidRDefault="00015688" w:rsidP="00015688">
      <w:pPr>
        <w:ind w:left="720"/>
        <w:rPr>
          <w:i/>
          <w:iCs/>
        </w:rPr>
      </w:pPr>
      <w:r w:rsidRPr="00481594">
        <w:rPr>
          <w:i/>
          <w:iCs/>
        </w:rPr>
        <w:t xml:space="preserve">The use of </w:t>
      </w:r>
      <w:proofErr w:type="spellStart"/>
      <w:r w:rsidRPr="00481594">
        <w:rPr>
          <w:i/>
          <w:iCs/>
        </w:rPr>
        <w:t>Vaxneuvance</w:t>
      </w:r>
      <w:proofErr w:type="spellEnd"/>
      <w:r w:rsidRPr="00481594">
        <w:rPr>
          <w:i/>
          <w:iCs/>
        </w:rPr>
        <w:t xml:space="preserve"> should be guided by official recommendations.</w:t>
      </w:r>
    </w:p>
    <w:p w14:paraId="5446184E" w14:textId="77777777" w:rsidR="00D23139" w:rsidRPr="00481594" w:rsidRDefault="00D23139" w:rsidP="00D212F3">
      <w:pPr>
        <w:pStyle w:val="Heading3"/>
      </w:pPr>
      <w:bookmarkStart w:id="115" w:name="_Toc116652741"/>
      <w:r w:rsidRPr="00481594">
        <w:t>Specific conditions of registration applying to these goods</w:t>
      </w:r>
      <w:bookmarkEnd w:id="115"/>
    </w:p>
    <w:p w14:paraId="7C6C92F2" w14:textId="5EE85C73" w:rsidR="0011644E" w:rsidRPr="00481594" w:rsidRDefault="00C879EB" w:rsidP="00EC12FD">
      <w:pPr>
        <w:pStyle w:val="ListBullet"/>
      </w:pPr>
      <w:proofErr w:type="spellStart"/>
      <w:r w:rsidRPr="00481594">
        <w:t>Vaxneuvance</w:t>
      </w:r>
      <w:proofErr w:type="spellEnd"/>
      <w:r w:rsidR="0011644E" w:rsidRPr="00481594">
        <w:t xml:space="preserve"> (</w:t>
      </w:r>
      <w:r w:rsidR="000D11C9" w:rsidRPr="00481594">
        <w:t xml:space="preserve">pneumococcal 15-valent conjugate vaccine </w:t>
      </w:r>
      <w:r w:rsidR="00173B1B" w:rsidRPr="00481594">
        <w:t>(</w:t>
      </w:r>
      <w:r w:rsidR="0011644E" w:rsidRPr="00481594">
        <w:t>CRM</w:t>
      </w:r>
      <w:r w:rsidR="0011644E" w:rsidRPr="00481594">
        <w:rPr>
          <w:vertAlign w:val="subscript"/>
        </w:rPr>
        <w:t>197</w:t>
      </w:r>
      <w:r w:rsidR="0011644E" w:rsidRPr="00481594">
        <w:t xml:space="preserve"> </w:t>
      </w:r>
      <w:r w:rsidR="000D11C9" w:rsidRPr="00481594">
        <w:t>protein</w:t>
      </w:r>
      <w:r w:rsidR="00173B1B" w:rsidRPr="00481594">
        <w:t>)</w:t>
      </w:r>
      <w:r w:rsidR="0011644E" w:rsidRPr="00481594">
        <w:t>, adsorbed) is to be included in the Black Triangle Scheme. The PI and CMI</w:t>
      </w:r>
      <w:r w:rsidR="0044374C" w:rsidRPr="00481594">
        <w:t xml:space="preserve"> [Consumer Medicines Information)</w:t>
      </w:r>
      <w:r w:rsidR="0011644E" w:rsidRPr="00481594">
        <w:t xml:space="preserve"> for </w:t>
      </w:r>
      <w:proofErr w:type="spellStart"/>
      <w:r w:rsidRPr="00481594">
        <w:t>Vaxneuvance</w:t>
      </w:r>
      <w:proofErr w:type="spellEnd"/>
      <w:r w:rsidR="0011644E" w:rsidRPr="00481594">
        <w:t xml:space="preserve"> must include the black triangle symbol and mandatory accompanying text for five years, which starts from the date that the sponsor notifies the TGA of supply of the product.</w:t>
      </w:r>
    </w:p>
    <w:p w14:paraId="63CB71FC" w14:textId="4A85E72B" w:rsidR="0011644E" w:rsidRPr="00481594" w:rsidRDefault="0011644E" w:rsidP="00EC12FD">
      <w:pPr>
        <w:pStyle w:val="ListBullet"/>
      </w:pPr>
      <w:r w:rsidRPr="00481594">
        <w:lastRenderedPageBreak/>
        <w:t xml:space="preserve">The </w:t>
      </w:r>
      <w:proofErr w:type="spellStart"/>
      <w:r w:rsidR="00C879EB" w:rsidRPr="00481594">
        <w:t>Vaxneuvance</w:t>
      </w:r>
      <w:proofErr w:type="spellEnd"/>
      <w:r w:rsidRPr="00481594">
        <w:t xml:space="preserve"> EU-</w:t>
      </w:r>
      <w:r w:rsidR="000D11C9" w:rsidRPr="00481594">
        <w:t xml:space="preserve">risk management plan </w:t>
      </w:r>
      <w:r w:rsidRPr="00481594">
        <w:t>(RMP) (version 0.1, dated 2</w:t>
      </w:r>
      <w:r w:rsidR="000D11C9" w:rsidRPr="00481594">
        <w:t> </w:t>
      </w:r>
      <w:r w:rsidRPr="00481594">
        <w:t>November</w:t>
      </w:r>
      <w:r w:rsidR="000D11C9" w:rsidRPr="00481594">
        <w:t> </w:t>
      </w:r>
      <w:r w:rsidRPr="00481594">
        <w:t xml:space="preserve">2020, data lock point 16 September 2020), with Australian </w:t>
      </w:r>
      <w:r w:rsidR="000D11C9" w:rsidRPr="00481594">
        <w:t xml:space="preserve">specific annex </w:t>
      </w:r>
      <w:r w:rsidRPr="00481594">
        <w:t xml:space="preserve">(version 0.1, dated 01 December 2020), included with </w:t>
      </w:r>
      <w:r w:rsidR="000D11C9" w:rsidRPr="00481594">
        <w:t>S</w:t>
      </w:r>
      <w:r w:rsidRPr="00481594">
        <w:t>ubmission PM</w:t>
      </w:r>
      <w:r w:rsidR="000D11C9" w:rsidRPr="00481594">
        <w:noBreakHyphen/>
      </w:r>
      <w:r w:rsidRPr="00481594">
        <w:t>2020</w:t>
      </w:r>
      <w:r w:rsidR="000D11C9" w:rsidRPr="00481594">
        <w:noBreakHyphen/>
      </w:r>
      <w:r w:rsidRPr="00481594">
        <w:t>06364</w:t>
      </w:r>
      <w:r w:rsidR="000D11C9" w:rsidRPr="00481594">
        <w:t> </w:t>
      </w:r>
      <w:r w:rsidRPr="00481594">
        <w:t>1</w:t>
      </w:r>
      <w:r w:rsidR="000D11C9" w:rsidRPr="00481594">
        <w:noBreakHyphen/>
      </w:r>
      <w:r w:rsidRPr="00481594">
        <w:t>2, and any subsequent revisions, as agreed with the TGA will be implemented in Australia.</w:t>
      </w:r>
    </w:p>
    <w:p w14:paraId="180124F0" w14:textId="5E26C99D" w:rsidR="0011644E" w:rsidRPr="00481594" w:rsidRDefault="0011644E" w:rsidP="00173B1B">
      <w:pPr>
        <w:pStyle w:val="ListBullet"/>
        <w:numPr>
          <w:ilvl w:val="0"/>
          <w:numId w:val="0"/>
        </w:numPr>
        <w:ind w:left="360"/>
      </w:pPr>
      <w:r w:rsidRPr="00481594">
        <w:t>An obligatory component of risk management plans is routine pharmacovigilance. Routine pharmacovigilance includes the submission of periodic safety update reports (PSURs).</w:t>
      </w:r>
    </w:p>
    <w:p w14:paraId="3121DBFD" w14:textId="525565DA" w:rsidR="0011644E" w:rsidRPr="00481594" w:rsidRDefault="0011644E" w:rsidP="00173B1B">
      <w:pPr>
        <w:pStyle w:val="ListBullet"/>
        <w:numPr>
          <w:ilvl w:val="0"/>
          <w:numId w:val="0"/>
        </w:numPr>
        <w:ind w:left="360"/>
      </w:pPr>
      <w:r w:rsidRPr="00481594">
        <w:t xml:space="preserve">Unless agreed separately between the supplier who is the recipient of the approval and the TGA, the first report must be submitted to TGA no later than 15 calendar months after the date of </w:t>
      </w:r>
      <w:r w:rsidR="000D11C9" w:rsidRPr="00481594">
        <w:t>the</w:t>
      </w:r>
      <w:r w:rsidRPr="00481594">
        <w:t xml:space="preserve"> approval letter. The subsequent reports must be submitted no less frequently than annually from the date of the first submitted report until the period covered by such reports is not less than three years from the date of </w:t>
      </w:r>
      <w:r w:rsidR="000D11C9" w:rsidRPr="00481594">
        <w:t>the</w:t>
      </w:r>
      <w:r w:rsidRPr="00481594">
        <w:t xml:space="preserve"> approval letter. The annual submission may be made up of two PSURs each covering six months. If the sponsor wishes, the </w:t>
      </w:r>
      <w:proofErr w:type="gramStart"/>
      <w:r w:rsidRPr="00481594">
        <w:t>six monthly</w:t>
      </w:r>
      <w:proofErr w:type="gramEnd"/>
      <w:r w:rsidRPr="00481594">
        <w:t xml:space="preserve"> reports may be submitted separately as they become available.</w:t>
      </w:r>
    </w:p>
    <w:p w14:paraId="3E365BF1" w14:textId="3992819C" w:rsidR="0011644E" w:rsidRPr="00481594" w:rsidRDefault="0011644E" w:rsidP="00173B1B">
      <w:pPr>
        <w:pStyle w:val="ListBullet"/>
        <w:numPr>
          <w:ilvl w:val="0"/>
          <w:numId w:val="0"/>
        </w:numPr>
        <w:ind w:left="360"/>
      </w:pPr>
      <w:r w:rsidRPr="00481594">
        <w:t xml:space="preserve">If the product is approved in the EU during the three years period, reports can be provided in line with the published list of EU reference dates no less frequently than annually from the date of the first submitted report until the period covered by such reports is not less than three years from the date of </w:t>
      </w:r>
      <w:r w:rsidR="000D11C9" w:rsidRPr="00481594">
        <w:t>the</w:t>
      </w:r>
      <w:r w:rsidRPr="00481594">
        <w:t xml:space="preserve"> approval letter.</w:t>
      </w:r>
    </w:p>
    <w:p w14:paraId="1C9A7C77" w14:textId="756E9FA5" w:rsidR="0011644E" w:rsidRPr="00481594" w:rsidRDefault="0011644E" w:rsidP="00173B1B">
      <w:pPr>
        <w:pStyle w:val="ListBullet"/>
        <w:numPr>
          <w:ilvl w:val="0"/>
          <w:numId w:val="0"/>
        </w:numPr>
        <w:ind w:left="360"/>
      </w:pPr>
      <w:r w:rsidRPr="00481594">
        <w:t xml:space="preserve">The reports are to at least meet the requirements for PSURs as described in the European Medicines Agency’s Guideline on </w:t>
      </w:r>
      <w:r w:rsidR="000D11C9" w:rsidRPr="00481594">
        <w:t xml:space="preserve">Good Pharmacovigilance Practices </w:t>
      </w:r>
      <w:r w:rsidRPr="00481594">
        <w:t>(GVP) Module VII-periodic safety update report (Rev 1), Part VII.B Structures and processes. Note that submission of a PSUR does not constitute an application to vary the registration. Each report must have been prepared within ninety calendar days of the data lock point for that report.</w:t>
      </w:r>
    </w:p>
    <w:p w14:paraId="1D7443D2" w14:textId="10C37039" w:rsidR="0011644E" w:rsidRPr="00481594" w:rsidRDefault="000D11C9" w:rsidP="00173B1B">
      <w:pPr>
        <w:pStyle w:val="ListBullet"/>
      </w:pPr>
      <w:r w:rsidRPr="00481594">
        <w:t>Quality</w:t>
      </w:r>
    </w:p>
    <w:p w14:paraId="105A9B45" w14:textId="1FB7497E" w:rsidR="0011644E" w:rsidRPr="00481594" w:rsidRDefault="0011644E" w:rsidP="00173B1B">
      <w:pPr>
        <w:pStyle w:val="ListBullet"/>
        <w:numPr>
          <w:ilvl w:val="0"/>
          <w:numId w:val="0"/>
        </w:numPr>
        <w:ind w:left="360"/>
      </w:pPr>
      <w:r w:rsidRPr="00481594">
        <w:t xml:space="preserve">Batch </w:t>
      </w:r>
      <w:r w:rsidR="000D11C9" w:rsidRPr="00481594">
        <w:t>release testing and compliance</w:t>
      </w:r>
    </w:p>
    <w:p w14:paraId="76C9065F" w14:textId="1E4070B3" w:rsidR="0011644E" w:rsidRPr="00481594" w:rsidRDefault="0011644E" w:rsidP="00173B1B">
      <w:pPr>
        <w:pStyle w:val="ListBullet"/>
        <w:numPr>
          <w:ilvl w:val="0"/>
          <w:numId w:val="0"/>
        </w:numPr>
        <w:ind w:left="360"/>
      </w:pPr>
      <w:r w:rsidRPr="00481594">
        <w:t xml:space="preserve">It is a condition of registration that all independent batches of </w:t>
      </w:r>
      <w:proofErr w:type="spellStart"/>
      <w:r w:rsidR="00C879EB" w:rsidRPr="00481594">
        <w:t>Vaxneuvance</w:t>
      </w:r>
      <w:proofErr w:type="spellEnd"/>
      <w:r w:rsidRPr="00481594">
        <w:t xml:space="preserve"> vaccine imported into Australia are not released for sale until samples and the manufacturer’s release data have been assessed and you have received notification acknowledging release from the Laboratories Branch, TGA.</w:t>
      </w:r>
    </w:p>
    <w:p w14:paraId="263E7FF8" w14:textId="7BAC0AC6" w:rsidR="0011644E" w:rsidRPr="00481594" w:rsidRDefault="0011644E" w:rsidP="00173B1B">
      <w:pPr>
        <w:pStyle w:val="ListBullet"/>
        <w:numPr>
          <w:ilvl w:val="0"/>
          <w:numId w:val="0"/>
        </w:numPr>
        <w:ind w:left="360"/>
      </w:pPr>
      <w:r w:rsidRPr="00481594">
        <w:t xml:space="preserve">For each independent batch of the product imported into Australia, the </w:t>
      </w:r>
      <w:r w:rsidR="000D11C9" w:rsidRPr="00481594">
        <w:t>s</w:t>
      </w:r>
      <w:r w:rsidRPr="00481594">
        <w:t>ponsor must supply the following:</w:t>
      </w:r>
    </w:p>
    <w:p w14:paraId="46C02536" w14:textId="644AEC2E" w:rsidR="0011644E" w:rsidRPr="00481594" w:rsidRDefault="0011644E" w:rsidP="00173B1B">
      <w:pPr>
        <w:pStyle w:val="ListBullet2"/>
      </w:pPr>
      <w:r w:rsidRPr="00481594">
        <w:t xml:space="preserve">A completed </w:t>
      </w:r>
      <w:r w:rsidR="000D11C9" w:rsidRPr="00481594">
        <w:t>request for release form</w:t>
      </w:r>
      <w:r w:rsidRPr="00481594">
        <w:t>, available from vaccines@health.gov.au.</w:t>
      </w:r>
    </w:p>
    <w:p w14:paraId="0E6F0E0B" w14:textId="1E18A416" w:rsidR="0011644E" w:rsidRPr="00481594" w:rsidRDefault="0011644E" w:rsidP="00173B1B">
      <w:pPr>
        <w:pStyle w:val="ListBullet2"/>
      </w:pPr>
      <w:r w:rsidRPr="00481594">
        <w:t>Complete summary protocols for manufacture and QC</w:t>
      </w:r>
      <w:r w:rsidR="000D11C9" w:rsidRPr="00481594">
        <w:t xml:space="preserve"> [quality control]</w:t>
      </w:r>
      <w:r w:rsidRPr="00481594">
        <w:t>, including all steps in production in the agreed format.</w:t>
      </w:r>
    </w:p>
    <w:p w14:paraId="5386C208" w14:textId="3BE6AAAC" w:rsidR="0011644E" w:rsidRPr="00481594" w:rsidRDefault="0011644E" w:rsidP="00173B1B">
      <w:pPr>
        <w:pStyle w:val="ListBullet2"/>
      </w:pPr>
      <w:r w:rsidRPr="00481594">
        <w:t xml:space="preserve">At least 20 (twenty) vials (Samples) of each manufacturing batch of </w:t>
      </w:r>
      <w:proofErr w:type="spellStart"/>
      <w:r w:rsidR="00C879EB" w:rsidRPr="00481594">
        <w:t>Vaxneuvance</w:t>
      </w:r>
      <w:proofErr w:type="spellEnd"/>
      <w:r w:rsidRPr="00481594">
        <w:t xml:space="preserve"> vaccine with the Australian approved labels, </w:t>
      </w:r>
      <w:proofErr w:type="gramStart"/>
      <w:r w:rsidRPr="00481594">
        <w:t>PI</w:t>
      </w:r>
      <w:proofErr w:type="gramEnd"/>
      <w:r w:rsidRPr="00481594">
        <w:t xml:space="preserve"> and packaging (unless an exemption to supply these has been granted) representative of all batches of product seeking distribution in Australia.</w:t>
      </w:r>
    </w:p>
    <w:p w14:paraId="6DFB3298" w14:textId="7E8E5041" w:rsidR="0011644E" w:rsidRPr="00481594" w:rsidRDefault="0011644E" w:rsidP="00173B1B">
      <w:pPr>
        <w:pStyle w:val="ListBullet2"/>
      </w:pPr>
      <w:r w:rsidRPr="00481594">
        <w:t>At least 5 (five) vials (</w:t>
      </w:r>
      <w:r w:rsidR="000D11C9" w:rsidRPr="00481594">
        <w:t>s</w:t>
      </w:r>
      <w:r w:rsidRPr="00481594">
        <w:t xml:space="preserve">amples) of any further consignments of a manufacturing batch of </w:t>
      </w:r>
      <w:proofErr w:type="spellStart"/>
      <w:r w:rsidR="00C879EB" w:rsidRPr="00481594">
        <w:t>Vaxneuvance</w:t>
      </w:r>
      <w:proofErr w:type="spellEnd"/>
      <w:r w:rsidRPr="00481594">
        <w:t xml:space="preserve"> vaccine with the Australian approved labels, </w:t>
      </w:r>
      <w:proofErr w:type="gramStart"/>
      <w:r w:rsidRPr="00481594">
        <w:t>PI</w:t>
      </w:r>
      <w:proofErr w:type="gramEnd"/>
      <w:r w:rsidRPr="00481594">
        <w:t xml:space="preserve"> and packaging (unless an exemption to supply these has been granted). Further consignments cover batches previously supplied to TGA for the purposes of batch release testing but are seeking to be supplied again.</w:t>
      </w:r>
    </w:p>
    <w:p w14:paraId="4B10B99E" w14:textId="5C5CFA9C" w:rsidR="0011644E" w:rsidRPr="00481594" w:rsidRDefault="0011644E" w:rsidP="00173B1B">
      <w:pPr>
        <w:pStyle w:val="ListBullet2"/>
      </w:pPr>
      <w:r w:rsidRPr="00481594">
        <w:lastRenderedPageBreak/>
        <w:t>If the manufacturing batch has been released in Europe or United Kingdom a copy of the EU Official Control Authority Batch Release (OCABR) certificate (or equivalent from the UK) must be provided.</w:t>
      </w:r>
    </w:p>
    <w:p w14:paraId="342975AD" w14:textId="0AC7C91D" w:rsidR="0011644E" w:rsidRPr="00481594" w:rsidRDefault="0011644E" w:rsidP="00173B1B">
      <w:pPr>
        <w:pStyle w:val="ListBullet2"/>
      </w:pPr>
      <w:r w:rsidRPr="00481594">
        <w:t>Any reagents, reference material and standards required to undertake testing, as requested by Laboratories Branch, TGA.</w:t>
      </w:r>
    </w:p>
    <w:p w14:paraId="2C46F620" w14:textId="256812A6" w:rsidR="00173B1B" w:rsidRPr="00481594" w:rsidRDefault="0011644E" w:rsidP="00173B1B">
      <w:pPr>
        <w:pStyle w:val="ListBullet"/>
        <w:numPr>
          <w:ilvl w:val="0"/>
          <w:numId w:val="0"/>
        </w:numPr>
        <w:ind w:left="360"/>
      </w:pPr>
      <w:r w:rsidRPr="00481594">
        <w:t>Sponsors must provide all requested Samples and data in sufficient time (at least 5</w:t>
      </w:r>
      <w:r w:rsidR="00E63461" w:rsidRPr="00481594">
        <w:t> </w:t>
      </w:r>
      <w:r w:rsidRPr="00481594">
        <w:t>business days) prior to any distribution date to allow the TGA to perform testing and review. Distribution of each batch of vaccine is conditional upon fulfilment of these conditions and receipt of a letter from the Laboratories Branch acknowledging release.</w:t>
      </w:r>
    </w:p>
    <w:p w14:paraId="03580490" w14:textId="044027E4" w:rsidR="0011644E" w:rsidRPr="00481594" w:rsidRDefault="0011644E" w:rsidP="00173B1B">
      <w:pPr>
        <w:pStyle w:val="ListBullet"/>
        <w:numPr>
          <w:ilvl w:val="0"/>
          <w:numId w:val="0"/>
        </w:numPr>
        <w:ind w:left="360"/>
      </w:pPr>
      <w:r w:rsidRPr="00481594">
        <w:t>Samples and data should be forwarded to the Biotherapeutics Section, Laboratories Branch before release of each batch and with sufficient lead time to allow for Laboratories Branch testing.</w:t>
      </w:r>
    </w:p>
    <w:p w14:paraId="3126FC6B" w14:textId="316C07BF" w:rsidR="0011644E" w:rsidRPr="00481594" w:rsidRDefault="0011644E" w:rsidP="00173B1B">
      <w:pPr>
        <w:pStyle w:val="ListBullet"/>
        <w:numPr>
          <w:ilvl w:val="0"/>
          <w:numId w:val="0"/>
        </w:numPr>
        <w:ind w:left="360"/>
      </w:pPr>
      <w:r w:rsidRPr="00481594">
        <w:t xml:space="preserve">The shipments (including reagents) to TGA are the responsibility of the Australian </w:t>
      </w:r>
      <w:r w:rsidR="00E63461" w:rsidRPr="00481594">
        <w:t xml:space="preserve">sponsor/agent </w:t>
      </w:r>
      <w:r w:rsidRPr="00481594">
        <w:t>who will be required to facilitate the import and customs clearance</w:t>
      </w:r>
      <w:r w:rsidR="00173B1B" w:rsidRPr="00481594">
        <w:t xml:space="preserve"> </w:t>
      </w:r>
      <w:r w:rsidRPr="00481594">
        <w:t>process.</w:t>
      </w:r>
    </w:p>
    <w:p w14:paraId="3FAE5FF3" w14:textId="77777777" w:rsidR="0011644E" w:rsidRPr="00481594" w:rsidRDefault="0011644E" w:rsidP="00173B1B">
      <w:pPr>
        <w:pStyle w:val="ListBullet"/>
        <w:numPr>
          <w:ilvl w:val="0"/>
          <w:numId w:val="0"/>
        </w:numPr>
        <w:ind w:left="360"/>
      </w:pPr>
      <w:r w:rsidRPr="00481594">
        <w:t>Certified Product Details</w:t>
      </w:r>
    </w:p>
    <w:p w14:paraId="01604575" w14:textId="6C363818" w:rsidR="0011644E" w:rsidRPr="00481594" w:rsidRDefault="0011644E" w:rsidP="00173B1B">
      <w:pPr>
        <w:pStyle w:val="ListBullet"/>
        <w:numPr>
          <w:ilvl w:val="0"/>
          <w:numId w:val="0"/>
        </w:numPr>
        <w:ind w:left="360"/>
      </w:pPr>
      <w:r w:rsidRPr="00481594">
        <w:t>An electronic copy of the Certified Product Details (CPD) as described in Guidance 7:</w:t>
      </w:r>
      <w:r w:rsidR="00173B1B" w:rsidRPr="00481594">
        <w:t xml:space="preserve"> </w:t>
      </w:r>
      <w:r w:rsidRPr="00481594">
        <w:t>Certified Product Details of the Australian Regulatory Guidelines for Prescription</w:t>
      </w:r>
      <w:r w:rsidR="00173B1B" w:rsidRPr="00481594">
        <w:t xml:space="preserve"> </w:t>
      </w:r>
      <w:r w:rsidRPr="00481594">
        <w:t>Medicines</w:t>
      </w:r>
      <w:r w:rsidR="00173B1B" w:rsidRPr="00481594">
        <w:t xml:space="preserve"> </w:t>
      </w:r>
      <w:r w:rsidRPr="00481594">
        <w:t xml:space="preserve">(ARGPM) </w:t>
      </w:r>
      <w:hyperlink r:id="rId75" w:history="1">
        <w:r w:rsidR="00E63461" w:rsidRPr="00481594">
          <w:rPr>
            <w:rStyle w:val="Hyperlink"/>
          </w:rPr>
          <w:t>https://www.tga.gov.au/guidance-7-certified-product-details</w:t>
        </w:r>
      </w:hyperlink>
      <w:r w:rsidRPr="00481594">
        <w:t xml:space="preserve"> should be</w:t>
      </w:r>
      <w:r w:rsidR="00173B1B" w:rsidRPr="00481594">
        <w:t xml:space="preserve"> </w:t>
      </w:r>
      <w:r w:rsidRPr="00481594">
        <w:t>provided upon registration of the therapeutic good. In addition, an updated CPD, for the</w:t>
      </w:r>
      <w:r w:rsidR="00173B1B" w:rsidRPr="00481594">
        <w:t xml:space="preserve"> </w:t>
      </w:r>
      <w:r w:rsidRPr="00481594">
        <w:t>above products incorporating the approved changes is to be provided within one month</w:t>
      </w:r>
      <w:r w:rsidR="00173B1B" w:rsidRPr="00481594">
        <w:t xml:space="preserve"> </w:t>
      </w:r>
      <w:r w:rsidRPr="00481594">
        <w:t>of the date of approval letter. A template for preparation of CPD for biological</w:t>
      </w:r>
      <w:r w:rsidR="00173B1B" w:rsidRPr="00481594">
        <w:t xml:space="preserve"> </w:t>
      </w:r>
      <w:r w:rsidRPr="00481594">
        <w:t>prescription</w:t>
      </w:r>
      <w:r w:rsidR="00173B1B" w:rsidRPr="00481594">
        <w:t xml:space="preserve"> </w:t>
      </w:r>
      <w:r w:rsidRPr="00481594">
        <w:t>medicines and Vaccines can be obtained from the TGA website</w:t>
      </w:r>
      <w:r w:rsidR="00173B1B" w:rsidRPr="00481594">
        <w:t xml:space="preserve"> </w:t>
      </w:r>
      <w:hyperlink r:id="rId76" w:history="1">
        <w:r w:rsidR="00E63461" w:rsidRPr="00481594">
          <w:rPr>
            <w:rStyle w:val="Hyperlink"/>
          </w:rPr>
          <w:t>https://www.tga.gov.au/form/certified-product-details-cpd-biologicalprescriptionmedicines</w:t>
        </w:r>
      </w:hyperlink>
      <w:r w:rsidR="00173B1B" w:rsidRPr="00481594">
        <w:t>)</w:t>
      </w:r>
      <w:r w:rsidRPr="00481594">
        <w:t>.</w:t>
      </w:r>
    </w:p>
    <w:p w14:paraId="555803C6" w14:textId="3C0A6470" w:rsidR="0011644E" w:rsidRPr="00481594" w:rsidRDefault="0011644E" w:rsidP="00173B1B">
      <w:pPr>
        <w:pStyle w:val="ListBullet"/>
        <w:numPr>
          <w:ilvl w:val="0"/>
          <w:numId w:val="0"/>
        </w:numPr>
        <w:ind w:left="360"/>
      </w:pPr>
      <w:r w:rsidRPr="00481594">
        <w:t>The CPD should be sent as a single bookmarked PDF document to</w:t>
      </w:r>
      <w:r w:rsidR="00173B1B" w:rsidRPr="00481594">
        <w:t xml:space="preserve"> </w:t>
      </w:r>
      <w:r w:rsidR="00E63461" w:rsidRPr="00481594">
        <w:t>v</w:t>
      </w:r>
      <w:r w:rsidRPr="00481594">
        <w:t>accines@health.gov.au as soon as possible after registration/approval of the product or</w:t>
      </w:r>
      <w:r w:rsidR="00173B1B" w:rsidRPr="00481594">
        <w:t xml:space="preserve"> </w:t>
      </w:r>
      <w:r w:rsidRPr="00481594">
        <w:t>any subsequent changes as indicated above.</w:t>
      </w:r>
    </w:p>
    <w:p w14:paraId="2C4881CE" w14:textId="7965635C" w:rsidR="0011644E" w:rsidRPr="00481594" w:rsidRDefault="0011644E" w:rsidP="00173B1B">
      <w:pPr>
        <w:pStyle w:val="ListBullet"/>
      </w:pPr>
      <w:r w:rsidRPr="00481594">
        <w:t>For all injectable products the Product Information must be included with the product</w:t>
      </w:r>
      <w:r w:rsidR="00173B1B" w:rsidRPr="00481594">
        <w:t xml:space="preserve"> </w:t>
      </w:r>
      <w:r w:rsidRPr="00481594">
        <w:t>as a package insert.</w:t>
      </w:r>
    </w:p>
    <w:p w14:paraId="1017717E" w14:textId="77777777" w:rsidR="008E7846" w:rsidRPr="00481594" w:rsidRDefault="00A80B5B" w:rsidP="00D23139">
      <w:pPr>
        <w:pStyle w:val="Heading2"/>
      </w:pPr>
      <w:bookmarkStart w:id="116" w:name="_Toc116652742"/>
      <w:r w:rsidRPr="00481594">
        <w:t xml:space="preserve">Attachment 1. </w:t>
      </w:r>
      <w:r w:rsidR="008E7846" w:rsidRPr="00481594">
        <w:t xml:space="preserve">Product </w:t>
      </w:r>
      <w:r w:rsidR="00AA0ED0" w:rsidRPr="00481594">
        <w:t>I</w:t>
      </w:r>
      <w:r w:rsidR="008E7846" w:rsidRPr="00481594">
        <w:t>nformation</w:t>
      </w:r>
      <w:bookmarkEnd w:id="113"/>
      <w:bookmarkEnd w:id="114"/>
      <w:bookmarkEnd w:id="116"/>
    </w:p>
    <w:p w14:paraId="6E69AE3C" w14:textId="3DD6F3ED" w:rsidR="00523A21" w:rsidRPr="00481594" w:rsidRDefault="006136D7" w:rsidP="00C80137">
      <w:r w:rsidRPr="00481594">
        <w:t xml:space="preserve">The PI for </w:t>
      </w:r>
      <w:proofErr w:type="spellStart"/>
      <w:r w:rsidR="00015688" w:rsidRPr="00481594">
        <w:t>Vaxneuvance</w:t>
      </w:r>
      <w:proofErr w:type="spellEnd"/>
      <w:r w:rsidR="00015688" w:rsidRPr="00481594">
        <w:t xml:space="preserve"> </w:t>
      </w:r>
      <w:r w:rsidRPr="00481594">
        <w:t xml:space="preserve">approved with the submission which is described in this </w:t>
      </w:r>
      <w:proofErr w:type="spellStart"/>
      <w:r w:rsidRPr="00481594">
        <w:t>AusPAR</w:t>
      </w:r>
      <w:proofErr w:type="spellEnd"/>
      <w:r w:rsidRPr="00481594">
        <w:t xml:space="preserve"> is at Attachment 1.</w:t>
      </w:r>
      <w:r w:rsidR="00CC5044" w:rsidRPr="00481594">
        <w:t xml:space="preserve"> </w:t>
      </w:r>
      <w:r w:rsidR="0074163C" w:rsidRPr="00481594">
        <w:t xml:space="preserve">For the most recent PI, please refer to the TGA </w:t>
      </w:r>
      <w:hyperlink r:id="rId77" w:history="1">
        <w:r w:rsidR="0074163C" w:rsidRPr="00481594">
          <w:rPr>
            <w:rStyle w:val="Hyperlink"/>
          </w:rPr>
          <w:t>PI/CMI search facility</w:t>
        </w:r>
        <w:r w:rsidR="0074163C" w:rsidRPr="00481594">
          <w:rPr>
            <w:rStyle w:val="Hyperlink"/>
            <w:color w:val="auto"/>
            <w:u w:val="none"/>
          </w:rPr>
          <w:t>.</w:t>
        </w:r>
      </w:hyperlink>
    </w:p>
    <w:p w14:paraId="391B6A1A" w14:textId="05BDBA93" w:rsidR="00744121" w:rsidRPr="00481594" w:rsidRDefault="008E7846" w:rsidP="00744121">
      <w:r w:rsidRPr="00481594">
        <w:br w:type="page"/>
      </w:r>
    </w:p>
    <w:p w14:paraId="6BC2476D" w14:textId="77777777" w:rsidR="00C80137" w:rsidRPr="00481594" w:rsidRDefault="00C80137" w:rsidP="003A7F6C">
      <w:pPr>
        <w:pStyle w:val="TableTitle"/>
        <w:sectPr w:rsidR="00C80137" w:rsidRPr="00481594" w:rsidSect="00B452CE">
          <w:headerReference w:type="even" r:id="rId78"/>
          <w:headerReference w:type="default" r:id="rId79"/>
          <w:headerReference w:type="first" r:id="rId80"/>
          <w:footerReference w:type="first" r:id="rId81"/>
          <w:pgSz w:w="11906" w:h="16838" w:code="9"/>
          <w:pgMar w:top="834" w:right="1701" w:bottom="1191" w:left="1701"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1C32CD" w:rsidRPr="00481594" w14:paraId="50919F39" w14:textId="77777777" w:rsidTr="00A05FA4">
        <w:trPr>
          <w:trHeight w:hRule="exact" w:val="704"/>
        </w:trPr>
        <w:tc>
          <w:tcPr>
            <w:tcW w:w="9175" w:type="dxa"/>
          </w:tcPr>
          <w:p w14:paraId="173B1497" w14:textId="77777777" w:rsidR="001C32CD" w:rsidRPr="00481594" w:rsidRDefault="001C32CD" w:rsidP="00A05FA4">
            <w:pPr>
              <w:pStyle w:val="TGASignoff"/>
            </w:pPr>
            <w:r w:rsidRPr="00481594">
              <w:lastRenderedPageBreak/>
              <w:t>Therapeutic Goods Administration</w:t>
            </w:r>
          </w:p>
        </w:tc>
      </w:tr>
      <w:tr w:rsidR="001C32CD" w:rsidRPr="004C239D" w14:paraId="0A6C24EA" w14:textId="77777777" w:rsidTr="00A05FA4">
        <w:trPr>
          <w:trHeight w:val="1221"/>
        </w:trPr>
        <w:tc>
          <w:tcPr>
            <w:tcW w:w="9175" w:type="dxa"/>
            <w:tcMar>
              <w:top w:w="28" w:type="dxa"/>
            </w:tcMar>
          </w:tcPr>
          <w:p w14:paraId="7D963AA6" w14:textId="77777777" w:rsidR="001C32CD" w:rsidRPr="00481594" w:rsidRDefault="001C32CD" w:rsidP="00A05FA4">
            <w:pPr>
              <w:pStyle w:val="Address"/>
            </w:pPr>
            <w:r w:rsidRPr="00481594">
              <w:t>PO Box 100 Woden ACT 2606 Australia</w:t>
            </w:r>
          </w:p>
          <w:p w14:paraId="0754F68F" w14:textId="7A58A3BC" w:rsidR="001C32CD" w:rsidRPr="00481594" w:rsidRDefault="001C32CD" w:rsidP="00A05FA4">
            <w:pPr>
              <w:pStyle w:val="Address"/>
            </w:pPr>
            <w:r w:rsidRPr="00481594">
              <w:t xml:space="preserve">Email: </w:t>
            </w:r>
            <w:hyperlink r:id="rId82" w:history="1">
              <w:r w:rsidRPr="00481594">
                <w:rPr>
                  <w:rStyle w:val="Hyperlink"/>
                </w:rPr>
                <w:t>info@tga.gov.au</w:t>
              </w:r>
            </w:hyperlink>
            <w:r w:rsidRPr="00481594">
              <w:t xml:space="preserve">  Phone: 1800 020 </w:t>
            </w:r>
            <w:proofErr w:type="gramStart"/>
            <w:r w:rsidRPr="00481594">
              <w:t>653  Fax</w:t>
            </w:r>
            <w:proofErr w:type="gramEnd"/>
            <w:r w:rsidRPr="00481594">
              <w:t>: 02 6232 8605</w:t>
            </w:r>
          </w:p>
          <w:p w14:paraId="61836FFD" w14:textId="358E5EEE" w:rsidR="001C32CD" w:rsidRPr="004C239D" w:rsidRDefault="00901068" w:rsidP="00A05FA4">
            <w:pPr>
              <w:pStyle w:val="Address"/>
              <w:spacing w:line="260" w:lineRule="atLeast"/>
              <w:rPr>
                <w:b/>
                <w:color w:val="0000FF"/>
                <w:u w:val="single"/>
              </w:rPr>
            </w:pPr>
            <w:hyperlink r:id="rId83" w:history="1">
              <w:r w:rsidR="007C6B9B" w:rsidRPr="00481594">
                <w:rPr>
                  <w:rStyle w:val="Hyperlink"/>
                  <w:b/>
                </w:rPr>
                <w:t>https://www.tga.gov.au</w:t>
              </w:r>
            </w:hyperlink>
          </w:p>
        </w:tc>
      </w:tr>
    </w:tbl>
    <w:p w14:paraId="71D0DCFA" w14:textId="77777777" w:rsidR="00774E1D" w:rsidRPr="008A5E0B" w:rsidRDefault="00774E1D" w:rsidP="004C239D"/>
    <w:sectPr w:rsidR="00774E1D" w:rsidRPr="008A5E0B" w:rsidSect="001C32CD">
      <w:headerReference w:type="even" r:id="rId84"/>
      <w:headerReference w:type="default" r:id="rId85"/>
      <w:footerReference w:type="default" r:id="rId86"/>
      <w:headerReference w:type="first" r:id="rId87"/>
      <w:footerReference w:type="first" r:id="rId88"/>
      <w:pgSz w:w="11906" w:h="16838" w:code="9"/>
      <w:pgMar w:top="13467" w:right="1701" w:bottom="426" w:left="1701" w:header="90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A52829" w14:textId="77777777" w:rsidR="00E31079" w:rsidRDefault="00E31079" w:rsidP="00C40A36">
      <w:pPr>
        <w:spacing w:after="0"/>
      </w:pPr>
      <w:r>
        <w:separator/>
      </w:r>
    </w:p>
  </w:endnote>
  <w:endnote w:type="continuationSeparator" w:id="0">
    <w:p w14:paraId="5A3971F9" w14:textId="77777777" w:rsidR="00E31079" w:rsidRDefault="00E31079" w:rsidP="00C40A36">
      <w:pPr>
        <w:spacing w:after="0"/>
      </w:pPr>
      <w:r>
        <w:continuationSeparator/>
      </w:r>
    </w:p>
  </w:endnote>
  <w:endnote w:type="continuationNotice" w:id="1">
    <w:p w14:paraId="7F5BB606" w14:textId="77777777" w:rsidR="00E31079" w:rsidRDefault="00E3107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
    <w:panose1 w:val="020B0604020202030204"/>
    <w:charset w:val="00"/>
    <w:family w:val="swiss"/>
    <w:pitch w:val="variable"/>
    <w:sig w:usb0="00000003" w:usb1="00000000" w:usb2="00000000" w:usb3="00000000" w:csb0="00000001"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Wingdings 3">
    <w:panose1 w:val="050401020108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371"/>
      <w:gridCol w:w="1490"/>
    </w:tblGrid>
    <w:tr w:rsidR="00E31079" w:rsidRPr="00487162" w14:paraId="4454FE8E" w14:textId="77777777" w:rsidTr="00DB750B">
      <w:trPr>
        <w:trHeight w:val="269"/>
      </w:trPr>
      <w:tc>
        <w:tcPr>
          <w:tcW w:w="7371" w:type="dxa"/>
          <w:tcMar>
            <w:top w:w="142" w:type="dxa"/>
            <w:bottom w:w="0" w:type="dxa"/>
          </w:tcMar>
        </w:tcPr>
        <w:p w14:paraId="2B2CF624" w14:textId="6076B653" w:rsidR="00E31079" w:rsidRPr="00487162" w:rsidRDefault="00E31079" w:rsidP="00460036">
          <w:pPr>
            <w:pStyle w:val="Footer"/>
          </w:pPr>
          <w:proofErr w:type="spellStart"/>
          <w:r w:rsidRPr="00487162">
            <w:t>AusPA</w:t>
          </w:r>
          <w:r>
            <w:t>R</w:t>
          </w:r>
          <w:proofErr w:type="spellEnd"/>
          <w:r>
            <w:t xml:space="preserve"> - </w:t>
          </w:r>
          <w:proofErr w:type="spellStart"/>
          <w:r w:rsidRPr="00995EEF">
            <w:t>Vaxneuvance</w:t>
          </w:r>
          <w:proofErr w:type="spellEnd"/>
          <w:r w:rsidRPr="00460036">
            <w:t xml:space="preserve"> </w:t>
          </w:r>
          <w:r>
            <w:t>-</w:t>
          </w:r>
          <w:r w:rsidRPr="00460036">
            <w:t xml:space="preserve"> </w:t>
          </w:r>
          <w:r>
            <w:t>p</w:t>
          </w:r>
          <w:r w:rsidRPr="001722B1">
            <w:t>neumococcal 15-valent conjugate vaccine</w:t>
          </w:r>
          <w:r>
            <w:t xml:space="preserve"> </w:t>
          </w:r>
          <w:r w:rsidRPr="00352FDC">
            <w:t>(CRM</w:t>
          </w:r>
          <w:r w:rsidRPr="00CA10A6">
            <w:rPr>
              <w:vertAlign w:val="subscript"/>
            </w:rPr>
            <w:t>197</w:t>
          </w:r>
          <w:r w:rsidRPr="00352FDC">
            <w:t xml:space="preserve"> protein), adsorbed</w:t>
          </w:r>
          <w:r w:rsidRPr="001722B1">
            <w:t xml:space="preserve"> </w:t>
          </w:r>
          <w:r>
            <w:t xml:space="preserve">- </w:t>
          </w:r>
          <w:r w:rsidRPr="001722B1">
            <w:t>Merck Sharp &amp; Dohme (Australia) Pty Ltd</w:t>
          </w:r>
          <w:r>
            <w:t xml:space="preserve"> - </w:t>
          </w:r>
          <w:r w:rsidRPr="001722B1">
            <w:t>PM-2020-06364-1-2</w:t>
          </w:r>
          <w:r>
            <w:br/>
          </w:r>
          <w:r w:rsidR="00A65383">
            <w:t>F</w:t>
          </w:r>
          <w:r w:rsidR="007F232D">
            <w:t>inal</w:t>
          </w:r>
          <w:r>
            <w:t xml:space="preserve"> 1</w:t>
          </w:r>
          <w:r w:rsidR="00A65383">
            <w:t>2 October</w:t>
          </w:r>
          <w:r>
            <w:t xml:space="preserve"> 2022</w:t>
          </w:r>
        </w:p>
      </w:tc>
      <w:tc>
        <w:tcPr>
          <w:tcW w:w="1490" w:type="dxa"/>
          <w:tcMar>
            <w:top w:w="142" w:type="dxa"/>
            <w:bottom w:w="0" w:type="dxa"/>
          </w:tcMar>
        </w:tcPr>
        <w:p w14:paraId="76EB84DD" w14:textId="5D193788" w:rsidR="00E31079" w:rsidRPr="00487162" w:rsidRDefault="00E31079" w:rsidP="00DB750B">
          <w:pPr>
            <w:pStyle w:val="Footer"/>
            <w:jc w:val="right"/>
          </w:pPr>
          <w:r w:rsidRPr="00487162">
            <w:t xml:space="preserve">Page </w:t>
          </w:r>
          <w:r>
            <w:fldChar w:fldCharType="begin"/>
          </w:r>
          <w:r>
            <w:instrText xml:space="preserve"> PAGE  \* Arabic </w:instrText>
          </w:r>
          <w:r>
            <w:fldChar w:fldCharType="separate"/>
          </w:r>
          <w:r w:rsidR="00C81AF5">
            <w:rPr>
              <w:noProof/>
            </w:rPr>
            <w:t>4</w:t>
          </w:r>
          <w:r>
            <w:fldChar w:fldCharType="end"/>
          </w:r>
          <w:r w:rsidRPr="00487162">
            <w:t xml:space="preserve"> of </w:t>
          </w:r>
          <w:r>
            <w:fldChar w:fldCharType="begin"/>
          </w:r>
          <w:r>
            <w:instrText>NUMPAGES  \* Arabic</w:instrText>
          </w:r>
          <w:r>
            <w:fldChar w:fldCharType="separate"/>
          </w:r>
          <w:r w:rsidR="00C81AF5">
            <w:rPr>
              <w:noProof/>
            </w:rPr>
            <w:t>69</w:t>
          </w:r>
          <w:r>
            <w:fldChar w:fldCharType="end"/>
          </w:r>
        </w:p>
      </w:tc>
    </w:tr>
  </w:tbl>
  <w:p w14:paraId="0BB67990" w14:textId="77777777" w:rsidR="00E31079" w:rsidRDefault="00E31079" w:rsidP="003D1E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E31079" w:rsidRPr="00487162" w14:paraId="08A07558" w14:textId="77777777" w:rsidTr="00E45619">
      <w:trPr>
        <w:trHeight w:val="269"/>
      </w:trPr>
      <w:tc>
        <w:tcPr>
          <w:tcW w:w="4519" w:type="dxa"/>
          <w:tcBorders>
            <w:top w:val="single" w:sz="4" w:space="0" w:color="auto"/>
          </w:tcBorders>
          <w:tcMar>
            <w:top w:w="142" w:type="dxa"/>
            <w:bottom w:w="0" w:type="dxa"/>
          </w:tcMar>
        </w:tcPr>
        <w:p w14:paraId="10B4D0A8" w14:textId="77777777" w:rsidR="00E31079" w:rsidRPr="00487162" w:rsidRDefault="00E31079" w:rsidP="00FE1DEE">
          <w:pPr>
            <w:pStyle w:val="Footer"/>
          </w:pPr>
          <w:r w:rsidRPr="00487162">
            <w:t>Document title, Part #, Section # - Section title</w:t>
          </w:r>
        </w:p>
        <w:p w14:paraId="03B57C93" w14:textId="77777777" w:rsidR="00E31079" w:rsidRPr="00487162" w:rsidRDefault="00E31079" w:rsidP="00FE1DEE">
          <w:pPr>
            <w:pStyle w:val="Footer"/>
          </w:pPr>
          <w:r w:rsidRPr="00487162">
            <w:t>V1.0 October 2010</w:t>
          </w:r>
        </w:p>
      </w:tc>
      <w:tc>
        <w:tcPr>
          <w:tcW w:w="4342" w:type="dxa"/>
          <w:tcBorders>
            <w:top w:val="single" w:sz="4" w:space="0" w:color="auto"/>
          </w:tcBorders>
          <w:tcMar>
            <w:top w:w="142" w:type="dxa"/>
            <w:bottom w:w="0" w:type="dxa"/>
          </w:tcMar>
        </w:tcPr>
        <w:p w14:paraId="6478C813" w14:textId="77777777" w:rsidR="00E31079" w:rsidRPr="00487162" w:rsidRDefault="00E31079"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fldChar w:fldCharType="begin"/>
          </w:r>
          <w:r>
            <w:instrText>NUMPAGES</w:instrText>
          </w:r>
          <w:r>
            <w:fldChar w:fldCharType="separate"/>
          </w:r>
          <w:r>
            <w:rPr>
              <w:noProof/>
            </w:rPr>
            <w:t>21</w:t>
          </w:r>
          <w:r>
            <w:fldChar w:fldCharType="end"/>
          </w:r>
        </w:p>
      </w:tc>
    </w:tr>
  </w:tbl>
  <w:p w14:paraId="0EC26ECA" w14:textId="77777777" w:rsidR="00E31079" w:rsidRDefault="00E3107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50CB1" w14:textId="77777777" w:rsidR="00E31079" w:rsidRPr="001C32CD" w:rsidRDefault="00E31079" w:rsidP="001C32C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E31079" w14:paraId="34C888BB" w14:textId="77777777" w:rsidTr="0010601F">
      <w:trPr>
        <w:trHeight w:val="108"/>
      </w:trPr>
      <w:tc>
        <w:tcPr>
          <w:tcW w:w="8875" w:type="dxa"/>
          <w:gridSpan w:val="2"/>
          <w:tcBorders>
            <w:bottom w:val="single" w:sz="4" w:space="0" w:color="auto"/>
          </w:tcBorders>
          <w:tcMar>
            <w:right w:w="284" w:type="dxa"/>
          </w:tcMar>
        </w:tcPr>
        <w:p w14:paraId="30540DE8" w14:textId="77777777" w:rsidR="00E31079" w:rsidRDefault="00E31079" w:rsidP="006E08B3">
          <w:pPr>
            <w:pStyle w:val="Heading3"/>
          </w:pPr>
          <w:r>
            <w:t>Copyright</w:t>
          </w:r>
        </w:p>
        <w:p w14:paraId="23A6594C" w14:textId="77777777" w:rsidR="00E31079" w:rsidRDefault="00E31079" w:rsidP="006E08B3">
          <w:r>
            <w:rPr>
              <w:rFonts w:cs="Arial"/>
            </w:rPr>
            <w:t>©</w:t>
          </w:r>
          <w:r>
            <w:t xml:space="preserve"> Commonwealth of Australia [add year]</w:t>
          </w:r>
        </w:p>
        <w:p w14:paraId="3FBC6E2F" w14:textId="77777777" w:rsidR="00E31079" w:rsidRDefault="00E31079" w:rsidP="006E08B3"/>
        <w:p w14:paraId="3ADBD60B" w14:textId="77777777" w:rsidR="00E31079" w:rsidRDefault="00E31079"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w:t>
          </w:r>
          <w:proofErr w:type="gramStart"/>
          <w:r>
            <w:t xml:space="preserve">at  </w:t>
          </w:r>
          <w:r w:rsidRPr="006E08B3">
            <w:t>http://www.ag.gov.au/cca</w:t>
          </w:r>
          <w:proofErr w:type="gramEnd"/>
        </w:p>
        <w:p w14:paraId="1EAF3D17" w14:textId="77777777" w:rsidR="00E31079" w:rsidRDefault="00E31079" w:rsidP="006E08B3"/>
        <w:p w14:paraId="43C74DB5" w14:textId="77777777" w:rsidR="00E31079" w:rsidRDefault="00E31079" w:rsidP="006E08B3">
          <w:pPr>
            <w:pStyle w:val="Heading3"/>
          </w:pPr>
          <w:r>
            <w:t>Confidentiality</w:t>
          </w:r>
        </w:p>
        <w:p w14:paraId="4FFCF4FD" w14:textId="77777777" w:rsidR="00E31079" w:rsidRDefault="00E31079"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364F7EC1" w14:textId="77777777" w:rsidR="00E31079" w:rsidRDefault="00E31079" w:rsidP="006E08B3"/>
        <w:p w14:paraId="22BE7AB9" w14:textId="77777777" w:rsidR="00E31079" w:rsidRDefault="00E31079" w:rsidP="006E08B3">
          <w:r>
            <w:t>For submission made by individuals, all personal details, other than your name, will be removed from your submission before it is published on the TGA’s Internet site.</w:t>
          </w:r>
        </w:p>
        <w:p w14:paraId="0076BF10" w14:textId="77777777" w:rsidR="00E31079" w:rsidRDefault="00E31079" w:rsidP="006E08B3"/>
        <w:p w14:paraId="668C7099" w14:textId="77777777" w:rsidR="00E31079" w:rsidRDefault="00E31079" w:rsidP="006E08B3">
          <w:r>
            <w:t>In addition, a list of parties making submissions will be published. If you do not wish to be identified with your submission you must specifically request this in the space provided in the submission coversheet.</w:t>
          </w:r>
        </w:p>
      </w:tc>
    </w:tr>
    <w:tr w:rsidR="00E31079" w14:paraId="17488723" w14:textId="77777777" w:rsidTr="0010601F">
      <w:trPr>
        <w:trHeight w:val="417"/>
      </w:trPr>
      <w:tc>
        <w:tcPr>
          <w:tcW w:w="4519" w:type="dxa"/>
          <w:tcBorders>
            <w:top w:val="single" w:sz="4" w:space="0" w:color="auto"/>
          </w:tcBorders>
          <w:tcMar>
            <w:top w:w="142" w:type="dxa"/>
            <w:bottom w:w="0" w:type="dxa"/>
          </w:tcMar>
        </w:tcPr>
        <w:p w14:paraId="0C324980" w14:textId="77777777" w:rsidR="00E31079" w:rsidRDefault="00E31079" w:rsidP="006E08B3">
          <w:r>
            <w:t>Document title, Part #, Section # - Section title</w:t>
          </w:r>
        </w:p>
        <w:p w14:paraId="003A65A2" w14:textId="77777777" w:rsidR="00E31079" w:rsidRDefault="00E31079" w:rsidP="006E08B3">
          <w:r>
            <w:t>V1.0 October 2010</w:t>
          </w:r>
        </w:p>
      </w:tc>
      <w:tc>
        <w:tcPr>
          <w:tcW w:w="4356" w:type="dxa"/>
          <w:tcBorders>
            <w:top w:val="single" w:sz="4" w:space="0" w:color="auto"/>
          </w:tcBorders>
          <w:tcMar>
            <w:top w:w="142" w:type="dxa"/>
            <w:bottom w:w="0" w:type="dxa"/>
          </w:tcMar>
        </w:tcPr>
        <w:p w14:paraId="5B5998D2" w14:textId="77777777" w:rsidR="00E31079" w:rsidRDefault="00E31079"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NUMPAGES  \* Arabic</w:instrText>
          </w:r>
          <w:r>
            <w:fldChar w:fldCharType="separate"/>
          </w:r>
          <w:r>
            <w:rPr>
              <w:noProof/>
            </w:rPr>
            <w:t>21</w:t>
          </w:r>
          <w:r>
            <w:fldChar w:fldCharType="end"/>
          </w:r>
          <w:r>
            <w:t xml:space="preserve">  </w:t>
          </w:r>
        </w:p>
      </w:tc>
    </w:tr>
  </w:tbl>
  <w:p w14:paraId="5474F938" w14:textId="77777777" w:rsidR="00E31079" w:rsidRDefault="00E3107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A3F031" w14:textId="77777777" w:rsidR="00E31079" w:rsidRDefault="00E31079" w:rsidP="00C40A36">
      <w:pPr>
        <w:spacing w:after="0"/>
      </w:pPr>
      <w:r>
        <w:separator/>
      </w:r>
    </w:p>
  </w:footnote>
  <w:footnote w:type="continuationSeparator" w:id="0">
    <w:p w14:paraId="023C97BD" w14:textId="77777777" w:rsidR="00E31079" w:rsidRDefault="00E31079" w:rsidP="00C40A36">
      <w:pPr>
        <w:spacing w:after="0"/>
      </w:pPr>
      <w:r>
        <w:continuationSeparator/>
      </w:r>
    </w:p>
  </w:footnote>
  <w:footnote w:type="continuationNotice" w:id="1">
    <w:p w14:paraId="379B69ED" w14:textId="77777777" w:rsidR="00E31079" w:rsidRDefault="00E31079">
      <w:pPr>
        <w:spacing w:before="0" w:after="0" w:line="240" w:lineRule="auto"/>
      </w:pPr>
    </w:p>
  </w:footnote>
  <w:footnote w:id="2">
    <w:p w14:paraId="76138FDB" w14:textId="7C76BACB" w:rsidR="00E31079" w:rsidRDefault="00E31079">
      <w:pPr>
        <w:pStyle w:val="FootnoteText"/>
      </w:pPr>
      <w:r>
        <w:rPr>
          <w:rStyle w:val="FootnoteReference"/>
        </w:rPr>
        <w:footnoteRef/>
      </w:r>
      <w:r>
        <w:t xml:space="preserve"> Pennington, K. and the Enhanced Invasive Pneumococcal Disease Surveillance Working Group, for the Communicable Diseases Network Australia Invasive Pneumococcal Disease Surveillance, 1 July to 30 September 2018, </w:t>
      </w:r>
      <w:r w:rsidRPr="00C63499">
        <w:rPr>
          <w:i/>
          <w:iCs/>
        </w:rPr>
        <w:t>Commun Dis Intell (2018)</w:t>
      </w:r>
      <w:r>
        <w:t>,</w:t>
      </w:r>
      <w:r w:rsidRPr="005140D2">
        <w:t xml:space="preserve"> 2019;</w:t>
      </w:r>
      <w:r>
        <w:t xml:space="preserve"> </w:t>
      </w:r>
      <w:r w:rsidRPr="005140D2">
        <w:t>43</w:t>
      </w:r>
      <w:r>
        <w:t xml:space="preserve">. Available at: </w:t>
      </w:r>
      <w:hyperlink r:id="rId1" w:history="1">
        <w:r w:rsidRPr="00C57071">
          <w:rPr>
            <w:rStyle w:val="Hyperlink"/>
          </w:rPr>
          <w:t>https://www1.health.gov.au/internet/main/publishing.nsf/Content/75F30C0D2C126CAECA2583940015EDE3/$File/invasive_pneumococcal_disease_surveillance_1_july_to_30_september_2018.pdf</w:t>
        </w:r>
      </w:hyperlink>
      <w:r>
        <w:t>.</w:t>
      </w:r>
    </w:p>
  </w:footnote>
  <w:footnote w:id="3">
    <w:p w14:paraId="66CAE1D8" w14:textId="767F4E13" w:rsidR="00E31079" w:rsidRDefault="00E31079" w:rsidP="00C75CC5">
      <w:pPr>
        <w:pStyle w:val="FootnoteText"/>
      </w:pPr>
      <w:r>
        <w:rPr>
          <w:rStyle w:val="FootnoteReference"/>
        </w:rPr>
        <w:footnoteRef/>
      </w:r>
      <w:r>
        <w:t xml:space="preserve"> </w:t>
      </w:r>
      <w:r w:rsidRPr="00C75CC5">
        <w:t>Lexau</w:t>
      </w:r>
      <w:r>
        <w:t xml:space="preserve">, C.A. et al. </w:t>
      </w:r>
      <w:r w:rsidRPr="00C75CC5">
        <w:t xml:space="preserve">Changing Epidemiology </w:t>
      </w:r>
      <w:r>
        <w:t>o</w:t>
      </w:r>
      <w:r w:rsidRPr="00C75CC5">
        <w:t xml:space="preserve">f Invasive Pneumococcal Disease </w:t>
      </w:r>
      <w:r>
        <w:t>a</w:t>
      </w:r>
      <w:r w:rsidRPr="00C75CC5">
        <w:t xml:space="preserve">mong Older Adults </w:t>
      </w:r>
      <w:r>
        <w:t>i</w:t>
      </w:r>
      <w:r w:rsidRPr="00C75CC5">
        <w:t xml:space="preserve">n </w:t>
      </w:r>
      <w:r>
        <w:t>t</w:t>
      </w:r>
      <w:r w:rsidRPr="00C75CC5">
        <w:t xml:space="preserve">he Era </w:t>
      </w:r>
      <w:r>
        <w:t>o</w:t>
      </w:r>
      <w:r w:rsidRPr="00C75CC5">
        <w:t>f Pediatric Pneumococcal Conjugate Vaccine</w:t>
      </w:r>
      <w:r>
        <w:t xml:space="preserve">, </w:t>
      </w:r>
      <w:r w:rsidRPr="00C75CC5">
        <w:rPr>
          <w:i/>
          <w:iCs/>
        </w:rPr>
        <w:t>JAMA</w:t>
      </w:r>
      <w:r>
        <w:t>, 2005; 294(16): 2043-2051.</w:t>
      </w:r>
    </w:p>
  </w:footnote>
  <w:footnote w:id="4">
    <w:p w14:paraId="58D4A9FE" w14:textId="1AD0DE99" w:rsidR="00E31079" w:rsidRDefault="00E31079">
      <w:pPr>
        <w:pStyle w:val="FootnoteText"/>
      </w:pPr>
      <w:r>
        <w:rPr>
          <w:rStyle w:val="FootnoteReference"/>
        </w:rPr>
        <w:footnoteRef/>
      </w:r>
      <w:r>
        <w:t xml:space="preserve"> </w:t>
      </w:r>
      <w:r w:rsidR="003E373D" w:rsidRPr="001431CC">
        <w:t>Pneumovax 23</w:t>
      </w:r>
      <w:r w:rsidR="003E373D">
        <w:t xml:space="preserve"> (p</w:t>
      </w:r>
      <w:r w:rsidR="003E373D" w:rsidRPr="003E373D">
        <w:t>neumococcal purified capsular polysaccharides</w:t>
      </w:r>
      <w:r w:rsidR="003E373D">
        <w:t>)</w:t>
      </w:r>
      <w:r w:rsidR="003E373D" w:rsidRPr="00B7473F">
        <w:t xml:space="preserve"> was first registered on the ARTG on </w:t>
      </w:r>
      <w:r w:rsidR="003E373D" w:rsidRPr="001431CC">
        <w:t>22</w:t>
      </w:r>
      <w:r w:rsidR="003E373D">
        <w:t xml:space="preserve"> July </w:t>
      </w:r>
      <w:r w:rsidR="003E373D" w:rsidRPr="001431CC">
        <w:t>1991</w:t>
      </w:r>
      <w:r w:rsidR="003E373D" w:rsidRPr="00B7473F">
        <w:t xml:space="preserve"> (ARTG number: </w:t>
      </w:r>
      <w:r w:rsidR="003E373D" w:rsidRPr="001431CC">
        <w:t>10507</w:t>
      </w:r>
      <w:r w:rsidR="003E373D" w:rsidRPr="00B7473F">
        <w:t>)</w:t>
      </w:r>
      <w:r w:rsidR="003E373D">
        <w:t xml:space="preserve">; and </w:t>
      </w:r>
      <w:r w:rsidR="003E373D" w:rsidRPr="001431CC">
        <w:t>Pneumovax 23</w:t>
      </w:r>
      <w:r w:rsidR="003E373D">
        <w:t xml:space="preserve"> </w:t>
      </w:r>
      <w:r w:rsidR="00E877A0">
        <w:t>(</w:t>
      </w:r>
      <w:r w:rsidR="003E373D">
        <w:t>in current use</w:t>
      </w:r>
      <w:r w:rsidR="00E877A0">
        <w:t>)</w:t>
      </w:r>
      <w:r w:rsidR="003E373D">
        <w:t xml:space="preserve"> was </w:t>
      </w:r>
      <w:r w:rsidR="003E373D" w:rsidRPr="00B7473F">
        <w:t xml:space="preserve">first registered on the ARTG </w:t>
      </w:r>
      <w:r w:rsidR="003E373D">
        <w:t xml:space="preserve">on </w:t>
      </w:r>
      <w:r>
        <w:t xml:space="preserve">4 June 2014 </w:t>
      </w:r>
      <w:r w:rsidRPr="009137A6">
        <w:t>(</w:t>
      </w:r>
      <w:r>
        <w:t xml:space="preserve">ARTG </w:t>
      </w:r>
      <w:r w:rsidR="003E373D">
        <w:t>number:</w:t>
      </w:r>
      <w:r>
        <w:t xml:space="preserve"> </w:t>
      </w:r>
      <w:r w:rsidRPr="009137A6">
        <w:t>222235)</w:t>
      </w:r>
      <w:r w:rsidR="003E373D">
        <w:t>.</w:t>
      </w:r>
    </w:p>
  </w:footnote>
  <w:footnote w:id="5">
    <w:p w14:paraId="5AD14AA1" w14:textId="75AC4B8D" w:rsidR="00E31079" w:rsidRPr="00E877A0" w:rsidRDefault="00E31079">
      <w:pPr>
        <w:pStyle w:val="FootnoteText"/>
        <w:rPr>
          <w:lang w:val="en-GB"/>
        </w:rPr>
      </w:pPr>
      <w:r>
        <w:rPr>
          <w:rStyle w:val="FootnoteReference"/>
        </w:rPr>
        <w:footnoteRef/>
      </w:r>
      <w:r>
        <w:t xml:space="preserve"> </w:t>
      </w:r>
      <w:r w:rsidRPr="00F524CE">
        <w:t xml:space="preserve">Prevenar 13 </w:t>
      </w:r>
      <w:r>
        <w:t>(</w:t>
      </w:r>
      <w:r w:rsidR="00E877A0">
        <w:t>p</w:t>
      </w:r>
      <w:r w:rsidR="00E877A0" w:rsidRPr="00E877A0">
        <w:t>neumococcal purified capsular polysaccharides</w:t>
      </w:r>
      <w:r>
        <w:t>)</w:t>
      </w:r>
      <w:r w:rsidRPr="00F524CE">
        <w:t xml:space="preserve"> </w:t>
      </w:r>
      <w:r>
        <w:t>was first registered on the ARTG on 29 March 2010</w:t>
      </w:r>
      <w:r w:rsidRPr="00F524CE">
        <w:t xml:space="preserve"> (</w:t>
      </w:r>
      <w:r>
        <w:t xml:space="preserve">ARTG </w:t>
      </w:r>
      <w:r w:rsidR="00E877A0">
        <w:t xml:space="preserve">number: </w:t>
      </w:r>
      <w:r w:rsidRPr="00F524CE">
        <w:t>158450)</w:t>
      </w:r>
      <w:r>
        <w:t>.</w:t>
      </w:r>
    </w:p>
  </w:footnote>
  <w:footnote w:id="6">
    <w:p w14:paraId="0FA21137" w14:textId="2F3BD123" w:rsidR="00E31079" w:rsidRDefault="00E31079">
      <w:pPr>
        <w:pStyle w:val="FootnoteText"/>
      </w:pPr>
      <w:r>
        <w:rPr>
          <w:rStyle w:val="FootnoteReference"/>
        </w:rPr>
        <w:footnoteRef/>
      </w:r>
      <w:r>
        <w:t xml:space="preserve"> </w:t>
      </w:r>
      <w:r w:rsidRPr="00C75CC5">
        <w:t>Pilishvili. Advisory Committee on Immunisation (</w:t>
      </w:r>
      <w:r>
        <w:t>m</w:t>
      </w:r>
      <w:r w:rsidRPr="00C75CC5">
        <w:t>eeting) 2018 Oct</w:t>
      </w:r>
      <w:r>
        <w:t>ober</w:t>
      </w:r>
      <w:r w:rsidRPr="00C75CC5">
        <w:t xml:space="preserve"> 24</w:t>
      </w:r>
      <w:r>
        <w:t xml:space="preserve"> to </w:t>
      </w:r>
      <w:r w:rsidRPr="00C75CC5">
        <w:t>25; Atlanta GA, USA</w:t>
      </w:r>
      <w:r>
        <w:t>.</w:t>
      </w:r>
    </w:p>
  </w:footnote>
  <w:footnote w:id="7">
    <w:p w14:paraId="6E3DA551" w14:textId="5D756E8B" w:rsidR="00E31079" w:rsidRDefault="00E31079">
      <w:pPr>
        <w:pStyle w:val="FootnoteText"/>
      </w:pPr>
      <w:r>
        <w:rPr>
          <w:rStyle w:val="FootnoteReference"/>
        </w:rPr>
        <w:footnoteRef/>
      </w:r>
      <w:r>
        <w:t xml:space="preserve"> </w:t>
      </w:r>
      <w:r w:rsidRPr="00495D46">
        <w:t>The International Council for Harmonisation of Technical Requirements for Registration of Pharmaceuticals for Human Use (ICH) brings together regulatory authorities and the pharmaceutical industry. It makes recommendations towards achieving greater harmonisation in the interpretation and application of technical guidelines and requirements for pharmaceutical product registration.</w:t>
      </w:r>
    </w:p>
  </w:footnote>
  <w:footnote w:id="8">
    <w:p w14:paraId="6013F9F6" w14:textId="4655FE06" w:rsidR="00E31079" w:rsidRDefault="00E31079" w:rsidP="003600EC">
      <w:pPr>
        <w:pStyle w:val="FootnoteText"/>
      </w:pPr>
      <w:r>
        <w:rPr>
          <w:rStyle w:val="FootnoteReference"/>
        </w:rPr>
        <w:footnoteRef/>
      </w:r>
      <w:r>
        <w:t xml:space="preserve"> European Medicines Agency (EMA),</w:t>
      </w:r>
      <w:r w:rsidRPr="00C75CC5">
        <w:t xml:space="preserve"> </w:t>
      </w:r>
      <w:r w:rsidRPr="00423483">
        <w:t>Committee for Human Medicinal Products</w:t>
      </w:r>
      <w:r>
        <w:t xml:space="preserve"> (</w:t>
      </w:r>
      <w:r w:rsidRPr="00C75CC5">
        <w:t>CHMP</w:t>
      </w:r>
      <w:r>
        <w:t xml:space="preserve">), </w:t>
      </w:r>
      <w:r w:rsidRPr="00C75CC5">
        <w:t>ICH Guideline Q8 (R2) on Pharmaceutical Development</w:t>
      </w:r>
      <w:r>
        <w:t xml:space="preserve">, </w:t>
      </w:r>
      <w:r w:rsidRPr="00C75CC5">
        <w:t>EMA/CHMP/ICH/167068/2004</w:t>
      </w:r>
      <w:r>
        <w:t xml:space="preserve">, </w:t>
      </w:r>
      <w:r w:rsidRPr="00C75CC5">
        <w:t>22 June 2017</w:t>
      </w:r>
      <w:r>
        <w:t>.</w:t>
      </w:r>
    </w:p>
  </w:footnote>
  <w:footnote w:id="9">
    <w:p w14:paraId="448FB578" w14:textId="3D32E037" w:rsidR="00E31079" w:rsidRDefault="00E31079">
      <w:pPr>
        <w:pStyle w:val="FootnoteText"/>
      </w:pPr>
      <w:r>
        <w:rPr>
          <w:rStyle w:val="FootnoteReference"/>
        </w:rPr>
        <w:footnoteRef/>
      </w:r>
      <w:r>
        <w:t xml:space="preserve"> </w:t>
      </w:r>
      <w:r w:rsidRPr="00495D46">
        <w:rPr>
          <w:b/>
          <w:bCs/>
        </w:rPr>
        <w:t>Good Laboratory Practice</w:t>
      </w:r>
      <w:r>
        <w:rPr>
          <w:b/>
          <w:bCs/>
        </w:rPr>
        <w:t xml:space="preserve"> (GLP)</w:t>
      </w:r>
      <w:r w:rsidRPr="00495D46">
        <w:t xml:space="preserve"> is a code of standards following the International Council on Harmonisation (ICH) relevant to testing of medicines in laboratories during drug development.</w:t>
      </w:r>
    </w:p>
  </w:footnote>
  <w:footnote w:id="10">
    <w:p w14:paraId="511C261A" w14:textId="668D26F5" w:rsidR="00E31079" w:rsidRDefault="00E31079" w:rsidP="00495D46">
      <w:pPr>
        <w:pStyle w:val="FootnoteText"/>
      </w:pPr>
      <w:r>
        <w:rPr>
          <w:rStyle w:val="FootnoteReference"/>
        </w:rPr>
        <w:footnoteRef/>
      </w:r>
      <w:r>
        <w:t xml:space="preserve"> </w:t>
      </w:r>
      <w:r w:rsidRPr="00495D46">
        <w:rPr>
          <w:b/>
          <w:bCs/>
        </w:rPr>
        <w:t>Pregnancy Category B1</w:t>
      </w:r>
      <w:r>
        <w:rPr>
          <w:b/>
          <w:bCs/>
        </w:rPr>
        <w:t xml:space="preserve">: </w:t>
      </w:r>
      <w:r>
        <w:t>Drugs which have been taken by only a limited number of pregnant women and women of childbearing age, without an increase in the frequency of malformation or other direct or indirect harmful effects on the human fetus having been observed.</w:t>
      </w:r>
    </w:p>
    <w:p w14:paraId="233D7B10" w14:textId="3C0B4E13" w:rsidR="00E31079" w:rsidRDefault="00E31079" w:rsidP="00495D46">
      <w:pPr>
        <w:pStyle w:val="FootnoteText"/>
      </w:pPr>
      <w:r>
        <w:t>Studies in animals have not shown evidence of an increased occurrence of fetal damage.</w:t>
      </w:r>
    </w:p>
  </w:footnote>
  <w:footnote w:id="11">
    <w:p w14:paraId="46AEE5A0" w14:textId="4ABD56A3" w:rsidR="00E31079" w:rsidRDefault="00E31079" w:rsidP="00CE18CA">
      <w:pPr>
        <w:pStyle w:val="FootnoteText"/>
      </w:pPr>
      <w:r>
        <w:rPr>
          <w:rStyle w:val="FootnoteReference"/>
        </w:rPr>
        <w:footnoteRef/>
      </w:r>
      <w:r>
        <w:t xml:space="preserve"> Prevnar 13 p</w:t>
      </w:r>
      <w:r w:rsidRPr="00CE18CA">
        <w:t xml:space="preserve">neumococcal 13-valent conjugate vaccine </w:t>
      </w:r>
      <w:r>
        <w:t>(diphtheria CRM</w:t>
      </w:r>
      <w:r w:rsidRPr="00CA10A6">
        <w:rPr>
          <w:vertAlign w:val="subscript"/>
        </w:rPr>
        <w:t>197</w:t>
      </w:r>
      <w:r>
        <w:t xml:space="preserve"> protein), suspension for intramuscular injection. Wyeth Pharmaceuticals LLC / Pfizer Inc. Initial US Approval: 2010.</w:t>
      </w:r>
    </w:p>
    <w:p w14:paraId="09AD4FE1" w14:textId="10D055BF" w:rsidR="00E31079" w:rsidRPr="00D70019" w:rsidRDefault="00E31079" w:rsidP="00CE18CA">
      <w:pPr>
        <w:pStyle w:val="FootnoteText"/>
      </w:pPr>
      <w:r w:rsidRPr="00E877A0">
        <w:rPr>
          <w:i/>
        </w:rPr>
        <w:t>Streptococcus pneumoniae</w:t>
      </w:r>
      <w:r w:rsidRPr="000E5D27">
        <w:t xml:space="preserve"> serotypes 1, 3, 4, 5, 6A, 6B, 7F, 9V, 14, 18C, 19A, 19F and 23F</w:t>
      </w:r>
      <w:r>
        <w:t>.</w:t>
      </w:r>
    </w:p>
  </w:footnote>
  <w:footnote w:id="12">
    <w:p w14:paraId="318DCE04" w14:textId="28253C68" w:rsidR="00E877A0" w:rsidRPr="00E877A0" w:rsidRDefault="00E877A0" w:rsidP="00E877A0">
      <w:pPr>
        <w:pStyle w:val="FootnoteText"/>
        <w:rPr>
          <w:lang w:val="en-GB"/>
        </w:rPr>
      </w:pPr>
      <w:r>
        <w:rPr>
          <w:rStyle w:val="FootnoteReference"/>
        </w:rPr>
        <w:footnoteRef/>
      </w:r>
      <w:r>
        <w:t xml:space="preserve"> </w:t>
      </w:r>
      <w:r w:rsidRPr="004E55F5">
        <w:rPr>
          <w:i/>
        </w:rPr>
        <w:t>Streptococcus pneumoniae</w:t>
      </w:r>
      <w:r w:rsidRPr="000E5D27">
        <w:t xml:space="preserve"> serotypes 1, 3, 4, 5, 6A, 6B, 7F, 9V, 14, 18C, 19A, 19F, 22F, 23F, 33F</w:t>
      </w:r>
      <w:r>
        <w:t>.</w:t>
      </w:r>
    </w:p>
  </w:footnote>
  <w:footnote w:id="13">
    <w:p w14:paraId="213EAE41" w14:textId="5EE0421C" w:rsidR="00E31079" w:rsidRDefault="00E31079">
      <w:pPr>
        <w:pStyle w:val="FootnoteText"/>
      </w:pPr>
      <w:r>
        <w:rPr>
          <w:rStyle w:val="FootnoteReference"/>
        </w:rPr>
        <w:footnoteRef/>
      </w:r>
      <w:r>
        <w:t xml:space="preserve"> </w:t>
      </w:r>
      <w:r w:rsidRPr="00495D46">
        <w:t xml:space="preserve">The </w:t>
      </w:r>
      <w:r w:rsidRPr="00495D46">
        <w:rPr>
          <w:b/>
          <w:bCs/>
        </w:rPr>
        <w:t>per-protocol (PP)</w:t>
      </w:r>
      <w:r w:rsidRPr="00495D46">
        <w:t xml:space="preserve"> analysis is restricted to the participants who strictly adhered to the protocol. Also known as ‘on-treatment’ analysis.</w:t>
      </w:r>
    </w:p>
  </w:footnote>
  <w:footnote w:id="14">
    <w:p w14:paraId="72A2AA1A" w14:textId="0F1B1FE6" w:rsidR="00E31079" w:rsidRDefault="00E31079">
      <w:pPr>
        <w:pStyle w:val="FootnoteText"/>
      </w:pPr>
      <w:r>
        <w:rPr>
          <w:rStyle w:val="FootnoteReference"/>
        </w:rPr>
        <w:footnoteRef/>
      </w:r>
      <w:r>
        <w:t xml:space="preserve"> </w:t>
      </w:r>
      <w:r w:rsidRPr="00480377">
        <w:t xml:space="preserve">The </w:t>
      </w:r>
      <w:r w:rsidRPr="00480377">
        <w:rPr>
          <w:b/>
          <w:bCs/>
        </w:rPr>
        <w:t>Medical Dictionary for Regulatory Activities (MedDRA)</w:t>
      </w:r>
      <w:r w:rsidRPr="00480377">
        <w:t xml:space="preserve"> is a single standardised international medical terminology, developed as a project of the International Council for Harmonisation of Technical Requirements for Pharmaceuticals for Human Use (ICH) which can be used for regulatory communication and evaluation of data pertaining to medicinal products for human use. As a result, MedDRA is designed for use in the registration, documentation and safety monitoring of medicinal products through all phases of the development cycle (that is, from clinical trials to post-marketing surveillance). Furthermore, MedDRA supports ICH electronic communication within the ICH’s Electronic Common Technical Document (eCTD) and the E2B Individual Case Safety Report.</w:t>
      </w:r>
    </w:p>
  </w:footnote>
  <w:footnote w:id="15">
    <w:p w14:paraId="549E4BB3" w14:textId="7A7CDAF3" w:rsidR="001B55A4" w:rsidRPr="00BB76F6" w:rsidRDefault="001B55A4">
      <w:pPr>
        <w:pStyle w:val="FootnoteText"/>
      </w:pPr>
      <w:r>
        <w:rPr>
          <w:rStyle w:val="FootnoteReference"/>
        </w:rPr>
        <w:footnoteRef/>
      </w:r>
      <w:r>
        <w:t xml:space="preserve"> </w:t>
      </w:r>
      <w:r w:rsidR="00BB76F6">
        <w:t>P</w:t>
      </w:r>
      <w:r>
        <w:t xml:space="preserve">neumococcal purified capsular polysaccharides for </w:t>
      </w:r>
      <w:r w:rsidR="00BB76F6" w:rsidRPr="00C63499">
        <w:rPr>
          <w:i/>
        </w:rPr>
        <w:t>Streptococcus pneumoniae</w:t>
      </w:r>
      <w:r w:rsidR="00BB76F6">
        <w:t xml:space="preserve"> </w:t>
      </w:r>
      <w:r>
        <w:t>serotype</w:t>
      </w:r>
      <w:r w:rsidR="00BB76F6">
        <w:t>s (Vaxneuvance, 15 serotypes, Prevenar 13, 13 serotypes)</w:t>
      </w:r>
      <w:r>
        <w:t xml:space="preserve"> individually conjugated to non-toxic diphtheria CRM</w:t>
      </w:r>
      <w:r w:rsidRPr="00CA10A6">
        <w:rPr>
          <w:vertAlign w:val="subscript"/>
        </w:rPr>
        <w:t>197</w:t>
      </w:r>
      <w:r>
        <w:t xml:space="preserve"> protein and adsorbed on aluminium phosphate</w:t>
      </w:r>
      <w:r w:rsidR="00BB76F6">
        <w:t>.</w:t>
      </w:r>
    </w:p>
  </w:footnote>
  <w:footnote w:id="16">
    <w:p w14:paraId="57F142BF" w14:textId="68E82518" w:rsidR="00E877A0" w:rsidRDefault="00E877A0">
      <w:pPr>
        <w:pStyle w:val="FootnoteText"/>
      </w:pPr>
      <w:r>
        <w:rPr>
          <w:rStyle w:val="FootnoteReference"/>
        </w:rPr>
        <w:footnoteRef/>
      </w:r>
      <w:r>
        <w:t xml:space="preserve"> </w:t>
      </w:r>
      <w:r w:rsidRPr="00205568">
        <w:t xml:space="preserve">Synflorix </w:t>
      </w:r>
      <w:r w:rsidR="00BB247E">
        <w:t>(p</w:t>
      </w:r>
      <w:r w:rsidR="00BB247E" w:rsidRPr="00BB247E">
        <w:t>neumococcal polysaccharide conjugate vaccine, 10-valent adsorbed</w:t>
      </w:r>
      <w:r w:rsidR="00BB247E">
        <w:t xml:space="preserve">) was </w:t>
      </w:r>
      <w:r w:rsidR="001C7BD6">
        <w:t>previously</w:t>
      </w:r>
      <w:r w:rsidR="00BB247E">
        <w:t xml:space="preserve"> registered on the ARTG (ARTG numbers: </w:t>
      </w:r>
      <w:r w:rsidR="00BB247E" w:rsidRPr="00BB247E">
        <w:t>149004 and 148981</w:t>
      </w:r>
      <w:r w:rsidR="00BB247E">
        <w:t>).</w:t>
      </w:r>
    </w:p>
  </w:footnote>
  <w:footnote w:id="17">
    <w:p w14:paraId="312F17D8" w14:textId="77777777" w:rsidR="00BB247E" w:rsidRPr="00BB247E" w:rsidRDefault="00BB247E" w:rsidP="00BB247E">
      <w:pPr>
        <w:pStyle w:val="FootnoteText"/>
      </w:pPr>
      <w:r>
        <w:rPr>
          <w:rStyle w:val="FootnoteReference"/>
        </w:rPr>
        <w:footnoteRef/>
      </w:r>
      <w:r>
        <w:t xml:space="preserve"> Synflorix is a 10-valent pneumococcal conjugate vaccine containing polysaccharides of 8 pneumococcal serotypes (1, 4, 5, 6B, 7F, 9V, 14 and 23F serotypes) conjugated individually to protein D (a highly conserved protein of non-ypeable </w:t>
      </w:r>
      <w:r w:rsidRPr="00E877A0">
        <w:rPr>
          <w:i/>
        </w:rPr>
        <w:t>Haemophilus influenzae</w:t>
      </w:r>
      <w:r>
        <w:t xml:space="preserve"> (NTHi)), one serotype (18C) conjugated to tetanus toxoid and one serotype (19F) conjugated to diphtheria toxoid, absorbed on aluminium phosphate.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DD2B6" w14:textId="77777777" w:rsidR="00E31079" w:rsidRDefault="00E31079" w:rsidP="00E45619">
    <w:pPr>
      <w:pStyle w:val="Header"/>
    </w:pPr>
    <w:r>
      <w:t>Therapeutic Goods Administration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A53FF" w14:textId="77777777" w:rsidR="00E31079" w:rsidRDefault="00E31079">
    <w:pPr>
      <w:rPr>
        <w:noProof/>
        <w:lang w:eastAsia="en-AU"/>
      </w:rPr>
    </w:pPr>
    <w:r w:rsidRPr="00347824">
      <w:rPr>
        <w:noProof/>
        <w:lang w:val="en-GB" w:eastAsia="en-GB"/>
      </w:rPr>
      <w:drawing>
        <wp:anchor distT="0" distB="0" distL="114300" distR="114300" simplePos="0" relativeHeight="251658240" behindDoc="1" locked="0" layoutInCell="1" allowOverlap="1" wp14:anchorId="2EDADAD0" wp14:editId="1D092426">
          <wp:simplePos x="0" y="0"/>
          <wp:positionH relativeFrom="column">
            <wp:posOffset>-1089660</wp:posOffset>
          </wp:positionH>
          <wp:positionV relativeFrom="paragraph">
            <wp:posOffset>-585470</wp:posOffset>
          </wp:positionV>
          <wp:extent cx="7572375" cy="10706100"/>
          <wp:effectExtent l="19050" t="0" r="0" b="0"/>
          <wp:wrapNone/>
          <wp:docPr id="25"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6A778" w14:textId="77777777" w:rsidR="00E31079" w:rsidRDefault="00E3107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25192" w14:textId="77777777" w:rsidR="00E31079" w:rsidRDefault="00E31079">
    <w:pPr>
      <w:pStyle w:val="Header"/>
    </w:pPr>
    <w:r>
      <w:t>Therapeutic Goods Administration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41B02" w14:textId="77777777" w:rsidR="00E31079" w:rsidRDefault="00E31079">
    <w:pPr>
      <w:pStyle w:val="Header"/>
    </w:pPr>
    <w:r>
      <w:t>Therapeutic Goods Administration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0A94C" w14:textId="77777777" w:rsidR="00E31079" w:rsidRDefault="00E3107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646B0" w14:textId="77777777" w:rsidR="00E31079" w:rsidRDefault="00E31079" w:rsidP="004C239D">
    <w:pPr>
      <w:pStyle w:val="HeaderNoLin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2005F" w14:textId="77777777" w:rsidR="00E31079" w:rsidRDefault="00E31079" w:rsidP="006E08B3">
    <w:r>
      <w:t>Therapeutic Goods Administration</w:t>
    </w:r>
  </w:p>
  <w:p w14:paraId="2B9509C4" w14:textId="77777777" w:rsidR="00E31079" w:rsidRDefault="00E31079" w:rsidP="006D03E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406830BE"/>
    <w:lvl w:ilvl="0">
      <w:start w:val="1"/>
      <w:numFmt w:val="bullet"/>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A04AD474"/>
    <w:lvl w:ilvl="0">
      <w:start w:val="1"/>
      <w:numFmt w:val="bullet"/>
      <w:lvlText w:val="–"/>
      <w:lvlJc w:val="left"/>
      <w:pPr>
        <w:ind w:left="643" w:hanging="360"/>
      </w:pPr>
      <w:rPr>
        <w:rFonts w:ascii="Arial" w:hAnsi="Arial" w:hint="default"/>
      </w:rPr>
    </w:lvl>
  </w:abstractNum>
  <w:abstractNum w:abstractNumId="2" w15:restartNumberingAfterBreak="0">
    <w:nsid w:val="FFFFFF89"/>
    <w:multiLevelType w:val="singleLevel"/>
    <w:tmpl w:val="E9A2AA7A"/>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FFFFFFFE"/>
    <w:multiLevelType w:val="singleLevel"/>
    <w:tmpl w:val="B8320B0A"/>
    <w:lvl w:ilvl="0">
      <w:numFmt w:val="bullet"/>
      <w:lvlText w:val="*"/>
      <w:lvlJc w:val="left"/>
    </w:lvl>
  </w:abstractNum>
  <w:abstractNum w:abstractNumId="4" w15:restartNumberingAfterBreak="0">
    <w:nsid w:val="080017AB"/>
    <w:multiLevelType w:val="hybridMultilevel"/>
    <w:tmpl w:val="7FB83D2E"/>
    <w:lvl w:ilvl="0" w:tplc="CB98220E">
      <w:numFmt w:val="bullet"/>
      <w:lvlText w:val="-"/>
      <w:lvlJc w:val="left"/>
      <w:pPr>
        <w:ind w:left="1080" w:hanging="720"/>
      </w:pPr>
      <w:rPr>
        <w:rFonts w:ascii="Cambria" w:eastAsia="Cambria" w:hAnsi="Cambr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E9108CD"/>
    <w:multiLevelType w:val="hybridMultilevel"/>
    <w:tmpl w:val="F07C7BCA"/>
    <w:lvl w:ilvl="0" w:tplc="7E7496A6">
      <w:start w:val="1"/>
      <w:numFmt w:val="bullet"/>
      <w:pStyle w:val="Bulletlis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0053F11"/>
    <w:multiLevelType w:val="multilevel"/>
    <w:tmpl w:val="575CEDB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7" w15:restartNumberingAfterBreak="0">
    <w:nsid w:val="11F3578D"/>
    <w:multiLevelType w:val="hybridMultilevel"/>
    <w:tmpl w:val="1D92BB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9" w15:restartNumberingAfterBreak="0">
    <w:nsid w:val="25945F30"/>
    <w:multiLevelType w:val="hybridMultilevel"/>
    <w:tmpl w:val="E46229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A2F5CDC"/>
    <w:multiLevelType w:val="hybridMultilevel"/>
    <w:tmpl w:val="CB4A66DE"/>
    <w:lvl w:ilvl="0" w:tplc="CB98220E">
      <w:numFmt w:val="bullet"/>
      <w:lvlText w:val="-"/>
      <w:lvlJc w:val="left"/>
      <w:pPr>
        <w:ind w:left="1080" w:hanging="720"/>
      </w:pPr>
      <w:rPr>
        <w:rFonts w:ascii="Cambria" w:eastAsia="Cambria" w:hAnsi="Cambr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07B72D5"/>
    <w:multiLevelType w:val="hybridMultilevel"/>
    <w:tmpl w:val="3878B570"/>
    <w:lvl w:ilvl="0" w:tplc="3FAAE45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4CF7399"/>
    <w:multiLevelType w:val="hybridMultilevel"/>
    <w:tmpl w:val="C9B25914"/>
    <w:lvl w:ilvl="0" w:tplc="DABC0514">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EB41F2F"/>
    <w:multiLevelType w:val="hybridMultilevel"/>
    <w:tmpl w:val="E79C11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07279CB"/>
    <w:multiLevelType w:val="hybridMultilevel"/>
    <w:tmpl w:val="324839D4"/>
    <w:lvl w:ilvl="0" w:tplc="E5EACD22">
      <w:numFmt w:val="bullet"/>
      <w:lvlText w:val="•"/>
      <w:lvlJc w:val="left"/>
      <w:pPr>
        <w:ind w:left="720" w:hanging="720"/>
      </w:pPr>
      <w:rPr>
        <w:rFonts w:ascii="Cambria" w:eastAsia="Cambria" w:hAnsi="Cambria"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77606DC0"/>
    <w:multiLevelType w:val="hybridMultilevel"/>
    <w:tmpl w:val="8780E0A6"/>
    <w:lvl w:ilvl="0" w:tplc="4224B92E">
      <w:numFmt w:val="bullet"/>
      <w:lvlText w:val="•"/>
      <w:lvlJc w:val="left"/>
      <w:pPr>
        <w:ind w:left="360" w:hanging="360"/>
      </w:pPr>
      <w:rPr>
        <w:rFonts w:ascii="Cambria" w:eastAsia="Cambria" w:hAnsi="Cambria"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2"/>
  </w:num>
  <w:num w:numId="2">
    <w:abstractNumId w:val="1"/>
  </w:num>
  <w:num w:numId="3">
    <w:abstractNumId w:val="8"/>
  </w:num>
  <w:num w:numId="4">
    <w:abstractNumId w:val="8"/>
  </w:num>
  <w:num w:numId="5">
    <w:abstractNumId w:val="0"/>
  </w:num>
  <w:num w:numId="6">
    <w:abstractNumId w:val="8"/>
  </w:num>
  <w:num w:numId="7">
    <w:abstractNumId w:val="8"/>
  </w:num>
  <w:num w:numId="8">
    <w:abstractNumId w:val="6"/>
  </w:num>
  <w:num w:numId="9">
    <w:abstractNumId w:val="6"/>
  </w:num>
  <w:num w:numId="10">
    <w:abstractNumId w:val="6"/>
  </w:num>
  <w:num w:numId="11">
    <w:abstractNumId w:val="6"/>
  </w:num>
  <w:num w:numId="12">
    <w:abstractNumId w:val="3"/>
    <w:lvlOverride w:ilvl="0">
      <w:lvl w:ilvl="0">
        <w:numFmt w:val="bullet"/>
        <w:lvlText w:val="•"/>
        <w:legacy w:legacy="1" w:legacySpace="0" w:legacyIndent="0"/>
        <w:lvlJc w:val="left"/>
        <w:rPr>
          <w:rFonts w:ascii="Helv" w:hAnsi="Helv" w:hint="default"/>
        </w:rPr>
      </w:lvl>
    </w:lvlOverride>
  </w:num>
  <w:num w:numId="13">
    <w:abstractNumId w:val="8"/>
  </w:num>
  <w:num w:numId="14">
    <w:abstractNumId w:val="8"/>
  </w:num>
  <w:num w:numId="15">
    <w:abstractNumId w:val="8"/>
  </w:num>
  <w:num w:numId="16">
    <w:abstractNumId w:val="6"/>
  </w:num>
  <w:num w:numId="17">
    <w:abstractNumId w:val="6"/>
  </w:num>
  <w:num w:numId="18">
    <w:abstractNumId w:val="6"/>
  </w:num>
  <w:num w:numId="19">
    <w:abstractNumId w:val="8"/>
  </w:num>
  <w:num w:numId="20">
    <w:abstractNumId w:val="8"/>
  </w:num>
  <w:num w:numId="21">
    <w:abstractNumId w:val="8"/>
  </w:num>
  <w:num w:numId="22">
    <w:abstractNumId w:val="6"/>
  </w:num>
  <w:num w:numId="23">
    <w:abstractNumId w:val="6"/>
  </w:num>
  <w:num w:numId="24">
    <w:abstractNumId w:val="6"/>
  </w:num>
  <w:num w:numId="25">
    <w:abstractNumId w:val="6"/>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26">
    <w:abstractNumId w:val="6"/>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7">
    <w:abstractNumId w:val="13"/>
  </w:num>
  <w:num w:numId="28">
    <w:abstractNumId w:val="15"/>
  </w:num>
  <w:num w:numId="29">
    <w:abstractNumId w:val="7"/>
  </w:num>
  <w:num w:numId="30">
    <w:abstractNumId w:val="10"/>
  </w:num>
  <w:num w:numId="31">
    <w:abstractNumId w:val="4"/>
  </w:num>
  <w:num w:numId="32">
    <w:abstractNumId w:val="14"/>
  </w:num>
  <w:num w:numId="33">
    <w:abstractNumId w:val="12"/>
  </w:num>
  <w:num w:numId="34">
    <w:abstractNumId w:val="11"/>
  </w:num>
  <w:num w:numId="35">
    <w:abstractNumId w:val="9"/>
  </w:num>
  <w:num w:numId="3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4300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1E21"/>
    <w:rsid w:val="00002031"/>
    <w:rsid w:val="0000446E"/>
    <w:rsid w:val="00004734"/>
    <w:rsid w:val="00006B22"/>
    <w:rsid w:val="00006FAB"/>
    <w:rsid w:val="00007EFB"/>
    <w:rsid w:val="0001276A"/>
    <w:rsid w:val="00015688"/>
    <w:rsid w:val="000166AA"/>
    <w:rsid w:val="00020AC1"/>
    <w:rsid w:val="000246AE"/>
    <w:rsid w:val="00024FFC"/>
    <w:rsid w:val="00025C67"/>
    <w:rsid w:val="00040793"/>
    <w:rsid w:val="00041234"/>
    <w:rsid w:val="00044772"/>
    <w:rsid w:val="0004541C"/>
    <w:rsid w:val="00047D94"/>
    <w:rsid w:val="0005559E"/>
    <w:rsid w:val="000604D6"/>
    <w:rsid w:val="000734D8"/>
    <w:rsid w:val="00077775"/>
    <w:rsid w:val="0008288E"/>
    <w:rsid w:val="0008708F"/>
    <w:rsid w:val="00090471"/>
    <w:rsid w:val="00096AA7"/>
    <w:rsid w:val="000A383D"/>
    <w:rsid w:val="000A3AED"/>
    <w:rsid w:val="000B3532"/>
    <w:rsid w:val="000B3A75"/>
    <w:rsid w:val="000C00C2"/>
    <w:rsid w:val="000C26B7"/>
    <w:rsid w:val="000C3C7C"/>
    <w:rsid w:val="000C690F"/>
    <w:rsid w:val="000D11C9"/>
    <w:rsid w:val="000D1295"/>
    <w:rsid w:val="000D391B"/>
    <w:rsid w:val="000D3D6D"/>
    <w:rsid w:val="000D4FC7"/>
    <w:rsid w:val="000E21E5"/>
    <w:rsid w:val="000E3ED8"/>
    <w:rsid w:val="000E5D27"/>
    <w:rsid w:val="000E6196"/>
    <w:rsid w:val="000F2BDE"/>
    <w:rsid w:val="000F4869"/>
    <w:rsid w:val="000F5B42"/>
    <w:rsid w:val="000F6E6F"/>
    <w:rsid w:val="00101208"/>
    <w:rsid w:val="00104090"/>
    <w:rsid w:val="0010601F"/>
    <w:rsid w:val="0010788A"/>
    <w:rsid w:val="00107A31"/>
    <w:rsid w:val="001108A1"/>
    <w:rsid w:val="00110EA5"/>
    <w:rsid w:val="00112F56"/>
    <w:rsid w:val="00113805"/>
    <w:rsid w:val="0011644E"/>
    <w:rsid w:val="00117C1F"/>
    <w:rsid w:val="00122C2E"/>
    <w:rsid w:val="00124ACD"/>
    <w:rsid w:val="00125318"/>
    <w:rsid w:val="001305A2"/>
    <w:rsid w:val="00133238"/>
    <w:rsid w:val="00133A1B"/>
    <w:rsid w:val="0014197B"/>
    <w:rsid w:val="001431CC"/>
    <w:rsid w:val="001447CD"/>
    <w:rsid w:val="001472EF"/>
    <w:rsid w:val="001516B1"/>
    <w:rsid w:val="001527B0"/>
    <w:rsid w:val="00154EBB"/>
    <w:rsid w:val="00156316"/>
    <w:rsid w:val="00161181"/>
    <w:rsid w:val="00161D56"/>
    <w:rsid w:val="00162D14"/>
    <w:rsid w:val="00163780"/>
    <w:rsid w:val="00165389"/>
    <w:rsid w:val="001722B1"/>
    <w:rsid w:val="00173B1B"/>
    <w:rsid w:val="0017693F"/>
    <w:rsid w:val="00176B41"/>
    <w:rsid w:val="0018110E"/>
    <w:rsid w:val="00181684"/>
    <w:rsid w:val="001830E3"/>
    <w:rsid w:val="001843C6"/>
    <w:rsid w:val="001850E0"/>
    <w:rsid w:val="00185407"/>
    <w:rsid w:val="00190330"/>
    <w:rsid w:val="001A03AF"/>
    <w:rsid w:val="001A2158"/>
    <w:rsid w:val="001A5005"/>
    <w:rsid w:val="001A525F"/>
    <w:rsid w:val="001A5A00"/>
    <w:rsid w:val="001A66B8"/>
    <w:rsid w:val="001B0049"/>
    <w:rsid w:val="001B09F9"/>
    <w:rsid w:val="001B1DA4"/>
    <w:rsid w:val="001B55A4"/>
    <w:rsid w:val="001B5950"/>
    <w:rsid w:val="001B5C90"/>
    <w:rsid w:val="001B6448"/>
    <w:rsid w:val="001C1E91"/>
    <w:rsid w:val="001C32CD"/>
    <w:rsid w:val="001C5DCA"/>
    <w:rsid w:val="001C6DAD"/>
    <w:rsid w:val="001C7BA2"/>
    <w:rsid w:val="001C7BD6"/>
    <w:rsid w:val="001D04F9"/>
    <w:rsid w:val="001D2984"/>
    <w:rsid w:val="001E0413"/>
    <w:rsid w:val="001E07CF"/>
    <w:rsid w:val="001E359E"/>
    <w:rsid w:val="001E52B7"/>
    <w:rsid w:val="001E59F1"/>
    <w:rsid w:val="001F2138"/>
    <w:rsid w:val="001F2CEE"/>
    <w:rsid w:val="001F49EB"/>
    <w:rsid w:val="001F5987"/>
    <w:rsid w:val="001F5D1D"/>
    <w:rsid w:val="001F6CBA"/>
    <w:rsid w:val="00201D4E"/>
    <w:rsid w:val="00202382"/>
    <w:rsid w:val="00205568"/>
    <w:rsid w:val="002076C9"/>
    <w:rsid w:val="00216983"/>
    <w:rsid w:val="00220B8A"/>
    <w:rsid w:val="002257F3"/>
    <w:rsid w:val="002314EA"/>
    <w:rsid w:val="00233456"/>
    <w:rsid w:val="002339A5"/>
    <w:rsid w:val="002407E5"/>
    <w:rsid w:val="00250271"/>
    <w:rsid w:val="00250F35"/>
    <w:rsid w:val="00257848"/>
    <w:rsid w:val="002578E8"/>
    <w:rsid w:val="00262F42"/>
    <w:rsid w:val="0027084A"/>
    <w:rsid w:val="00271E85"/>
    <w:rsid w:val="00280265"/>
    <w:rsid w:val="00282600"/>
    <w:rsid w:val="00282773"/>
    <w:rsid w:val="00286434"/>
    <w:rsid w:val="00286C59"/>
    <w:rsid w:val="00291957"/>
    <w:rsid w:val="00291ECF"/>
    <w:rsid w:val="002942D1"/>
    <w:rsid w:val="0029501A"/>
    <w:rsid w:val="00295270"/>
    <w:rsid w:val="00295A47"/>
    <w:rsid w:val="002A3721"/>
    <w:rsid w:val="002B1638"/>
    <w:rsid w:val="002B3624"/>
    <w:rsid w:val="002B5FAE"/>
    <w:rsid w:val="002C3228"/>
    <w:rsid w:val="002D0952"/>
    <w:rsid w:val="002D2B70"/>
    <w:rsid w:val="002D7EFC"/>
    <w:rsid w:val="002E40B3"/>
    <w:rsid w:val="002E4C9A"/>
    <w:rsid w:val="002F11F8"/>
    <w:rsid w:val="002F3F56"/>
    <w:rsid w:val="002F44B5"/>
    <w:rsid w:val="002F5122"/>
    <w:rsid w:val="00303435"/>
    <w:rsid w:val="00311AC0"/>
    <w:rsid w:val="003162A8"/>
    <w:rsid w:val="003176FC"/>
    <w:rsid w:val="00320001"/>
    <w:rsid w:val="00323AB9"/>
    <w:rsid w:val="00324E45"/>
    <w:rsid w:val="0032583B"/>
    <w:rsid w:val="00327883"/>
    <w:rsid w:val="00332715"/>
    <w:rsid w:val="00335504"/>
    <w:rsid w:val="00340C18"/>
    <w:rsid w:val="003415E6"/>
    <w:rsid w:val="00341AA7"/>
    <w:rsid w:val="003442FD"/>
    <w:rsid w:val="00347824"/>
    <w:rsid w:val="00350567"/>
    <w:rsid w:val="003521E8"/>
    <w:rsid w:val="00352FDC"/>
    <w:rsid w:val="003557C7"/>
    <w:rsid w:val="003600EC"/>
    <w:rsid w:val="00362D80"/>
    <w:rsid w:val="00370CE3"/>
    <w:rsid w:val="003710B3"/>
    <w:rsid w:val="003728F3"/>
    <w:rsid w:val="003735BC"/>
    <w:rsid w:val="003747DE"/>
    <w:rsid w:val="0037496E"/>
    <w:rsid w:val="0038239F"/>
    <w:rsid w:val="00383221"/>
    <w:rsid w:val="00386150"/>
    <w:rsid w:val="003874CE"/>
    <w:rsid w:val="00390900"/>
    <w:rsid w:val="00396D39"/>
    <w:rsid w:val="003A0508"/>
    <w:rsid w:val="003A7F6C"/>
    <w:rsid w:val="003B32D6"/>
    <w:rsid w:val="003B4D60"/>
    <w:rsid w:val="003B7E39"/>
    <w:rsid w:val="003C58DC"/>
    <w:rsid w:val="003C5AF4"/>
    <w:rsid w:val="003D1E62"/>
    <w:rsid w:val="003D38B8"/>
    <w:rsid w:val="003D50DF"/>
    <w:rsid w:val="003E0B99"/>
    <w:rsid w:val="003E2486"/>
    <w:rsid w:val="003E3208"/>
    <w:rsid w:val="003E373D"/>
    <w:rsid w:val="003E3FF7"/>
    <w:rsid w:val="003F0B04"/>
    <w:rsid w:val="003F3DBB"/>
    <w:rsid w:val="003F5A97"/>
    <w:rsid w:val="003F6C3B"/>
    <w:rsid w:val="0040134E"/>
    <w:rsid w:val="00417995"/>
    <w:rsid w:val="00423483"/>
    <w:rsid w:val="004236D5"/>
    <w:rsid w:val="00424E0D"/>
    <w:rsid w:val="00427980"/>
    <w:rsid w:val="0043253B"/>
    <w:rsid w:val="004334C7"/>
    <w:rsid w:val="00436E66"/>
    <w:rsid w:val="00440A2D"/>
    <w:rsid w:val="00441C3F"/>
    <w:rsid w:val="0044374C"/>
    <w:rsid w:val="00444D1A"/>
    <w:rsid w:val="0045186A"/>
    <w:rsid w:val="00454BDC"/>
    <w:rsid w:val="004564A7"/>
    <w:rsid w:val="00456765"/>
    <w:rsid w:val="00460036"/>
    <w:rsid w:val="004617BF"/>
    <w:rsid w:val="0046335D"/>
    <w:rsid w:val="00463658"/>
    <w:rsid w:val="004637A0"/>
    <w:rsid w:val="004722CC"/>
    <w:rsid w:val="0047397D"/>
    <w:rsid w:val="00480377"/>
    <w:rsid w:val="00480B59"/>
    <w:rsid w:val="00481594"/>
    <w:rsid w:val="00482C41"/>
    <w:rsid w:val="00490483"/>
    <w:rsid w:val="004936E4"/>
    <w:rsid w:val="00494E60"/>
    <w:rsid w:val="00495D46"/>
    <w:rsid w:val="00497487"/>
    <w:rsid w:val="004A2771"/>
    <w:rsid w:val="004A4853"/>
    <w:rsid w:val="004A6189"/>
    <w:rsid w:val="004A7390"/>
    <w:rsid w:val="004B2936"/>
    <w:rsid w:val="004B7B76"/>
    <w:rsid w:val="004C11E2"/>
    <w:rsid w:val="004C239D"/>
    <w:rsid w:val="004C2B1B"/>
    <w:rsid w:val="004C2DCA"/>
    <w:rsid w:val="004C35A9"/>
    <w:rsid w:val="004C4FBE"/>
    <w:rsid w:val="004C5975"/>
    <w:rsid w:val="004C61D2"/>
    <w:rsid w:val="004E0F69"/>
    <w:rsid w:val="004F0C4A"/>
    <w:rsid w:val="004F0F38"/>
    <w:rsid w:val="004F47D6"/>
    <w:rsid w:val="004F7306"/>
    <w:rsid w:val="00500337"/>
    <w:rsid w:val="00501921"/>
    <w:rsid w:val="00503F9F"/>
    <w:rsid w:val="00505243"/>
    <w:rsid w:val="00505417"/>
    <w:rsid w:val="00506D44"/>
    <w:rsid w:val="00510EDF"/>
    <w:rsid w:val="005140D2"/>
    <w:rsid w:val="0052149B"/>
    <w:rsid w:val="00521ECD"/>
    <w:rsid w:val="00523A21"/>
    <w:rsid w:val="00530354"/>
    <w:rsid w:val="0053625B"/>
    <w:rsid w:val="005434C6"/>
    <w:rsid w:val="00543B39"/>
    <w:rsid w:val="00545CDB"/>
    <w:rsid w:val="00546154"/>
    <w:rsid w:val="00547A0F"/>
    <w:rsid w:val="00550096"/>
    <w:rsid w:val="00555280"/>
    <w:rsid w:val="00557FF9"/>
    <w:rsid w:val="00562327"/>
    <w:rsid w:val="00565488"/>
    <w:rsid w:val="005661CA"/>
    <w:rsid w:val="005711D5"/>
    <w:rsid w:val="00575C3E"/>
    <w:rsid w:val="00576378"/>
    <w:rsid w:val="00577130"/>
    <w:rsid w:val="00577945"/>
    <w:rsid w:val="00577978"/>
    <w:rsid w:val="00577E38"/>
    <w:rsid w:val="00585322"/>
    <w:rsid w:val="005857C6"/>
    <w:rsid w:val="00586C2F"/>
    <w:rsid w:val="00592F6E"/>
    <w:rsid w:val="005939BA"/>
    <w:rsid w:val="00593AD1"/>
    <w:rsid w:val="005A68B6"/>
    <w:rsid w:val="005A79F5"/>
    <w:rsid w:val="005B74D2"/>
    <w:rsid w:val="005C494B"/>
    <w:rsid w:val="005C5570"/>
    <w:rsid w:val="005C5B66"/>
    <w:rsid w:val="005C79A4"/>
    <w:rsid w:val="005D5442"/>
    <w:rsid w:val="005F5194"/>
    <w:rsid w:val="00603CA4"/>
    <w:rsid w:val="00603F32"/>
    <w:rsid w:val="00605AD4"/>
    <w:rsid w:val="00611D75"/>
    <w:rsid w:val="006136D7"/>
    <w:rsid w:val="0061675B"/>
    <w:rsid w:val="00625A6E"/>
    <w:rsid w:val="00626CC0"/>
    <w:rsid w:val="006308AB"/>
    <w:rsid w:val="00632398"/>
    <w:rsid w:val="00636FCC"/>
    <w:rsid w:val="00640FC3"/>
    <w:rsid w:val="00642020"/>
    <w:rsid w:val="006430EE"/>
    <w:rsid w:val="00643CE5"/>
    <w:rsid w:val="00643DD0"/>
    <w:rsid w:val="0065337B"/>
    <w:rsid w:val="0065419D"/>
    <w:rsid w:val="006603BC"/>
    <w:rsid w:val="006604D8"/>
    <w:rsid w:val="00664A5B"/>
    <w:rsid w:val="0066735C"/>
    <w:rsid w:val="006763D2"/>
    <w:rsid w:val="0067704E"/>
    <w:rsid w:val="00680C08"/>
    <w:rsid w:val="00686641"/>
    <w:rsid w:val="006901BA"/>
    <w:rsid w:val="006916A0"/>
    <w:rsid w:val="006931B1"/>
    <w:rsid w:val="006A15C0"/>
    <w:rsid w:val="006A58A8"/>
    <w:rsid w:val="006B2F8F"/>
    <w:rsid w:val="006B6A61"/>
    <w:rsid w:val="006C3E2A"/>
    <w:rsid w:val="006C642F"/>
    <w:rsid w:val="006D03E5"/>
    <w:rsid w:val="006D2CA5"/>
    <w:rsid w:val="006D5D3E"/>
    <w:rsid w:val="006D7412"/>
    <w:rsid w:val="006E08B3"/>
    <w:rsid w:val="006E7D4A"/>
    <w:rsid w:val="006F17AC"/>
    <w:rsid w:val="006F25B8"/>
    <w:rsid w:val="006F572E"/>
    <w:rsid w:val="007046D6"/>
    <w:rsid w:val="00705DB0"/>
    <w:rsid w:val="00713DAD"/>
    <w:rsid w:val="007161DD"/>
    <w:rsid w:val="0072292E"/>
    <w:rsid w:val="00722B57"/>
    <w:rsid w:val="00730F8A"/>
    <w:rsid w:val="00735A8C"/>
    <w:rsid w:val="0074163C"/>
    <w:rsid w:val="0074253D"/>
    <w:rsid w:val="00744121"/>
    <w:rsid w:val="0074429B"/>
    <w:rsid w:val="00754DD5"/>
    <w:rsid w:val="0075727A"/>
    <w:rsid w:val="007615BC"/>
    <w:rsid w:val="00761F0B"/>
    <w:rsid w:val="00762F05"/>
    <w:rsid w:val="007652FF"/>
    <w:rsid w:val="007703EF"/>
    <w:rsid w:val="00770CAC"/>
    <w:rsid w:val="00770EF1"/>
    <w:rsid w:val="0077131A"/>
    <w:rsid w:val="00772363"/>
    <w:rsid w:val="00773EF7"/>
    <w:rsid w:val="00774E1D"/>
    <w:rsid w:val="007765D8"/>
    <w:rsid w:val="0077675A"/>
    <w:rsid w:val="0077693A"/>
    <w:rsid w:val="00780355"/>
    <w:rsid w:val="007819FD"/>
    <w:rsid w:val="00785717"/>
    <w:rsid w:val="00785721"/>
    <w:rsid w:val="00793A59"/>
    <w:rsid w:val="007A2672"/>
    <w:rsid w:val="007A46F5"/>
    <w:rsid w:val="007A6505"/>
    <w:rsid w:val="007A69D4"/>
    <w:rsid w:val="007A7CC3"/>
    <w:rsid w:val="007B0AED"/>
    <w:rsid w:val="007B367E"/>
    <w:rsid w:val="007B6132"/>
    <w:rsid w:val="007B6E9F"/>
    <w:rsid w:val="007C1216"/>
    <w:rsid w:val="007C1AF7"/>
    <w:rsid w:val="007C6B9B"/>
    <w:rsid w:val="007D53B6"/>
    <w:rsid w:val="007D799C"/>
    <w:rsid w:val="007D7F38"/>
    <w:rsid w:val="007E27D3"/>
    <w:rsid w:val="007E2E4C"/>
    <w:rsid w:val="007F232D"/>
    <w:rsid w:val="007F4617"/>
    <w:rsid w:val="00800DC9"/>
    <w:rsid w:val="00804D99"/>
    <w:rsid w:val="00805D27"/>
    <w:rsid w:val="00806DCB"/>
    <w:rsid w:val="008110BC"/>
    <w:rsid w:val="00812B41"/>
    <w:rsid w:val="00816486"/>
    <w:rsid w:val="00816A9D"/>
    <w:rsid w:val="00821776"/>
    <w:rsid w:val="008321F5"/>
    <w:rsid w:val="00832369"/>
    <w:rsid w:val="00833ED8"/>
    <w:rsid w:val="00834660"/>
    <w:rsid w:val="00836BC2"/>
    <w:rsid w:val="00841429"/>
    <w:rsid w:val="00842BD9"/>
    <w:rsid w:val="00851538"/>
    <w:rsid w:val="0085156D"/>
    <w:rsid w:val="00852B28"/>
    <w:rsid w:val="0085641B"/>
    <w:rsid w:val="00857136"/>
    <w:rsid w:val="00864289"/>
    <w:rsid w:val="00865B03"/>
    <w:rsid w:val="0087001D"/>
    <w:rsid w:val="00870EF8"/>
    <w:rsid w:val="00875A6B"/>
    <w:rsid w:val="008807E3"/>
    <w:rsid w:val="00881D06"/>
    <w:rsid w:val="008839FF"/>
    <w:rsid w:val="00885B11"/>
    <w:rsid w:val="00885E5F"/>
    <w:rsid w:val="00886D15"/>
    <w:rsid w:val="00887DD8"/>
    <w:rsid w:val="00891BA9"/>
    <w:rsid w:val="00896018"/>
    <w:rsid w:val="008960DD"/>
    <w:rsid w:val="0089635C"/>
    <w:rsid w:val="008A1CF9"/>
    <w:rsid w:val="008A2B9D"/>
    <w:rsid w:val="008A3120"/>
    <w:rsid w:val="008A3D9F"/>
    <w:rsid w:val="008A5E0B"/>
    <w:rsid w:val="008A6D59"/>
    <w:rsid w:val="008B0A1D"/>
    <w:rsid w:val="008B3028"/>
    <w:rsid w:val="008B4B03"/>
    <w:rsid w:val="008B596F"/>
    <w:rsid w:val="008C159F"/>
    <w:rsid w:val="008C1623"/>
    <w:rsid w:val="008C1850"/>
    <w:rsid w:val="008C2433"/>
    <w:rsid w:val="008C51A9"/>
    <w:rsid w:val="008D1F77"/>
    <w:rsid w:val="008E432A"/>
    <w:rsid w:val="008E7846"/>
    <w:rsid w:val="008F02E5"/>
    <w:rsid w:val="008F1CCC"/>
    <w:rsid w:val="008F2967"/>
    <w:rsid w:val="008F6280"/>
    <w:rsid w:val="008F6943"/>
    <w:rsid w:val="008F6F57"/>
    <w:rsid w:val="00900837"/>
    <w:rsid w:val="00901068"/>
    <w:rsid w:val="00901F65"/>
    <w:rsid w:val="00902A21"/>
    <w:rsid w:val="00904003"/>
    <w:rsid w:val="00906037"/>
    <w:rsid w:val="009137A6"/>
    <w:rsid w:val="0091523F"/>
    <w:rsid w:val="009162D5"/>
    <w:rsid w:val="00920330"/>
    <w:rsid w:val="009219D7"/>
    <w:rsid w:val="00921DAE"/>
    <w:rsid w:val="00922D53"/>
    <w:rsid w:val="00922E24"/>
    <w:rsid w:val="00923B70"/>
    <w:rsid w:val="00924482"/>
    <w:rsid w:val="00926B89"/>
    <w:rsid w:val="00930237"/>
    <w:rsid w:val="00937C17"/>
    <w:rsid w:val="00940A89"/>
    <w:rsid w:val="00941F77"/>
    <w:rsid w:val="00944212"/>
    <w:rsid w:val="00946EA5"/>
    <w:rsid w:val="009556D7"/>
    <w:rsid w:val="00960520"/>
    <w:rsid w:val="00962E55"/>
    <w:rsid w:val="00963C08"/>
    <w:rsid w:val="00963CB2"/>
    <w:rsid w:val="0097501B"/>
    <w:rsid w:val="009752A5"/>
    <w:rsid w:val="00975577"/>
    <w:rsid w:val="0098585A"/>
    <w:rsid w:val="00992603"/>
    <w:rsid w:val="009A3F88"/>
    <w:rsid w:val="009A43ED"/>
    <w:rsid w:val="009A4CED"/>
    <w:rsid w:val="009A690D"/>
    <w:rsid w:val="009B1D12"/>
    <w:rsid w:val="009B416B"/>
    <w:rsid w:val="009C29ED"/>
    <w:rsid w:val="009C4BD5"/>
    <w:rsid w:val="009D672A"/>
    <w:rsid w:val="009D7B77"/>
    <w:rsid w:val="009E0BB0"/>
    <w:rsid w:val="009E3FBB"/>
    <w:rsid w:val="009E5A87"/>
    <w:rsid w:val="009E5D02"/>
    <w:rsid w:val="009F0415"/>
    <w:rsid w:val="009F252F"/>
    <w:rsid w:val="009F2673"/>
    <w:rsid w:val="009F715E"/>
    <w:rsid w:val="009F7353"/>
    <w:rsid w:val="00A022CA"/>
    <w:rsid w:val="00A04A68"/>
    <w:rsid w:val="00A04F85"/>
    <w:rsid w:val="00A05FA4"/>
    <w:rsid w:val="00A102E4"/>
    <w:rsid w:val="00A1219C"/>
    <w:rsid w:val="00A12C42"/>
    <w:rsid w:val="00A14DF7"/>
    <w:rsid w:val="00A22D57"/>
    <w:rsid w:val="00A25649"/>
    <w:rsid w:val="00A25B67"/>
    <w:rsid w:val="00A3246D"/>
    <w:rsid w:val="00A349BA"/>
    <w:rsid w:val="00A36FA7"/>
    <w:rsid w:val="00A37534"/>
    <w:rsid w:val="00A40C94"/>
    <w:rsid w:val="00A44DDB"/>
    <w:rsid w:val="00A475B7"/>
    <w:rsid w:val="00A47AF7"/>
    <w:rsid w:val="00A47C3E"/>
    <w:rsid w:val="00A50226"/>
    <w:rsid w:val="00A52F89"/>
    <w:rsid w:val="00A60BAD"/>
    <w:rsid w:val="00A65383"/>
    <w:rsid w:val="00A65F84"/>
    <w:rsid w:val="00A7107E"/>
    <w:rsid w:val="00A777C1"/>
    <w:rsid w:val="00A77F87"/>
    <w:rsid w:val="00A8021A"/>
    <w:rsid w:val="00A80B5B"/>
    <w:rsid w:val="00A84E36"/>
    <w:rsid w:val="00A86E1C"/>
    <w:rsid w:val="00A90707"/>
    <w:rsid w:val="00A964D1"/>
    <w:rsid w:val="00A96FC9"/>
    <w:rsid w:val="00AA0ED0"/>
    <w:rsid w:val="00AB2969"/>
    <w:rsid w:val="00AC2B40"/>
    <w:rsid w:val="00AC2BB2"/>
    <w:rsid w:val="00AC2C3C"/>
    <w:rsid w:val="00AC3724"/>
    <w:rsid w:val="00AC512D"/>
    <w:rsid w:val="00AD0083"/>
    <w:rsid w:val="00AD3935"/>
    <w:rsid w:val="00AE1995"/>
    <w:rsid w:val="00AE65EB"/>
    <w:rsid w:val="00AE67A7"/>
    <w:rsid w:val="00AF1D94"/>
    <w:rsid w:val="00AF2313"/>
    <w:rsid w:val="00AF60C5"/>
    <w:rsid w:val="00AF6AC9"/>
    <w:rsid w:val="00B009C6"/>
    <w:rsid w:val="00B01548"/>
    <w:rsid w:val="00B12A96"/>
    <w:rsid w:val="00B130C5"/>
    <w:rsid w:val="00B13EBD"/>
    <w:rsid w:val="00B1406F"/>
    <w:rsid w:val="00B21D29"/>
    <w:rsid w:val="00B25034"/>
    <w:rsid w:val="00B253C1"/>
    <w:rsid w:val="00B33588"/>
    <w:rsid w:val="00B33863"/>
    <w:rsid w:val="00B36519"/>
    <w:rsid w:val="00B37D17"/>
    <w:rsid w:val="00B4175E"/>
    <w:rsid w:val="00B41C85"/>
    <w:rsid w:val="00B452CE"/>
    <w:rsid w:val="00B54C25"/>
    <w:rsid w:val="00B6135A"/>
    <w:rsid w:val="00B638B1"/>
    <w:rsid w:val="00B7473F"/>
    <w:rsid w:val="00B76B91"/>
    <w:rsid w:val="00B77EB1"/>
    <w:rsid w:val="00B811C6"/>
    <w:rsid w:val="00B83C11"/>
    <w:rsid w:val="00B855B0"/>
    <w:rsid w:val="00B92E08"/>
    <w:rsid w:val="00BB0B78"/>
    <w:rsid w:val="00BB0DB3"/>
    <w:rsid w:val="00BB247E"/>
    <w:rsid w:val="00BB6E4C"/>
    <w:rsid w:val="00BB75D6"/>
    <w:rsid w:val="00BB76F6"/>
    <w:rsid w:val="00BC50FB"/>
    <w:rsid w:val="00BC518E"/>
    <w:rsid w:val="00BC622A"/>
    <w:rsid w:val="00BC705F"/>
    <w:rsid w:val="00BD1F3E"/>
    <w:rsid w:val="00BE0A78"/>
    <w:rsid w:val="00BE31ED"/>
    <w:rsid w:val="00BE6542"/>
    <w:rsid w:val="00BE79F0"/>
    <w:rsid w:val="00BF046D"/>
    <w:rsid w:val="00BF1190"/>
    <w:rsid w:val="00BF3774"/>
    <w:rsid w:val="00BF5D04"/>
    <w:rsid w:val="00BF7063"/>
    <w:rsid w:val="00C009AA"/>
    <w:rsid w:val="00C1164D"/>
    <w:rsid w:val="00C118EA"/>
    <w:rsid w:val="00C16861"/>
    <w:rsid w:val="00C216EE"/>
    <w:rsid w:val="00C234E5"/>
    <w:rsid w:val="00C34133"/>
    <w:rsid w:val="00C346AB"/>
    <w:rsid w:val="00C36001"/>
    <w:rsid w:val="00C370BD"/>
    <w:rsid w:val="00C404A6"/>
    <w:rsid w:val="00C40A36"/>
    <w:rsid w:val="00C40C2D"/>
    <w:rsid w:val="00C44419"/>
    <w:rsid w:val="00C45E7B"/>
    <w:rsid w:val="00C471B1"/>
    <w:rsid w:val="00C502FA"/>
    <w:rsid w:val="00C525A2"/>
    <w:rsid w:val="00C52E24"/>
    <w:rsid w:val="00C53547"/>
    <w:rsid w:val="00C54A09"/>
    <w:rsid w:val="00C57B7D"/>
    <w:rsid w:val="00C6316B"/>
    <w:rsid w:val="00C63499"/>
    <w:rsid w:val="00C634A9"/>
    <w:rsid w:val="00C64586"/>
    <w:rsid w:val="00C70A36"/>
    <w:rsid w:val="00C70D53"/>
    <w:rsid w:val="00C72ACB"/>
    <w:rsid w:val="00C73D0B"/>
    <w:rsid w:val="00C74F5C"/>
    <w:rsid w:val="00C75CC5"/>
    <w:rsid w:val="00C772FF"/>
    <w:rsid w:val="00C80137"/>
    <w:rsid w:val="00C801AF"/>
    <w:rsid w:val="00C80256"/>
    <w:rsid w:val="00C81AF5"/>
    <w:rsid w:val="00C879EB"/>
    <w:rsid w:val="00C87B92"/>
    <w:rsid w:val="00C94CD4"/>
    <w:rsid w:val="00C9747E"/>
    <w:rsid w:val="00CA10A6"/>
    <w:rsid w:val="00CA7B09"/>
    <w:rsid w:val="00CB2D61"/>
    <w:rsid w:val="00CB2F73"/>
    <w:rsid w:val="00CB6BC0"/>
    <w:rsid w:val="00CB7233"/>
    <w:rsid w:val="00CC1B7C"/>
    <w:rsid w:val="00CC5044"/>
    <w:rsid w:val="00CC727F"/>
    <w:rsid w:val="00CD24A4"/>
    <w:rsid w:val="00CE18CA"/>
    <w:rsid w:val="00CE1DC1"/>
    <w:rsid w:val="00CE4372"/>
    <w:rsid w:val="00CF15C3"/>
    <w:rsid w:val="00CF2B6F"/>
    <w:rsid w:val="00CF2F3E"/>
    <w:rsid w:val="00CF58B6"/>
    <w:rsid w:val="00CF5DAD"/>
    <w:rsid w:val="00D0062D"/>
    <w:rsid w:val="00D017ED"/>
    <w:rsid w:val="00D01E21"/>
    <w:rsid w:val="00D040D3"/>
    <w:rsid w:val="00D04C65"/>
    <w:rsid w:val="00D11549"/>
    <w:rsid w:val="00D153D8"/>
    <w:rsid w:val="00D201D2"/>
    <w:rsid w:val="00D212F3"/>
    <w:rsid w:val="00D224FE"/>
    <w:rsid w:val="00D23139"/>
    <w:rsid w:val="00D30D1B"/>
    <w:rsid w:val="00D354DF"/>
    <w:rsid w:val="00D425BB"/>
    <w:rsid w:val="00D453FA"/>
    <w:rsid w:val="00D50115"/>
    <w:rsid w:val="00D52E80"/>
    <w:rsid w:val="00D55595"/>
    <w:rsid w:val="00D56348"/>
    <w:rsid w:val="00D56FD5"/>
    <w:rsid w:val="00D6493E"/>
    <w:rsid w:val="00D67F03"/>
    <w:rsid w:val="00D70019"/>
    <w:rsid w:val="00D7195D"/>
    <w:rsid w:val="00D72B4B"/>
    <w:rsid w:val="00D72CBA"/>
    <w:rsid w:val="00D7301E"/>
    <w:rsid w:val="00D7449C"/>
    <w:rsid w:val="00D83AE1"/>
    <w:rsid w:val="00D854AC"/>
    <w:rsid w:val="00D855D4"/>
    <w:rsid w:val="00D8564C"/>
    <w:rsid w:val="00D902C9"/>
    <w:rsid w:val="00D93466"/>
    <w:rsid w:val="00DA1124"/>
    <w:rsid w:val="00DA5013"/>
    <w:rsid w:val="00DA64CB"/>
    <w:rsid w:val="00DB06B8"/>
    <w:rsid w:val="00DB6124"/>
    <w:rsid w:val="00DB750B"/>
    <w:rsid w:val="00DB75B7"/>
    <w:rsid w:val="00DC0A2F"/>
    <w:rsid w:val="00DC1948"/>
    <w:rsid w:val="00DC6E02"/>
    <w:rsid w:val="00DD28CD"/>
    <w:rsid w:val="00DE02AE"/>
    <w:rsid w:val="00DE0933"/>
    <w:rsid w:val="00DE39D1"/>
    <w:rsid w:val="00DE6B0A"/>
    <w:rsid w:val="00DF1D7F"/>
    <w:rsid w:val="00DF4BE4"/>
    <w:rsid w:val="00DF7C6F"/>
    <w:rsid w:val="00E01B16"/>
    <w:rsid w:val="00E02382"/>
    <w:rsid w:val="00E02FB4"/>
    <w:rsid w:val="00E11571"/>
    <w:rsid w:val="00E13FC7"/>
    <w:rsid w:val="00E20571"/>
    <w:rsid w:val="00E235F7"/>
    <w:rsid w:val="00E23659"/>
    <w:rsid w:val="00E239D4"/>
    <w:rsid w:val="00E24B82"/>
    <w:rsid w:val="00E26130"/>
    <w:rsid w:val="00E31079"/>
    <w:rsid w:val="00E33D42"/>
    <w:rsid w:val="00E40B22"/>
    <w:rsid w:val="00E44ED1"/>
    <w:rsid w:val="00E45619"/>
    <w:rsid w:val="00E4588F"/>
    <w:rsid w:val="00E46DA3"/>
    <w:rsid w:val="00E47607"/>
    <w:rsid w:val="00E5162C"/>
    <w:rsid w:val="00E51BB1"/>
    <w:rsid w:val="00E51FD2"/>
    <w:rsid w:val="00E55CB0"/>
    <w:rsid w:val="00E5B76A"/>
    <w:rsid w:val="00E62492"/>
    <w:rsid w:val="00E624A5"/>
    <w:rsid w:val="00E63461"/>
    <w:rsid w:val="00E64BA4"/>
    <w:rsid w:val="00E7344E"/>
    <w:rsid w:val="00E82665"/>
    <w:rsid w:val="00E877A0"/>
    <w:rsid w:val="00E90005"/>
    <w:rsid w:val="00E912B3"/>
    <w:rsid w:val="00EA0C73"/>
    <w:rsid w:val="00EA39A6"/>
    <w:rsid w:val="00EB0798"/>
    <w:rsid w:val="00EB23E5"/>
    <w:rsid w:val="00EB36D6"/>
    <w:rsid w:val="00EB40AD"/>
    <w:rsid w:val="00EB586E"/>
    <w:rsid w:val="00EB5FC8"/>
    <w:rsid w:val="00EC12FD"/>
    <w:rsid w:val="00EC463D"/>
    <w:rsid w:val="00EC7A85"/>
    <w:rsid w:val="00ED2922"/>
    <w:rsid w:val="00ED3CAD"/>
    <w:rsid w:val="00ED5A41"/>
    <w:rsid w:val="00ED6129"/>
    <w:rsid w:val="00EE1DE8"/>
    <w:rsid w:val="00EE27C2"/>
    <w:rsid w:val="00EE47AB"/>
    <w:rsid w:val="00EE68BF"/>
    <w:rsid w:val="00EF4BAD"/>
    <w:rsid w:val="00EF59DC"/>
    <w:rsid w:val="00F033EC"/>
    <w:rsid w:val="00F0432F"/>
    <w:rsid w:val="00F04CC9"/>
    <w:rsid w:val="00F04F68"/>
    <w:rsid w:val="00F12670"/>
    <w:rsid w:val="00F14B27"/>
    <w:rsid w:val="00F16528"/>
    <w:rsid w:val="00F16C9B"/>
    <w:rsid w:val="00F20ABC"/>
    <w:rsid w:val="00F3148D"/>
    <w:rsid w:val="00F31E0F"/>
    <w:rsid w:val="00F325C5"/>
    <w:rsid w:val="00F32FE0"/>
    <w:rsid w:val="00F35298"/>
    <w:rsid w:val="00F37763"/>
    <w:rsid w:val="00F47333"/>
    <w:rsid w:val="00F47E37"/>
    <w:rsid w:val="00F524CE"/>
    <w:rsid w:val="00F53C07"/>
    <w:rsid w:val="00F54546"/>
    <w:rsid w:val="00F54B65"/>
    <w:rsid w:val="00F61308"/>
    <w:rsid w:val="00F631D3"/>
    <w:rsid w:val="00F63DBF"/>
    <w:rsid w:val="00F63FE9"/>
    <w:rsid w:val="00F640B6"/>
    <w:rsid w:val="00F66DF2"/>
    <w:rsid w:val="00F670A8"/>
    <w:rsid w:val="00F80E40"/>
    <w:rsid w:val="00F848D9"/>
    <w:rsid w:val="00F90360"/>
    <w:rsid w:val="00F931CE"/>
    <w:rsid w:val="00F93AD0"/>
    <w:rsid w:val="00F95EF9"/>
    <w:rsid w:val="00F96359"/>
    <w:rsid w:val="00F97B3C"/>
    <w:rsid w:val="00FA4BBA"/>
    <w:rsid w:val="00FA5069"/>
    <w:rsid w:val="00FA5B82"/>
    <w:rsid w:val="00FA639E"/>
    <w:rsid w:val="00FB5072"/>
    <w:rsid w:val="00FC1FCA"/>
    <w:rsid w:val="00FC25E4"/>
    <w:rsid w:val="00FC4EF7"/>
    <w:rsid w:val="00FC6926"/>
    <w:rsid w:val="00FD0824"/>
    <w:rsid w:val="00FD119B"/>
    <w:rsid w:val="00FD1EDC"/>
    <w:rsid w:val="00FE1DEE"/>
    <w:rsid w:val="00FE6685"/>
    <w:rsid w:val="00FE6FE3"/>
    <w:rsid w:val="00FF2104"/>
    <w:rsid w:val="00FF2126"/>
    <w:rsid w:val="00FF5755"/>
    <w:rsid w:val="00FF69BE"/>
    <w:rsid w:val="00FF7B93"/>
    <w:rsid w:val="011B45BF"/>
    <w:rsid w:val="0328A668"/>
    <w:rsid w:val="06FB46B3"/>
    <w:rsid w:val="07224FE8"/>
    <w:rsid w:val="0A8458A8"/>
    <w:rsid w:val="0B41020C"/>
    <w:rsid w:val="0E2C55A4"/>
    <w:rsid w:val="0E2C9757"/>
    <w:rsid w:val="113AB311"/>
    <w:rsid w:val="1A346E34"/>
    <w:rsid w:val="1DAD0DFB"/>
    <w:rsid w:val="1FEBE27C"/>
    <w:rsid w:val="2E757E0B"/>
    <w:rsid w:val="38642079"/>
    <w:rsid w:val="3DFA8718"/>
    <w:rsid w:val="408181EF"/>
    <w:rsid w:val="42493431"/>
    <w:rsid w:val="4A4CC4F4"/>
    <w:rsid w:val="4B784844"/>
    <w:rsid w:val="54D5AD67"/>
    <w:rsid w:val="576442C1"/>
    <w:rsid w:val="5F7462FF"/>
    <w:rsid w:val="6558EB25"/>
    <w:rsid w:val="6A647630"/>
    <w:rsid w:val="719A187E"/>
    <w:rsid w:val="74C53860"/>
    <w:rsid w:val="760B0B6D"/>
    <w:rsid w:val="7A986047"/>
    <w:rsid w:val="7B580D42"/>
    <w:rsid w:val="7BAE8E7F"/>
    <w:rsid w:val="7E330D1F"/>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4:docId w14:val="1420C9D9"/>
  <w15:docId w15:val="{617D3549-1AA8-4F30-8918-3B783F86E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0" w:defUnhideWhenUsed="0" w:defQFormat="0" w:count="376">
    <w:lsdException w:name="Normal" w:uiPriority="0" w:qFormat="1"/>
    <w:lsdException w:name="heading 1" w:uiPriority="0"/>
    <w:lsdException w:name="heading 2" w:uiPriority="0" w:qFormat="1"/>
    <w:lsdException w:name="heading 3" w:uiPriority="0" w:qFormat="1"/>
    <w:lsdException w:name="heading 4" w:uiPriority="0" w:qFormat="1"/>
    <w:lsdException w:name="heading 5" w:uiPriority="9" w:qFormat="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uiPriority="35"/>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2"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uiPriority="2" w:qFormat="1"/>
    <w:lsdException w:name="List Bullet 3" w:semiHidden="1" w:uiPriority="2"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AD3935"/>
    <w:pPr>
      <w:spacing w:before="120" w:after="120" w:line="240" w:lineRule="atLeast"/>
    </w:pPr>
    <w:rPr>
      <w:rFonts w:ascii="Cambria" w:eastAsia="Cambria" w:hAnsi="Cambria" w:cs="Times New Roman"/>
    </w:rPr>
  </w:style>
  <w:style w:type="paragraph" w:styleId="Heading1">
    <w:name w:val="heading 1"/>
    <w:basedOn w:val="Heading2"/>
    <w:next w:val="Normal"/>
    <w:link w:val="Heading1Char"/>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4722CC"/>
    <w:pPr>
      <w:keepNext/>
      <w:keepLines/>
      <w:spacing w:before="480"/>
      <w:outlineLvl w:val="1"/>
    </w:pPr>
    <w:rPr>
      <w:rFonts w:ascii="Arial" w:eastAsia="Times New Roman" w:hAnsi="Arial"/>
      <w:b/>
      <w:bCs/>
      <w:sz w:val="32"/>
      <w:szCs w:val="26"/>
    </w:rPr>
  </w:style>
  <w:style w:type="paragraph" w:styleId="Heading3">
    <w:name w:val="heading 3"/>
    <w:basedOn w:val="Normal"/>
    <w:next w:val="Normal"/>
    <w:link w:val="Heading3Char"/>
    <w:qFormat/>
    <w:rsid w:val="00EF59DC"/>
    <w:pPr>
      <w:keepNext/>
      <w:keepLines/>
      <w:spacing w:before="480" w:after="0" w:line="220" w:lineRule="atLeast"/>
      <w:outlineLvl w:val="2"/>
    </w:pPr>
    <w:rPr>
      <w:rFonts w:ascii="Arial" w:eastAsia="Times New Roman" w:hAnsi="Arial"/>
      <w:b/>
      <w:bCs/>
      <w:sz w:val="26"/>
      <w:szCs w:val="21"/>
    </w:rPr>
  </w:style>
  <w:style w:type="paragraph" w:styleId="Heading4">
    <w:name w:val="heading 4"/>
    <w:basedOn w:val="Normal"/>
    <w:next w:val="Normal"/>
    <w:link w:val="Heading4Char"/>
    <w:qFormat/>
    <w:rsid w:val="00AD0083"/>
    <w:pPr>
      <w:keepNext/>
      <w:spacing w:before="360" w:after="0" w:line="220" w:lineRule="atLeast"/>
      <w:outlineLvl w:val="3"/>
    </w:pPr>
    <w:rPr>
      <w:b/>
      <w:bCs/>
      <w:szCs w:val="21"/>
    </w:rPr>
  </w:style>
  <w:style w:type="paragraph" w:styleId="Heading5">
    <w:name w:val="heading 5"/>
    <w:basedOn w:val="Normal"/>
    <w:next w:val="Normal"/>
    <w:link w:val="Heading5Char"/>
    <w:qFormat/>
    <w:rsid w:val="004722CC"/>
    <w:pPr>
      <w:keepNext/>
      <w:keepLines/>
      <w:spacing w:line="220" w:lineRule="atLeast"/>
      <w:outlineLvl w:val="4"/>
    </w:pPr>
    <w:rPr>
      <w:rFonts w:eastAsia="Times New Roman"/>
      <w:b/>
      <w:bCs/>
      <w:i/>
      <w:color w:val="001523"/>
      <w:szCs w:val="21"/>
    </w:rPr>
  </w:style>
  <w:style w:type="paragraph" w:styleId="Heading6">
    <w:name w:val="heading 6"/>
    <w:basedOn w:val="Normal"/>
    <w:next w:val="Normal"/>
    <w:link w:val="Heading6Char"/>
    <w:uiPriority w:val="9"/>
    <w:rsid w:val="00577130"/>
    <w:pPr>
      <w:keepNext/>
      <w:spacing w:line="220" w:lineRule="atLeast"/>
      <w:outlineLvl w:val="5"/>
    </w:pPr>
    <w:rPr>
      <w:rFonts w:eastAsia="Times New Roman"/>
      <w:bCs/>
      <w:i/>
      <w:szCs w:val="21"/>
    </w:rPr>
  </w:style>
  <w:style w:type="paragraph" w:styleId="Heading7">
    <w:name w:val="heading 7"/>
    <w:basedOn w:val="Normal"/>
    <w:next w:val="Normal"/>
    <w:link w:val="Heading7Char"/>
    <w:uiPriority w:val="9"/>
    <w:rsid w:val="00770CAC"/>
    <w:pPr>
      <w:keepNext/>
      <w:spacing w:after="60" w:line="180" w:lineRule="atLeast"/>
      <w:outlineLvl w:val="6"/>
    </w:pPr>
    <w:rPr>
      <w:rFonts w:eastAsia="Times New Roman"/>
      <w:bCs/>
      <w:sz w:val="20"/>
      <w:szCs w:val="24"/>
    </w:rPr>
  </w:style>
  <w:style w:type="paragraph" w:styleId="Heading8">
    <w:name w:val="heading 8"/>
    <w:basedOn w:val="Normal"/>
    <w:next w:val="Normal"/>
    <w:link w:val="Heading8Char"/>
    <w:uiPriority w:val="9"/>
    <w:semiHidden/>
    <w:unhideWhenUsed/>
    <w:qFormat/>
    <w:rsid w:val="009F0415"/>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AD3935"/>
    <w:rPr>
      <w:rFonts w:ascii="Arial" w:eastAsia="Times New Roman" w:hAnsi="Arial" w:cs="Times New Roman"/>
      <w:b/>
      <w:bCs/>
      <w:sz w:val="32"/>
      <w:szCs w:val="26"/>
    </w:rPr>
  </w:style>
  <w:style w:type="character" w:customStyle="1" w:styleId="Heading3Char">
    <w:name w:val="Heading 3 Char"/>
    <w:basedOn w:val="DefaultParagraphFont"/>
    <w:link w:val="Heading3"/>
    <w:rsid w:val="00EF59DC"/>
    <w:rPr>
      <w:rFonts w:ascii="Arial" w:eastAsia="Times New Roman" w:hAnsi="Arial" w:cs="Times New Roman"/>
      <w:b/>
      <w:bCs/>
      <w:sz w:val="26"/>
      <w:szCs w:val="21"/>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9556D7"/>
    <w:pPr>
      <w:framePr w:hSpace="180" w:wrap="around" w:vAnchor="text" w:hAnchor="margin" w:y="9863"/>
      <w:suppressOverlap/>
    </w:pPr>
    <w:rPr>
      <w:rFonts w:ascii="Arial" w:hAnsi="Arial" w:cs="Arial"/>
      <w:b/>
      <w:color w:val="002C47"/>
      <w:sz w:val="36"/>
      <w:szCs w:val="36"/>
    </w:rPr>
  </w:style>
  <w:style w:type="character" w:customStyle="1" w:styleId="DateChar">
    <w:name w:val="Date Char"/>
    <w:basedOn w:val="DefaultParagraphFont"/>
    <w:link w:val="Date"/>
    <w:uiPriority w:val="99"/>
    <w:rsid w:val="009556D7"/>
    <w:rPr>
      <w:rFonts w:ascii="Arial" w:eastAsia="Cambria" w:hAnsi="Arial" w:cs="Arial"/>
      <w:b/>
      <w:color w:val="002C47"/>
      <w:sz w:val="36"/>
      <w:szCs w:val="36"/>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1B5C90"/>
    <w:pPr>
      <w:keepNext/>
      <w:spacing w:line="220" w:lineRule="atLeast"/>
    </w:pPr>
    <w:rPr>
      <w:b/>
    </w:rPr>
  </w:style>
  <w:style w:type="character" w:customStyle="1" w:styleId="Heading4Char">
    <w:name w:val="Heading 4 Char"/>
    <w:basedOn w:val="DefaultParagraphFont"/>
    <w:link w:val="Heading4"/>
    <w:rsid w:val="00AD3935"/>
    <w:rPr>
      <w:rFonts w:ascii="Cambria" w:eastAsia="Cambria" w:hAnsi="Cambria" w:cs="Times New Roman"/>
      <w:b/>
      <w:bCs/>
      <w:szCs w:val="21"/>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AD393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57713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70CAC"/>
    <w:rPr>
      <w:rFonts w:ascii="Cambria" w:eastAsia="Times New Roman" w:hAnsi="Cambria" w:cs="Times New Roman"/>
      <w:bCs/>
      <w:sz w:val="20"/>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C74F5C"/>
    <w:pPr>
      <w:outlineLvl w:val="1"/>
    </w:pPr>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21"/>
      </w:numPr>
    </w:pPr>
  </w:style>
  <w:style w:type="paragraph" w:styleId="ListBullet2">
    <w:name w:val="List Bullet 2"/>
    <w:basedOn w:val="Normal"/>
    <w:uiPriority w:val="2"/>
    <w:qFormat/>
    <w:rsid w:val="004C2DCA"/>
    <w:pPr>
      <w:numPr>
        <w:ilvl w:val="1"/>
        <w:numId w:val="21"/>
      </w:numPr>
    </w:pPr>
  </w:style>
  <w:style w:type="paragraph" w:styleId="ListBullet3">
    <w:name w:val="List Bullet 3"/>
    <w:basedOn w:val="Normal"/>
    <w:uiPriority w:val="2"/>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C74F5C"/>
    <w:pPr>
      <w:spacing w:before="240"/>
      <w:outlineLvl w:val="1"/>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uiPriority w:val="2"/>
    <w:qFormat/>
    <w:rsid w:val="004C2DCA"/>
    <w:pPr>
      <w:numPr>
        <w:numId w:val="24"/>
      </w:numPr>
    </w:pPr>
  </w:style>
  <w:style w:type="paragraph" w:customStyle="1" w:styleId="Numberbullet2">
    <w:name w:val="Number bullet 2"/>
    <w:basedOn w:val="ListBullet2"/>
    <w:uiPriority w:val="2"/>
    <w:qFormat/>
    <w:rsid w:val="004C2DCA"/>
    <w:pPr>
      <w:numPr>
        <w:numId w:val="24"/>
      </w:numPr>
    </w:pPr>
  </w:style>
  <w:style w:type="paragraph" w:customStyle="1" w:styleId="Numberbullet3">
    <w:name w:val="Number bullet 3"/>
    <w:basedOn w:val="ListBullet3"/>
    <w:uiPriority w:val="2"/>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9556D7"/>
    <w:pPr>
      <w:framePr w:hSpace="180" w:wrap="around" w:vAnchor="page" w:hAnchor="text" w:y="3316"/>
      <w:numPr>
        <w:ilvl w:val="1"/>
      </w:numPr>
      <w:spacing w:after="360"/>
      <w:ind w:left="170"/>
    </w:pPr>
    <w:rPr>
      <w:rFonts w:ascii="Arial" w:eastAsia="Times New Roman" w:hAnsi="Arial"/>
      <w:bCs/>
      <w:iCs/>
      <w:color w:val="FFFFFF" w:themeColor="background1"/>
      <w:sz w:val="40"/>
      <w:szCs w:val="24"/>
    </w:rPr>
  </w:style>
  <w:style w:type="character" w:customStyle="1" w:styleId="SubtitleChar">
    <w:name w:val="Subtitle Char"/>
    <w:basedOn w:val="DefaultParagraphFont"/>
    <w:link w:val="Subtitle"/>
    <w:uiPriority w:val="11"/>
    <w:rsid w:val="009556D7"/>
    <w:rPr>
      <w:rFonts w:ascii="Arial" w:eastAsia="Times New Roman" w:hAnsi="Arial" w:cs="Times New Roman"/>
      <w:bCs/>
      <w:iCs/>
      <w:color w:val="FFFFFF" w:themeColor="background1"/>
      <w:sz w:val="40"/>
      <w:szCs w:val="24"/>
    </w:rPr>
  </w:style>
  <w:style w:type="paragraph" w:customStyle="1" w:styleId="TableDescription">
    <w:name w:val="Table Description"/>
    <w:basedOn w:val="FigureDescription"/>
    <w:rsid w:val="00500337"/>
    <w:pPr>
      <w:spacing w:line="240" w:lineRule="auto"/>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link w:val="TabletextChar"/>
    <w:qFormat/>
    <w:rsid w:val="00F3148D"/>
    <w:rPr>
      <w:sz w:val="19"/>
    </w:rPr>
  </w:style>
  <w:style w:type="table" w:customStyle="1" w:styleId="TableTGAblue">
    <w:name w:val="Table TGA blue"/>
    <w:basedOn w:val="TableNormal"/>
    <w:uiPriority w:val="99"/>
    <w:qFormat/>
    <w:rsid w:val="00FD119B"/>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keepNext/>
        <w:wordWrap/>
      </w:pPr>
      <w:rPr>
        <w:rFonts w:ascii="Cambria" w:hAnsi="Cambria"/>
        <w:b/>
        <w:color w:val="FFFFFF" w:themeColor="background1"/>
        <w:sz w:val="22"/>
      </w:rPr>
      <w:tblPr/>
      <w:trPr>
        <w:tblHeader/>
      </w:tr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style>
  <w:style w:type="table" w:customStyle="1" w:styleId="TableTGAblack">
    <w:name w:val="Table TGA black"/>
    <w:basedOn w:val="TableNormal"/>
    <w:uiPriority w:val="99"/>
    <w:rsid w:val="00EE1DE8"/>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neCell">
      <w:rPr>
        <w:b w:val="0"/>
        <w:i w:val="0"/>
      </w:rPr>
    </w:tblStylePr>
    <w:tblStylePr w:type="nwCell">
      <w:rPr>
        <w:rFonts w:ascii="Cambria" w:hAnsi="Cambria"/>
        <w:b/>
        <w:i w:val="0"/>
        <w:color w:val="FFFFFF"/>
        <w:sz w:val="22"/>
      </w:rPr>
    </w:tblStylePr>
  </w:style>
  <w:style w:type="paragraph" w:customStyle="1" w:styleId="TableTitle">
    <w:name w:val="Table Title"/>
    <w:basedOn w:val="Normal"/>
    <w:rsid w:val="002E40B3"/>
    <w:pPr>
      <w:keepNext/>
    </w:pPr>
    <w:rPr>
      <w:b/>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9556D7"/>
    <w:pPr>
      <w:framePr w:hSpace="180" w:wrap="around" w:vAnchor="page" w:hAnchor="text" w:y="3316"/>
      <w:spacing w:after="480" w:line="240" w:lineRule="auto"/>
      <w:contextualSpacing/>
      <w:outlineLvl w:val="0"/>
    </w:pPr>
    <w:rPr>
      <w:rFonts w:ascii="Arial" w:eastAsia="Times New Roman" w:hAnsi="Arial" w:cs="Times New Roman"/>
      <w:color w:val="FFFFFF" w:themeColor="background1"/>
      <w:spacing w:val="5"/>
      <w:kern w:val="28"/>
      <w:sz w:val="52"/>
      <w:szCs w:val="52"/>
    </w:rPr>
  </w:style>
  <w:style w:type="character" w:customStyle="1" w:styleId="TitleChar">
    <w:name w:val="Title Char"/>
    <w:basedOn w:val="DefaultParagraphFont"/>
    <w:link w:val="Title"/>
    <w:uiPriority w:val="10"/>
    <w:rsid w:val="009556D7"/>
    <w:rPr>
      <w:rFonts w:ascii="Arial" w:eastAsia="Times New Roman" w:hAnsi="Arial" w:cs="Times New Roman"/>
      <w:color w:val="FFFFFF" w:themeColor="background1"/>
      <w:spacing w:val="5"/>
      <w:kern w:val="28"/>
      <w:sz w:val="52"/>
      <w:szCs w:val="52"/>
    </w:rPr>
  </w:style>
  <w:style w:type="paragraph" w:styleId="TOC1">
    <w:name w:val="toc 1"/>
    <w:basedOn w:val="Normal"/>
    <w:next w:val="Normal"/>
    <w:uiPriority w:val="39"/>
    <w:rsid w:val="00F3148D"/>
    <w:pPr>
      <w:tabs>
        <w:tab w:val="right" w:pos="8505"/>
      </w:tabs>
      <w:spacing w:after="200"/>
    </w:pPr>
    <w:rPr>
      <w:rFonts w:ascii="Arial" w:hAnsi="Arial"/>
      <w:b/>
      <w:sz w:val="32"/>
    </w:rPr>
  </w:style>
  <w:style w:type="paragraph" w:styleId="TOC2">
    <w:name w:val="toc 2"/>
    <w:basedOn w:val="Normal"/>
    <w:next w:val="Normal"/>
    <w:uiPriority w:val="39"/>
    <w:rsid w:val="00F3148D"/>
    <w:pPr>
      <w:tabs>
        <w:tab w:val="right" w:leader="underscore" w:pos="8505"/>
      </w:tabs>
      <w:spacing w:after="100"/>
      <w:ind w:left="624"/>
    </w:pPr>
    <w:rPr>
      <w:b/>
      <w:sz w:val="25"/>
    </w:rPr>
  </w:style>
  <w:style w:type="paragraph" w:styleId="TOC3">
    <w:name w:val="toc 3"/>
    <w:basedOn w:val="Normal"/>
    <w:next w:val="Normal"/>
    <w:uiPriority w:val="39"/>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styleId="FootnoteText">
    <w:name w:val="footnote text"/>
    <w:basedOn w:val="Normal"/>
    <w:link w:val="FootnoteTextChar"/>
    <w:uiPriority w:val="99"/>
    <w:unhideWhenUsed/>
    <w:rsid w:val="001B5C90"/>
    <w:pPr>
      <w:spacing w:before="0" w:after="0" w:line="240" w:lineRule="auto"/>
    </w:pPr>
    <w:rPr>
      <w:sz w:val="18"/>
      <w:szCs w:val="20"/>
    </w:rPr>
  </w:style>
  <w:style w:type="character" w:customStyle="1" w:styleId="FootnoteTextChar">
    <w:name w:val="Footnote Text Char"/>
    <w:basedOn w:val="DefaultParagraphFont"/>
    <w:link w:val="FootnoteText"/>
    <w:uiPriority w:val="99"/>
    <w:rsid w:val="001B5C90"/>
    <w:rPr>
      <w:rFonts w:ascii="Cambria" w:eastAsia="Cambria" w:hAnsi="Cambria" w:cs="Times New Roman"/>
      <w:sz w:val="18"/>
      <w:szCs w:val="20"/>
    </w:rPr>
  </w:style>
  <w:style w:type="character" w:styleId="FootnoteReference">
    <w:name w:val="footnote reference"/>
    <w:basedOn w:val="DefaultParagraphFont"/>
    <w:uiPriority w:val="99"/>
    <w:unhideWhenUsed/>
    <w:rsid w:val="001B5C90"/>
    <w:rPr>
      <w:vertAlign w:val="superscript"/>
    </w:rPr>
  </w:style>
  <w:style w:type="paragraph" w:customStyle="1" w:styleId="Quotation">
    <w:name w:val="Quotation"/>
    <w:basedOn w:val="Normal"/>
    <w:next w:val="Normal"/>
    <w:uiPriority w:val="4"/>
    <w:qFormat/>
    <w:rsid w:val="00E13FC7"/>
    <w:pPr>
      <w:spacing w:after="180"/>
      <w:ind w:left="425"/>
    </w:pPr>
    <w:rPr>
      <w:rFonts w:eastAsiaTheme="minorEastAsia" w:cstheme="minorBidi"/>
      <w:sz w:val="20"/>
      <w:lang w:eastAsia="zh-TW"/>
    </w:rPr>
  </w:style>
  <w:style w:type="paragraph" w:customStyle="1" w:styleId="Comment">
    <w:name w:val="Comment"/>
    <w:basedOn w:val="Normal"/>
    <w:next w:val="Normal"/>
    <w:uiPriority w:val="1"/>
    <w:qFormat/>
    <w:rsid w:val="00DD28CD"/>
    <w:pPr>
      <w:ind w:left="992" w:hanging="992"/>
    </w:pPr>
  </w:style>
  <w:style w:type="paragraph" w:styleId="EndnoteText">
    <w:name w:val="endnote text"/>
    <w:basedOn w:val="Normal"/>
    <w:link w:val="EndnoteTextChar"/>
    <w:semiHidden/>
    <w:unhideWhenUsed/>
    <w:rsid w:val="000E6196"/>
    <w:pPr>
      <w:spacing w:before="0" w:after="0" w:line="240" w:lineRule="auto"/>
    </w:pPr>
    <w:rPr>
      <w:sz w:val="20"/>
      <w:szCs w:val="20"/>
    </w:rPr>
  </w:style>
  <w:style w:type="character" w:customStyle="1" w:styleId="EndnoteTextChar">
    <w:name w:val="Endnote Text Char"/>
    <w:basedOn w:val="DefaultParagraphFont"/>
    <w:link w:val="EndnoteText"/>
    <w:semiHidden/>
    <w:rsid w:val="000E6196"/>
    <w:rPr>
      <w:rFonts w:ascii="Cambria" w:eastAsia="Cambria" w:hAnsi="Cambria" w:cs="Times New Roman"/>
      <w:sz w:val="20"/>
      <w:szCs w:val="20"/>
    </w:rPr>
  </w:style>
  <w:style w:type="character" w:styleId="EndnoteReference">
    <w:name w:val="endnote reference"/>
    <w:basedOn w:val="DefaultParagraphFont"/>
    <w:uiPriority w:val="99"/>
    <w:semiHidden/>
    <w:unhideWhenUsed/>
    <w:rsid w:val="000E6196"/>
    <w:rPr>
      <w:vertAlign w:val="superscript"/>
    </w:rPr>
  </w:style>
  <w:style w:type="character" w:styleId="CommentReference">
    <w:name w:val="annotation reference"/>
    <w:basedOn w:val="DefaultParagraphFont"/>
    <w:uiPriority w:val="99"/>
    <w:semiHidden/>
    <w:unhideWhenUsed/>
    <w:rsid w:val="00EC463D"/>
    <w:rPr>
      <w:sz w:val="16"/>
      <w:szCs w:val="16"/>
    </w:rPr>
  </w:style>
  <w:style w:type="paragraph" w:styleId="CommentText">
    <w:name w:val="annotation text"/>
    <w:basedOn w:val="Normal"/>
    <w:link w:val="CommentTextChar"/>
    <w:uiPriority w:val="99"/>
    <w:unhideWhenUsed/>
    <w:rsid w:val="00EC463D"/>
    <w:pPr>
      <w:spacing w:line="240" w:lineRule="auto"/>
    </w:pPr>
    <w:rPr>
      <w:sz w:val="20"/>
      <w:szCs w:val="20"/>
    </w:rPr>
  </w:style>
  <w:style w:type="character" w:customStyle="1" w:styleId="CommentTextChar">
    <w:name w:val="Comment Text Char"/>
    <w:basedOn w:val="DefaultParagraphFont"/>
    <w:link w:val="CommentText"/>
    <w:uiPriority w:val="99"/>
    <w:rsid w:val="00EC463D"/>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EC463D"/>
    <w:rPr>
      <w:b/>
      <w:bCs/>
    </w:rPr>
  </w:style>
  <w:style w:type="character" w:customStyle="1" w:styleId="CommentSubjectChar">
    <w:name w:val="Comment Subject Char"/>
    <w:basedOn w:val="CommentTextChar"/>
    <w:link w:val="CommentSubject"/>
    <w:uiPriority w:val="99"/>
    <w:semiHidden/>
    <w:rsid w:val="00EC463D"/>
    <w:rPr>
      <w:rFonts w:ascii="Cambria" w:eastAsia="Cambria" w:hAnsi="Cambria" w:cs="Times New Roman"/>
      <w:b/>
      <w:bCs/>
      <w:sz w:val="20"/>
      <w:szCs w:val="20"/>
    </w:rPr>
  </w:style>
  <w:style w:type="paragraph" w:styleId="Revision">
    <w:name w:val="Revision"/>
    <w:hidden/>
    <w:uiPriority w:val="99"/>
    <w:semiHidden/>
    <w:rsid w:val="003442FD"/>
    <w:pPr>
      <w:spacing w:after="0" w:line="240" w:lineRule="auto"/>
    </w:pPr>
    <w:rPr>
      <w:rFonts w:ascii="Cambria" w:eastAsia="Cambria" w:hAnsi="Cambria" w:cs="Times New Roman"/>
    </w:rPr>
  </w:style>
  <w:style w:type="paragraph" w:customStyle="1" w:styleId="Instructions">
    <w:name w:val="Instructions"/>
    <w:basedOn w:val="Normal"/>
    <w:next w:val="Normal"/>
    <w:uiPriority w:val="1"/>
    <w:qFormat/>
    <w:rsid w:val="00EE27C2"/>
    <w:rPr>
      <w:i/>
      <w:color w:val="007099"/>
    </w:rPr>
  </w:style>
  <w:style w:type="paragraph" w:customStyle="1" w:styleId="Tabletitle0">
    <w:name w:val="Table title"/>
    <w:basedOn w:val="Normal"/>
    <w:next w:val="Normal"/>
    <w:rsid w:val="009F2673"/>
    <w:pPr>
      <w:keepNext/>
      <w:spacing w:after="180"/>
    </w:pPr>
    <w:rPr>
      <w:b/>
      <w:szCs w:val="20"/>
    </w:rPr>
  </w:style>
  <w:style w:type="character" w:customStyle="1" w:styleId="UnresolvedMention1">
    <w:name w:val="Unresolved Mention1"/>
    <w:basedOn w:val="DefaultParagraphFont"/>
    <w:uiPriority w:val="99"/>
    <w:unhideWhenUsed/>
    <w:rsid w:val="009F2673"/>
    <w:rPr>
      <w:color w:val="605E5C"/>
      <w:shd w:val="clear" w:color="auto" w:fill="E1DFDD"/>
    </w:rPr>
  </w:style>
  <w:style w:type="paragraph" w:customStyle="1" w:styleId="Standard">
    <w:name w:val="Standard"/>
    <w:basedOn w:val="Normal"/>
    <w:link w:val="StandardChar"/>
    <w:qFormat/>
    <w:rsid w:val="00F54546"/>
    <w:pPr>
      <w:spacing w:before="0" w:after="220" w:line="252" w:lineRule="auto"/>
    </w:pPr>
    <w:rPr>
      <w:rFonts w:eastAsia="Times New Roman"/>
      <w:snapToGrid w:val="0"/>
      <w:kern w:val="16"/>
      <w:sz w:val="23"/>
      <w:szCs w:val="24"/>
    </w:rPr>
  </w:style>
  <w:style w:type="character" w:customStyle="1" w:styleId="StandardChar">
    <w:name w:val="Standard Char"/>
    <w:basedOn w:val="DefaultParagraphFont"/>
    <w:link w:val="Standard"/>
    <w:rsid w:val="00F54546"/>
    <w:rPr>
      <w:rFonts w:ascii="Cambria" w:eastAsia="Times New Roman" w:hAnsi="Cambria" w:cs="Times New Roman"/>
      <w:snapToGrid w:val="0"/>
      <w:kern w:val="16"/>
      <w:sz w:val="23"/>
      <w:szCs w:val="24"/>
    </w:rPr>
  </w:style>
  <w:style w:type="paragraph" w:customStyle="1" w:styleId="TableText0">
    <w:name w:val="Table Text"/>
    <w:basedOn w:val="Normal"/>
    <w:next w:val="Normal"/>
    <w:rsid w:val="004C11E2"/>
    <w:pPr>
      <w:spacing w:before="60" w:after="60" w:line="259" w:lineRule="auto"/>
    </w:pPr>
    <w:rPr>
      <w:rFonts w:asciiTheme="minorHAnsi" w:eastAsia="Times New Roman" w:hAnsiTheme="minorHAnsi"/>
      <w:sz w:val="18"/>
      <w:szCs w:val="20"/>
    </w:rPr>
  </w:style>
  <w:style w:type="character" w:customStyle="1" w:styleId="TabletextChar">
    <w:name w:val="Table text Char"/>
    <w:basedOn w:val="DefaultParagraphFont"/>
    <w:link w:val="Tabletext"/>
    <w:rsid w:val="004C11E2"/>
    <w:rPr>
      <w:rFonts w:ascii="Cambria" w:eastAsia="Cambria" w:hAnsi="Cambria" w:cs="Times New Roman"/>
      <w:sz w:val="19"/>
    </w:rPr>
  </w:style>
  <w:style w:type="paragraph" w:customStyle="1" w:styleId="Bulletlist">
    <w:name w:val="Bullet list"/>
    <w:basedOn w:val="Standard"/>
    <w:link w:val="BulletlistChar"/>
    <w:qFormat/>
    <w:rsid w:val="0011644E"/>
    <w:pPr>
      <w:numPr>
        <w:numId w:val="37"/>
      </w:numPr>
      <w:spacing w:after="180"/>
      <w:ind w:left="426" w:hanging="284"/>
    </w:pPr>
    <w:rPr>
      <w:kern w:val="2"/>
    </w:rPr>
  </w:style>
  <w:style w:type="character" w:customStyle="1" w:styleId="BulletlistChar">
    <w:name w:val="Bullet list Char"/>
    <w:basedOn w:val="StandardChar"/>
    <w:link w:val="Bulletlist"/>
    <w:rsid w:val="0011644E"/>
    <w:rPr>
      <w:rFonts w:ascii="Cambria" w:eastAsia="Times New Roman" w:hAnsi="Cambria" w:cs="Times New Roman"/>
      <w:snapToGrid w:val="0"/>
      <w:kern w:val="2"/>
      <w:sz w:val="23"/>
      <w:szCs w:val="24"/>
    </w:rPr>
  </w:style>
  <w:style w:type="character" w:customStyle="1" w:styleId="Heading8Char">
    <w:name w:val="Heading 8 Char"/>
    <w:basedOn w:val="DefaultParagraphFont"/>
    <w:link w:val="Heading8"/>
    <w:uiPriority w:val="9"/>
    <w:semiHidden/>
    <w:rsid w:val="009F0415"/>
    <w:rPr>
      <w:rFonts w:asciiTheme="majorHAnsi" w:eastAsiaTheme="majorEastAsia" w:hAnsiTheme="majorHAnsi" w:cstheme="majorBidi"/>
      <w:color w:val="272727" w:themeColor="text1" w:themeTint="D8"/>
      <w:sz w:val="21"/>
      <w:szCs w:val="21"/>
    </w:rPr>
  </w:style>
  <w:style w:type="character" w:customStyle="1" w:styleId="Mention1">
    <w:name w:val="Mention1"/>
    <w:basedOn w:val="DefaultParagraphFont"/>
    <w:uiPriority w:val="99"/>
    <w:unhideWhenUsed/>
    <w:rsid w:val="00B253C1"/>
    <w:rPr>
      <w:color w:val="2B579A"/>
      <w:shd w:val="clear" w:color="auto" w:fill="E1DFDD"/>
    </w:rPr>
  </w:style>
  <w:style w:type="paragraph" w:styleId="NormalWeb">
    <w:name w:val="Normal (Web)"/>
    <w:basedOn w:val="Normal"/>
    <w:uiPriority w:val="99"/>
    <w:semiHidden/>
    <w:unhideWhenUsed/>
    <w:rsid w:val="00047D94"/>
    <w:pPr>
      <w:spacing w:before="100" w:beforeAutospacing="1" w:after="100" w:afterAutospacing="1" w:line="240" w:lineRule="auto"/>
    </w:pPr>
    <w:rPr>
      <w:rFonts w:ascii="Times New Roman" w:eastAsia="Times New Roman" w:hAnsi="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4289732">
      <w:bodyDiv w:val="1"/>
      <w:marLeft w:val="0"/>
      <w:marRight w:val="0"/>
      <w:marTop w:val="0"/>
      <w:marBottom w:val="0"/>
      <w:divBdr>
        <w:top w:val="none" w:sz="0" w:space="0" w:color="auto"/>
        <w:left w:val="none" w:sz="0" w:space="0" w:color="auto"/>
        <w:bottom w:val="none" w:sz="0" w:space="0" w:color="auto"/>
        <w:right w:val="none" w:sz="0" w:space="0" w:color="auto"/>
      </w:divBdr>
    </w:div>
    <w:div w:id="898705798">
      <w:bodyDiv w:val="1"/>
      <w:marLeft w:val="0"/>
      <w:marRight w:val="0"/>
      <w:marTop w:val="0"/>
      <w:marBottom w:val="0"/>
      <w:divBdr>
        <w:top w:val="none" w:sz="0" w:space="0" w:color="auto"/>
        <w:left w:val="none" w:sz="0" w:space="0" w:color="auto"/>
        <w:bottom w:val="none" w:sz="0" w:space="0" w:color="auto"/>
        <w:right w:val="none" w:sz="0" w:space="0" w:color="auto"/>
      </w:divBdr>
    </w:div>
    <w:div w:id="1273443508">
      <w:bodyDiv w:val="1"/>
      <w:marLeft w:val="0"/>
      <w:marRight w:val="0"/>
      <w:marTop w:val="0"/>
      <w:marBottom w:val="0"/>
      <w:divBdr>
        <w:top w:val="none" w:sz="0" w:space="0" w:color="auto"/>
        <w:left w:val="none" w:sz="0" w:space="0" w:color="auto"/>
        <w:bottom w:val="none" w:sz="0" w:space="0" w:color="auto"/>
        <w:right w:val="none" w:sz="0" w:space="0" w:color="auto"/>
      </w:divBdr>
    </w:div>
    <w:div w:id="1602449501">
      <w:bodyDiv w:val="1"/>
      <w:marLeft w:val="0"/>
      <w:marRight w:val="0"/>
      <w:marTop w:val="0"/>
      <w:marBottom w:val="0"/>
      <w:divBdr>
        <w:top w:val="none" w:sz="0" w:space="0" w:color="auto"/>
        <w:left w:val="none" w:sz="0" w:space="0" w:color="auto"/>
        <w:bottom w:val="none" w:sz="0" w:space="0" w:color="auto"/>
        <w:right w:val="none" w:sz="0" w:space="0" w:color="auto"/>
      </w:divBdr>
    </w:div>
    <w:div w:id="1667856652">
      <w:bodyDiv w:val="1"/>
      <w:marLeft w:val="0"/>
      <w:marRight w:val="0"/>
      <w:marTop w:val="0"/>
      <w:marBottom w:val="0"/>
      <w:divBdr>
        <w:top w:val="none" w:sz="0" w:space="0" w:color="auto"/>
        <w:left w:val="none" w:sz="0" w:space="0" w:color="auto"/>
        <w:bottom w:val="none" w:sz="0" w:space="0" w:color="auto"/>
        <w:right w:val="none" w:sz="0" w:space="0" w:color="auto"/>
      </w:divBdr>
    </w:div>
    <w:div w:id="1878739786">
      <w:bodyDiv w:val="1"/>
      <w:marLeft w:val="0"/>
      <w:marRight w:val="0"/>
      <w:marTop w:val="0"/>
      <w:marBottom w:val="0"/>
      <w:divBdr>
        <w:top w:val="none" w:sz="0" w:space="0" w:color="auto"/>
        <w:left w:val="none" w:sz="0" w:space="0" w:color="auto"/>
        <w:bottom w:val="none" w:sz="0" w:space="0" w:color="auto"/>
        <w:right w:val="none" w:sz="0" w:space="0" w:color="auto"/>
      </w:divBdr>
    </w:div>
    <w:div w:id="2059670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tga.copyright@tga.gov.au" TargetMode="External"/><Relationship Id="rId18" Type="http://schemas.openxmlformats.org/officeDocument/2006/relationships/hyperlink" Target="https://www.tga.gov.au/picmi-search-facility" TargetMode="External"/><Relationship Id="rId26" Type="http://schemas.openxmlformats.org/officeDocument/2006/relationships/image" Target="media/image7.emf"/><Relationship Id="rId39" Type="http://schemas.openxmlformats.org/officeDocument/2006/relationships/image" Target="media/image20.png"/><Relationship Id="rId21" Type="http://schemas.openxmlformats.org/officeDocument/2006/relationships/image" Target="media/image2.emf"/><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44.png"/><Relationship Id="rId68" Type="http://schemas.openxmlformats.org/officeDocument/2006/relationships/image" Target="media/image49.png"/><Relationship Id="rId76" Type="http://schemas.openxmlformats.org/officeDocument/2006/relationships/hyperlink" Target="https://www.tga.gov.au/form/certified-product-details-cpd-biologicalprescriptionmedicines" TargetMode="External"/><Relationship Id="rId84" Type="http://schemas.openxmlformats.org/officeDocument/2006/relationships/header" Target="header6.xml"/><Relationship Id="rId89"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2.png"/><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0.png"/><Relationship Id="rId11" Type="http://schemas.openxmlformats.org/officeDocument/2006/relationships/hyperlink" Target="https://www.tga.gov.au"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emf"/><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emf"/><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hyperlink" Target="https://www.tga.gov.au/committee/advisory-committee-vaccines-acv" TargetMode="External"/><Relationship Id="rId79" Type="http://schemas.openxmlformats.org/officeDocument/2006/relationships/header" Target="header4.xml"/><Relationship Id="rId87" Type="http://schemas.openxmlformats.org/officeDocument/2006/relationships/header" Target="header8.xml"/><Relationship Id="rId5" Type="http://schemas.openxmlformats.org/officeDocument/2006/relationships/numbering" Target="numbering.xml"/><Relationship Id="rId61" Type="http://schemas.openxmlformats.org/officeDocument/2006/relationships/image" Target="media/image42.png"/><Relationship Id="rId82" Type="http://schemas.openxmlformats.org/officeDocument/2006/relationships/hyperlink" Target="mailto:info@tga.gov.au" TargetMode="External"/><Relationship Id="rId90" Type="http://schemas.openxmlformats.org/officeDocument/2006/relationships/theme" Target="theme/theme1.xml"/><Relationship Id="rId19" Type="http://schemas.openxmlformats.org/officeDocument/2006/relationships/hyperlink" Target="https://www.tga.gov.au/guidance-7-certified-product-detail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3.emf"/><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emf"/><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hyperlink" Target="https://www.tga.gov.au/picmi-search-facility" TargetMode="External"/><Relationship Id="rId8" Type="http://schemas.openxmlformats.org/officeDocument/2006/relationships/webSettings" Target="webSettings.xml"/><Relationship Id="rId51" Type="http://schemas.openxmlformats.org/officeDocument/2006/relationships/image" Target="media/image32.emf"/><Relationship Id="rId72" Type="http://schemas.openxmlformats.org/officeDocument/2006/relationships/hyperlink" Target="https://www.tga.gov.au/publication/risk-management-plans-medicines-and-biologicals" TargetMode="External"/><Relationship Id="rId80" Type="http://schemas.openxmlformats.org/officeDocument/2006/relationships/header" Target="header5.xml"/><Relationship Id="rId85" Type="http://schemas.openxmlformats.org/officeDocument/2006/relationships/header" Target="header7.xml"/><Relationship Id="rId3" Type="http://schemas.openxmlformats.org/officeDocument/2006/relationships/customXml" Target="../customXml/item3.xml"/><Relationship Id="rId12" Type="http://schemas.openxmlformats.org/officeDocument/2006/relationships/hyperlink" Target="https://www.tga.gov.au/australian-public-assessment-report-auspar-guidance" TargetMode="External"/><Relationship Id="rId17" Type="http://schemas.openxmlformats.org/officeDocument/2006/relationships/hyperlink" Target="https://www.tga.gov.au/black-triangle-scheme"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hyperlink" Target="https://www.tga.gov.au/form/certified-product-details-cpd-biological-prescription-medicines" TargetMode="External"/><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hyperlink" Target="https://www.tga.gov.au/guidance-7-certified-product-details" TargetMode="External"/><Relationship Id="rId83" Type="http://schemas.openxmlformats.org/officeDocument/2006/relationships/hyperlink" Target="https://www.tga.gov.au" TargetMode="External"/><Relationship Id="rId88"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4.emf"/><Relationship Id="rId28" Type="http://schemas.openxmlformats.org/officeDocument/2006/relationships/image" Target="media/image9.png"/><Relationship Id="rId36" Type="http://schemas.openxmlformats.org/officeDocument/2006/relationships/image" Target="media/image17.emf"/><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endnotes" Target="endnotes.xml"/><Relationship Id="rId31" Type="http://schemas.openxmlformats.org/officeDocument/2006/relationships/image" Target="media/image12.emf"/><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hyperlink" Target="https://www.tga.gov.au/tgas-risk-management-approach" TargetMode="External"/><Relationship Id="rId78" Type="http://schemas.openxmlformats.org/officeDocument/2006/relationships/header" Target="header3.xml"/><Relationship Id="rId81" Type="http://schemas.openxmlformats.org/officeDocument/2006/relationships/footer" Target="footer2.xml"/><Relationship Id="rId86" Type="http://schemas.openxmlformats.org/officeDocument/2006/relationships/footer" Target="footer3.xml"/></Relationships>
</file>

<file path=word/_rels/footnotes.xml.rels><?xml version="1.0" encoding="UTF-8" standalone="yes"?>
<Relationships xmlns="http://schemas.openxmlformats.org/package/2006/relationships"><Relationship Id="rId1" Type="http://schemas.openxmlformats.org/officeDocument/2006/relationships/hyperlink" Target="https://www1.health.gov.au/internet/main/publishing.nsf/Content/75F30C0D2C126CAECA2583940015EDE3/$File/invasive_pneumococcal_disease_surveillance_1_july_to_30_september_2018.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rimary_x0020_Group xmlns="95306488-dddb-44cd-b83e-3ac0d7f6bf6c" xsi:nil="true"/>
    <Product_x0020_Code xmlns="95306488-dddb-44cd-b83e-3ac0d7f6bf6c" xsi:nil="true"/>
    <Document_x0020_Title xmlns="95306488-dddb-44cd-b83e-3ac0d7f6bf6c" xsi:nil="true"/>
    <Artifact_x0020_Name xmlns="95306488-dddb-44cd-b83e-3ac0d7f6bf6c" xsi:nil="true"/>
    <dctm_isservice xmlns="95306488-dddb-44cd-b83e-3ac0d7f6bf6c">true</dctm_isservi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CF1BDBB8FAB7E4CB30423623CB58154" ma:contentTypeVersion="9" ma:contentTypeDescription="Create a new document." ma:contentTypeScope="" ma:versionID="b81f76a890f87343075872039237c9c6">
  <xsd:schema xmlns:xsd="http://www.w3.org/2001/XMLSchema" xmlns:xs="http://www.w3.org/2001/XMLSchema" xmlns:p="http://schemas.microsoft.com/office/2006/metadata/properties" xmlns:ns2="95306488-dddb-44cd-b83e-3ac0d7f6bf6c" targetNamespace="http://schemas.microsoft.com/office/2006/metadata/properties" ma:root="true" ma:fieldsID="7810a927fa50ee7f628bf07e68ca8015" ns2:_="">
    <xsd:import namespace="95306488-dddb-44cd-b83e-3ac0d7f6bf6c"/>
    <xsd:element name="properties">
      <xsd:complexType>
        <xsd:sequence>
          <xsd:element name="documentManagement">
            <xsd:complexType>
              <xsd:all>
                <xsd:element ref="ns2:dctm_isservice" minOccurs="0"/>
                <xsd:element ref="ns2:Artifact_x0020_Name" minOccurs="0"/>
                <xsd:element ref="ns2:Document_x0020_Title" minOccurs="0"/>
                <xsd:element ref="ns2:Primary_x0020_Group" minOccurs="0"/>
                <xsd:element ref="ns2:Product_x0020_Code" minOccurs="0"/>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306488-dddb-44cd-b83e-3ac0d7f6bf6c" elementFormDefault="qualified">
    <xsd:import namespace="http://schemas.microsoft.com/office/2006/documentManagement/types"/>
    <xsd:import namespace="http://schemas.microsoft.com/office/infopath/2007/PartnerControls"/>
    <xsd:element name="dctm_isservice" ma:index="8" nillable="true" ma:displayName="dctm_isservice" ma:default="FALSE" ma:internalName="dctm_isservice" ma:readOnly="true">
      <xsd:simpleType>
        <xsd:restriction base="dms:Boolean"/>
      </xsd:simpleType>
    </xsd:element>
    <xsd:element name="Artifact_x0020_Name" ma:index="9" nillable="true" ma:displayName="Artifact Name" ma:internalName="Artifact_x0020_Name">
      <xsd:simpleType>
        <xsd:restriction base="dms:Text">
          <xsd:maxLength value="255"/>
        </xsd:restriction>
      </xsd:simpleType>
    </xsd:element>
    <xsd:element name="Document_x0020_Title" ma:index="10" nillable="true" ma:displayName="Document Title" ma:internalName="Document_x0020_Title">
      <xsd:simpleType>
        <xsd:restriction base="dms:Text">
          <xsd:maxLength value="255"/>
        </xsd:restriction>
      </xsd:simpleType>
    </xsd:element>
    <xsd:element name="Primary_x0020_Group" ma:index="11" nillable="true" ma:displayName="Primary Group" ma:internalName="Primary_x0020_Group">
      <xsd:simpleType>
        <xsd:restriction base="dms:Text">
          <xsd:maxLength value="255"/>
        </xsd:restriction>
      </xsd:simpleType>
    </xsd:element>
    <xsd:element name="Product_x0020_Code" ma:index="12" nillable="true" ma:displayName="Product Code" ma:internalName="Product_x0020_Code">
      <xsd:simpleType>
        <xsd:restriction base="dms:Text">
          <xsd:maxLength value="255"/>
        </xsd:restriction>
      </xsd:simpleType>
    </xsd:element>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FC8CD4-8757-48F4-86ED-2DE2EB910FE7}">
  <ds:schemaRef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95306488-dddb-44cd-b83e-3ac0d7f6bf6c"/>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DF1F5B0C-7E42-4224-98FF-40861DF76CF8}">
  <ds:schemaRefs>
    <ds:schemaRef ds:uri="http://schemas.microsoft.com/sharepoint/v3/contenttype/forms"/>
  </ds:schemaRefs>
</ds:datastoreItem>
</file>

<file path=customXml/itemProps3.xml><?xml version="1.0" encoding="utf-8"?>
<ds:datastoreItem xmlns:ds="http://schemas.openxmlformats.org/officeDocument/2006/customXml" ds:itemID="{3B8A4060-8975-495D-A90F-00FDA9D2C2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306488-dddb-44cd-b83e-3ac0d7f6bf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B8D11F0-1C50-4A9B-802A-4AEC9CEC91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418</TotalTime>
  <Pages>68</Pages>
  <Words>14119</Words>
  <Characters>81190</Characters>
  <Application>Microsoft Office Word</Application>
  <DocSecurity>0</DocSecurity>
  <Lines>2194</Lines>
  <Paragraphs>1401</Paragraphs>
  <ScaleCrop>false</ScaleCrop>
  <HeadingPairs>
    <vt:vector size="2" baseType="variant">
      <vt:variant>
        <vt:lpstr>Title</vt:lpstr>
      </vt:variant>
      <vt:variant>
        <vt:i4>1</vt:i4>
      </vt:variant>
    </vt:vector>
  </HeadingPairs>
  <TitlesOfParts>
    <vt:vector size="1" baseType="lpstr">
      <vt:lpstr>Australian public assessment report for</vt:lpstr>
    </vt:vector>
  </TitlesOfParts>
  <Company>Department of Health and Aged Care</Company>
  <LinksUpToDate>false</LinksUpToDate>
  <CharactersWithSpaces>93908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public assessment report for Vaxneuvance</dc:title>
  <dc:subject>prescription medicine regulation</dc:subject>
  <dc:creator>Therapeutic Goods Administration</dc:creator>
  <cp:keywords>AusPARs</cp:keywords>
  <cp:lastModifiedBy>PITKIN, Brendan</cp:lastModifiedBy>
  <cp:revision>30</cp:revision>
  <cp:lastPrinted>2019-08-14T04:30:00Z</cp:lastPrinted>
  <dcterms:created xsi:type="dcterms:W3CDTF">2022-09-26T22:39:00Z</dcterms:created>
  <dcterms:modified xsi:type="dcterms:W3CDTF">2022-10-20T04:03:00Z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0x0101002CF1BDBB8FAB7E4CB30423623CB58154</vt:lpwstr>
  </property>
  <property fmtid="{D5CDD505-2E9C-101B-9397-08002B2CF9AE}" pid="3" name="MSIP_Label_e81acc0d-dcc4-4dc9-a2c5-be70b05a2fe6_Enabled">
    <vt:lpwstr>true</vt:lpwstr>
  </property>
  <property fmtid="{D5CDD505-2E9C-101B-9397-08002B2CF9AE}" pid="4" name="MSIP_Label_e81acc0d-dcc4-4dc9-a2c5-be70b05a2fe6_SetDate">
    <vt:lpwstr>2022-07-18T19:41:11Z</vt:lpwstr>
  </property>
  <property fmtid="{D5CDD505-2E9C-101B-9397-08002B2CF9AE}" pid="5" name="MSIP_Label_e81acc0d-dcc4-4dc9-a2c5-be70b05a2fe6_Method">
    <vt:lpwstr>Privileged</vt:lpwstr>
  </property>
  <property fmtid="{D5CDD505-2E9C-101B-9397-08002B2CF9AE}" pid="6" name="MSIP_Label_e81acc0d-dcc4-4dc9-a2c5-be70b05a2fe6_Name">
    <vt:lpwstr>e81acc0d-dcc4-4dc9-a2c5-be70b05a2fe6</vt:lpwstr>
  </property>
  <property fmtid="{D5CDD505-2E9C-101B-9397-08002B2CF9AE}" pid="7" name="MSIP_Label_e81acc0d-dcc4-4dc9-a2c5-be70b05a2fe6_SiteId">
    <vt:lpwstr>a00de4ec-48a8-43a6-be74-e31274e2060d</vt:lpwstr>
  </property>
  <property fmtid="{D5CDD505-2E9C-101B-9397-08002B2CF9AE}" pid="8" name="MSIP_Label_e81acc0d-dcc4-4dc9-a2c5-be70b05a2fe6_ActionId">
    <vt:lpwstr>0cdbe70b-a961-4c98-b6a5-dd63370478fb</vt:lpwstr>
  </property>
  <property fmtid="{D5CDD505-2E9C-101B-9397-08002B2CF9AE}" pid="9" name="MSIP_Label_e81acc0d-dcc4-4dc9-a2c5-be70b05a2fe6_ContentBits">
    <vt:lpwstr>0</vt:lpwstr>
  </property>
  <property fmtid="{D5CDD505-2E9C-101B-9397-08002B2CF9AE}" pid="10" name="MerckAIPLabel">
    <vt:lpwstr>NotClassified</vt:lpwstr>
  </property>
  <property fmtid="{D5CDD505-2E9C-101B-9397-08002B2CF9AE}" pid="11" name="MerckAIPDataExchange">
    <vt:lpwstr>!MRKMIP@NotClassified</vt:lpwstr>
  </property>
</Properties>
</file>