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0B5EA41" w14:textId="77777777" w:rsidTr="00BF1190">
        <w:trPr>
          <w:trHeight w:val="1863"/>
        </w:trPr>
        <w:tc>
          <w:tcPr>
            <w:tcW w:w="3652" w:type="dxa"/>
            <w:tcBorders>
              <w:top w:val="nil"/>
              <w:left w:val="nil"/>
              <w:bottom w:val="nil"/>
              <w:right w:val="nil"/>
            </w:tcBorders>
          </w:tcPr>
          <w:p w14:paraId="0E605552" w14:textId="3807105D" w:rsidR="008E7846" w:rsidRPr="00096AA7" w:rsidRDefault="00134BB9" w:rsidP="00F931CE">
            <w:pPr>
              <w:pStyle w:val="Date"/>
              <w:framePr w:hSpace="0" w:wrap="auto" w:vAnchor="margin" w:hAnchor="text" w:yAlign="inline"/>
              <w:suppressOverlap w:val="0"/>
            </w:pPr>
            <w:r>
              <w:t>August</w:t>
            </w:r>
            <w:r w:rsidR="00C346AB">
              <w:t xml:space="preserve"> </w:t>
            </w:r>
            <w:r w:rsidR="00915863">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E7672C5" w14:textId="77777777" w:rsidTr="0032583B">
        <w:trPr>
          <w:trHeight w:val="868"/>
        </w:trPr>
        <w:tc>
          <w:tcPr>
            <w:tcW w:w="9079" w:type="dxa"/>
          </w:tcPr>
          <w:p w14:paraId="7DE893AE" w14:textId="7363B3B1" w:rsidR="0032583B" w:rsidRPr="00A964D1" w:rsidRDefault="0032583B" w:rsidP="00F931CE">
            <w:pPr>
              <w:pStyle w:val="Title"/>
              <w:framePr w:hSpace="0" w:wrap="auto" w:vAnchor="margin" w:yAlign="inline"/>
            </w:pPr>
            <w:r w:rsidRPr="00A964D1">
              <w:t>Australian Public Assessment Report for</w:t>
            </w:r>
            <w:r w:rsidR="00AF2313">
              <w:t xml:space="preserve"> </w:t>
            </w:r>
            <w:proofErr w:type="spellStart"/>
            <w:r w:rsidR="00915863" w:rsidRPr="00915863">
              <w:t>S</w:t>
            </w:r>
            <w:r w:rsidR="00915863">
              <w:t>ogroya</w:t>
            </w:r>
            <w:proofErr w:type="spellEnd"/>
          </w:p>
        </w:tc>
      </w:tr>
      <w:tr w:rsidR="0032583B" w:rsidRPr="00B64760" w14:paraId="70459B1F" w14:textId="77777777" w:rsidTr="0032583B">
        <w:tc>
          <w:tcPr>
            <w:tcW w:w="9079" w:type="dxa"/>
          </w:tcPr>
          <w:p w14:paraId="011DD373" w14:textId="288AA9E7" w:rsidR="0032583B" w:rsidRPr="008E7846" w:rsidRDefault="00BB75D6" w:rsidP="00F931CE">
            <w:pPr>
              <w:pStyle w:val="Subtitle"/>
              <w:framePr w:hSpace="0" w:wrap="auto" w:vAnchor="margin" w:yAlign="inline"/>
            </w:pPr>
            <w:r>
              <w:t>Active ingredients</w:t>
            </w:r>
            <w:r w:rsidR="0032583B" w:rsidRPr="008E7846">
              <w:t xml:space="preserve">: </w:t>
            </w:r>
            <w:proofErr w:type="spellStart"/>
            <w:r w:rsidR="009B25DD">
              <w:t>S</w:t>
            </w:r>
            <w:r w:rsidR="00915863" w:rsidRPr="00915863">
              <w:t>omapacitan</w:t>
            </w:r>
            <w:proofErr w:type="spellEnd"/>
          </w:p>
        </w:tc>
      </w:tr>
      <w:tr w:rsidR="0032583B" w:rsidRPr="00B64760" w14:paraId="3BC5716B" w14:textId="77777777" w:rsidTr="0032583B">
        <w:trPr>
          <w:trHeight w:val="486"/>
        </w:trPr>
        <w:tc>
          <w:tcPr>
            <w:tcW w:w="9079" w:type="dxa"/>
          </w:tcPr>
          <w:p w14:paraId="395CE4E1" w14:textId="077A79F7" w:rsidR="0032583B" w:rsidRPr="008E7846" w:rsidRDefault="00460036" w:rsidP="009556D7">
            <w:pPr>
              <w:pStyle w:val="Subtitle"/>
              <w:framePr w:hSpace="0" w:wrap="auto" w:vAnchor="margin" w:yAlign="inline"/>
            </w:pPr>
            <w:r>
              <w:t xml:space="preserve">Sponsor: </w:t>
            </w:r>
            <w:r w:rsidR="00915863" w:rsidRPr="00915863">
              <w:t>Novo Nordisk Pharmaceuticals Pty Ltd</w:t>
            </w:r>
          </w:p>
        </w:tc>
      </w:tr>
    </w:tbl>
    <w:p w14:paraId="209CDC02" w14:textId="3F9B27F9" w:rsidR="008E7846" w:rsidRPr="0085156D" w:rsidRDefault="008E7846" w:rsidP="0085156D"/>
    <w:p w14:paraId="3CB0ECCD" w14:textId="77777777" w:rsidR="008E7846" w:rsidRPr="001F6CBA" w:rsidRDefault="008E7846" w:rsidP="00C7245C">
      <w:pPr>
        <w:pStyle w:val="NonTOCHeading2"/>
        <w:pageBreakBefore/>
      </w:pPr>
      <w:r w:rsidRPr="001F6CBA">
        <w:lastRenderedPageBreak/>
        <w:t>About the Therapeutic Goods Administration (TGA)</w:t>
      </w:r>
    </w:p>
    <w:p w14:paraId="6A795787"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4C1FB4D4"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7768FA3C"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1154CC1B"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7D26E878" w14:textId="227165B8"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58B13A6E" w14:textId="77777777" w:rsidR="008E7846" w:rsidRDefault="008E7846" w:rsidP="00875A6B">
      <w:pPr>
        <w:pStyle w:val="NonTOCHeading2"/>
      </w:pPr>
      <w:r>
        <w:t xml:space="preserve">About </w:t>
      </w:r>
      <w:proofErr w:type="spellStart"/>
      <w:r>
        <w:t>AusPARs</w:t>
      </w:r>
      <w:proofErr w:type="spellEnd"/>
    </w:p>
    <w:p w14:paraId="221B6B19" w14:textId="7357F85E" w:rsidR="00AF2313" w:rsidRPr="003C6D1F" w:rsidRDefault="00AF2313" w:rsidP="00AF2313">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10E86F75"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40089905"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w:t>
      </w:r>
      <w:proofErr w:type="spellStart"/>
      <w:r w:rsidR="008110BC">
        <w:t>AusPAR</w:t>
      </w:r>
      <w:proofErr w:type="spellEnd"/>
      <w:r w:rsidR="008110BC">
        <w:t xml:space="preserve"> is an important part of the transparency of the TGA’s decision-making process.</w:t>
      </w:r>
    </w:p>
    <w:p w14:paraId="24E33387" w14:textId="77777777" w:rsidR="00AF2313" w:rsidRPr="003C6D1F" w:rsidRDefault="00AF2313" w:rsidP="00AF2313">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3B3C8C4C" w14:textId="77777777" w:rsidR="00924482" w:rsidRPr="00DF1D7F" w:rsidRDefault="00924482" w:rsidP="00F54B65">
      <w:pPr>
        <w:pStyle w:val="LegalSubheading"/>
        <w:spacing w:before="3120"/>
      </w:pPr>
      <w:r w:rsidRPr="00DF1D7F">
        <w:t>Copyright</w:t>
      </w:r>
    </w:p>
    <w:p w14:paraId="1CDF19AD" w14:textId="10E014A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35E8C210"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3D69ACD7" w14:textId="77777777" w:rsidR="0089635C" w:rsidRPr="0089635C" w:rsidRDefault="0089635C" w:rsidP="00C7245C">
          <w:pPr>
            <w:pStyle w:val="Contents"/>
            <w:pageBreakBefore/>
          </w:pPr>
          <w:r w:rsidRPr="0010788A">
            <w:t>Contents</w:t>
          </w:r>
        </w:p>
        <w:p w14:paraId="3C1FDD1D" w14:textId="1EC532CC" w:rsidR="000377C2"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10415594" w:history="1">
            <w:r w:rsidR="000377C2" w:rsidRPr="00B220C5">
              <w:rPr>
                <w:rStyle w:val="Hyperlink"/>
                <w:noProof/>
              </w:rPr>
              <w:t>List of abbreviations</w:t>
            </w:r>
            <w:r w:rsidR="000377C2">
              <w:rPr>
                <w:noProof/>
                <w:webHidden/>
              </w:rPr>
              <w:tab/>
            </w:r>
            <w:r w:rsidR="000377C2">
              <w:rPr>
                <w:noProof/>
                <w:webHidden/>
              </w:rPr>
              <w:fldChar w:fldCharType="begin"/>
            </w:r>
            <w:r w:rsidR="000377C2">
              <w:rPr>
                <w:noProof/>
                <w:webHidden/>
              </w:rPr>
              <w:instrText xml:space="preserve"> PAGEREF _Toc110415594 \h </w:instrText>
            </w:r>
            <w:r w:rsidR="000377C2">
              <w:rPr>
                <w:noProof/>
                <w:webHidden/>
              </w:rPr>
            </w:r>
            <w:r w:rsidR="000377C2">
              <w:rPr>
                <w:noProof/>
                <w:webHidden/>
              </w:rPr>
              <w:fldChar w:fldCharType="separate"/>
            </w:r>
            <w:r w:rsidR="00875BE6">
              <w:rPr>
                <w:noProof/>
                <w:webHidden/>
              </w:rPr>
              <w:t>4</w:t>
            </w:r>
            <w:r w:rsidR="000377C2">
              <w:rPr>
                <w:noProof/>
                <w:webHidden/>
              </w:rPr>
              <w:fldChar w:fldCharType="end"/>
            </w:r>
          </w:hyperlink>
        </w:p>
        <w:p w14:paraId="2D727216" w14:textId="01B94DFA" w:rsidR="000377C2" w:rsidRDefault="00033A91">
          <w:pPr>
            <w:pStyle w:val="TOC1"/>
            <w:rPr>
              <w:rFonts w:asciiTheme="minorHAnsi" w:eastAsiaTheme="minorEastAsia" w:hAnsiTheme="minorHAnsi" w:cstheme="minorBidi"/>
              <w:b w:val="0"/>
              <w:noProof/>
              <w:sz w:val="22"/>
              <w:lang w:eastAsia="en-AU"/>
            </w:rPr>
          </w:pPr>
          <w:hyperlink w:anchor="_Toc110415595" w:history="1">
            <w:r w:rsidR="000377C2" w:rsidRPr="00B220C5">
              <w:rPr>
                <w:rStyle w:val="Hyperlink"/>
                <w:noProof/>
              </w:rPr>
              <w:t>Product submission</w:t>
            </w:r>
            <w:r w:rsidR="000377C2">
              <w:rPr>
                <w:noProof/>
                <w:webHidden/>
              </w:rPr>
              <w:tab/>
            </w:r>
            <w:r w:rsidR="000377C2">
              <w:rPr>
                <w:noProof/>
                <w:webHidden/>
              </w:rPr>
              <w:fldChar w:fldCharType="begin"/>
            </w:r>
            <w:r w:rsidR="000377C2">
              <w:rPr>
                <w:noProof/>
                <w:webHidden/>
              </w:rPr>
              <w:instrText xml:space="preserve"> PAGEREF _Toc110415595 \h </w:instrText>
            </w:r>
            <w:r w:rsidR="000377C2">
              <w:rPr>
                <w:noProof/>
                <w:webHidden/>
              </w:rPr>
            </w:r>
            <w:r w:rsidR="000377C2">
              <w:rPr>
                <w:noProof/>
                <w:webHidden/>
              </w:rPr>
              <w:fldChar w:fldCharType="separate"/>
            </w:r>
            <w:r w:rsidR="00875BE6">
              <w:rPr>
                <w:noProof/>
                <w:webHidden/>
              </w:rPr>
              <w:t>6</w:t>
            </w:r>
            <w:r w:rsidR="000377C2">
              <w:rPr>
                <w:noProof/>
                <w:webHidden/>
              </w:rPr>
              <w:fldChar w:fldCharType="end"/>
            </w:r>
          </w:hyperlink>
        </w:p>
        <w:p w14:paraId="1A8F7396" w14:textId="6AAA6AF2" w:rsidR="000377C2" w:rsidRDefault="00033A91">
          <w:pPr>
            <w:pStyle w:val="TOC2"/>
            <w:rPr>
              <w:rFonts w:asciiTheme="minorHAnsi" w:eastAsiaTheme="minorEastAsia" w:hAnsiTheme="minorHAnsi" w:cstheme="minorBidi"/>
              <w:b w:val="0"/>
              <w:noProof/>
              <w:sz w:val="22"/>
              <w:lang w:eastAsia="en-AU"/>
            </w:rPr>
          </w:pPr>
          <w:hyperlink w:anchor="_Toc110415596" w:history="1">
            <w:r w:rsidR="000377C2" w:rsidRPr="00B220C5">
              <w:rPr>
                <w:rStyle w:val="Hyperlink"/>
                <w:noProof/>
                <w:lang w:eastAsia="en-AU"/>
              </w:rPr>
              <w:t>Submission details</w:t>
            </w:r>
            <w:r w:rsidR="000377C2">
              <w:rPr>
                <w:noProof/>
                <w:webHidden/>
              </w:rPr>
              <w:tab/>
            </w:r>
            <w:r w:rsidR="000377C2">
              <w:rPr>
                <w:noProof/>
                <w:webHidden/>
              </w:rPr>
              <w:fldChar w:fldCharType="begin"/>
            </w:r>
            <w:r w:rsidR="000377C2">
              <w:rPr>
                <w:noProof/>
                <w:webHidden/>
              </w:rPr>
              <w:instrText xml:space="preserve"> PAGEREF _Toc110415596 \h </w:instrText>
            </w:r>
            <w:r w:rsidR="000377C2">
              <w:rPr>
                <w:noProof/>
                <w:webHidden/>
              </w:rPr>
            </w:r>
            <w:r w:rsidR="000377C2">
              <w:rPr>
                <w:noProof/>
                <w:webHidden/>
              </w:rPr>
              <w:fldChar w:fldCharType="separate"/>
            </w:r>
            <w:r w:rsidR="00875BE6">
              <w:rPr>
                <w:noProof/>
                <w:webHidden/>
              </w:rPr>
              <w:t>6</w:t>
            </w:r>
            <w:r w:rsidR="000377C2">
              <w:rPr>
                <w:noProof/>
                <w:webHidden/>
              </w:rPr>
              <w:fldChar w:fldCharType="end"/>
            </w:r>
          </w:hyperlink>
        </w:p>
        <w:p w14:paraId="0C5200CF" w14:textId="30C66CA6" w:rsidR="000377C2" w:rsidRDefault="00033A91">
          <w:pPr>
            <w:pStyle w:val="TOC2"/>
            <w:rPr>
              <w:rFonts w:asciiTheme="minorHAnsi" w:eastAsiaTheme="minorEastAsia" w:hAnsiTheme="minorHAnsi" w:cstheme="minorBidi"/>
              <w:b w:val="0"/>
              <w:noProof/>
              <w:sz w:val="22"/>
              <w:lang w:eastAsia="en-AU"/>
            </w:rPr>
          </w:pPr>
          <w:hyperlink w:anchor="_Toc110415597" w:history="1">
            <w:r w:rsidR="000377C2" w:rsidRPr="00B220C5">
              <w:rPr>
                <w:rStyle w:val="Hyperlink"/>
                <w:noProof/>
              </w:rPr>
              <w:t>Product background</w:t>
            </w:r>
            <w:r w:rsidR="000377C2">
              <w:rPr>
                <w:noProof/>
                <w:webHidden/>
              </w:rPr>
              <w:tab/>
            </w:r>
            <w:r w:rsidR="000377C2">
              <w:rPr>
                <w:noProof/>
                <w:webHidden/>
              </w:rPr>
              <w:fldChar w:fldCharType="begin"/>
            </w:r>
            <w:r w:rsidR="000377C2">
              <w:rPr>
                <w:noProof/>
                <w:webHidden/>
              </w:rPr>
              <w:instrText xml:space="preserve"> PAGEREF _Toc110415597 \h </w:instrText>
            </w:r>
            <w:r w:rsidR="000377C2">
              <w:rPr>
                <w:noProof/>
                <w:webHidden/>
              </w:rPr>
            </w:r>
            <w:r w:rsidR="000377C2">
              <w:rPr>
                <w:noProof/>
                <w:webHidden/>
              </w:rPr>
              <w:fldChar w:fldCharType="separate"/>
            </w:r>
            <w:r w:rsidR="00875BE6">
              <w:rPr>
                <w:noProof/>
                <w:webHidden/>
              </w:rPr>
              <w:t>7</w:t>
            </w:r>
            <w:r w:rsidR="000377C2">
              <w:rPr>
                <w:noProof/>
                <w:webHidden/>
              </w:rPr>
              <w:fldChar w:fldCharType="end"/>
            </w:r>
          </w:hyperlink>
        </w:p>
        <w:p w14:paraId="40F5CB55" w14:textId="72A04ADA" w:rsidR="000377C2" w:rsidRDefault="00033A91">
          <w:pPr>
            <w:pStyle w:val="TOC2"/>
            <w:rPr>
              <w:rFonts w:asciiTheme="minorHAnsi" w:eastAsiaTheme="minorEastAsia" w:hAnsiTheme="minorHAnsi" w:cstheme="minorBidi"/>
              <w:b w:val="0"/>
              <w:noProof/>
              <w:sz w:val="22"/>
              <w:lang w:eastAsia="en-AU"/>
            </w:rPr>
          </w:pPr>
          <w:hyperlink w:anchor="_Toc110415598" w:history="1">
            <w:r w:rsidR="000377C2" w:rsidRPr="00B220C5">
              <w:rPr>
                <w:rStyle w:val="Hyperlink"/>
                <w:noProof/>
              </w:rPr>
              <w:t>Regulatory status</w:t>
            </w:r>
            <w:r w:rsidR="000377C2">
              <w:rPr>
                <w:noProof/>
                <w:webHidden/>
              </w:rPr>
              <w:tab/>
            </w:r>
            <w:r w:rsidR="000377C2">
              <w:rPr>
                <w:noProof/>
                <w:webHidden/>
              </w:rPr>
              <w:fldChar w:fldCharType="begin"/>
            </w:r>
            <w:r w:rsidR="000377C2">
              <w:rPr>
                <w:noProof/>
                <w:webHidden/>
              </w:rPr>
              <w:instrText xml:space="preserve"> PAGEREF _Toc110415598 \h </w:instrText>
            </w:r>
            <w:r w:rsidR="000377C2">
              <w:rPr>
                <w:noProof/>
                <w:webHidden/>
              </w:rPr>
            </w:r>
            <w:r w:rsidR="000377C2">
              <w:rPr>
                <w:noProof/>
                <w:webHidden/>
              </w:rPr>
              <w:fldChar w:fldCharType="separate"/>
            </w:r>
            <w:r w:rsidR="00875BE6">
              <w:rPr>
                <w:noProof/>
                <w:webHidden/>
              </w:rPr>
              <w:t>8</w:t>
            </w:r>
            <w:r w:rsidR="000377C2">
              <w:rPr>
                <w:noProof/>
                <w:webHidden/>
              </w:rPr>
              <w:fldChar w:fldCharType="end"/>
            </w:r>
          </w:hyperlink>
        </w:p>
        <w:p w14:paraId="30865652" w14:textId="42096E5D" w:rsidR="000377C2" w:rsidRDefault="00033A91">
          <w:pPr>
            <w:pStyle w:val="TOC2"/>
            <w:rPr>
              <w:rFonts w:asciiTheme="minorHAnsi" w:eastAsiaTheme="minorEastAsia" w:hAnsiTheme="minorHAnsi" w:cstheme="minorBidi"/>
              <w:b w:val="0"/>
              <w:noProof/>
              <w:sz w:val="22"/>
              <w:lang w:eastAsia="en-AU"/>
            </w:rPr>
          </w:pPr>
          <w:hyperlink w:anchor="_Toc110415599" w:history="1">
            <w:r w:rsidR="000377C2" w:rsidRPr="00B220C5">
              <w:rPr>
                <w:rStyle w:val="Hyperlink"/>
                <w:noProof/>
              </w:rPr>
              <w:t>Product Information</w:t>
            </w:r>
            <w:r w:rsidR="000377C2">
              <w:rPr>
                <w:noProof/>
                <w:webHidden/>
              </w:rPr>
              <w:tab/>
            </w:r>
            <w:r w:rsidR="000377C2">
              <w:rPr>
                <w:noProof/>
                <w:webHidden/>
              </w:rPr>
              <w:fldChar w:fldCharType="begin"/>
            </w:r>
            <w:r w:rsidR="000377C2">
              <w:rPr>
                <w:noProof/>
                <w:webHidden/>
              </w:rPr>
              <w:instrText xml:space="preserve"> PAGEREF _Toc110415599 \h </w:instrText>
            </w:r>
            <w:r w:rsidR="000377C2">
              <w:rPr>
                <w:noProof/>
                <w:webHidden/>
              </w:rPr>
            </w:r>
            <w:r w:rsidR="000377C2">
              <w:rPr>
                <w:noProof/>
                <w:webHidden/>
              </w:rPr>
              <w:fldChar w:fldCharType="separate"/>
            </w:r>
            <w:r w:rsidR="00875BE6">
              <w:rPr>
                <w:noProof/>
                <w:webHidden/>
              </w:rPr>
              <w:t>9</w:t>
            </w:r>
            <w:r w:rsidR="000377C2">
              <w:rPr>
                <w:noProof/>
                <w:webHidden/>
              </w:rPr>
              <w:fldChar w:fldCharType="end"/>
            </w:r>
          </w:hyperlink>
        </w:p>
        <w:p w14:paraId="2CAA447C" w14:textId="0037AD48" w:rsidR="000377C2" w:rsidRDefault="00033A91">
          <w:pPr>
            <w:pStyle w:val="TOC1"/>
            <w:rPr>
              <w:rFonts w:asciiTheme="minorHAnsi" w:eastAsiaTheme="minorEastAsia" w:hAnsiTheme="minorHAnsi" w:cstheme="minorBidi"/>
              <w:b w:val="0"/>
              <w:noProof/>
              <w:sz w:val="22"/>
              <w:lang w:eastAsia="en-AU"/>
            </w:rPr>
          </w:pPr>
          <w:hyperlink w:anchor="_Toc110415600" w:history="1">
            <w:r w:rsidR="000377C2" w:rsidRPr="00B220C5">
              <w:rPr>
                <w:rStyle w:val="Hyperlink"/>
                <w:noProof/>
              </w:rPr>
              <w:t>Registration timeline</w:t>
            </w:r>
            <w:r w:rsidR="000377C2">
              <w:rPr>
                <w:noProof/>
                <w:webHidden/>
              </w:rPr>
              <w:tab/>
            </w:r>
            <w:r w:rsidR="000377C2">
              <w:rPr>
                <w:noProof/>
                <w:webHidden/>
              </w:rPr>
              <w:fldChar w:fldCharType="begin"/>
            </w:r>
            <w:r w:rsidR="000377C2">
              <w:rPr>
                <w:noProof/>
                <w:webHidden/>
              </w:rPr>
              <w:instrText xml:space="preserve"> PAGEREF _Toc110415600 \h </w:instrText>
            </w:r>
            <w:r w:rsidR="000377C2">
              <w:rPr>
                <w:noProof/>
                <w:webHidden/>
              </w:rPr>
            </w:r>
            <w:r w:rsidR="000377C2">
              <w:rPr>
                <w:noProof/>
                <w:webHidden/>
              </w:rPr>
              <w:fldChar w:fldCharType="separate"/>
            </w:r>
            <w:r w:rsidR="00875BE6">
              <w:rPr>
                <w:noProof/>
                <w:webHidden/>
              </w:rPr>
              <w:t>9</w:t>
            </w:r>
            <w:r w:rsidR="000377C2">
              <w:rPr>
                <w:noProof/>
                <w:webHidden/>
              </w:rPr>
              <w:fldChar w:fldCharType="end"/>
            </w:r>
          </w:hyperlink>
        </w:p>
        <w:p w14:paraId="1B120178" w14:textId="64D8FF41" w:rsidR="000377C2" w:rsidRDefault="00033A91">
          <w:pPr>
            <w:pStyle w:val="TOC1"/>
            <w:rPr>
              <w:rFonts w:asciiTheme="minorHAnsi" w:eastAsiaTheme="minorEastAsia" w:hAnsiTheme="minorHAnsi" w:cstheme="minorBidi"/>
              <w:b w:val="0"/>
              <w:noProof/>
              <w:sz w:val="22"/>
              <w:lang w:eastAsia="en-AU"/>
            </w:rPr>
          </w:pPr>
          <w:hyperlink w:anchor="_Toc110415601" w:history="1">
            <w:r w:rsidR="000377C2" w:rsidRPr="00B220C5">
              <w:rPr>
                <w:rStyle w:val="Hyperlink"/>
                <w:noProof/>
              </w:rPr>
              <w:t>Submission overview and risk/benefit assessment</w:t>
            </w:r>
            <w:r w:rsidR="000377C2">
              <w:rPr>
                <w:noProof/>
                <w:webHidden/>
              </w:rPr>
              <w:tab/>
            </w:r>
            <w:r w:rsidR="000377C2">
              <w:rPr>
                <w:noProof/>
                <w:webHidden/>
              </w:rPr>
              <w:fldChar w:fldCharType="begin"/>
            </w:r>
            <w:r w:rsidR="000377C2">
              <w:rPr>
                <w:noProof/>
                <w:webHidden/>
              </w:rPr>
              <w:instrText xml:space="preserve"> PAGEREF _Toc110415601 \h </w:instrText>
            </w:r>
            <w:r w:rsidR="000377C2">
              <w:rPr>
                <w:noProof/>
                <w:webHidden/>
              </w:rPr>
            </w:r>
            <w:r w:rsidR="000377C2">
              <w:rPr>
                <w:noProof/>
                <w:webHidden/>
              </w:rPr>
              <w:fldChar w:fldCharType="separate"/>
            </w:r>
            <w:r w:rsidR="00875BE6">
              <w:rPr>
                <w:noProof/>
                <w:webHidden/>
              </w:rPr>
              <w:t>10</w:t>
            </w:r>
            <w:r w:rsidR="000377C2">
              <w:rPr>
                <w:noProof/>
                <w:webHidden/>
              </w:rPr>
              <w:fldChar w:fldCharType="end"/>
            </w:r>
          </w:hyperlink>
        </w:p>
        <w:p w14:paraId="1CCF29D2" w14:textId="5FC3277B" w:rsidR="000377C2" w:rsidRDefault="00033A91">
          <w:pPr>
            <w:pStyle w:val="TOC2"/>
            <w:rPr>
              <w:rFonts w:asciiTheme="minorHAnsi" w:eastAsiaTheme="minorEastAsia" w:hAnsiTheme="minorHAnsi" w:cstheme="minorBidi"/>
              <w:b w:val="0"/>
              <w:noProof/>
              <w:sz w:val="22"/>
              <w:lang w:eastAsia="en-AU"/>
            </w:rPr>
          </w:pPr>
          <w:hyperlink w:anchor="_Toc110415602" w:history="1">
            <w:r w:rsidR="000377C2" w:rsidRPr="00B220C5">
              <w:rPr>
                <w:rStyle w:val="Hyperlink"/>
                <w:noProof/>
              </w:rPr>
              <w:t>Quality</w:t>
            </w:r>
            <w:r w:rsidR="000377C2">
              <w:rPr>
                <w:noProof/>
                <w:webHidden/>
              </w:rPr>
              <w:tab/>
            </w:r>
            <w:r w:rsidR="000377C2">
              <w:rPr>
                <w:noProof/>
                <w:webHidden/>
              </w:rPr>
              <w:fldChar w:fldCharType="begin"/>
            </w:r>
            <w:r w:rsidR="000377C2">
              <w:rPr>
                <w:noProof/>
                <w:webHidden/>
              </w:rPr>
              <w:instrText xml:space="preserve"> PAGEREF _Toc110415602 \h </w:instrText>
            </w:r>
            <w:r w:rsidR="000377C2">
              <w:rPr>
                <w:noProof/>
                <w:webHidden/>
              </w:rPr>
            </w:r>
            <w:r w:rsidR="000377C2">
              <w:rPr>
                <w:noProof/>
                <w:webHidden/>
              </w:rPr>
              <w:fldChar w:fldCharType="separate"/>
            </w:r>
            <w:r w:rsidR="00875BE6">
              <w:rPr>
                <w:noProof/>
                <w:webHidden/>
              </w:rPr>
              <w:t>10</w:t>
            </w:r>
            <w:r w:rsidR="000377C2">
              <w:rPr>
                <w:noProof/>
                <w:webHidden/>
              </w:rPr>
              <w:fldChar w:fldCharType="end"/>
            </w:r>
          </w:hyperlink>
        </w:p>
        <w:p w14:paraId="52840CDE" w14:textId="6C4A4B05" w:rsidR="000377C2" w:rsidRDefault="00033A91">
          <w:pPr>
            <w:pStyle w:val="TOC2"/>
            <w:rPr>
              <w:rFonts w:asciiTheme="minorHAnsi" w:eastAsiaTheme="minorEastAsia" w:hAnsiTheme="minorHAnsi" w:cstheme="minorBidi"/>
              <w:b w:val="0"/>
              <w:noProof/>
              <w:sz w:val="22"/>
              <w:lang w:eastAsia="en-AU"/>
            </w:rPr>
          </w:pPr>
          <w:hyperlink w:anchor="_Toc110415603" w:history="1">
            <w:r w:rsidR="000377C2" w:rsidRPr="00B220C5">
              <w:rPr>
                <w:rStyle w:val="Hyperlink"/>
                <w:noProof/>
              </w:rPr>
              <w:t>Nonclinical</w:t>
            </w:r>
            <w:r w:rsidR="000377C2">
              <w:rPr>
                <w:noProof/>
                <w:webHidden/>
              </w:rPr>
              <w:tab/>
            </w:r>
            <w:r w:rsidR="000377C2">
              <w:rPr>
                <w:noProof/>
                <w:webHidden/>
              </w:rPr>
              <w:fldChar w:fldCharType="begin"/>
            </w:r>
            <w:r w:rsidR="000377C2">
              <w:rPr>
                <w:noProof/>
                <w:webHidden/>
              </w:rPr>
              <w:instrText xml:space="preserve"> PAGEREF _Toc110415603 \h </w:instrText>
            </w:r>
            <w:r w:rsidR="000377C2">
              <w:rPr>
                <w:noProof/>
                <w:webHidden/>
              </w:rPr>
            </w:r>
            <w:r w:rsidR="000377C2">
              <w:rPr>
                <w:noProof/>
                <w:webHidden/>
              </w:rPr>
              <w:fldChar w:fldCharType="separate"/>
            </w:r>
            <w:r w:rsidR="00875BE6">
              <w:rPr>
                <w:noProof/>
                <w:webHidden/>
              </w:rPr>
              <w:t>11</w:t>
            </w:r>
            <w:r w:rsidR="000377C2">
              <w:rPr>
                <w:noProof/>
                <w:webHidden/>
              </w:rPr>
              <w:fldChar w:fldCharType="end"/>
            </w:r>
          </w:hyperlink>
        </w:p>
        <w:p w14:paraId="2EEE879A" w14:textId="304F3144" w:rsidR="000377C2" w:rsidRDefault="00033A91">
          <w:pPr>
            <w:pStyle w:val="TOC2"/>
            <w:rPr>
              <w:rFonts w:asciiTheme="minorHAnsi" w:eastAsiaTheme="minorEastAsia" w:hAnsiTheme="minorHAnsi" w:cstheme="minorBidi"/>
              <w:b w:val="0"/>
              <w:noProof/>
              <w:sz w:val="22"/>
              <w:lang w:eastAsia="en-AU"/>
            </w:rPr>
          </w:pPr>
          <w:hyperlink w:anchor="_Toc110415604" w:history="1">
            <w:r w:rsidR="000377C2" w:rsidRPr="00B220C5">
              <w:rPr>
                <w:rStyle w:val="Hyperlink"/>
                <w:noProof/>
              </w:rPr>
              <w:t>Clinical</w:t>
            </w:r>
            <w:r w:rsidR="000377C2">
              <w:rPr>
                <w:noProof/>
                <w:webHidden/>
              </w:rPr>
              <w:tab/>
            </w:r>
            <w:r w:rsidR="000377C2">
              <w:rPr>
                <w:noProof/>
                <w:webHidden/>
              </w:rPr>
              <w:fldChar w:fldCharType="begin"/>
            </w:r>
            <w:r w:rsidR="000377C2">
              <w:rPr>
                <w:noProof/>
                <w:webHidden/>
              </w:rPr>
              <w:instrText xml:space="preserve"> PAGEREF _Toc110415604 \h </w:instrText>
            </w:r>
            <w:r w:rsidR="000377C2">
              <w:rPr>
                <w:noProof/>
                <w:webHidden/>
              </w:rPr>
            </w:r>
            <w:r w:rsidR="000377C2">
              <w:rPr>
                <w:noProof/>
                <w:webHidden/>
              </w:rPr>
              <w:fldChar w:fldCharType="separate"/>
            </w:r>
            <w:r w:rsidR="00875BE6">
              <w:rPr>
                <w:noProof/>
                <w:webHidden/>
              </w:rPr>
              <w:t>13</w:t>
            </w:r>
            <w:r w:rsidR="000377C2">
              <w:rPr>
                <w:noProof/>
                <w:webHidden/>
              </w:rPr>
              <w:fldChar w:fldCharType="end"/>
            </w:r>
          </w:hyperlink>
        </w:p>
        <w:p w14:paraId="0FD4E874" w14:textId="46339574" w:rsidR="000377C2" w:rsidRDefault="00033A91">
          <w:pPr>
            <w:pStyle w:val="TOC2"/>
            <w:rPr>
              <w:rFonts w:asciiTheme="minorHAnsi" w:eastAsiaTheme="minorEastAsia" w:hAnsiTheme="minorHAnsi" w:cstheme="minorBidi"/>
              <w:b w:val="0"/>
              <w:noProof/>
              <w:sz w:val="22"/>
              <w:lang w:eastAsia="en-AU"/>
            </w:rPr>
          </w:pPr>
          <w:hyperlink w:anchor="_Toc110415605" w:history="1">
            <w:r w:rsidR="000377C2" w:rsidRPr="00B220C5">
              <w:rPr>
                <w:rStyle w:val="Hyperlink"/>
                <w:noProof/>
                <w:lang w:eastAsia="en-AU"/>
              </w:rPr>
              <w:t>Risk management plan</w:t>
            </w:r>
            <w:r w:rsidR="000377C2">
              <w:rPr>
                <w:noProof/>
                <w:webHidden/>
              </w:rPr>
              <w:tab/>
            </w:r>
            <w:r w:rsidR="000377C2">
              <w:rPr>
                <w:noProof/>
                <w:webHidden/>
              </w:rPr>
              <w:fldChar w:fldCharType="begin"/>
            </w:r>
            <w:r w:rsidR="000377C2">
              <w:rPr>
                <w:noProof/>
                <w:webHidden/>
              </w:rPr>
              <w:instrText xml:space="preserve"> PAGEREF _Toc110415605 \h </w:instrText>
            </w:r>
            <w:r w:rsidR="000377C2">
              <w:rPr>
                <w:noProof/>
                <w:webHidden/>
              </w:rPr>
            </w:r>
            <w:r w:rsidR="000377C2">
              <w:rPr>
                <w:noProof/>
                <w:webHidden/>
              </w:rPr>
              <w:fldChar w:fldCharType="separate"/>
            </w:r>
            <w:r w:rsidR="00875BE6">
              <w:rPr>
                <w:noProof/>
                <w:webHidden/>
              </w:rPr>
              <w:t>20</w:t>
            </w:r>
            <w:r w:rsidR="000377C2">
              <w:rPr>
                <w:noProof/>
                <w:webHidden/>
              </w:rPr>
              <w:fldChar w:fldCharType="end"/>
            </w:r>
          </w:hyperlink>
        </w:p>
        <w:p w14:paraId="75E664E2" w14:textId="5B30FB2C" w:rsidR="000377C2" w:rsidRDefault="00033A91">
          <w:pPr>
            <w:pStyle w:val="TOC2"/>
            <w:rPr>
              <w:rFonts w:asciiTheme="minorHAnsi" w:eastAsiaTheme="minorEastAsia" w:hAnsiTheme="minorHAnsi" w:cstheme="minorBidi"/>
              <w:b w:val="0"/>
              <w:noProof/>
              <w:sz w:val="22"/>
              <w:lang w:eastAsia="en-AU"/>
            </w:rPr>
          </w:pPr>
          <w:hyperlink w:anchor="_Toc110415606" w:history="1">
            <w:r w:rsidR="000377C2" w:rsidRPr="00B220C5">
              <w:rPr>
                <w:rStyle w:val="Hyperlink"/>
                <w:noProof/>
              </w:rPr>
              <w:t>Risk-benefit analysis</w:t>
            </w:r>
            <w:r w:rsidR="000377C2">
              <w:rPr>
                <w:noProof/>
                <w:webHidden/>
              </w:rPr>
              <w:tab/>
            </w:r>
            <w:r w:rsidR="000377C2">
              <w:rPr>
                <w:noProof/>
                <w:webHidden/>
              </w:rPr>
              <w:fldChar w:fldCharType="begin"/>
            </w:r>
            <w:r w:rsidR="000377C2">
              <w:rPr>
                <w:noProof/>
                <w:webHidden/>
              </w:rPr>
              <w:instrText xml:space="preserve"> PAGEREF _Toc110415606 \h </w:instrText>
            </w:r>
            <w:r w:rsidR="000377C2">
              <w:rPr>
                <w:noProof/>
                <w:webHidden/>
              </w:rPr>
            </w:r>
            <w:r w:rsidR="000377C2">
              <w:rPr>
                <w:noProof/>
                <w:webHidden/>
              </w:rPr>
              <w:fldChar w:fldCharType="separate"/>
            </w:r>
            <w:r w:rsidR="00875BE6">
              <w:rPr>
                <w:noProof/>
                <w:webHidden/>
              </w:rPr>
              <w:t>22</w:t>
            </w:r>
            <w:r w:rsidR="000377C2">
              <w:rPr>
                <w:noProof/>
                <w:webHidden/>
              </w:rPr>
              <w:fldChar w:fldCharType="end"/>
            </w:r>
          </w:hyperlink>
        </w:p>
        <w:p w14:paraId="22B91B87" w14:textId="7B6E4B96" w:rsidR="000377C2" w:rsidRDefault="00033A91">
          <w:pPr>
            <w:pStyle w:val="TOC1"/>
            <w:rPr>
              <w:rFonts w:asciiTheme="minorHAnsi" w:eastAsiaTheme="minorEastAsia" w:hAnsiTheme="minorHAnsi" w:cstheme="minorBidi"/>
              <w:b w:val="0"/>
              <w:noProof/>
              <w:sz w:val="22"/>
              <w:lang w:eastAsia="en-AU"/>
            </w:rPr>
          </w:pPr>
          <w:hyperlink w:anchor="_Toc110415607" w:history="1">
            <w:r w:rsidR="000377C2" w:rsidRPr="00B220C5">
              <w:rPr>
                <w:rStyle w:val="Hyperlink"/>
                <w:noProof/>
              </w:rPr>
              <w:t>Outcome</w:t>
            </w:r>
            <w:r w:rsidR="000377C2">
              <w:rPr>
                <w:noProof/>
                <w:webHidden/>
              </w:rPr>
              <w:tab/>
            </w:r>
            <w:r w:rsidR="000377C2">
              <w:rPr>
                <w:noProof/>
                <w:webHidden/>
              </w:rPr>
              <w:fldChar w:fldCharType="begin"/>
            </w:r>
            <w:r w:rsidR="000377C2">
              <w:rPr>
                <w:noProof/>
                <w:webHidden/>
              </w:rPr>
              <w:instrText xml:space="preserve"> PAGEREF _Toc110415607 \h </w:instrText>
            </w:r>
            <w:r w:rsidR="000377C2">
              <w:rPr>
                <w:noProof/>
                <w:webHidden/>
              </w:rPr>
            </w:r>
            <w:r w:rsidR="000377C2">
              <w:rPr>
                <w:noProof/>
                <w:webHidden/>
              </w:rPr>
              <w:fldChar w:fldCharType="separate"/>
            </w:r>
            <w:r w:rsidR="00875BE6">
              <w:rPr>
                <w:noProof/>
                <w:webHidden/>
              </w:rPr>
              <w:t>23</w:t>
            </w:r>
            <w:r w:rsidR="000377C2">
              <w:rPr>
                <w:noProof/>
                <w:webHidden/>
              </w:rPr>
              <w:fldChar w:fldCharType="end"/>
            </w:r>
          </w:hyperlink>
        </w:p>
        <w:p w14:paraId="3261D366" w14:textId="32636A14" w:rsidR="000377C2" w:rsidRDefault="00033A91">
          <w:pPr>
            <w:pStyle w:val="TOC2"/>
            <w:rPr>
              <w:rFonts w:asciiTheme="minorHAnsi" w:eastAsiaTheme="minorEastAsia" w:hAnsiTheme="minorHAnsi" w:cstheme="minorBidi"/>
              <w:b w:val="0"/>
              <w:noProof/>
              <w:sz w:val="22"/>
              <w:lang w:eastAsia="en-AU"/>
            </w:rPr>
          </w:pPr>
          <w:hyperlink w:anchor="_Toc110415608" w:history="1">
            <w:r w:rsidR="000377C2" w:rsidRPr="00B220C5">
              <w:rPr>
                <w:rStyle w:val="Hyperlink"/>
                <w:noProof/>
              </w:rPr>
              <w:t>Specific conditions of registration applying to these goods</w:t>
            </w:r>
            <w:r w:rsidR="000377C2">
              <w:rPr>
                <w:noProof/>
                <w:webHidden/>
              </w:rPr>
              <w:tab/>
            </w:r>
            <w:r w:rsidR="000377C2">
              <w:rPr>
                <w:noProof/>
                <w:webHidden/>
              </w:rPr>
              <w:fldChar w:fldCharType="begin"/>
            </w:r>
            <w:r w:rsidR="000377C2">
              <w:rPr>
                <w:noProof/>
                <w:webHidden/>
              </w:rPr>
              <w:instrText xml:space="preserve"> PAGEREF _Toc110415608 \h </w:instrText>
            </w:r>
            <w:r w:rsidR="000377C2">
              <w:rPr>
                <w:noProof/>
                <w:webHidden/>
              </w:rPr>
            </w:r>
            <w:r w:rsidR="000377C2">
              <w:rPr>
                <w:noProof/>
                <w:webHidden/>
              </w:rPr>
              <w:fldChar w:fldCharType="separate"/>
            </w:r>
            <w:r w:rsidR="00875BE6">
              <w:rPr>
                <w:noProof/>
                <w:webHidden/>
              </w:rPr>
              <w:t>23</w:t>
            </w:r>
            <w:r w:rsidR="000377C2">
              <w:rPr>
                <w:noProof/>
                <w:webHidden/>
              </w:rPr>
              <w:fldChar w:fldCharType="end"/>
            </w:r>
          </w:hyperlink>
        </w:p>
        <w:p w14:paraId="6DF7C339" w14:textId="614DB74A" w:rsidR="000377C2" w:rsidRDefault="00033A91">
          <w:pPr>
            <w:pStyle w:val="TOC1"/>
            <w:rPr>
              <w:rFonts w:asciiTheme="minorHAnsi" w:eastAsiaTheme="minorEastAsia" w:hAnsiTheme="minorHAnsi" w:cstheme="minorBidi"/>
              <w:b w:val="0"/>
              <w:noProof/>
              <w:sz w:val="22"/>
              <w:lang w:eastAsia="en-AU"/>
            </w:rPr>
          </w:pPr>
          <w:hyperlink w:anchor="_Toc110415609" w:history="1">
            <w:r w:rsidR="000377C2" w:rsidRPr="00B220C5">
              <w:rPr>
                <w:rStyle w:val="Hyperlink"/>
                <w:noProof/>
              </w:rPr>
              <w:t>Attachment 1. Product Information</w:t>
            </w:r>
            <w:r w:rsidR="000377C2">
              <w:rPr>
                <w:noProof/>
                <w:webHidden/>
              </w:rPr>
              <w:tab/>
            </w:r>
            <w:r w:rsidR="000377C2">
              <w:rPr>
                <w:noProof/>
                <w:webHidden/>
              </w:rPr>
              <w:fldChar w:fldCharType="begin"/>
            </w:r>
            <w:r w:rsidR="000377C2">
              <w:rPr>
                <w:noProof/>
                <w:webHidden/>
              </w:rPr>
              <w:instrText xml:space="preserve"> PAGEREF _Toc110415609 \h </w:instrText>
            </w:r>
            <w:r w:rsidR="000377C2">
              <w:rPr>
                <w:noProof/>
                <w:webHidden/>
              </w:rPr>
            </w:r>
            <w:r w:rsidR="000377C2">
              <w:rPr>
                <w:noProof/>
                <w:webHidden/>
              </w:rPr>
              <w:fldChar w:fldCharType="separate"/>
            </w:r>
            <w:r w:rsidR="00875BE6">
              <w:rPr>
                <w:noProof/>
                <w:webHidden/>
              </w:rPr>
              <w:t>24</w:t>
            </w:r>
            <w:r w:rsidR="000377C2">
              <w:rPr>
                <w:noProof/>
                <w:webHidden/>
              </w:rPr>
              <w:fldChar w:fldCharType="end"/>
            </w:r>
          </w:hyperlink>
        </w:p>
        <w:p w14:paraId="491D6759" w14:textId="5509535F" w:rsidR="003A7F6C" w:rsidRPr="00B811C6" w:rsidRDefault="00C525A2" w:rsidP="00EB36D6">
          <w:r>
            <w:fldChar w:fldCharType="end"/>
          </w:r>
        </w:p>
      </w:sdtContent>
    </w:sdt>
    <w:bookmarkStart w:id="2" w:name="_Toc314842482" w:displacedByCustomXml="prev"/>
    <w:p w14:paraId="08129ACD" w14:textId="0E79F0D1" w:rsidR="00FD119B" w:rsidRDefault="00FD119B">
      <w:pPr>
        <w:spacing w:before="0" w:after="200" w:line="0" w:lineRule="auto"/>
      </w:pPr>
    </w:p>
    <w:p w14:paraId="4897EF2E" w14:textId="729C0D09" w:rsidR="00833ED8" w:rsidRPr="009A2752" w:rsidRDefault="00AF2313" w:rsidP="00C7245C">
      <w:pPr>
        <w:pStyle w:val="Heading2"/>
        <w:pageBreakBefore/>
      </w:pPr>
      <w:bookmarkStart w:id="3" w:name="_Toc98931917"/>
      <w:bookmarkStart w:id="4" w:name="_Toc110415594"/>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663BAE" w14:paraId="4BA6419A" w14:textId="77777777" w:rsidTr="009B25DD">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7063ED1B" w14:textId="77777777" w:rsidR="00663BAE" w:rsidRDefault="00663BAE" w:rsidP="009B25DD">
            <w:pPr>
              <w:rPr>
                <w:color w:val="FFFFFF"/>
              </w:rPr>
            </w:pPr>
            <w:r>
              <w:t>Abbreviation</w:t>
            </w:r>
          </w:p>
        </w:tc>
        <w:tc>
          <w:tcPr>
            <w:tcW w:w="3282" w:type="pct"/>
            <w:hideMark/>
          </w:tcPr>
          <w:p w14:paraId="448C0B9C" w14:textId="77777777" w:rsidR="00663BAE" w:rsidRDefault="00663BAE" w:rsidP="009B25DD">
            <w:r>
              <w:t>Meaning</w:t>
            </w:r>
          </w:p>
        </w:tc>
      </w:tr>
      <w:tr w:rsidR="00663BAE" w14:paraId="1C85890F"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442F9A4B" w14:textId="77777777" w:rsidR="00663BAE" w:rsidRDefault="00663BAE" w:rsidP="009B25DD">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13F17EB" w14:textId="77777777" w:rsidR="00663BAE" w:rsidRDefault="00663BAE" w:rsidP="009B25DD">
            <w:r>
              <w:t>Advisory Committee on Medicines</w:t>
            </w:r>
          </w:p>
        </w:tc>
      </w:tr>
      <w:tr w:rsidR="00663BAE" w14:paraId="4F9926B8"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49E7D380" w14:textId="77777777" w:rsidR="00663BAE" w:rsidRDefault="00663BAE" w:rsidP="009B25DD">
            <w:pPr>
              <w:rPr>
                <w:color w:val="000000"/>
              </w:rPr>
            </w:pPr>
            <w:r>
              <w:rPr>
                <w:color w:val="000000"/>
              </w:rPr>
              <w:t>AGHD</w:t>
            </w:r>
          </w:p>
        </w:tc>
        <w:tc>
          <w:tcPr>
            <w:tcW w:w="3987" w:type="pct"/>
            <w:gridSpan w:val="2"/>
            <w:tcBorders>
              <w:top w:val="single" w:sz="8" w:space="0" w:color="002C47"/>
              <w:left w:val="single" w:sz="8" w:space="0" w:color="002C47"/>
              <w:bottom w:val="single" w:sz="8" w:space="0" w:color="002C47"/>
              <w:right w:val="single" w:sz="8" w:space="0" w:color="002C47"/>
            </w:tcBorders>
          </w:tcPr>
          <w:p w14:paraId="5DA9A12D" w14:textId="77777777" w:rsidR="00663BAE" w:rsidRDefault="00663BAE" w:rsidP="009B25DD">
            <w:pPr>
              <w:rPr>
                <w:color w:val="000000"/>
              </w:rPr>
            </w:pPr>
            <w:r>
              <w:rPr>
                <w:color w:val="000000"/>
              </w:rPr>
              <w:t>A</w:t>
            </w:r>
            <w:r w:rsidRPr="001F020F">
              <w:rPr>
                <w:color w:val="000000"/>
              </w:rPr>
              <w:t>dults with growth hormone deficiency</w:t>
            </w:r>
          </w:p>
        </w:tc>
      </w:tr>
      <w:tr w:rsidR="00663BAE" w14:paraId="370974FC"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416F45D9" w14:textId="77777777" w:rsidR="00663BAE" w:rsidRDefault="00663BAE" w:rsidP="009B25DD">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4D769F9" w14:textId="77777777" w:rsidR="00663BAE" w:rsidRDefault="00663BAE" w:rsidP="009B25DD">
            <w:r>
              <w:t>Australian Register of Therapeutic Goods</w:t>
            </w:r>
          </w:p>
        </w:tc>
      </w:tr>
      <w:tr w:rsidR="00663BAE" w14:paraId="15E4BE15"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0D9C73C" w14:textId="77777777" w:rsidR="00663BAE" w:rsidRDefault="00663BAE" w:rsidP="009B25DD">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3DBCFA8D" w14:textId="77777777" w:rsidR="00663BAE" w:rsidRDefault="00663BAE" w:rsidP="009B25DD">
            <w:r>
              <w:t>Australia specific annex</w:t>
            </w:r>
          </w:p>
        </w:tc>
      </w:tr>
      <w:tr w:rsidR="00663BAE" w14:paraId="1C805DA2"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035CD5D1" w14:textId="77777777" w:rsidR="00663BAE" w:rsidRDefault="00663BAE" w:rsidP="009B25DD">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1B837085" w14:textId="77777777" w:rsidR="00663BAE" w:rsidRDefault="00663BAE" w:rsidP="009B25DD">
            <w:pPr>
              <w:rPr>
                <w:color w:val="000000"/>
              </w:rPr>
            </w:pPr>
            <w:r>
              <w:t xml:space="preserve">Area under the </w:t>
            </w:r>
            <w:r>
              <w:rPr>
                <w:rFonts w:cs="Calibri"/>
                <w:color w:val="000000"/>
              </w:rPr>
              <w:t>concentration versus time curve</w:t>
            </w:r>
          </w:p>
        </w:tc>
      </w:tr>
      <w:tr w:rsidR="00663BAE" w14:paraId="1BFFEC9B"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0394D5FD" w14:textId="77777777" w:rsidR="00663BAE" w:rsidRDefault="00663BAE" w:rsidP="009B25DD">
            <w:pPr>
              <w:rPr>
                <w:color w:val="000000"/>
              </w:rPr>
            </w:pPr>
            <w:r>
              <w:rPr>
                <w:color w:val="000000"/>
              </w:rPr>
              <w:t>BMI</w:t>
            </w:r>
          </w:p>
        </w:tc>
        <w:tc>
          <w:tcPr>
            <w:tcW w:w="3987" w:type="pct"/>
            <w:gridSpan w:val="2"/>
            <w:tcBorders>
              <w:top w:val="single" w:sz="8" w:space="0" w:color="002C47"/>
              <w:left w:val="single" w:sz="8" w:space="0" w:color="002C47"/>
              <w:bottom w:val="single" w:sz="8" w:space="0" w:color="002C47"/>
              <w:right w:val="single" w:sz="8" w:space="0" w:color="002C47"/>
            </w:tcBorders>
          </w:tcPr>
          <w:p w14:paraId="7FE1FEFB" w14:textId="77777777" w:rsidR="00663BAE" w:rsidRDefault="00663BAE" w:rsidP="009B25DD">
            <w:r>
              <w:t>Body mass index</w:t>
            </w:r>
          </w:p>
        </w:tc>
      </w:tr>
      <w:tr w:rsidR="00663BAE" w14:paraId="4CA26141"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4424AEE1" w14:textId="77777777" w:rsidR="00663BAE" w:rsidRDefault="00663BAE" w:rsidP="009B25DD">
            <w:pPr>
              <w:rPr>
                <w:color w:val="000000"/>
              </w:rPr>
            </w:pPr>
            <w:proofErr w:type="spellStart"/>
            <w:r>
              <w:rPr>
                <w:color w:val="000000"/>
              </w:rPr>
              <w:t>C</w:t>
            </w:r>
            <w:r w:rsidRPr="00717F84">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4E55CCE6" w14:textId="77777777" w:rsidR="00663BAE" w:rsidRDefault="00663BAE" w:rsidP="009B25DD">
            <w:pPr>
              <w:rPr>
                <w:color w:val="000000"/>
              </w:rPr>
            </w:pPr>
            <w:r>
              <w:t>Maximum concentration</w:t>
            </w:r>
          </w:p>
        </w:tc>
      </w:tr>
      <w:tr w:rsidR="00663BAE" w14:paraId="0AC485BA"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0C79E251" w14:textId="77777777" w:rsidR="00663BAE" w:rsidRDefault="00663BAE" w:rsidP="009B25DD">
            <w:pPr>
              <w:rPr>
                <w:color w:val="000000"/>
              </w:rPr>
            </w:pPr>
            <w:r>
              <w:rPr>
                <w:color w:val="000000"/>
              </w:rP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3AEBFFE3" w14:textId="77777777" w:rsidR="00663BAE" w:rsidRDefault="00663BAE" w:rsidP="009B25DD">
            <w:r>
              <w:t>Consumer Medicines Information</w:t>
            </w:r>
          </w:p>
        </w:tc>
      </w:tr>
      <w:tr w:rsidR="00663BAE" w14:paraId="0EE92E17"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304AF761" w14:textId="77777777" w:rsidR="00663BAE" w:rsidRDefault="00663BAE" w:rsidP="009B25DD">
            <w:pPr>
              <w:rPr>
                <w:color w:val="000000"/>
              </w:rPr>
            </w:pPr>
            <w:r>
              <w:rPr>
                <w:color w:val="000000"/>
              </w:rPr>
              <w:t>COR-B</w:t>
            </w:r>
          </w:p>
        </w:tc>
        <w:tc>
          <w:tcPr>
            <w:tcW w:w="3987" w:type="pct"/>
            <w:gridSpan w:val="2"/>
            <w:tcBorders>
              <w:top w:val="single" w:sz="8" w:space="0" w:color="002C47"/>
              <w:left w:val="single" w:sz="8" w:space="0" w:color="002C47"/>
              <w:bottom w:val="single" w:sz="8" w:space="0" w:color="002C47"/>
              <w:right w:val="single" w:sz="8" w:space="0" w:color="002C47"/>
            </w:tcBorders>
          </w:tcPr>
          <w:p w14:paraId="470110AA" w14:textId="77777777" w:rsidR="00663BAE" w:rsidRDefault="00663BAE" w:rsidP="009B25DD">
            <w:r w:rsidRPr="00DC3D82">
              <w:t>Comparable overseas regulators</w:t>
            </w:r>
            <w:r>
              <w:t xml:space="preserve"> B</w:t>
            </w:r>
          </w:p>
        </w:tc>
      </w:tr>
      <w:tr w:rsidR="00663BAE" w14:paraId="156151FB"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299E426" w14:textId="77777777" w:rsidR="00663BAE" w:rsidRDefault="00663BAE" w:rsidP="009B25DD">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4D25DB3" w14:textId="77777777" w:rsidR="00663BAE" w:rsidRDefault="00663BAE" w:rsidP="009B25DD">
            <w:r>
              <w:t>Data lock point</w:t>
            </w:r>
          </w:p>
        </w:tc>
      </w:tr>
      <w:tr w:rsidR="00663BAE" w14:paraId="4759E7D0"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5192B544" w14:textId="77777777" w:rsidR="00663BAE" w:rsidRDefault="00663BAE" w:rsidP="009B25DD">
            <w:pPr>
              <w:rPr>
                <w:color w:val="000000"/>
              </w:rPr>
            </w:pPr>
            <w:r>
              <w:rPr>
                <w:color w:val="000000"/>
              </w:rPr>
              <w:t>EMA</w:t>
            </w:r>
          </w:p>
        </w:tc>
        <w:tc>
          <w:tcPr>
            <w:tcW w:w="3987" w:type="pct"/>
            <w:gridSpan w:val="2"/>
            <w:tcBorders>
              <w:top w:val="single" w:sz="8" w:space="0" w:color="002C47"/>
              <w:left w:val="single" w:sz="8" w:space="0" w:color="002C47"/>
              <w:bottom w:val="single" w:sz="8" w:space="0" w:color="002C47"/>
              <w:right w:val="single" w:sz="8" w:space="0" w:color="002C47"/>
            </w:tcBorders>
          </w:tcPr>
          <w:p w14:paraId="0440DC8E" w14:textId="6BE40DBE" w:rsidR="00663BAE" w:rsidRDefault="00663BAE" w:rsidP="009B25DD">
            <w:r w:rsidRPr="000A6E08">
              <w:t>European Medicines Agency</w:t>
            </w:r>
            <w:r w:rsidR="009B25DD">
              <w:t xml:space="preserve"> (European Union)</w:t>
            </w:r>
          </w:p>
        </w:tc>
      </w:tr>
      <w:tr w:rsidR="00663BAE" w14:paraId="4A9E60F1"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5F1EE131" w14:textId="77777777" w:rsidR="00663BAE" w:rsidRDefault="00663BAE" w:rsidP="009B25DD">
            <w:pPr>
              <w:rPr>
                <w:color w:val="000000"/>
              </w:rPr>
            </w:pPr>
            <w:r>
              <w:rPr>
                <w:color w:val="000000"/>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3EB1EB58" w14:textId="77777777" w:rsidR="00663BAE" w:rsidRDefault="00663BAE" w:rsidP="009B25DD">
            <w:r>
              <w:t>European Union</w:t>
            </w:r>
          </w:p>
        </w:tc>
      </w:tr>
      <w:tr w:rsidR="00395B10" w14:paraId="0E386F3B"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55843BC5" w14:textId="7D0D54D2" w:rsidR="00395B10" w:rsidRDefault="00395B10" w:rsidP="009B25DD">
            <w:pPr>
              <w:rPr>
                <w:color w:val="000000"/>
              </w:rPr>
            </w:pPr>
            <w:r>
              <w:rPr>
                <w:color w:val="000000"/>
              </w:rPr>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4CF5D6A6" w14:textId="6511B4B2" w:rsidR="00395B10" w:rsidRDefault="00395B10" w:rsidP="009B25DD">
            <w:r>
              <w:t>Food and Drug Administration (United States of America)</w:t>
            </w:r>
          </w:p>
        </w:tc>
      </w:tr>
      <w:tr w:rsidR="00663BAE" w14:paraId="49771A5A"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38F9CC73" w14:textId="77777777" w:rsidR="00663BAE" w:rsidRDefault="00663BAE" w:rsidP="009B25DD">
            <w:pPr>
              <w:rPr>
                <w:color w:val="000000"/>
              </w:rPr>
            </w:pPr>
            <w:r>
              <w:rPr>
                <w:color w:val="000000"/>
              </w:rPr>
              <w:t>GH</w:t>
            </w:r>
          </w:p>
        </w:tc>
        <w:tc>
          <w:tcPr>
            <w:tcW w:w="3987" w:type="pct"/>
            <w:gridSpan w:val="2"/>
            <w:tcBorders>
              <w:top w:val="single" w:sz="8" w:space="0" w:color="002C47"/>
              <w:left w:val="single" w:sz="8" w:space="0" w:color="002C47"/>
              <w:bottom w:val="single" w:sz="8" w:space="0" w:color="002C47"/>
              <w:right w:val="single" w:sz="8" w:space="0" w:color="002C47"/>
            </w:tcBorders>
          </w:tcPr>
          <w:p w14:paraId="62253BE1" w14:textId="77777777" w:rsidR="00663BAE" w:rsidRDefault="00663BAE" w:rsidP="009B25DD">
            <w:pPr>
              <w:rPr>
                <w:color w:val="000000"/>
              </w:rPr>
            </w:pPr>
            <w:r>
              <w:rPr>
                <w:color w:val="000000"/>
              </w:rPr>
              <w:t>Growth hormone</w:t>
            </w:r>
          </w:p>
        </w:tc>
      </w:tr>
      <w:tr w:rsidR="00663BAE" w14:paraId="167BA452"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793AD2F2" w14:textId="77777777" w:rsidR="00663BAE" w:rsidRDefault="00663BAE" w:rsidP="009B25DD">
            <w:pPr>
              <w:rPr>
                <w:color w:val="000000"/>
              </w:rPr>
            </w:pPr>
            <w:r>
              <w:rPr>
                <w:color w:val="000000"/>
              </w:rPr>
              <w:t>GHRH</w:t>
            </w:r>
          </w:p>
        </w:tc>
        <w:tc>
          <w:tcPr>
            <w:tcW w:w="3987" w:type="pct"/>
            <w:gridSpan w:val="2"/>
            <w:tcBorders>
              <w:top w:val="single" w:sz="8" w:space="0" w:color="002C47"/>
              <w:left w:val="single" w:sz="8" w:space="0" w:color="002C47"/>
              <w:bottom w:val="single" w:sz="8" w:space="0" w:color="002C47"/>
              <w:right w:val="single" w:sz="8" w:space="0" w:color="002C47"/>
            </w:tcBorders>
          </w:tcPr>
          <w:p w14:paraId="60BB8F77" w14:textId="77777777" w:rsidR="00663BAE" w:rsidRDefault="00663BAE" w:rsidP="009B25DD">
            <w:r>
              <w:t>G</w:t>
            </w:r>
            <w:r w:rsidRPr="00330F94">
              <w:t>rowth hormone-releasing hormone</w:t>
            </w:r>
          </w:p>
        </w:tc>
      </w:tr>
      <w:tr w:rsidR="00663BAE" w14:paraId="2CFCDC09"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205B9A55" w14:textId="5C34D669" w:rsidR="00663BAE" w:rsidRDefault="00663BAE" w:rsidP="009B25DD">
            <w:pPr>
              <w:rPr>
                <w:color w:val="000000"/>
              </w:rPr>
            </w:pPr>
            <w:r>
              <w:rPr>
                <w:color w:val="000000"/>
              </w:rPr>
              <w:t>IGF-</w:t>
            </w:r>
            <w:r w:rsidR="00F8489E">
              <w:rPr>
                <w:color w:val="000000"/>
              </w:rPr>
              <w:t>1</w:t>
            </w:r>
          </w:p>
        </w:tc>
        <w:tc>
          <w:tcPr>
            <w:tcW w:w="3987" w:type="pct"/>
            <w:gridSpan w:val="2"/>
            <w:tcBorders>
              <w:top w:val="single" w:sz="8" w:space="0" w:color="002C47"/>
              <w:left w:val="single" w:sz="8" w:space="0" w:color="002C47"/>
              <w:bottom w:val="single" w:sz="8" w:space="0" w:color="002C47"/>
              <w:right w:val="single" w:sz="8" w:space="0" w:color="002C47"/>
            </w:tcBorders>
          </w:tcPr>
          <w:p w14:paraId="753C7FB9" w14:textId="77777777" w:rsidR="00663BAE" w:rsidRDefault="00663BAE" w:rsidP="009B25DD">
            <w:pPr>
              <w:rPr>
                <w:color w:val="000000"/>
              </w:rPr>
            </w:pPr>
            <w:r>
              <w:t>I</w:t>
            </w:r>
            <w:r w:rsidRPr="004B3954">
              <w:t>nsulin-like growth factor 1</w:t>
            </w:r>
          </w:p>
        </w:tc>
      </w:tr>
      <w:tr w:rsidR="007E1937" w14:paraId="60B6BBA2"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6FE19F9B" w14:textId="69139B4C" w:rsidR="007E1937" w:rsidRDefault="007E1937" w:rsidP="009B25DD">
            <w:pPr>
              <w:rPr>
                <w:color w:val="000000"/>
              </w:rPr>
            </w:pPr>
            <w:r>
              <w:rPr>
                <w:color w:val="000000"/>
              </w:rPr>
              <w:t>PD</w:t>
            </w:r>
          </w:p>
        </w:tc>
        <w:tc>
          <w:tcPr>
            <w:tcW w:w="3987" w:type="pct"/>
            <w:gridSpan w:val="2"/>
            <w:tcBorders>
              <w:top w:val="single" w:sz="8" w:space="0" w:color="002C47"/>
              <w:left w:val="single" w:sz="8" w:space="0" w:color="002C47"/>
              <w:bottom w:val="single" w:sz="8" w:space="0" w:color="002C47"/>
              <w:right w:val="single" w:sz="8" w:space="0" w:color="002C47"/>
            </w:tcBorders>
          </w:tcPr>
          <w:p w14:paraId="3DB4EB61" w14:textId="77941745" w:rsidR="007E1937" w:rsidRDefault="007E1937" w:rsidP="009B25DD">
            <w:r>
              <w:t>Pharmacodynamic(s)</w:t>
            </w:r>
          </w:p>
        </w:tc>
      </w:tr>
      <w:tr w:rsidR="007E1937" w14:paraId="7DD95EF3"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18A4AF1E" w14:textId="080E4678" w:rsidR="007E1937" w:rsidRDefault="007E1937" w:rsidP="009B25DD">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00DEC933" w14:textId="739E800F" w:rsidR="007E1937" w:rsidRDefault="007E1937" w:rsidP="009B25DD">
            <w:r>
              <w:t>Pharmacokinetic(s)</w:t>
            </w:r>
          </w:p>
        </w:tc>
      </w:tr>
      <w:tr w:rsidR="00663BAE" w14:paraId="622443F2"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168CAABA" w14:textId="77777777" w:rsidR="00663BAE" w:rsidRDefault="00663BAE" w:rsidP="009B25DD">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2D7E5233" w14:textId="77777777" w:rsidR="00663BAE" w:rsidRDefault="00663BAE" w:rsidP="009B25DD">
            <w:pPr>
              <w:rPr>
                <w:color w:val="000000"/>
              </w:rPr>
            </w:pPr>
            <w:r>
              <w:rPr>
                <w:color w:val="000000"/>
              </w:rPr>
              <w:t>Product Information</w:t>
            </w:r>
          </w:p>
        </w:tc>
      </w:tr>
      <w:tr w:rsidR="00663BAE" w14:paraId="644F9979"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244F7774" w14:textId="77777777" w:rsidR="00663BAE" w:rsidRDefault="00663BAE" w:rsidP="009B25DD">
            <w:pPr>
              <w:rPr>
                <w:color w:val="000000"/>
              </w:rPr>
            </w:pPr>
            <w:proofErr w:type="spellStart"/>
            <w:r>
              <w:rPr>
                <w:color w:val="000000"/>
              </w:rPr>
              <w:t>popPK</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17A65D22" w14:textId="0D69F129" w:rsidR="00663BAE" w:rsidRDefault="00663BAE" w:rsidP="009B25DD">
            <w:pPr>
              <w:rPr>
                <w:color w:val="000000"/>
              </w:rPr>
            </w:pPr>
            <w:r>
              <w:t>Population pharmacokinetic</w:t>
            </w:r>
            <w:r w:rsidR="007E1937">
              <w:t>(</w:t>
            </w:r>
            <w:r>
              <w:t>s</w:t>
            </w:r>
            <w:r w:rsidR="007E1937">
              <w:t>)</w:t>
            </w:r>
          </w:p>
        </w:tc>
      </w:tr>
      <w:tr w:rsidR="00663BAE" w14:paraId="5F383050"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5CBF92AB" w14:textId="77777777" w:rsidR="00663BAE" w:rsidRDefault="00663BAE" w:rsidP="009B25DD">
            <w:pPr>
              <w:rPr>
                <w:color w:val="000000"/>
              </w:rPr>
            </w:pPr>
            <w:r>
              <w:rPr>
                <w:color w:val="000000"/>
              </w:rPr>
              <w:t>PSUR</w:t>
            </w:r>
          </w:p>
        </w:tc>
        <w:tc>
          <w:tcPr>
            <w:tcW w:w="3987" w:type="pct"/>
            <w:gridSpan w:val="2"/>
            <w:tcBorders>
              <w:top w:val="single" w:sz="8" w:space="0" w:color="002C47"/>
              <w:left w:val="single" w:sz="8" w:space="0" w:color="002C47"/>
              <w:bottom w:val="single" w:sz="8" w:space="0" w:color="002C47"/>
              <w:right w:val="single" w:sz="8" w:space="0" w:color="002C47"/>
            </w:tcBorders>
          </w:tcPr>
          <w:p w14:paraId="3C6A908C" w14:textId="77777777" w:rsidR="00663BAE" w:rsidRDefault="00663BAE" w:rsidP="009B25DD">
            <w:r w:rsidRPr="00DC3D82">
              <w:t>Periodic Safety Update Reports</w:t>
            </w:r>
          </w:p>
        </w:tc>
      </w:tr>
      <w:tr w:rsidR="00663BAE" w14:paraId="31AF5A87"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09A244A8" w14:textId="77777777" w:rsidR="00663BAE" w:rsidRDefault="00663BAE" w:rsidP="009B25DD">
            <w:pPr>
              <w:rPr>
                <w:color w:val="000000"/>
              </w:rPr>
            </w:pPr>
            <w:r>
              <w:rPr>
                <w:color w:val="000000"/>
              </w:rPr>
              <w:t>PV</w:t>
            </w:r>
          </w:p>
        </w:tc>
        <w:tc>
          <w:tcPr>
            <w:tcW w:w="3987" w:type="pct"/>
            <w:gridSpan w:val="2"/>
            <w:tcBorders>
              <w:top w:val="single" w:sz="8" w:space="0" w:color="002C47"/>
              <w:left w:val="single" w:sz="8" w:space="0" w:color="002C47"/>
              <w:bottom w:val="single" w:sz="8" w:space="0" w:color="002C47"/>
              <w:right w:val="single" w:sz="8" w:space="0" w:color="002C47"/>
            </w:tcBorders>
          </w:tcPr>
          <w:p w14:paraId="3130A179" w14:textId="77777777" w:rsidR="00663BAE" w:rsidRDefault="00663BAE" w:rsidP="009B25DD">
            <w:r>
              <w:t>Pharmacovigilance</w:t>
            </w:r>
          </w:p>
        </w:tc>
      </w:tr>
      <w:tr w:rsidR="00663BAE" w14:paraId="50AF65AB"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F30B008" w14:textId="77777777" w:rsidR="00663BAE" w:rsidRDefault="00663BAE" w:rsidP="009B25DD">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9DDE537" w14:textId="77777777" w:rsidR="00663BAE" w:rsidRDefault="00663BAE" w:rsidP="009B25DD">
            <w:r>
              <w:t>Risk management plan</w:t>
            </w:r>
          </w:p>
        </w:tc>
      </w:tr>
      <w:tr w:rsidR="00663BAE" w14:paraId="2D5855EB"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3DC202B" w14:textId="77777777" w:rsidR="00663BAE" w:rsidRDefault="00663BAE" w:rsidP="009B25DD">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ECB03A9" w14:textId="77777777" w:rsidR="00663BAE" w:rsidRDefault="00663BAE" w:rsidP="009B25DD">
            <w:r>
              <w:t>Therapeutic Goods Administration</w:t>
            </w:r>
          </w:p>
        </w:tc>
      </w:tr>
      <w:tr w:rsidR="00663BAE" w14:paraId="460360A0"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30E4E4F3" w14:textId="77777777" w:rsidR="00663BAE" w:rsidRDefault="00663BAE" w:rsidP="009B25DD">
            <w:pPr>
              <w:rPr>
                <w:color w:val="000000"/>
              </w:rPr>
            </w:pPr>
            <w:proofErr w:type="spellStart"/>
            <w:r>
              <w:rPr>
                <w:color w:val="000000"/>
              </w:rPr>
              <w:t>T</w:t>
            </w:r>
            <w:r w:rsidRPr="00717F84">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58300A2E" w14:textId="77777777" w:rsidR="00663BAE" w:rsidRDefault="00663BAE" w:rsidP="009B25DD">
            <w:pPr>
              <w:rPr>
                <w:color w:val="000000"/>
              </w:rPr>
            </w:pPr>
            <w:r>
              <w:t>Time of maximum concentration</w:t>
            </w:r>
          </w:p>
        </w:tc>
      </w:tr>
      <w:tr w:rsidR="00663BAE" w14:paraId="0B2F968F" w14:textId="77777777" w:rsidTr="009B25DD">
        <w:trPr>
          <w:cantSplit/>
        </w:trPr>
        <w:tc>
          <w:tcPr>
            <w:tcW w:w="1013" w:type="pct"/>
            <w:tcBorders>
              <w:top w:val="single" w:sz="8" w:space="0" w:color="002C47"/>
              <w:left w:val="single" w:sz="8" w:space="0" w:color="002C47"/>
              <w:bottom w:val="single" w:sz="8" w:space="0" w:color="002C47"/>
              <w:right w:val="single" w:sz="8" w:space="0" w:color="002C47"/>
            </w:tcBorders>
          </w:tcPr>
          <w:p w14:paraId="0A9EB2C5" w14:textId="77777777" w:rsidR="00663BAE" w:rsidRDefault="00663BAE" w:rsidP="009B25DD">
            <w:pPr>
              <w:rPr>
                <w:color w:val="000000"/>
              </w:rPr>
            </w:pPr>
            <w:r>
              <w:rPr>
                <w:color w:val="000000"/>
              </w:rPr>
              <w:lastRenderedPageBreak/>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053CDE7A" w14:textId="77777777" w:rsidR="00663BAE" w:rsidRDefault="00663BAE" w:rsidP="009B25DD">
            <w:r>
              <w:t>United States (of America)</w:t>
            </w:r>
          </w:p>
        </w:tc>
      </w:tr>
    </w:tbl>
    <w:p w14:paraId="07324FD1" w14:textId="23B0A348" w:rsidR="00FD119B" w:rsidRPr="00FD119B" w:rsidRDefault="00FD119B" w:rsidP="00FD119B">
      <w:pPr>
        <w:spacing w:before="0" w:after="200" w:line="0" w:lineRule="auto"/>
        <w:rPr>
          <w:b/>
          <w:i/>
          <w:sz w:val="24"/>
          <w:szCs w:val="24"/>
        </w:rPr>
      </w:pPr>
    </w:p>
    <w:p w14:paraId="250AC271" w14:textId="77777777" w:rsidR="008E7846" w:rsidRDefault="009F2673" w:rsidP="00C7245C">
      <w:pPr>
        <w:pStyle w:val="Heading2"/>
        <w:pageBreakBefore/>
      </w:pPr>
      <w:bookmarkStart w:id="5" w:name="_Toc110415595"/>
      <w:r>
        <w:lastRenderedPageBreak/>
        <w:t>Pr</w:t>
      </w:r>
      <w:r w:rsidR="008E7846">
        <w:t>oduct submission</w:t>
      </w:r>
      <w:bookmarkEnd w:id="0"/>
      <w:bookmarkEnd w:id="2"/>
      <w:bookmarkEnd w:id="5"/>
    </w:p>
    <w:p w14:paraId="2393EB11" w14:textId="77777777" w:rsidR="008E7846" w:rsidRDefault="008E7846" w:rsidP="009E5A87">
      <w:pPr>
        <w:pStyle w:val="Heading3"/>
        <w:rPr>
          <w:lang w:eastAsia="en-AU"/>
        </w:rPr>
      </w:pPr>
      <w:bookmarkStart w:id="6" w:name="_Toc247691502"/>
      <w:bookmarkStart w:id="7" w:name="_Toc314842483"/>
      <w:bookmarkStart w:id="8" w:name="_Toc110415596"/>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1D80E33F" w14:textId="77777777" w:rsidTr="006B7900">
        <w:tc>
          <w:tcPr>
            <w:tcW w:w="1577" w:type="pct"/>
          </w:tcPr>
          <w:p w14:paraId="7CADA145" w14:textId="77777777" w:rsidR="009F2673" w:rsidRPr="003D1E62" w:rsidRDefault="009F2673" w:rsidP="009E5A87">
            <w:pPr>
              <w:rPr>
                <w:i/>
              </w:rPr>
            </w:pPr>
            <w:r>
              <w:rPr>
                <w:i/>
              </w:rPr>
              <w:t>Type of s</w:t>
            </w:r>
            <w:r w:rsidRPr="003D1E62">
              <w:rPr>
                <w:i/>
              </w:rPr>
              <w:t>ubmission</w:t>
            </w:r>
            <w:r>
              <w:rPr>
                <w:i/>
              </w:rPr>
              <w:t>:</w:t>
            </w:r>
          </w:p>
        </w:tc>
        <w:tc>
          <w:tcPr>
            <w:tcW w:w="3423" w:type="pct"/>
          </w:tcPr>
          <w:p w14:paraId="2C10D9D1" w14:textId="0F6C6FBA" w:rsidR="009F2673" w:rsidRPr="003D1E62" w:rsidRDefault="009F2673" w:rsidP="009E5A87">
            <w:r w:rsidRPr="003D1E62">
              <w:t xml:space="preserve">New </w:t>
            </w:r>
            <w:r w:rsidR="002D4E32">
              <w:t>biological</w:t>
            </w:r>
            <w:r w:rsidRPr="003D1E62">
              <w:t xml:space="preserve"> </w:t>
            </w:r>
            <w:r>
              <w:t>e</w:t>
            </w:r>
            <w:r w:rsidRPr="003D1E62">
              <w:t>ntity</w:t>
            </w:r>
          </w:p>
        </w:tc>
      </w:tr>
      <w:tr w:rsidR="009F2673" w:rsidRPr="003D1E62" w14:paraId="7063EF9C" w14:textId="77777777" w:rsidTr="006B7900">
        <w:tc>
          <w:tcPr>
            <w:tcW w:w="1577" w:type="pct"/>
          </w:tcPr>
          <w:p w14:paraId="749AA3D4" w14:textId="694B643B" w:rsidR="009F2673" w:rsidRPr="003D1E62" w:rsidRDefault="009F2673" w:rsidP="009E5A87">
            <w:pPr>
              <w:rPr>
                <w:i/>
              </w:rPr>
            </w:pPr>
            <w:r w:rsidRPr="00460036">
              <w:rPr>
                <w:i/>
              </w:rPr>
              <w:t>Product name:</w:t>
            </w:r>
          </w:p>
        </w:tc>
        <w:tc>
          <w:tcPr>
            <w:tcW w:w="3423" w:type="pct"/>
          </w:tcPr>
          <w:p w14:paraId="6B8BE1D7" w14:textId="69D706B7" w:rsidR="009F2673" w:rsidRPr="003D1E62" w:rsidRDefault="002D4E32" w:rsidP="009E5A87">
            <w:proofErr w:type="spellStart"/>
            <w:r>
              <w:t>Sogroya</w:t>
            </w:r>
            <w:proofErr w:type="spellEnd"/>
          </w:p>
        </w:tc>
      </w:tr>
      <w:tr w:rsidR="009F2673" w:rsidRPr="003D1E62" w14:paraId="7785387E" w14:textId="77777777" w:rsidTr="006B7900">
        <w:tc>
          <w:tcPr>
            <w:tcW w:w="1577" w:type="pct"/>
          </w:tcPr>
          <w:p w14:paraId="44EC3346" w14:textId="52D7CB6F" w:rsidR="009F2673" w:rsidRPr="003D1E62" w:rsidRDefault="009F2673" w:rsidP="009E5A87">
            <w:pPr>
              <w:rPr>
                <w:i/>
              </w:rPr>
            </w:pPr>
            <w:r w:rsidRPr="00460036">
              <w:rPr>
                <w:i/>
              </w:rPr>
              <w:t>Active ingredient:</w:t>
            </w:r>
          </w:p>
        </w:tc>
        <w:tc>
          <w:tcPr>
            <w:tcW w:w="3423" w:type="pct"/>
          </w:tcPr>
          <w:p w14:paraId="3477EB28" w14:textId="6273B3A4" w:rsidR="009F2673" w:rsidRPr="003D1E62" w:rsidRDefault="002D4E32" w:rsidP="009E5A87">
            <w:proofErr w:type="spellStart"/>
            <w:r>
              <w:t>Somapacitan</w:t>
            </w:r>
            <w:proofErr w:type="spellEnd"/>
          </w:p>
        </w:tc>
      </w:tr>
      <w:tr w:rsidR="009F2673" w:rsidRPr="003D1E62" w14:paraId="07D21B5F" w14:textId="77777777" w:rsidTr="006B7900">
        <w:tc>
          <w:tcPr>
            <w:tcW w:w="1577" w:type="pct"/>
          </w:tcPr>
          <w:p w14:paraId="4CD5273E" w14:textId="77777777" w:rsidR="009F2673" w:rsidRPr="009F2673" w:rsidRDefault="009F2673" w:rsidP="009E5A87">
            <w:pPr>
              <w:rPr>
                <w:i/>
              </w:rPr>
            </w:pPr>
            <w:r w:rsidRPr="003D1E62">
              <w:rPr>
                <w:i/>
              </w:rPr>
              <w:t>Decision</w:t>
            </w:r>
            <w:r w:rsidRPr="009F2673">
              <w:rPr>
                <w:i/>
              </w:rPr>
              <w:t>:</w:t>
            </w:r>
          </w:p>
        </w:tc>
        <w:tc>
          <w:tcPr>
            <w:tcW w:w="3423" w:type="pct"/>
          </w:tcPr>
          <w:p w14:paraId="284F5DE6" w14:textId="27A9795C" w:rsidR="009F2673" w:rsidRPr="003D1E62" w:rsidRDefault="009F2673" w:rsidP="009E5A87">
            <w:r w:rsidRPr="00460036">
              <w:t>Approved</w:t>
            </w:r>
          </w:p>
        </w:tc>
      </w:tr>
      <w:tr w:rsidR="009F2673" w:rsidRPr="003D1E62" w14:paraId="4A05BA35" w14:textId="77777777" w:rsidTr="006B7900">
        <w:tc>
          <w:tcPr>
            <w:tcW w:w="1577" w:type="pct"/>
          </w:tcPr>
          <w:p w14:paraId="2270C4AF"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5B3637C0" w14:textId="589C2179" w:rsidR="009F2673" w:rsidRPr="003D1E62" w:rsidRDefault="002D4E32" w:rsidP="009E5A87">
            <w:r>
              <w:t>14 February 2022</w:t>
            </w:r>
          </w:p>
        </w:tc>
      </w:tr>
      <w:tr w:rsidR="009F2673" w:rsidRPr="003D1E62" w14:paraId="17506E1F" w14:textId="77777777" w:rsidTr="006B7900">
        <w:tc>
          <w:tcPr>
            <w:tcW w:w="1577" w:type="pct"/>
          </w:tcPr>
          <w:p w14:paraId="58C56DF3" w14:textId="77777777" w:rsidR="009F2673" w:rsidRPr="00441C3F" w:rsidRDefault="009F2673" w:rsidP="009E5A87">
            <w:pPr>
              <w:rPr>
                <w:i/>
              </w:rPr>
            </w:pPr>
            <w:r w:rsidRPr="00441C3F">
              <w:rPr>
                <w:i/>
              </w:rPr>
              <w:t>Date of entry onto ARTG</w:t>
            </w:r>
            <w:r>
              <w:rPr>
                <w:i/>
              </w:rPr>
              <w:t>:</w:t>
            </w:r>
          </w:p>
        </w:tc>
        <w:tc>
          <w:tcPr>
            <w:tcW w:w="3423" w:type="pct"/>
          </w:tcPr>
          <w:p w14:paraId="2917F64B" w14:textId="3AAEB604" w:rsidR="009F2673" w:rsidRPr="009F2673" w:rsidRDefault="002D4E32" w:rsidP="009E5A87">
            <w:r>
              <w:t>21 February 2022</w:t>
            </w:r>
            <w:r w:rsidR="009F2673" w:rsidRPr="009F2673">
              <w:t xml:space="preserve"> </w:t>
            </w:r>
          </w:p>
        </w:tc>
      </w:tr>
      <w:tr w:rsidR="009F2673" w:rsidRPr="003D1E62" w14:paraId="7CA1922B" w14:textId="77777777" w:rsidTr="006B7900">
        <w:tc>
          <w:tcPr>
            <w:tcW w:w="1577" w:type="pct"/>
          </w:tcPr>
          <w:p w14:paraId="039D4AB2" w14:textId="72F213AC" w:rsidR="009F2673" w:rsidRPr="00441C3F" w:rsidRDefault="009F2673" w:rsidP="009E5A87">
            <w:pPr>
              <w:rPr>
                <w:i/>
              </w:rPr>
            </w:pPr>
            <w:r>
              <w:rPr>
                <w:i/>
              </w:rPr>
              <w:t>ARTG number:</w:t>
            </w:r>
          </w:p>
        </w:tc>
        <w:tc>
          <w:tcPr>
            <w:tcW w:w="3423" w:type="pct"/>
          </w:tcPr>
          <w:p w14:paraId="44474151" w14:textId="7EBC3F73" w:rsidR="009F2673" w:rsidRPr="00441C3F" w:rsidRDefault="002D4E32" w:rsidP="009E5A87">
            <w:r>
              <w:t>363895</w:t>
            </w:r>
          </w:p>
        </w:tc>
      </w:tr>
      <w:tr w:rsidR="009F2673" w:rsidRPr="003D1E62" w14:paraId="1AC9D6D1" w14:textId="77777777" w:rsidTr="006B7900">
        <w:tc>
          <w:tcPr>
            <w:tcW w:w="1577" w:type="pct"/>
          </w:tcPr>
          <w:p w14:paraId="5D718257" w14:textId="1CEB5AED"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66A23438" w14:textId="40B8DEDE" w:rsidR="009F2673" w:rsidRDefault="009F2673" w:rsidP="009E5A87">
            <w:r>
              <w:t>Yes</w:t>
            </w:r>
          </w:p>
          <w:p w14:paraId="05EE1C8C" w14:textId="23062437" w:rsidR="009F2673" w:rsidRPr="00487162" w:rsidRDefault="009F2673" w:rsidP="009E5A87">
            <w:r>
              <w:t xml:space="preserve">This product will remain in the scheme for 5 years, starting on the date the product is first supplied in </w:t>
            </w:r>
            <w:r w:rsidRPr="00D453FA">
              <w:t xml:space="preserve">Australia </w:t>
            </w:r>
            <w:r w:rsidRPr="009F2673">
              <w:t>[for new medicines</w:t>
            </w:r>
          </w:p>
        </w:tc>
      </w:tr>
      <w:tr w:rsidR="009F2673" w:rsidRPr="003D1E62" w14:paraId="7090F5BF" w14:textId="77777777" w:rsidTr="006B7900">
        <w:tc>
          <w:tcPr>
            <w:tcW w:w="1577" w:type="pct"/>
          </w:tcPr>
          <w:p w14:paraId="4C42CCFE"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14E295C5" w14:textId="77777777" w:rsidR="009F2673" w:rsidRDefault="006B7900" w:rsidP="009E5A87">
            <w:r w:rsidRPr="006B7900">
              <w:t>Novo Nordisk Pharmaceuticals Pty Ltd</w:t>
            </w:r>
          </w:p>
          <w:p w14:paraId="20C6C56E" w14:textId="77777777" w:rsidR="006B7900" w:rsidRDefault="006B7900" w:rsidP="006B7900">
            <w:r>
              <w:t>Level 10, 118 Mount Street</w:t>
            </w:r>
          </w:p>
          <w:p w14:paraId="39BF0789" w14:textId="609793B2" w:rsidR="006B7900" w:rsidRDefault="006B7900" w:rsidP="006B7900">
            <w:r>
              <w:t>North Sydney, NSW</w:t>
            </w:r>
            <w:r w:rsidR="009B25DD">
              <w:t>,</w:t>
            </w:r>
            <w:r>
              <w:t xml:space="preserve"> 2060</w:t>
            </w:r>
          </w:p>
        </w:tc>
      </w:tr>
      <w:tr w:rsidR="009F2673" w:rsidRPr="003D1E62" w14:paraId="28CDF363" w14:textId="77777777" w:rsidTr="006B7900">
        <w:tc>
          <w:tcPr>
            <w:tcW w:w="1577" w:type="pct"/>
          </w:tcPr>
          <w:p w14:paraId="04309E92" w14:textId="70189CE9" w:rsidR="009F2673" w:rsidRPr="00487162" w:rsidRDefault="009F2673" w:rsidP="009E5A87">
            <w:pPr>
              <w:rPr>
                <w:i/>
              </w:rPr>
            </w:pPr>
            <w:r>
              <w:rPr>
                <w:i/>
              </w:rPr>
              <w:t>Dose form:</w:t>
            </w:r>
          </w:p>
        </w:tc>
        <w:tc>
          <w:tcPr>
            <w:tcW w:w="3423" w:type="pct"/>
          </w:tcPr>
          <w:p w14:paraId="583FF605" w14:textId="21269941" w:rsidR="009F2673" w:rsidRDefault="006B7900" w:rsidP="009E5A87">
            <w:r>
              <w:t>Solution for injection</w:t>
            </w:r>
          </w:p>
        </w:tc>
      </w:tr>
      <w:tr w:rsidR="009F2673" w:rsidRPr="003D1E62" w14:paraId="4F287653" w14:textId="77777777" w:rsidTr="006B7900">
        <w:tc>
          <w:tcPr>
            <w:tcW w:w="1577" w:type="pct"/>
          </w:tcPr>
          <w:p w14:paraId="7FFEE112" w14:textId="7294F3CB" w:rsidR="009F2673" w:rsidRPr="00487162" w:rsidRDefault="009F2673" w:rsidP="009E5A87">
            <w:pPr>
              <w:rPr>
                <w:i/>
              </w:rPr>
            </w:pPr>
            <w:r w:rsidRPr="00487162">
              <w:rPr>
                <w:i/>
              </w:rPr>
              <w:t>Strength:</w:t>
            </w:r>
          </w:p>
        </w:tc>
        <w:tc>
          <w:tcPr>
            <w:tcW w:w="3423" w:type="pct"/>
          </w:tcPr>
          <w:p w14:paraId="700D7402" w14:textId="72125D7F" w:rsidR="009F2673" w:rsidRDefault="006B7900" w:rsidP="009E5A87">
            <w:r>
              <w:t>6.7 mg/mL (10 mg/1.5 mL)</w:t>
            </w:r>
          </w:p>
        </w:tc>
      </w:tr>
      <w:tr w:rsidR="009F2673" w:rsidRPr="003D1E62" w14:paraId="121858BE" w14:textId="77777777" w:rsidTr="006B7900">
        <w:tc>
          <w:tcPr>
            <w:tcW w:w="1577" w:type="pct"/>
          </w:tcPr>
          <w:p w14:paraId="5E5022E5" w14:textId="1A254E66" w:rsidR="009F2673" w:rsidRPr="00487162" w:rsidRDefault="009F2673" w:rsidP="009E5A87">
            <w:pPr>
              <w:rPr>
                <w:i/>
              </w:rPr>
            </w:pPr>
            <w:r w:rsidRPr="00487162">
              <w:rPr>
                <w:i/>
              </w:rPr>
              <w:t>Container:</w:t>
            </w:r>
          </w:p>
        </w:tc>
        <w:tc>
          <w:tcPr>
            <w:tcW w:w="3423" w:type="pct"/>
          </w:tcPr>
          <w:p w14:paraId="435795BD" w14:textId="6B1486FC" w:rsidR="009F2673" w:rsidRDefault="006B7900" w:rsidP="009E5A87">
            <w:r>
              <w:t>Pre-filled pen (</w:t>
            </w:r>
            <w:r w:rsidR="00B3735F">
              <w:t>cartridge</w:t>
            </w:r>
            <w:r>
              <w:t>)</w:t>
            </w:r>
          </w:p>
        </w:tc>
      </w:tr>
      <w:tr w:rsidR="009F2673" w:rsidRPr="003D1E62" w14:paraId="7C69BD83" w14:textId="77777777" w:rsidTr="006B7900">
        <w:tc>
          <w:tcPr>
            <w:tcW w:w="1577" w:type="pct"/>
          </w:tcPr>
          <w:p w14:paraId="4B1125C6" w14:textId="10FD4F90" w:rsidR="009F2673" w:rsidRPr="00487162" w:rsidRDefault="009F2673" w:rsidP="009E5A87">
            <w:pPr>
              <w:rPr>
                <w:i/>
              </w:rPr>
            </w:pPr>
            <w:r w:rsidRPr="00487162">
              <w:rPr>
                <w:i/>
              </w:rPr>
              <w:t>Pack size</w:t>
            </w:r>
            <w:r w:rsidR="006B7900">
              <w:rPr>
                <w:i/>
              </w:rPr>
              <w:t>s</w:t>
            </w:r>
            <w:r w:rsidRPr="00487162">
              <w:rPr>
                <w:i/>
              </w:rPr>
              <w:t>:</w:t>
            </w:r>
          </w:p>
        </w:tc>
        <w:tc>
          <w:tcPr>
            <w:tcW w:w="3423" w:type="pct"/>
          </w:tcPr>
          <w:p w14:paraId="6BE2F1F9" w14:textId="5124E90E" w:rsidR="009F2673" w:rsidRDefault="006B7900" w:rsidP="009E5A87">
            <w:r>
              <w:t>1 and 5</w:t>
            </w:r>
          </w:p>
        </w:tc>
      </w:tr>
      <w:tr w:rsidR="009F2673" w:rsidRPr="003D1E62" w14:paraId="6D62E4A3" w14:textId="77777777" w:rsidTr="006B7900">
        <w:tc>
          <w:tcPr>
            <w:tcW w:w="1577" w:type="pct"/>
          </w:tcPr>
          <w:p w14:paraId="7F9845B2"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0FB6A84A" w14:textId="7FD5733D" w:rsidR="009F2673" w:rsidRPr="006B7900" w:rsidRDefault="006B7900" w:rsidP="009E5A87">
            <w:pPr>
              <w:rPr>
                <w:i/>
                <w:iCs/>
              </w:rPr>
            </w:pPr>
            <w:proofErr w:type="spellStart"/>
            <w:r w:rsidRPr="006B7900">
              <w:rPr>
                <w:i/>
                <w:iCs/>
              </w:rPr>
              <w:t>Sogroya</w:t>
            </w:r>
            <w:proofErr w:type="spellEnd"/>
            <w:r w:rsidRPr="006B7900">
              <w:rPr>
                <w:i/>
                <w:iCs/>
              </w:rPr>
              <w:t xml:space="preserve"> is indicated for the replacement of endogenous growth hormone (GH) in adults with growth hormone deficiency (AGHD).</w:t>
            </w:r>
          </w:p>
        </w:tc>
      </w:tr>
      <w:tr w:rsidR="009F2673" w:rsidRPr="003D1E62" w14:paraId="0409689E" w14:textId="77777777" w:rsidTr="006B7900">
        <w:tc>
          <w:tcPr>
            <w:tcW w:w="1577" w:type="pct"/>
          </w:tcPr>
          <w:p w14:paraId="05EA458B" w14:textId="225C2D88" w:rsidR="009F2673" w:rsidRPr="00487162" w:rsidRDefault="009F2673" w:rsidP="009E5A87">
            <w:pPr>
              <w:rPr>
                <w:i/>
              </w:rPr>
            </w:pPr>
            <w:r w:rsidRPr="00487162">
              <w:rPr>
                <w:i/>
              </w:rPr>
              <w:t>Route of administration:</w:t>
            </w:r>
          </w:p>
        </w:tc>
        <w:tc>
          <w:tcPr>
            <w:tcW w:w="3423" w:type="pct"/>
          </w:tcPr>
          <w:p w14:paraId="077A9095" w14:textId="154C252A" w:rsidR="009F2673" w:rsidRPr="00487162" w:rsidRDefault="006B7900" w:rsidP="009E5A87">
            <w:r>
              <w:t>Subcutaneous</w:t>
            </w:r>
          </w:p>
        </w:tc>
      </w:tr>
      <w:tr w:rsidR="009F2673" w:rsidRPr="003D1E62" w14:paraId="57B32A00" w14:textId="77777777" w:rsidTr="006B7900">
        <w:tc>
          <w:tcPr>
            <w:tcW w:w="1577" w:type="pct"/>
          </w:tcPr>
          <w:p w14:paraId="77FF299F" w14:textId="77777777" w:rsidR="009F2673" w:rsidRPr="00487162" w:rsidRDefault="009F2673" w:rsidP="009E5A87">
            <w:pPr>
              <w:rPr>
                <w:i/>
              </w:rPr>
            </w:pPr>
            <w:r w:rsidRPr="00487162">
              <w:rPr>
                <w:i/>
              </w:rPr>
              <w:t>Dosage:</w:t>
            </w:r>
          </w:p>
        </w:tc>
        <w:tc>
          <w:tcPr>
            <w:tcW w:w="3423" w:type="pct"/>
          </w:tcPr>
          <w:p w14:paraId="1CB4D34B" w14:textId="77777777" w:rsidR="00B344EC" w:rsidRDefault="00B344EC" w:rsidP="00B344EC">
            <w:proofErr w:type="spellStart"/>
            <w:r>
              <w:t>Somapacitan</w:t>
            </w:r>
            <w:proofErr w:type="spellEnd"/>
            <w:r>
              <w:t xml:space="preserve"> should be initiated and monitored by physicians who are appropriately qualified and experienced in the diagnosis and management of adult patients with growth hormone deficiency (for example, endocrinologists).</w:t>
            </w:r>
          </w:p>
          <w:p w14:paraId="18A05484" w14:textId="77777777" w:rsidR="009B25DD" w:rsidRDefault="00B344EC" w:rsidP="00B344EC">
            <w:r>
              <w:t>Dosage is based on multiple factors, including the age of the patient and whether the patient has been switched from daily growth hormone medicinal products.</w:t>
            </w:r>
          </w:p>
          <w:p w14:paraId="12ECA9C2" w14:textId="4599CBCB" w:rsidR="009F2673" w:rsidRDefault="00B344EC" w:rsidP="00B344EC">
            <w:r>
              <w:t xml:space="preserve">The </w:t>
            </w:r>
            <w:proofErr w:type="spellStart"/>
            <w:r>
              <w:t>somapacitan</w:t>
            </w:r>
            <w:proofErr w:type="spellEnd"/>
            <w:r>
              <w:t xml:space="preserve"> dose must be individually adjusted for each patient.</w:t>
            </w:r>
          </w:p>
          <w:p w14:paraId="1C3927A8" w14:textId="77777777" w:rsidR="009F2673" w:rsidRPr="00487162" w:rsidRDefault="009F2673" w:rsidP="009E5A87">
            <w:r w:rsidRPr="00460036">
              <w:lastRenderedPageBreak/>
              <w:t>For further information regarding dosage, refer to the Product Information.</w:t>
            </w:r>
          </w:p>
        </w:tc>
      </w:tr>
      <w:tr w:rsidR="009F2673" w:rsidRPr="003D1E62" w14:paraId="351928C6" w14:textId="77777777" w:rsidTr="006B7900">
        <w:tc>
          <w:tcPr>
            <w:tcW w:w="1577" w:type="pct"/>
          </w:tcPr>
          <w:p w14:paraId="0F5F3744" w14:textId="77777777" w:rsidR="009F2673" w:rsidRPr="00487162" w:rsidRDefault="009F2673" w:rsidP="009E5A87">
            <w:pPr>
              <w:rPr>
                <w:i/>
              </w:rPr>
            </w:pPr>
            <w:r w:rsidRPr="00460036">
              <w:rPr>
                <w:i/>
              </w:rPr>
              <w:lastRenderedPageBreak/>
              <w:t>Pregnancy category</w:t>
            </w:r>
            <w:r>
              <w:rPr>
                <w:i/>
              </w:rPr>
              <w:t>:</w:t>
            </w:r>
          </w:p>
        </w:tc>
        <w:tc>
          <w:tcPr>
            <w:tcW w:w="3423" w:type="pct"/>
          </w:tcPr>
          <w:p w14:paraId="2DDA228F" w14:textId="77777777" w:rsidR="006B7900" w:rsidRDefault="006B7900" w:rsidP="006B7900">
            <w:r>
              <w:t>B1</w:t>
            </w:r>
          </w:p>
          <w:p w14:paraId="246C8A0A" w14:textId="77777777" w:rsidR="006B7900" w:rsidRDefault="006B7900" w:rsidP="006B7900">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72F85D0C" w14:textId="77777777" w:rsidR="006B7900" w:rsidRDefault="006B7900" w:rsidP="006B7900">
            <w:r>
              <w:t xml:space="preserve">Studies in animals have not shown evidence of an increased occurrence of </w:t>
            </w:r>
            <w:proofErr w:type="spellStart"/>
            <w:r>
              <w:t>fetal</w:t>
            </w:r>
            <w:proofErr w:type="spellEnd"/>
            <w:r>
              <w:t xml:space="preserve"> damage.</w:t>
            </w:r>
          </w:p>
          <w:p w14:paraId="763046CD" w14:textId="77693BAB"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13E08FA" w14:textId="77777777" w:rsidR="008E7846" w:rsidRDefault="008E7846" w:rsidP="008E7846">
      <w:pPr>
        <w:pStyle w:val="Heading3"/>
      </w:pPr>
      <w:bookmarkStart w:id="9" w:name="_Toc247691503"/>
      <w:bookmarkStart w:id="10" w:name="_Toc314842484"/>
      <w:bookmarkStart w:id="11" w:name="_Toc110415597"/>
      <w:r>
        <w:t>Product background</w:t>
      </w:r>
      <w:bookmarkEnd w:id="9"/>
      <w:bookmarkEnd w:id="10"/>
      <w:bookmarkEnd w:id="11"/>
    </w:p>
    <w:p w14:paraId="63EB1883" w14:textId="382C11EC" w:rsidR="009F2673" w:rsidRDefault="009F2673" w:rsidP="009F2673">
      <w:r w:rsidRPr="000A4A42">
        <w:t xml:space="preserve">This </w:t>
      </w:r>
      <w:proofErr w:type="spellStart"/>
      <w:r w:rsidRPr="000A4A42">
        <w:t>AusPAR</w:t>
      </w:r>
      <w:proofErr w:type="spellEnd"/>
      <w:r w:rsidRPr="000A4A42">
        <w:t xml:space="preserve"> describes the </w:t>
      </w:r>
      <w:r w:rsidR="001E359E">
        <w:t>submission</w:t>
      </w:r>
      <w:r w:rsidRPr="000A4A42">
        <w:t xml:space="preserve"> by </w:t>
      </w:r>
      <w:r w:rsidR="00B344EC" w:rsidRPr="00B344EC">
        <w:t>Novo Nordisk Pharmaceuticals Pty Ltd</w:t>
      </w:r>
      <w:r w:rsidRPr="000A4A42">
        <w:t xml:space="preserve"> (the</w:t>
      </w:r>
      <w:r w:rsidR="009B25DD">
        <w:t> </w:t>
      </w:r>
      <w:r w:rsidRPr="000A4A42">
        <w:t xml:space="preserve">sponsor) to register </w:t>
      </w:r>
      <w:proofErr w:type="spellStart"/>
      <w:r w:rsidR="00B344EC" w:rsidRPr="00915863">
        <w:t>S</w:t>
      </w:r>
      <w:r w:rsidR="00B344EC">
        <w:t>ogroya</w:t>
      </w:r>
      <w:proofErr w:type="spellEnd"/>
      <w:r w:rsidR="00B344EC">
        <w:t xml:space="preserve"> (</w:t>
      </w:r>
      <w:proofErr w:type="spellStart"/>
      <w:r w:rsidR="00B344EC" w:rsidRPr="00915863">
        <w:t>somapacitan</w:t>
      </w:r>
      <w:proofErr w:type="spellEnd"/>
      <w:r w:rsidRPr="000A4A42">
        <w:t xml:space="preserve">) </w:t>
      </w:r>
      <w:r w:rsidR="00B344EC">
        <w:t>6.7 mg/mL</w:t>
      </w:r>
      <w:r w:rsidRPr="000A4A42">
        <w:t xml:space="preserve">, </w:t>
      </w:r>
      <w:r w:rsidR="00B344EC">
        <w:t>solution for injection</w:t>
      </w:r>
      <w:r w:rsidRPr="000A4A42">
        <w:t xml:space="preserve"> for the following proposed indication:</w:t>
      </w:r>
    </w:p>
    <w:p w14:paraId="7EC266AD" w14:textId="77777777" w:rsidR="009E769D" w:rsidRPr="008457EA" w:rsidRDefault="00B344EC" w:rsidP="00935D9D">
      <w:pPr>
        <w:ind w:left="720"/>
        <w:rPr>
          <w:i/>
        </w:rPr>
      </w:pPr>
      <w:r w:rsidRPr="008457EA">
        <w:rPr>
          <w:i/>
        </w:rPr>
        <w:t xml:space="preserve">For the once-weekly replacement of endogenous growth hormone (GH) in adults with growth hormone deficiency (AGHD). </w:t>
      </w:r>
      <w:proofErr w:type="spellStart"/>
      <w:r w:rsidRPr="008457EA">
        <w:rPr>
          <w:i/>
        </w:rPr>
        <w:t>Sogroya</w:t>
      </w:r>
      <w:proofErr w:type="spellEnd"/>
      <w:r w:rsidRPr="008457EA">
        <w:rPr>
          <w:i/>
        </w:rPr>
        <w:t xml:space="preserve"> is for subcutaneous injection once a week.</w:t>
      </w:r>
    </w:p>
    <w:p w14:paraId="1373EE31" w14:textId="39535BC8" w:rsidR="009E769D" w:rsidRDefault="009E769D" w:rsidP="008457EA">
      <w:proofErr w:type="spellStart"/>
      <w:r w:rsidRPr="008457EA">
        <w:t>Somapacitan</w:t>
      </w:r>
      <w:proofErr w:type="spellEnd"/>
      <w:r w:rsidRPr="008457EA">
        <w:t> is a growth hormone analogue indicated to treat adults with growth hormone deficiency.</w:t>
      </w:r>
      <w:r>
        <w:rPr>
          <w:rFonts w:ascii="Helvetica" w:hAnsi="Helvetica" w:cs="Helvetica"/>
          <w:color w:val="192027"/>
          <w:shd w:val="clear" w:color="auto" w:fill="FFFFFF"/>
        </w:rPr>
        <w:t xml:space="preserve"> </w:t>
      </w:r>
      <w:r w:rsidRPr="008457EA">
        <w:t>This human growth hormone analog</w:t>
      </w:r>
      <w:r>
        <w:t>ue</w:t>
      </w:r>
      <w:r w:rsidRPr="008457EA">
        <w:t xml:space="preserve"> differs </w:t>
      </w:r>
      <w:r>
        <w:t xml:space="preserve">from endogenous growth hormone </w:t>
      </w:r>
      <w:r w:rsidRPr="008457EA">
        <w:t>by the creation of an albumin binding site and prolonging the effect so that it requires weekly dosing rather than daily</w:t>
      </w:r>
      <w:r w:rsidRPr="00935D9D">
        <w:t>.</w:t>
      </w:r>
    </w:p>
    <w:p w14:paraId="5BB86F0E" w14:textId="2C5E3D5E" w:rsidR="009E769D" w:rsidRDefault="009E769D" w:rsidP="008457EA">
      <w:r>
        <w:t xml:space="preserve">Structurally, </w:t>
      </w:r>
      <w:proofErr w:type="spellStart"/>
      <w:r>
        <w:t>somapacitan</w:t>
      </w:r>
      <w:proofErr w:type="spellEnd"/>
      <w:r>
        <w:t xml:space="preserve"> is a </w:t>
      </w:r>
      <w:proofErr w:type="gramStart"/>
      <w:r>
        <w:t>long acting</w:t>
      </w:r>
      <w:proofErr w:type="gramEnd"/>
      <w:r>
        <w:t xml:space="preserve"> growth hormone derivative with a single substitution in the peptide backbone, with leucine substituted by cysteine to which an albumin-binding moiety has been attached. The albumin-binding moiety consists of a 16</w:t>
      </w:r>
      <w:r>
        <w:noBreakHyphen/>
        <w:t xml:space="preserve">carbon chain fatty acid moiety and a hydrophilic spacer attached to the protein by chemical conjugation. Noncovalent reversible binding to endogenous albumin delays the elimination of </w:t>
      </w:r>
      <w:proofErr w:type="spellStart"/>
      <w:r>
        <w:t>somapacitan</w:t>
      </w:r>
      <w:proofErr w:type="spellEnd"/>
      <w:r>
        <w:t xml:space="preserve"> and therefore prolongs the </w:t>
      </w:r>
      <w:r w:rsidRPr="00B344EC">
        <w:rPr>
          <w:i/>
          <w:iCs/>
        </w:rPr>
        <w:t>in</w:t>
      </w:r>
      <w:r>
        <w:rPr>
          <w:i/>
          <w:iCs/>
        </w:rPr>
        <w:t xml:space="preserve"> </w:t>
      </w:r>
      <w:r w:rsidRPr="00B344EC">
        <w:rPr>
          <w:i/>
          <w:iCs/>
        </w:rPr>
        <w:t>vivo</w:t>
      </w:r>
      <w:r>
        <w:t xml:space="preserve"> half-life.</w:t>
      </w:r>
    </w:p>
    <w:p w14:paraId="65B57E28" w14:textId="64974F29" w:rsidR="009E769D" w:rsidRPr="00935D9D" w:rsidRDefault="009E769D" w:rsidP="008457EA">
      <w:proofErr w:type="spellStart"/>
      <w:r>
        <w:t>Somapacitan</w:t>
      </w:r>
      <w:proofErr w:type="spellEnd"/>
      <w:r>
        <w:t xml:space="preserve"> binds to the growth hormone receptor and the mechanism of action is either directly via binding to the growth hormone receptor or indirectly via IGF-1 (insulin</w:t>
      </w:r>
      <w:r>
        <w:noBreakHyphen/>
        <w:t>like growth factor one).</w:t>
      </w:r>
    </w:p>
    <w:p w14:paraId="76F8FE40" w14:textId="3F3F4BD4" w:rsidR="00B344EC" w:rsidRDefault="00B344EC" w:rsidP="00B344EC">
      <w:bookmarkStart w:id="12" w:name="_Toc314842485"/>
      <w:bookmarkStart w:id="13" w:name="_Toc247691504"/>
      <w:r>
        <w:t xml:space="preserve">The proposed indication is adults with growth hormone deficiency. This is a rare condition. It may occur in associated with genetic or structural central nervous system disease, or in association with acquired conditions such as trauma, tumours, </w:t>
      </w:r>
      <w:proofErr w:type="gramStart"/>
      <w:r w:rsidR="00B3735F">
        <w:t>surgery</w:t>
      </w:r>
      <w:proofErr w:type="gramEnd"/>
      <w:r>
        <w:t xml:space="preserve"> or infiltration from other diseases.</w:t>
      </w:r>
    </w:p>
    <w:p w14:paraId="493EDD4D" w14:textId="7A4CE45F" w:rsidR="00B344EC" w:rsidRDefault="00B344EC" w:rsidP="00B344EC">
      <w:r>
        <w:t xml:space="preserve">Adults with growth hormone deficiency experience a difference range of symptoms and signs than children. These include lethargy, fatigue, increased adiposity, reduced muscle strength, </w:t>
      </w:r>
      <w:proofErr w:type="gramStart"/>
      <w:r>
        <w:t>depression</w:t>
      </w:r>
      <w:proofErr w:type="gramEnd"/>
      <w:r>
        <w:t xml:space="preserve"> and poor concentration.</w:t>
      </w:r>
    </w:p>
    <w:p w14:paraId="08022881" w14:textId="07B46BC3" w:rsidR="00590A44" w:rsidRDefault="00B344EC" w:rsidP="00B344EC">
      <w:r>
        <w:lastRenderedPageBreak/>
        <w:t xml:space="preserve">There are number of somatropin products available on the </w:t>
      </w:r>
      <w:r w:rsidR="00B3735F">
        <w:t>Australian Register of Therapeutic Goods (</w:t>
      </w:r>
      <w:r>
        <w:t>ARTG</w:t>
      </w:r>
      <w:r w:rsidR="00B3735F">
        <w:t>)</w:t>
      </w:r>
      <w:r>
        <w:t xml:space="preserve"> for use in </w:t>
      </w:r>
      <w:r w:rsidR="00FA4738">
        <w:t xml:space="preserve">growth hormone </w:t>
      </w:r>
      <w:r>
        <w:t>deficiency.</w:t>
      </w:r>
      <w:r w:rsidR="00590A44">
        <w:rPr>
          <w:rStyle w:val="FootnoteReference"/>
        </w:rPr>
        <w:footnoteReference w:id="1"/>
      </w:r>
      <w:r>
        <w:t xml:space="preserve"> These products are given by subcutaneous injection 6</w:t>
      </w:r>
      <w:r w:rsidR="00FA4738">
        <w:t xml:space="preserve"> to </w:t>
      </w:r>
      <w:r>
        <w:t>7 days each week.</w:t>
      </w:r>
    </w:p>
    <w:p w14:paraId="42311CFE" w14:textId="4CE92EA3" w:rsidR="00B344EC" w:rsidRDefault="00B344EC" w:rsidP="00B344EC">
      <w:r>
        <w:t xml:space="preserve">The main advantage of </w:t>
      </w:r>
      <w:proofErr w:type="spellStart"/>
      <w:r w:rsidR="00B3735F">
        <w:t>Sogroya</w:t>
      </w:r>
      <w:proofErr w:type="spellEnd"/>
      <w:r>
        <w:t xml:space="preserve"> over </w:t>
      </w:r>
      <w:r w:rsidR="00FA4738">
        <w:t>other growth hormone</w:t>
      </w:r>
      <w:r>
        <w:t xml:space="preserve"> products is that it is administered once </w:t>
      </w:r>
      <w:r w:rsidR="00B3735F">
        <w:t>per</w:t>
      </w:r>
      <w:r>
        <w:t xml:space="preserve"> week</w:t>
      </w:r>
      <w:r w:rsidR="00FA4738">
        <w:t>.</w:t>
      </w:r>
    </w:p>
    <w:p w14:paraId="5F4F82DC" w14:textId="0C0BED2C" w:rsidR="009F2673" w:rsidRDefault="009F2673" w:rsidP="009F2673">
      <w:r w:rsidRPr="000A4A42">
        <w:t xml:space="preserve">This </w:t>
      </w:r>
      <w:r w:rsidR="00BB0B78">
        <w:t>submission</w:t>
      </w:r>
      <w:r w:rsidRPr="000A4A42">
        <w:t xml:space="preserve"> was submitted through the TGA’s </w:t>
      </w:r>
      <w:hyperlink r:id="rId15" w:history="1">
        <w:r w:rsidRPr="005A2EB8">
          <w:rPr>
            <w:rStyle w:val="Hyperlink"/>
          </w:rPr>
          <w:t>Comparable Overseas Regulator</w:t>
        </w:r>
      </w:hyperlink>
      <w:r>
        <w:t xml:space="preserve"> </w:t>
      </w:r>
      <w:r w:rsidRPr="000A4A42">
        <w:t>B (COR-B) process, using evaluation reports from</w:t>
      </w:r>
      <w:r w:rsidR="00FA4738">
        <w:t xml:space="preserve"> </w:t>
      </w:r>
      <w:r w:rsidR="00FA4738" w:rsidRPr="00FA4738">
        <w:t>European Medicines Agency</w:t>
      </w:r>
      <w:r w:rsidR="00FA4738">
        <w:t xml:space="preserve"> (EMA)</w:t>
      </w:r>
      <w:r w:rsidRPr="001D111E">
        <w:rPr>
          <w:iCs/>
        </w:rPr>
        <w:t xml:space="preserve">. </w:t>
      </w:r>
      <w:r w:rsidRPr="000A4A42">
        <w:t>The full dossier was submitted to the TGA.</w:t>
      </w:r>
    </w:p>
    <w:p w14:paraId="085C1774" w14:textId="77777777" w:rsidR="008E7846" w:rsidRPr="003F31A2" w:rsidRDefault="00386150" w:rsidP="008E7846">
      <w:pPr>
        <w:pStyle w:val="Heading3"/>
      </w:pPr>
      <w:bookmarkStart w:id="14" w:name="_Toc110415598"/>
      <w:r>
        <w:t>Regulatory s</w:t>
      </w:r>
      <w:r w:rsidR="008E7846">
        <w:t>tatus</w:t>
      </w:r>
      <w:bookmarkEnd w:id="12"/>
      <w:bookmarkEnd w:id="13"/>
      <w:bookmarkEnd w:id="14"/>
    </w:p>
    <w:p w14:paraId="4FFC7556" w14:textId="2F404090" w:rsidR="00332715" w:rsidRDefault="00332715" w:rsidP="00332715">
      <w:bookmarkStart w:id="15" w:name="_Toc247691505"/>
      <w:bookmarkStart w:id="16" w:name="_Toc314842486"/>
      <w:r>
        <w:t>This product is considered a new biological entity for Australian regulatory purposes.</w:t>
      </w:r>
    </w:p>
    <w:p w14:paraId="4B2BB168" w14:textId="331DA04B" w:rsidR="00332715" w:rsidRDefault="00332715" w:rsidP="00332715">
      <w:r>
        <w:t xml:space="preserve">At the time the TGA considered this </w:t>
      </w:r>
      <w:r w:rsidR="00BB0B78">
        <w:t>submission</w:t>
      </w:r>
      <w:r>
        <w:t xml:space="preserve">, a similar </w:t>
      </w:r>
      <w:r w:rsidR="00BB0B78">
        <w:t>submission</w:t>
      </w:r>
      <w:r>
        <w:t xml:space="preserve"> had been approved in </w:t>
      </w:r>
      <w:r w:rsidR="00552E47">
        <w:t>European Union (EU)</w:t>
      </w:r>
      <w:r>
        <w:t xml:space="preserve"> on </w:t>
      </w:r>
      <w:r w:rsidR="00552E47">
        <w:t>31 March 2021, in United States of America (USA) on 28 August 2020 and in Japan on 22 January 2021</w:t>
      </w:r>
      <w:r>
        <w:t xml:space="preserve">. A similar </w:t>
      </w:r>
      <w:r w:rsidR="00BB0B78">
        <w:t>submission</w:t>
      </w:r>
      <w:r>
        <w:t xml:space="preserve"> </w:t>
      </w:r>
      <w:r w:rsidR="00DB4549">
        <w:t xml:space="preserve">was </w:t>
      </w:r>
      <w:r w:rsidR="00552E47">
        <w:t>submitted to Switzerland on 7 October 2019 and subsequently withdrawn on 28 January 2021.</w:t>
      </w:r>
      <w:r w:rsidR="00552E47">
        <w:fldChar w:fldCharType="begin"/>
      </w:r>
      <w:r w:rsidR="00552E47">
        <w:instrText xml:space="preserve"> NOTEREF _Ref110413629 \f \h </w:instrText>
      </w:r>
      <w:r w:rsidR="00552E47">
        <w:fldChar w:fldCharType="separate"/>
      </w:r>
      <w:r w:rsidR="00590A44" w:rsidRPr="008457EA">
        <w:rPr>
          <w:rStyle w:val="FootnoteReference"/>
        </w:rPr>
        <w:t>2</w:t>
      </w:r>
      <w:r w:rsidR="00552E47">
        <w:fldChar w:fldCharType="end"/>
      </w:r>
    </w:p>
    <w:p w14:paraId="029D750F"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6DA073C6" w14:textId="18074F05" w:rsidR="00324E45" w:rsidRPr="00F0146F" w:rsidRDefault="00324E45" w:rsidP="00324E45">
      <w:pPr>
        <w:pStyle w:val="TableTitle"/>
      </w:pPr>
      <w:bookmarkStart w:id="17" w:name="_Ref99705479"/>
      <w:r>
        <w:t xml:space="preserve">Table </w:t>
      </w:r>
      <w:fldSimple w:instr=" SEQ Table \* ARABIC ">
        <w:r w:rsidR="000377C2">
          <w:rPr>
            <w:noProof/>
          </w:rPr>
          <w:t>1</w:t>
        </w:r>
      </w:fldSimple>
      <w:bookmarkEnd w:id="17"/>
      <w:r>
        <w:t>: International regulatory status</w:t>
      </w:r>
    </w:p>
    <w:tbl>
      <w:tblPr>
        <w:tblStyle w:val="TableTGAblue"/>
        <w:tblW w:w="0" w:type="auto"/>
        <w:tblLook w:val="04A0" w:firstRow="1" w:lastRow="0" w:firstColumn="1" w:lastColumn="0" w:noHBand="0" w:noVBand="1"/>
      </w:tblPr>
      <w:tblGrid>
        <w:gridCol w:w="1885"/>
        <w:gridCol w:w="2250"/>
        <w:gridCol w:w="2231"/>
        <w:gridCol w:w="2128"/>
      </w:tblGrid>
      <w:tr w:rsidR="00FA4738" w14:paraId="0F234C22" w14:textId="77777777" w:rsidTr="008457EA">
        <w:trPr>
          <w:cnfStyle w:val="100000000000" w:firstRow="1" w:lastRow="0" w:firstColumn="0" w:lastColumn="0" w:oddVBand="0" w:evenVBand="0" w:oddHBand="0" w:evenHBand="0" w:firstRowFirstColumn="0" w:firstRowLastColumn="0" w:lastRowFirstColumn="0" w:lastRowLastColumn="0"/>
        </w:trPr>
        <w:tc>
          <w:tcPr>
            <w:tcW w:w="1885" w:type="dxa"/>
            <w:tcBorders>
              <w:top w:val="single" w:sz="4" w:space="0" w:color="auto"/>
              <w:left w:val="single" w:sz="4" w:space="0" w:color="auto"/>
              <w:bottom w:val="single" w:sz="4" w:space="0" w:color="auto"/>
              <w:right w:val="single" w:sz="4" w:space="0" w:color="auto"/>
            </w:tcBorders>
          </w:tcPr>
          <w:p w14:paraId="3F865D08" w14:textId="77777777" w:rsidR="00006FAB" w:rsidRDefault="00006FAB" w:rsidP="00006FAB">
            <w:pPr>
              <w:ind w:left="0" w:right="0"/>
            </w:pPr>
            <w:r>
              <w:t>Region</w:t>
            </w:r>
          </w:p>
        </w:tc>
        <w:tc>
          <w:tcPr>
            <w:tcW w:w="2250" w:type="dxa"/>
            <w:tcBorders>
              <w:top w:val="single" w:sz="4" w:space="0" w:color="auto"/>
              <w:left w:val="single" w:sz="4" w:space="0" w:color="auto"/>
              <w:bottom w:val="single" w:sz="4" w:space="0" w:color="auto"/>
              <w:right w:val="single" w:sz="4" w:space="0" w:color="auto"/>
            </w:tcBorders>
          </w:tcPr>
          <w:p w14:paraId="20ABCE41" w14:textId="77777777" w:rsidR="00006FAB" w:rsidRDefault="00006FAB" w:rsidP="00006FAB">
            <w:pPr>
              <w:ind w:left="0" w:right="0"/>
            </w:pPr>
            <w:r>
              <w:t>Submission date</w:t>
            </w:r>
          </w:p>
        </w:tc>
        <w:tc>
          <w:tcPr>
            <w:tcW w:w="2231" w:type="dxa"/>
            <w:tcBorders>
              <w:top w:val="single" w:sz="4" w:space="0" w:color="auto"/>
              <w:left w:val="single" w:sz="4" w:space="0" w:color="auto"/>
              <w:bottom w:val="single" w:sz="4" w:space="0" w:color="auto"/>
              <w:right w:val="single" w:sz="4" w:space="0" w:color="auto"/>
            </w:tcBorders>
          </w:tcPr>
          <w:p w14:paraId="7A145EFD" w14:textId="77777777" w:rsidR="00006FAB" w:rsidRDefault="00006FAB" w:rsidP="00006FAB">
            <w:pPr>
              <w:ind w:left="0" w:right="0"/>
            </w:pPr>
            <w:r>
              <w:t>Status</w:t>
            </w:r>
          </w:p>
        </w:tc>
        <w:tc>
          <w:tcPr>
            <w:tcW w:w="2128" w:type="dxa"/>
            <w:tcBorders>
              <w:top w:val="single" w:sz="4" w:space="0" w:color="auto"/>
              <w:left w:val="single" w:sz="4" w:space="0" w:color="auto"/>
              <w:bottom w:val="single" w:sz="4" w:space="0" w:color="auto"/>
              <w:right w:val="single" w:sz="4" w:space="0" w:color="auto"/>
            </w:tcBorders>
          </w:tcPr>
          <w:p w14:paraId="7A8D05C5" w14:textId="77777777" w:rsidR="00006FAB" w:rsidRDefault="00006FAB" w:rsidP="00006FAB">
            <w:pPr>
              <w:ind w:left="0" w:right="0"/>
            </w:pPr>
            <w:r>
              <w:t>Approved indications</w:t>
            </w:r>
          </w:p>
        </w:tc>
      </w:tr>
      <w:tr w:rsidR="00FA4738" w14:paraId="3199B00A" w14:textId="77777777" w:rsidTr="008457EA">
        <w:tc>
          <w:tcPr>
            <w:tcW w:w="1885" w:type="dxa"/>
            <w:tcBorders>
              <w:top w:val="single" w:sz="4" w:space="0" w:color="auto"/>
            </w:tcBorders>
          </w:tcPr>
          <w:p w14:paraId="2C914EC9" w14:textId="77777777" w:rsidR="00006FAB" w:rsidRPr="00E20CE3" w:rsidRDefault="00FA4738" w:rsidP="00006FAB">
            <w:pPr>
              <w:ind w:left="0" w:right="0"/>
              <w:rPr>
                <w:lang w:val="fr-FR"/>
              </w:rPr>
            </w:pPr>
            <w:proofErr w:type="spellStart"/>
            <w:r w:rsidRPr="00E20CE3">
              <w:rPr>
                <w:lang w:val="fr-FR"/>
              </w:rPr>
              <w:t>European</w:t>
            </w:r>
            <w:proofErr w:type="spellEnd"/>
            <w:r w:rsidRPr="00E20CE3">
              <w:rPr>
                <w:lang w:val="fr-FR"/>
              </w:rPr>
              <w:t xml:space="preserve"> Union</w:t>
            </w:r>
          </w:p>
          <w:p w14:paraId="50ED3D29" w14:textId="77777777" w:rsidR="00FA4738" w:rsidRPr="00E20CE3" w:rsidRDefault="00FA4738" w:rsidP="00006FAB">
            <w:pPr>
              <w:ind w:left="0" w:right="0"/>
              <w:rPr>
                <w:lang w:val="fr-FR"/>
              </w:rPr>
            </w:pPr>
            <w:proofErr w:type="gramStart"/>
            <w:r w:rsidRPr="00E20CE3">
              <w:rPr>
                <w:lang w:val="fr-FR"/>
              </w:rPr>
              <w:t>Rapporteur:</w:t>
            </w:r>
            <w:proofErr w:type="gramEnd"/>
            <w:r w:rsidRPr="00E20CE3">
              <w:rPr>
                <w:lang w:val="fr-FR"/>
              </w:rPr>
              <w:t xml:space="preserve"> </w:t>
            </w:r>
            <w:proofErr w:type="spellStart"/>
            <w:r w:rsidRPr="00E20CE3">
              <w:rPr>
                <w:lang w:val="fr-FR"/>
              </w:rPr>
              <w:t>Netherlands</w:t>
            </w:r>
            <w:proofErr w:type="spellEnd"/>
          </w:p>
          <w:p w14:paraId="582C67AD" w14:textId="72198759" w:rsidR="00FA4738" w:rsidRPr="00E20CE3" w:rsidRDefault="00FA4738" w:rsidP="00006FAB">
            <w:pPr>
              <w:ind w:left="0" w:right="0"/>
              <w:rPr>
                <w:lang w:val="fr-FR"/>
              </w:rPr>
            </w:pPr>
            <w:proofErr w:type="spellStart"/>
            <w:r w:rsidRPr="00E20CE3">
              <w:rPr>
                <w:lang w:val="fr-FR"/>
              </w:rPr>
              <w:t>Co-</w:t>
            </w:r>
            <w:proofErr w:type="gramStart"/>
            <w:r w:rsidRPr="00E20CE3">
              <w:rPr>
                <w:lang w:val="fr-FR"/>
              </w:rPr>
              <w:t>rapporteur</w:t>
            </w:r>
            <w:proofErr w:type="spellEnd"/>
            <w:r w:rsidRPr="00E20CE3">
              <w:rPr>
                <w:lang w:val="fr-FR"/>
              </w:rPr>
              <w:t>:</w:t>
            </w:r>
            <w:proofErr w:type="gramEnd"/>
            <w:r w:rsidRPr="00E20CE3">
              <w:rPr>
                <w:lang w:val="fr-FR"/>
              </w:rPr>
              <w:t xml:space="preserve"> </w:t>
            </w:r>
            <w:r w:rsidR="00590A44">
              <w:rPr>
                <w:lang w:val="fr-FR"/>
              </w:rPr>
              <w:t>France</w:t>
            </w:r>
          </w:p>
        </w:tc>
        <w:tc>
          <w:tcPr>
            <w:tcW w:w="2250" w:type="dxa"/>
            <w:tcBorders>
              <w:top w:val="single" w:sz="4" w:space="0" w:color="auto"/>
            </w:tcBorders>
          </w:tcPr>
          <w:p w14:paraId="3A9241F2" w14:textId="0186194E" w:rsidR="00FA4738" w:rsidRDefault="00FA4738" w:rsidP="00006FAB">
            <w:pPr>
              <w:ind w:left="0" w:right="0"/>
            </w:pPr>
            <w:r>
              <w:t>16 September 2019</w:t>
            </w:r>
          </w:p>
        </w:tc>
        <w:tc>
          <w:tcPr>
            <w:tcW w:w="2231" w:type="dxa"/>
            <w:tcBorders>
              <w:top w:val="single" w:sz="4" w:space="0" w:color="auto"/>
            </w:tcBorders>
          </w:tcPr>
          <w:p w14:paraId="17F8C28C" w14:textId="7FCE68E5" w:rsidR="00006FAB" w:rsidRDefault="00006FAB" w:rsidP="00006FAB">
            <w:pPr>
              <w:ind w:left="0" w:right="0"/>
            </w:pPr>
            <w:r w:rsidRPr="00006FAB">
              <w:t xml:space="preserve">Approved on </w:t>
            </w:r>
            <w:r w:rsidR="00FA4738">
              <w:t>31</w:t>
            </w:r>
            <w:r w:rsidR="00590A44">
              <w:t> </w:t>
            </w:r>
            <w:r w:rsidR="00FA4738">
              <w:t>March</w:t>
            </w:r>
            <w:r w:rsidR="00590A44">
              <w:t> </w:t>
            </w:r>
            <w:r w:rsidR="00FA4738">
              <w:t>2021</w:t>
            </w:r>
          </w:p>
        </w:tc>
        <w:tc>
          <w:tcPr>
            <w:tcW w:w="2128" w:type="dxa"/>
            <w:tcBorders>
              <w:top w:val="single" w:sz="4" w:space="0" w:color="auto"/>
            </w:tcBorders>
          </w:tcPr>
          <w:p w14:paraId="3D4C4256" w14:textId="57EAF834" w:rsidR="00006FAB" w:rsidRPr="00FA4738" w:rsidRDefault="00FA4738" w:rsidP="00FA4738">
            <w:pPr>
              <w:ind w:left="0"/>
              <w:rPr>
                <w:i/>
                <w:iCs/>
              </w:rPr>
            </w:pPr>
            <w:proofErr w:type="spellStart"/>
            <w:r w:rsidRPr="00FA4738">
              <w:rPr>
                <w:i/>
                <w:iCs/>
              </w:rPr>
              <w:t>Sogroya</w:t>
            </w:r>
            <w:proofErr w:type="spellEnd"/>
            <w:r w:rsidRPr="00FA4738">
              <w:rPr>
                <w:i/>
                <w:iCs/>
              </w:rPr>
              <w:t xml:space="preserve"> is indicated for the replacement of endogenous growth hormone (GH) in adults with growth hormone deficiency (AGHD).</w:t>
            </w:r>
          </w:p>
        </w:tc>
      </w:tr>
      <w:tr w:rsidR="00FA4738" w14:paraId="491DB822" w14:textId="77777777" w:rsidTr="008457EA">
        <w:tc>
          <w:tcPr>
            <w:tcW w:w="1885" w:type="dxa"/>
          </w:tcPr>
          <w:p w14:paraId="70033E74" w14:textId="58D1B84B" w:rsidR="00006FAB" w:rsidRDefault="00FA4738" w:rsidP="00006FAB">
            <w:pPr>
              <w:ind w:left="0" w:right="0"/>
            </w:pPr>
            <w:r>
              <w:t>United States of America</w:t>
            </w:r>
          </w:p>
        </w:tc>
        <w:tc>
          <w:tcPr>
            <w:tcW w:w="2250" w:type="dxa"/>
          </w:tcPr>
          <w:p w14:paraId="477FEBA4" w14:textId="4089531A" w:rsidR="00006FAB" w:rsidRDefault="00FA4738" w:rsidP="00006FAB">
            <w:pPr>
              <w:ind w:left="0" w:right="0"/>
            </w:pPr>
            <w:r>
              <w:t>28 August 2019</w:t>
            </w:r>
          </w:p>
        </w:tc>
        <w:tc>
          <w:tcPr>
            <w:tcW w:w="2231" w:type="dxa"/>
          </w:tcPr>
          <w:p w14:paraId="117FC407" w14:textId="2C9B1EB7" w:rsidR="00006FAB" w:rsidRDefault="00FA4738" w:rsidP="00006FAB">
            <w:pPr>
              <w:ind w:left="0" w:right="0"/>
            </w:pPr>
            <w:r>
              <w:t>Approved on 28</w:t>
            </w:r>
            <w:r w:rsidR="00590A44">
              <w:t> </w:t>
            </w:r>
            <w:r>
              <w:t>August 2020</w:t>
            </w:r>
          </w:p>
        </w:tc>
        <w:tc>
          <w:tcPr>
            <w:tcW w:w="2128" w:type="dxa"/>
          </w:tcPr>
          <w:p w14:paraId="6D900506" w14:textId="7F5CC8EB" w:rsidR="00006FAB" w:rsidRPr="00FA4738" w:rsidRDefault="00FA4738" w:rsidP="00FA4738">
            <w:pPr>
              <w:ind w:left="0"/>
              <w:rPr>
                <w:i/>
                <w:iCs/>
              </w:rPr>
            </w:pPr>
            <w:proofErr w:type="spellStart"/>
            <w:r w:rsidRPr="00FA4738">
              <w:rPr>
                <w:i/>
                <w:iCs/>
              </w:rPr>
              <w:t>Sogroya</w:t>
            </w:r>
            <w:proofErr w:type="spellEnd"/>
            <w:r w:rsidRPr="00FA4738">
              <w:rPr>
                <w:i/>
                <w:iCs/>
              </w:rPr>
              <w:t xml:space="preserve"> is indicated for the replacement of endogenous growth hormone (GH) in adults with growth hormone deficiency (GHD).</w:t>
            </w:r>
          </w:p>
        </w:tc>
      </w:tr>
      <w:tr w:rsidR="00FA4738" w14:paraId="3A9E9122" w14:textId="77777777" w:rsidTr="008457EA">
        <w:tc>
          <w:tcPr>
            <w:tcW w:w="1885" w:type="dxa"/>
          </w:tcPr>
          <w:p w14:paraId="2EE2FD79" w14:textId="342B45BB" w:rsidR="00FA4738" w:rsidRDefault="00FA4738" w:rsidP="00FA4738">
            <w:pPr>
              <w:ind w:left="0"/>
            </w:pPr>
            <w:r>
              <w:t>Switzerland</w:t>
            </w:r>
          </w:p>
        </w:tc>
        <w:tc>
          <w:tcPr>
            <w:tcW w:w="2250" w:type="dxa"/>
          </w:tcPr>
          <w:p w14:paraId="5522DDFA" w14:textId="3B5D4323" w:rsidR="00FA4738" w:rsidRDefault="00FA4738" w:rsidP="00FA4738">
            <w:pPr>
              <w:ind w:left="0"/>
            </w:pPr>
            <w:r>
              <w:t>7 October 2019</w:t>
            </w:r>
          </w:p>
        </w:tc>
        <w:tc>
          <w:tcPr>
            <w:tcW w:w="2231" w:type="dxa"/>
          </w:tcPr>
          <w:p w14:paraId="35AAA38D" w14:textId="55F62054" w:rsidR="00FA4738" w:rsidRDefault="00FA4738" w:rsidP="00FA4738">
            <w:pPr>
              <w:ind w:left="0"/>
            </w:pPr>
            <w:r>
              <w:t>Withdrawn on 28</w:t>
            </w:r>
            <w:r w:rsidR="00590A44">
              <w:t> </w:t>
            </w:r>
            <w:r>
              <w:t>January 2021;</w:t>
            </w:r>
            <w:bookmarkStart w:id="18" w:name="_Ref110413629"/>
            <w:r>
              <w:rPr>
                <w:rStyle w:val="FootnoteReference"/>
              </w:rPr>
              <w:footnoteReference w:id="2"/>
            </w:r>
            <w:bookmarkEnd w:id="18"/>
          </w:p>
        </w:tc>
        <w:tc>
          <w:tcPr>
            <w:tcW w:w="2128" w:type="dxa"/>
          </w:tcPr>
          <w:p w14:paraId="6E5128FE" w14:textId="4A21214A" w:rsidR="00FA4738" w:rsidRPr="00FA4738" w:rsidRDefault="00FA4738" w:rsidP="00FA4738">
            <w:pPr>
              <w:ind w:left="0"/>
            </w:pPr>
            <w:r>
              <w:t>Not applicable.</w:t>
            </w:r>
          </w:p>
        </w:tc>
      </w:tr>
      <w:tr w:rsidR="00FA4738" w14:paraId="49664F0F" w14:textId="77777777" w:rsidTr="008457EA">
        <w:tc>
          <w:tcPr>
            <w:tcW w:w="1885" w:type="dxa"/>
          </w:tcPr>
          <w:p w14:paraId="60E09B5C" w14:textId="78514A5C" w:rsidR="00FA4738" w:rsidRDefault="00FA4738" w:rsidP="00FA4738">
            <w:pPr>
              <w:ind w:left="0"/>
            </w:pPr>
            <w:r>
              <w:lastRenderedPageBreak/>
              <w:t>Japan</w:t>
            </w:r>
          </w:p>
        </w:tc>
        <w:tc>
          <w:tcPr>
            <w:tcW w:w="2250" w:type="dxa"/>
          </w:tcPr>
          <w:p w14:paraId="23B509F1" w14:textId="3BA1CAF3" w:rsidR="00FA4738" w:rsidRDefault="00FA4738" w:rsidP="00FA4738">
            <w:pPr>
              <w:ind w:left="0"/>
            </w:pPr>
            <w:r>
              <w:t>27 February 2020</w:t>
            </w:r>
          </w:p>
        </w:tc>
        <w:tc>
          <w:tcPr>
            <w:tcW w:w="2231" w:type="dxa"/>
          </w:tcPr>
          <w:p w14:paraId="734B1D24" w14:textId="5E432C27" w:rsidR="00FA4738" w:rsidRDefault="00FA4738" w:rsidP="00FA4738">
            <w:pPr>
              <w:ind w:left="0"/>
            </w:pPr>
            <w:r>
              <w:t>Approved on 22</w:t>
            </w:r>
            <w:r w:rsidR="00590A44">
              <w:t> </w:t>
            </w:r>
            <w:r>
              <w:t>January 2021</w:t>
            </w:r>
          </w:p>
        </w:tc>
        <w:tc>
          <w:tcPr>
            <w:tcW w:w="2128" w:type="dxa"/>
          </w:tcPr>
          <w:p w14:paraId="23A9EFEE" w14:textId="38545DD6" w:rsidR="00FA4738" w:rsidRPr="00FA4738" w:rsidRDefault="00FA4738" w:rsidP="00FA4738">
            <w:pPr>
              <w:ind w:left="0"/>
              <w:rPr>
                <w:i/>
                <w:iCs/>
              </w:rPr>
            </w:pPr>
            <w:r w:rsidRPr="00FA4738">
              <w:rPr>
                <w:i/>
                <w:iCs/>
              </w:rPr>
              <w:t>Adult growth hormone deficiency (only severe case)</w:t>
            </w:r>
          </w:p>
        </w:tc>
      </w:tr>
    </w:tbl>
    <w:p w14:paraId="142DBB0F" w14:textId="77777777" w:rsidR="008E7846" w:rsidRDefault="008E7846" w:rsidP="00940A89">
      <w:pPr>
        <w:pStyle w:val="Heading3"/>
      </w:pPr>
      <w:bookmarkStart w:id="19" w:name="_Toc110415599"/>
      <w:r>
        <w:t>Product Information</w:t>
      </w:r>
      <w:bookmarkEnd w:id="15"/>
      <w:bookmarkEnd w:id="16"/>
      <w:bookmarkEnd w:id="19"/>
    </w:p>
    <w:p w14:paraId="396DE599" w14:textId="6B6F1FD9" w:rsidR="00332715" w:rsidRDefault="00332715" w:rsidP="00332715">
      <w:bookmarkStart w:id="20" w:name="_Toc504480011"/>
      <w:bookmarkStart w:id="21" w:name="_Toc247691506"/>
      <w:bookmarkStart w:id="22" w:name="_Toc314842487"/>
      <w:r>
        <w:t xml:space="preserve">The Product Information (PI) approved with the submission which is described in this </w:t>
      </w:r>
      <w:proofErr w:type="spellStart"/>
      <w:r>
        <w:t>AusPAR</w:t>
      </w:r>
      <w:proofErr w:type="spellEnd"/>
      <w:r>
        <w:t xml:space="preserve"> can be found as Attachment 1. For the most recent PI, please refer to the TGA </w:t>
      </w:r>
      <w:hyperlink r:id="rId16" w:history="1">
        <w:r>
          <w:rPr>
            <w:rStyle w:val="Hyperlink"/>
          </w:rPr>
          <w:t>PI/CMI search facility</w:t>
        </w:r>
        <w:r w:rsidRPr="009556D7">
          <w:rPr>
            <w:rStyle w:val="Hyperlink"/>
            <w:color w:val="auto"/>
            <w:u w:val="none"/>
          </w:rPr>
          <w:t>.</w:t>
        </w:r>
      </w:hyperlink>
    </w:p>
    <w:p w14:paraId="59342D99" w14:textId="77777777" w:rsidR="00500337" w:rsidRDefault="00500337" w:rsidP="00500337">
      <w:pPr>
        <w:pStyle w:val="Heading2"/>
      </w:pPr>
      <w:bookmarkStart w:id="23" w:name="_Toc110415600"/>
      <w:r>
        <w:t>Registration timeline</w:t>
      </w:r>
      <w:bookmarkEnd w:id="20"/>
      <w:bookmarkEnd w:id="23"/>
    </w:p>
    <w:p w14:paraId="41C6272A" w14:textId="77777777" w:rsidR="0074163C" w:rsidRPr="00C93EC1" w:rsidRDefault="0074163C" w:rsidP="0074163C">
      <w:r w:rsidRPr="00C93EC1">
        <w:t xml:space="preserve">The following table captures the key steps and dates for this </w:t>
      </w:r>
      <w:r w:rsidR="00804D99">
        <w:t>submission</w:t>
      </w:r>
      <w:r w:rsidRPr="00C93EC1">
        <w:t>.</w:t>
      </w:r>
    </w:p>
    <w:p w14:paraId="422BF214" w14:textId="4B526532" w:rsidR="0074163C" w:rsidRPr="006A58A8" w:rsidRDefault="0074163C" w:rsidP="0074163C">
      <w:pPr>
        <w:pStyle w:val="TableTitle"/>
      </w:pPr>
      <w:r>
        <w:t xml:space="preserve">Table </w:t>
      </w:r>
      <w:fldSimple w:instr=" SEQ Table \* ARABIC ">
        <w:r w:rsidR="000377C2">
          <w:rPr>
            <w:noProof/>
          </w:rPr>
          <w:t>2</w:t>
        </w:r>
      </w:fldSimple>
      <w:r>
        <w:t>:</w:t>
      </w:r>
      <w:r w:rsidRPr="006A58A8">
        <w:t xml:space="preserve"> Timeline for Submission PM-20</w:t>
      </w:r>
      <w:r>
        <w:t>2</w:t>
      </w:r>
      <w:r w:rsidR="000E1B13">
        <w:t>1</w:t>
      </w:r>
      <w:r w:rsidRPr="006A58A8">
        <w:t>-</w:t>
      </w:r>
      <w:r w:rsidR="000E1B13">
        <w:t>01699</w:t>
      </w:r>
      <w:r w:rsidRPr="006A58A8">
        <w:t>-1-</w:t>
      </w:r>
      <w:r w:rsidR="000E1B13">
        <w:t>5</w:t>
      </w:r>
    </w:p>
    <w:p w14:paraId="2AF2CE92" w14:textId="77777777" w:rsidR="0074163C" w:rsidRPr="00822FCB" w:rsidRDefault="0074163C" w:rsidP="0074163C">
      <w:pPr>
        <w:pStyle w:val="Instructions"/>
        <w:rPr>
          <w:i w:val="0"/>
          <w:color w:val="auto"/>
          <w:szCs w:val="20"/>
        </w:rPr>
      </w:pPr>
      <w:r w:rsidRPr="00822FCB">
        <w:rPr>
          <w:i w:val="0"/>
          <w:color w:val="auto"/>
          <w:szCs w:val="20"/>
        </w:rPr>
        <w:t>Standard pathway</w:t>
      </w:r>
    </w:p>
    <w:tbl>
      <w:tblPr>
        <w:tblStyle w:val="TableTGAblue"/>
        <w:tblW w:w="0" w:type="auto"/>
        <w:tblLook w:val="04A0" w:firstRow="1" w:lastRow="0" w:firstColumn="1" w:lastColumn="0" w:noHBand="0" w:noVBand="1"/>
      </w:tblPr>
      <w:tblGrid>
        <w:gridCol w:w="4255"/>
        <w:gridCol w:w="4239"/>
      </w:tblGrid>
      <w:tr w:rsidR="0074163C" w14:paraId="61351226" w14:textId="77777777" w:rsidTr="009E5A87">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3FEB80B2" w14:textId="77777777" w:rsidR="0074163C" w:rsidRDefault="0074163C" w:rsidP="009E5A87">
            <w:r>
              <w:t>Description</w:t>
            </w:r>
          </w:p>
        </w:tc>
        <w:tc>
          <w:tcPr>
            <w:tcW w:w="4360" w:type="dxa"/>
            <w:tcBorders>
              <w:top w:val="single" w:sz="4" w:space="0" w:color="auto"/>
              <w:left w:val="single" w:sz="4" w:space="0" w:color="auto"/>
              <w:bottom w:val="single" w:sz="4" w:space="0" w:color="auto"/>
              <w:right w:val="single" w:sz="4" w:space="0" w:color="auto"/>
            </w:tcBorders>
          </w:tcPr>
          <w:p w14:paraId="48B4F558" w14:textId="77777777" w:rsidR="0074163C" w:rsidRDefault="0074163C" w:rsidP="009E5A87">
            <w:r>
              <w:t>Date</w:t>
            </w:r>
          </w:p>
        </w:tc>
      </w:tr>
      <w:tr w:rsidR="0074163C" w14:paraId="0C7BDD85" w14:textId="77777777" w:rsidTr="009E5A87">
        <w:tc>
          <w:tcPr>
            <w:tcW w:w="4360" w:type="dxa"/>
            <w:tcBorders>
              <w:top w:val="single" w:sz="4" w:space="0" w:color="auto"/>
            </w:tcBorders>
          </w:tcPr>
          <w:p w14:paraId="4C062C32" w14:textId="77777777" w:rsidR="0074163C" w:rsidRDefault="0074163C" w:rsidP="009E5A87">
            <w:r>
              <w:t>Submission dossier accepted and first round evaluation commenced</w:t>
            </w:r>
          </w:p>
        </w:tc>
        <w:tc>
          <w:tcPr>
            <w:tcW w:w="4360" w:type="dxa"/>
            <w:tcBorders>
              <w:top w:val="single" w:sz="4" w:space="0" w:color="auto"/>
            </w:tcBorders>
          </w:tcPr>
          <w:p w14:paraId="23DA65B0" w14:textId="328FE652" w:rsidR="0074163C" w:rsidRDefault="00FA4738" w:rsidP="009E5A87">
            <w:r>
              <w:t>1 June 2021</w:t>
            </w:r>
          </w:p>
        </w:tc>
      </w:tr>
      <w:tr w:rsidR="0074163C" w14:paraId="7245D598" w14:textId="77777777" w:rsidTr="009E5A87">
        <w:tc>
          <w:tcPr>
            <w:tcW w:w="4360" w:type="dxa"/>
          </w:tcPr>
          <w:p w14:paraId="06EDDCDC" w14:textId="77777777" w:rsidR="0074163C" w:rsidRDefault="0074163C" w:rsidP="009E5A87">
            <w:r>
              <w:t>First round evaluation completed</w:t>
            </w:r>
          </w:p>
        </w:tc>
        <w:tc>
          <w:tcPr>
            <w:tcW w:w="4360" w:type="dxa"/>
          </w:tcPr>
          <w:p w14:paraId="6E3E9778" w14:textId="4E94351C" w:rsidR="0074163C" w:rsidRDefault="00FA4738" w:rsidP="009E5A87">
            <w:r>
              <w:t>25 August 2021</w:t>
            </w:r>
          </w:p>
        </w:tc>
      </w:tr>
      <w:tr w:rsidR="0074163C" w14:paraId="7502142C" w14:textId="77777777" w:rsidTr="009E5A87">
        <w:tc>
          <w:tcPr>
            <w:tcW w:w="4360" w:type="dxa"/>
          </w:tcPr>
          <w:p w14:paraId="7C2023EC" w14:textId="77777777" w:rsidR="0074163C" w:rsidRDefault="0074163C" w:rsidP="009E5A87">
            <w:r>
              <w:t>Sponsor provides responses on questions raised in first round evaluation</w:t>
            </w:r>
          </w:p>
        </w:tc>
        <w:tc>
          <w:tcPr>
            <w:tcW w:w="4360" w:type="dxa"/>
          </w:tcPr>
          <w:p w14:paraId="780F10BD" w14:textId="496CA02C" w:rsidR="0074163C" w:rsidRDefault="00E104EA" w:rsidP="009E5A87">
            <w:r>
              <w:t>25 October 2021</w:t>
            </w:r>
          </w:p>
        </w:tc>
      </w:tr>
      <w:tr w:rsidR="0074163C" w14:paraId="4A777403" w14:textId="77777777" w:rsidTr="009E5A87">
        <w:tc>
          <w:tcPr>
            <w:tcW w:w="4360" w:type="dxa"/>
          </w:tcPr>
          <w:p w14:paraId="6BCCE361" w14:textId="77777777" w:rsidR="0074163C" w:rsidRDefault="0074163C" w:rsidP="009E5A87">
            <w:r>
              <w:t>Second round evaluation completed</w:t>
            </w:r>
          </w:p>
        </w:tc>
        <w:tc>
          <w:tcPr>
            <w:tcW w:w="4360" w:type="dxa"/>
          </w:tcPr>
          <w:p w14:paraId="2E3BE2C5" w14:textId="5D443A8D" w:rsidR="0074163C" w:rsidRDefault="00E104EA" w:rsidP="009E5A87">
            <w:r>
              <w:t>26 November 2021</w:t>
            </w:r>
          </w:p>
        </w:tc>
      </w:tr>
      <w:tr w:rsidR="0074163C" w14:paraId="249D4C09" w14:textId="77777777" w:rsidTr="009E5A87">
        <w:tc>
          <w:tcPr>
            <w:tcW w:w="4360" w:type="dxa"/>
          </w:tcPr>
          <w:p w14:paraId="63AA65C3" w14:textId="70F48168" w:rsidR="0074163C" w:rsidRDefault="0074163C" w:rsidP="009E5A87">
            <w:r>
              <w:t>Delegate’s Overall benefit-risk assessment</w:t>
            </w:r>
          </w:p>
        </w:tc>
        <w:tc>
          <w:tcPr>
            <w:tcW w:w="4360" w:type="dxa"/>
          </w:tcPr>
          <w:p w14:paraId="1B0EDF68" w14:textId="15D724B6" w:rsidR="0074163C" w:rsidRDefault="00E104EA" w:rsidP="009E5A87">
            <w:r>
              <w:t>14 January 2022</w:t>
            </w:r>
          </w:p>
        </w:tc>
      </w:tr>
      <w:tr w:rsidR="0074163C" w14:paraId="59545848" w14:textId="77777777" w:rsidTr="009E5A87">
        <w:tc>
          <w:tcPr>
            <w:tcW w:w="4360" w:type="dxa"/>
          </w:tcPr>
          <w:p w14:paraId="417AB209" w14:textId="77777777" w:rsidR="0074163C" w:rsidRDefault="0074163C" w:rsidP="009E5A87">
            <w:r>
              <w:t>Sponsor’s pre-Advisory Committee response</w:t>
            </w:r>
          </w:p>
        </w:tc>
        <w:tc>
          <w:tcPr>
            <w:tcW w:w="4360" w:type="dxa"/>
          </w:tcPr>
          <w:p w14:paraId="1B0CE906" w14:textId="39987DD7" w:rsidR="0074163C" w:rsidRDefault="00E104EA" w:rsidP="009E5A87">
            <w:r>
              <w:t>Not applicable</w:t>
            </w:r>
          </w:p>
        </w:tc>
      </w:tr>
      <w:tr w:rsidR="0074163C" w14:paraId="5230DA3A" w14:textId="77777777" w:rsidTr="009E5A87">
        <w:tc>
          <w:tcPr>
            <w:tcW w:w="4360" w:type="dxa"/>
          </w:tcPr>
          <w:p w14:paraId="13CB987A" w14:textId="77777777" w:rsidR="0074163C" w:rsidRDefault="0074163C" w:rsidP="009E5A87">
            <w:r>
              <w:t>Advisory Committee meeting</w:t>
            </w:r>
          </w:p>
        </w:tc>
        <w:tc>
          <w:tcPr>
            <w:tcW w:w="4360" w:type="dxa"/>
          </w:tcPr>
          <w:p w14:paraId="04A53D64" w14:textId="7E056679" w:rsidR="0074163C" w:rsidRDefault="00E104EA" w:rsidP="009E5A87">
            <w:r>
              <w:t>Not applicable</w:t>
            </w:r>
          </w:p>
        </w:tc>
      </w:tr>
      <w:tr w:rsidR="0074163C" w14:paraId="32F65B7A" w14:textId="77777777" w:rsidTr="009E5A87">
        <w:tc>
          <w:tcPr>
            <w:tcW w:w="4360" w:type="dxa"/>
          </w:tcPr>
          <w:p w14:paraId="3730C60D" w14:textId="77777777" w:rsidR="0074163C" w:rsidRDefault="0074163C" w:rsidP="009E5A87">
            <w:r>
              <w:t>Registration decision (Outcome)</w:t>
            </w:r>
          </w:p>
        </w:tc>
        <w:tc>
          <w:tcPr>
            <w:tcW w:w="4360" w:type="dxa"/>
          </w:tcPr>
          <w:p w14:paraId="652AB889" w14:textId="364AF2FC" w:rsidR="0074163C" w:rsidRDefault="00E104EA" w:rsidP="009E5A87">
            <w:r>
              <w:t>14 February 2022</w:t>
            </w:r>
          </w:p>
        </w:tc>
      </w:tr>
      <w:tr w:rsidR="0074163C" w14:paraId="504FD74C" w14:textId="77777777" w:rsidTr="009E5A87">
        <w:tc>
          <w:tcPr>
            <w:tcW w:w="4360" w:type="dxa"/>
          </w:tcPr>
          <w:p w14:paraId="30202CE4" w14:textId="77777777" w:rsidR="0074163C" w:rsidRDefault="0074163C" w:rsidP="009E5A87">
            <w:r w:rsidRPr="005A79F5">
              <w:t>Completion of administrative activities and registration on the ARTG</w:t>
            </w:r>
          </w:p>
        </w:tc>
        <w:tc>
          <w:tcPr>
            <w:tcW w:w="4360" w:type="dxa"/>
          </w:tcPr>
          <w:p w14:paraId="5D66EAF0" w14:textId="5F50E0DA" w:rsidR="0074163C" w:rsidRDefault="00E104EA" w:rsidP="009E5A87">
            <w:r>
              <w:t>21 February 2022</w:t>
            </w:r>
          </w:p>
        </w:tc>
      </w:tr>
      <w:tr w:rsidR="0074163C" w14:paraId="435CAE4B" w14:textId="77777777" w:rsidTr="009E5A87">
        <w:tc>
          <w:tcPr>
            <w:tcW w:w="4360" w:type="dxa"/>
          </w:tcPr>
          <w:p w14:paraId="22035DD8" w14:textId="77777777" w:rsidR="0074163C" w:rsidRDefault="0074163C" w:rsidP="009E5A87">
            <w:r>
              <w:t>Number of working days from submission dossier acceptance to registration decision*</w:t>
            </w:r>
          </w:p>
        </w:tc>
        <w:tc>
          <w:tcPr>
            <w:tcW w:w="4360" w:type="dxa"/>
          </w:tcPr>
          <w:p w14:paraId="7633FC22" w14:textId="0CE58834" w:rsidR="0074163C" w:rsidRDefault="00E104EA" w:rsidP="009E5A87">
            <w:r>
              <w:t>133</w:t>
            </w:r>
          </w:p>
        </w:tc>
      </w:tr>
    </w:tbl>
    <w:p w14:paraId="6B9C869F" w14:textId="77777777" w:rsidR="0074163C" w:rsidRDefault="0074163C" w:rsidP="0074163C">
      <w:pPr>
        <w:pStyle w:val="TableDescription"/>
      </w:pPr>
      <w:r w:rsidRPr="00006FAB">
        <w:t>*The COR-B process has a 175 working day evaluation and decision timeframe.</w:t>
      </w:r>
    </w:p>
    <w:p w14:paraId="7855390B" w14:textId="77777777" w:rsidR="008E7846" w:rsidRPr="00792A32" w:rsidRDefault="00006FAB" w:rsidP="008E7846">
      <w:pPr>
        <w:pStyle w:val="Heading2"/>
      </w:pPr>
      <w:bookmarkStart w:id="24" w:name="_Toc196046504"/>
      <w:bookmarkStart w:id="25" w:name="_Toc247691527"/>
      <w:bookmarkStart w:id="26" w:name="_Toc314842510"/>
      <w:bookmarkStart w:id="27" w:name="_Toc110415601"/>
      <w:bookmarkStart w:id="28" w:name="_Toc163441390"/>
      <w:bookmarkEnd w:id="1"/>
      <w:bookmarkEnd w:id="21"/>
      <w:bookmarkEnd w:id="22"/>
      <w:r w:rsidRPr="00006FAB">
        <w:lastRenderedPageBreak/>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4"/>
      <w:bookmarkEnd w:id="25"/>
      <w:bookmarkEnd w:id="26"/>
      <w:bookmarkEnd w:id="27"/>
    </w:p>
    <w:p w14:paraId="049F6F58" w14:textId="77777777" w:rsidR="0074163C" w:rsidRDefault="0074163C" w:rsidP="0074163C">
      <w:bookmarkStart w:id="29" w:name="_Toc247691528"/>
      <w:bookmarkStart w:id="30" w:name="_Toc314842511"/>
      <w:r>
        <w:t>This section is a TGA summary of wording used in TGA’s evaluation report, which discussed numerous aspects of overseas evaluation reports and included some information that was commercial-in-confidence.</w:t>
      </w:r>
    </w:p>
    <w:p w14:paraId="7E86ED06" w14:textId="272F2E2F" w:rsidR="008E7846" w:rsidRDefault="008E7846" w:rsidP="008E7846">
      <w:pPr>
        <w:pStyle w:val="Heading3"/>
      </w:pPr>
      <w:bookmarkStart w:id="31" w:name="_Toc110415602"/>
      <w:r>
        <w:t>Quality</w:t>
      </w:r>
      <w:bookmarkEnd w:id="29"/>
      <w:bookmarkEnd w:id="30"/>
      <w:bookmarkEnd w:id="31"/>
    </w:p>
    <w:p w14:paraId="3946F8F0" w14:textId="1677FE95" w:rsidR="00935D9D" w:rsidRDefault="00935D9D" w:rsidP="008457EA">
      <w:proofErr w:type="spellStart"/>
      <w:r>
        <w:t>Sogroya</w:t>
      </w:r>
      <w:proofErr w:type="spellEnd"/>
      <w:r>
        <w:t xml:space="preserve"> (</w:t>
      </w:r>
      <w:proofErr w:type="spellStart"/>
      <w:r>
        <w:t>somapacitan</w:t>
      </w:r>
      <w:proofErr w:type="spellEnd"/>
      <w:r>
        <w:t xml:space="preserve">) solution for subcutaneous injection is presented as a single patient use pre-filled pen. Each pre-filled pen contains 10 mg in a deliverable volume of 1.5 </w:t>
      </w:r>
      <w:proofErr w:type="spellStart"/>
      <w:r>
        <w:t>mL.</w:t>
      </w:r>
      <w:proofErr w:type="spellEnd"/>
      <w:r w:rsidR="00580019">
        <w:t xml:space="preserve"> One mL</w:t>
      </w:r>
      <w:r>
        <w:t xml:space="preserve"> of solution contains 6.7 mg of </w:t>
      </w:r>
      <w:proofErr w:type="spellStart"/>
      <w:r>
        <w:t>somapacitan</w:t>
      </w:r>
      <w:proofErr w:type="spellEnd"/>
      <w:r>
        <w:t>.</w:t>
      </w:r>
    </w:p>
    <w:p w14:paraId="58E0FDCA" w14:textId="47BE35CF" w:rsidR="006F2930" w:rsidRDefault="006F2930" w:rsidP="00D719B1">
      <w:r>
        <w:t>The pen injector delivers doses from 0.05 mg to 4 mg in increments of 0.05 mg (0.075 m</w:t>
      </w:r>
      <w:r w:rsidR="005E23D6">
        <w:t>L</w:t>
      </w:r>
      <w:r>
        <w:t>).</w:t>
      </w:r>
      <w:r w:rsidRPr="0080088A">
        <w:t xml:space="preserve"> </w:t>
      </w:r>
      <w:r>
        <w:t>Excipients in product ar</w:t>
      </w:r>
      <w:r w:rsidRPr="00A42F34">
        <w:t xml:space="preserve">e </w:t>
      </w:r>
      <w:bookmarkStart w:id="32" w:name="_Hlk86152065"/>
      <w:r w:rsidRPr="00A42F34">
        <w:t>mannitol, poloxamer, histidine, phenol, sodium hydroxide (for pH</w:t>
      </w:r>
      <w:r>
        <w:t xml:space="preserve"> </w:t>
      </w:r>
      <w:r w:rsidRPr="00A42F34">
        <w:t>adjustment), hydrochloric acid (for pH</w:t>
      </w:r>
      <w:r>
        <w:t xml:space="preserve"> </w:t>
      </w:r>
      <w:r w:rsidRPr="00A42F34">
        <w:t>adjustment) and water for injection</w:t>
      </w:r>
      <w:r>
        <w:t>.</w:t>
      </w:r>
      <w:bookmarkEnd w:id="32"/>
      <w:r>
        <w:t xml:space="preserve"> The </w:t>
      </w:r>
      <w:r w:rsidR="005E23D6">
        <w:t>structural formula</w:t>
      </w:r>
      <w:r>
        <w:t xml:space="preserve"> of </w:t>
      </w:r>
      <w:proofErr w:type="spellStart"/>
      <w:r>
        <w:t>sompacitan</w:t>
      </w:r>
      <w:proofErr w:type="spellEnd"/>
      <w:r>
        <w:t xml:space="preserve"> is shown in </w:t>
      </w:r>
      <w:r>
        <w:fldChar w:fldCharType="begin"/>
      </w:r>
      <w:r>
        <w:instrText xml:space="preserve"> REF _Ref109997671 \h </w:instrText>
      </w:r>
      <w:r>
        <w:fldChar w:fldCharType="separate"/>
      </w:r>
      <w:r w:rsidR="000377C2" w:rsidRPr="006F2930">
        <w:t xml:space="preserve">Figure </w:t>
      </w:r>
      <w:r w:rsidR="000377C2">
        <w:rPr>
          <w:noProof/>
        </w:rPr>
        <w:t>1</w:t>
      </w:r>
      <w:r>
        <w:fldChar w:fldCharType="end"/>
      </w:r>
      <w:r>
        <w:t>.</w:t>
      </w:r>
    </w:p>
    <w:p w14:paraId="3D438A3A" w14:textId="6433B5F4" w:rsidR="00580019" w:rsidRDefault="00580019" w:rsidP="00D719B1">
      <w:proofErr w:type="spellStart"/>
      <w:r w:rsidRPr="005E23D6">
        <w:t>Sogroya</w:t>
      </w:r>
      <w:proofErr w:type="spellEnd"/>
      <w:r w:rsidRPr="005E23D6">
        <w:t xml:space="preserve"> </w:t>
      </w:r>
      <w:r>
        <w:t>(</w:t>
      </w:r>
      <w:proofErr w:type="spellStart"/>
      <w:r>
        <w:t>somapacitan</w:t>
      </w:r>
      <w:proofErr w:type="spellEnd"/>
      <w:r w:rsidRPr="005E23D6">
        <w:t>)</w:t>
      </w:r>
      <w:r>
        <w:t xml:space="preserve"> solution is </w:t>
      </w:r>
      <w:r w:rsidRPr="005E23D6">
        <w:t>a sterile,</w:t>
      </w:r>
      <w:r>
        <w:t xml:space="preserve"> clear to slightly opalescent, colourless to slightly yellow liquid, essentially free from visible particles.</w:t>
      </w:r>
    </w:p>
    <w:p w14:paraId="46AEA6F6" w14:textId="67231D1D" w:rsidR="006F2930" w:rsidRDefault="006F2930" w:rsidP="006F2930">
      <w:pPr>
        <w:pStyle w:val="FigureTitle"/>
      </w:pPr>
      <w:bookmarkStart w:id="33" w:name="_Ref109997671"/>
      <w:r w:rsidRPr="006F2930">
        <w:t xml:space="preserve">Figure </w:t>
      </w:r>
      <w:fldSimple w:instr=" SEQ Figure \* ARABIC ">
        <w:r w:rsidR="000377C2">
          <w:rPr>
            <w:noProof/>
          </w:rPr>
          <w:t>1</w:t>
        </w:r>
      </w:fldSimple>
      <w:bookmarkEnd w:id="33"/>
      <w:r w:rsidRPr="006F2930">
        <w:t>:</w:t>
      </w:r>
      <w:r>
        <w:t xml:space="preserve"> </w:t>
      </w:r>
      <w:r w:rsidR="005E23D6">
        <w:t>Structural formula</w:t>
      </w:r>
      <w:r>
        <w:t xml:space="preserve"> of </w:t>
      </w:r>
      <w:proofErr w:type="spellStart"/>
      <w:r>
        <w:t>somapacitan</w:t>
      </w:r>
      <w:proofErr w:type="spellEnd"/>
    </w:p>
    <w:p w14:paraId="187DF7DC" w14:textId="77EE2D9C" w:rsidR="006F2930" w:rsidRPr="006F2930" w:rsidRDefault="006F2930" w:rsidP="006F2930">
      <w:r w:rsidRPr="006F2930">
        <w:rPr>
          <w:noProof/>
          <w:lang w:val="en-GB" w:eastAsia="en-GB"/>
        </w:rPr>
        <w:drawing>
          <wp:inline distT="0" distB="0" distL="0" distR="0" wp14:anchorId="0758B216" wp14:editId="15BFFC65">
            <wp:extent cx="4644887" cy="3319585"/>
            <wp:effectExtent l="0" t="0" r="3810" b="0"/>
            <wp:docPr id="3" name="Picture 3" descr="Chemical structure of somapaci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ical structure of somapacitan"/>
                    <pic:cNvPicPr/>
                  </pic:nvPicPr>
                  <pic:blipFill rotWithShape="1">
                    <a:blip r:embed="rId17"/>
                    <a:srcRect l="6184" t="11299"/>
                    <a:stretch/>
                  </pic:blipFill>
                  <pic:spPr bwMode="auto">
                    <a:xfrm>
                      <a:off x="0" y="0"/>
                      <a:ext cx="4667787" cy="3335951"/>
                    </a:xfrm>
                    <a:prstGeom prst="rect">
                      <a:avLst/>
                    </a:prstGeom>
                    <a:ln>
                      <a:noFill/>
                    </a:ln>
                    <a:extLst>
                      <a:ext uri="{53640926-AAD7-44D8-BBD7-CCE9431645EC}">
                        <a14:shadowObscured xmlns:a14="http://schemas.microsoft.com/office/drawing/2010/main"/>
                      </a:ext>
                    </a:extLst>
                  </pic:spPr>
                </pic:pic>
              </a:graphicData>
            </a:graphic>
          </wp:inline>
        </w:drawing>
      </w:r>
    </w:p>
    <w:p w14:paraId="17045CA5" w14:textId="0BCBF4FE" w:rsidR="006F2930" w:rsidRPr="001F48AA" w:rsidRDefault="006F2930" w:rsidP="006F2930">
      <w:r w:rsidRPr="001F48AA">
        <w:t xml:space="preserve">Stability data have been generated under stressed and real time conditions to characterise the stability profile of the product. </w:t>
      </w:r>
      <w:r>
        <w:t>Following evaluation, the recommended storage condition is 24 months</w:t>
      </w:r>
      <w:r w:rsidRPr="001F48AA">
        <w:t xml:space="preserve"> when stored at </w:t>
      </w:r>
      <w:r>
        <w:t>2 to 8</w:t>
      </w:r>
      <w:r w:rsidR="00935D9D">
        <w:t>°C</w:t>
      </w:r>
      <w:r w:rsidR="00923E6E">
        <w:t>.</w:t>
      </w:r>
    </w:p>
    <w:p w14:paraId="3FBFDB9E" w14:textId="56518C60" w:rsidR="006F2930" w:rsidRDefault="006F2930" w:rsidP="00D719B1">
      <w:r w:rsidRPr="001F48AA">
        <w:t>In</w:t>
      </w:r>
      <w:r w:rsidR="00923E6E">
        <w:t xml:space="preserve"> </w:t>
      </w:r>
      <w:r w:rsidRPr="001F48AA">
        <w:t xml:space="preserve">use stability data have also been submitted. The </w:t>
      </w:r>
      <w:r>
        <w:t>recommended</w:t>
      </w:r>
      <w:r w:rsidRPr="001F48AA">
        <w:t xml:space="preserve"> shelf life and storage conditions for the opened product </w:t>
      </w:r>
      <w:r>
        <w:t>include an</w:t>
      </w:r>
      <w:r w:rsidRPr="00D80A1D">
        <w:t xml:space="preserve"> </w:t>
      </w:r>
      <w:proofErr w:type="gramStart"/>
      <w:r w:rsidRPr="00D80A1D">
        <w:t>in use</w:t>
      </w:r>
      <w:proofErr w:type="gramEnd"/>
      <w:r w:rsidRPr="00D80A1D">
        <w:t xml:space="preserve"> period of 6 weeks at 2</w:t>
      </w:r>
      <w:r>
        <w:t xml:space="preserve"> to</w:t>
      </w:r>
      <w:r w:rsidR="00923E6E">
        <w:t xml:space="preserve"> </w:t>
      </w:r>
      <w:r w:rsidRPr="00D80A1D">
        <w:t>8</w:t>
      </w:r>
      <w:r w:rsidR="00935D9D">
        <w:t xml:space="preserve">°C </w:t>
      </w:r>
      <w:r w:rsidRPr="00D80A1D">
        <w:t>including 72 hours (3 days) at or below 30</w:t>
      </w:r>
      <w:r w:rsidR="00935D9D">
        <w:t>°C</w:t>
      </w:r>
      <w:r w:rsidRPr="00D80A1D">
        <w:t>.</w:t>
      </w:r>
    </w:p>
    <w:p w14:paraId="2F44D4FA" w14:textId="2353BC04" w:rsidR="00D719B1" w:rsidRPr="00D719B1" w:rsidRDefault="00D719B1" w:rsidP="00D719B1">
      <w:r>
        <w:t xml:space="preserve">The quality of this product </w:t>
      </w:r>
      <w:proofErr w:type="gramStart"/>
      <w:r>
        <w:t>is considered to be</w:t>
      </w:r>
      <w:proofErr w:type="gramEnd"/>
      <w:r>
        <w:t xml:space="preserve"> acceptable when used in accordance with the conditions defined in the product information (PI), labels, consumer medicines information and the Australian Register of Therapeutic Goods (ARTG).</w:t>
      </w:r>
    </w:p>
    <w:p w14:paraId="07C17664" w14:textId="77777777" w:rsidR="008E7846" w:rsidRDefault="008E7846" w:rsidP="008E7846">
      <w:pPr>
        <w:pStyle w:val="Heading3"/>
      </w:pPr>
      <w:bookmarkStart w:id="34" w:name="_Toc314842512"/>
      <w:bookmarkStart w:id="35" w:name="_Toc110415603"/>
      <w:r>
        <w:lastRenderedPageBreak/>
        <w:t>Nonclinical</w:t>
      </w:r>
      <w:bookmarkEnd w:id="34"/>
      <w:bookmarkEnd w:id="35"/>
    </w:p>
    <w:p w14:paraId="0A507310" w14:textId="655B4CEC" w:rsidR="00E104EA" w:rsidRPr="00AC699F" w:rsidRDefault="00E104EA" w:rsidP="00E104EA">
      <w:pPr>
        <w:rPr>
          <w:rFonts w:cs="Verdana"/>
        </w:rPr>
      </w:pPr>
      <w:bookmarkStart w:id="36" w:name="_Toc247691530"/>
      <w:bookmarkStart w:id="37" w:name="_Toc314842513"/>
      <w:r w:rsidRPr="00AC699F">
        <w:t xml:space="preserve">The submitted </w:t>
      </w:r>
      <w:r>
        <w:t>nonclinical</w:t>
      </w:r>
      <w:r w:rsidRPr="00AC699F">
        <w:t xml:space="preserve"> dossier was of high quality with no major deficiencies. The scope of the nonclinical program was in accordance with the relevant TGA</w:t>
      </w:r>
      <w:r w:rsidR="004B3954">
        <w:t xml:space="preserve"> </w:t>
      </w:r>
      <w:r w:rsidRPr="00AC699F">
        <w:t>adopted guideline on the nonclinical evaluation of biotechnology-derived pharmaceuticals.</w:t>
      </w:r>
      <w:r w:rsidR="006F2930">
        <w:rPr>
          <w:rStyle w:val="FootnoteReference"/>
        </w:rPr>
        <w:footnoteReference w:id="3"/>
      </w:r>
      <w:r w:rsidRPr="00AC699F">
        <w:t xml:space="preserve"> All pivotal safety</w:t>
      </w:r>
      <w:r w:rsidR="004B3954">
        <w:t xml:space="preserve"> </w:t>
      </w:r>
      <w:r w:rsidRPr="00AC699F">
        <w:t xml:space="preserve">related studies were </w:t>
      </w:r>
      <w:r w:rsidR="00304237">
        <w:t xml:space="preserve">Good Laboratory Practice </w:t>
      </w:r>
      <w:r w:rsidRPr="00AC699F">
        <w:t>compliant.</w:t>
      </w:r>
    </w:p>
    <w:p w14:paraId="4B5AE2B0" w14:textId="3B2AFE1B" w:rsidR="00E104EA" w:rsidRPr="00AC699F" w:rsidRDefault="00E104EA" w:rsidP="00E104EA">
      <w:pPr>
        <w:rPr>
          <w:kern w:val="2"/>
        </w:rPr>
      </w:pPr>
      <w:proofErr w:type="spellStart"/>
      <w:r w:rsidRPr="00AC699F">
        <w:t>Somapacitan</w:t>
      </w:r>
      <w:proofErr w:type="spellEnd"/>
      <w:r w:rsidRPr="00AC699F">
        <w:t xml:space="preserve"> </w:t>
      </w:r>
      <w:r w:rsidR="00580019" w:rsidRPr="00AC699F">
        <w:t>b</w:t>
      </w:r>
      <w:r w:rsidR="00580019">
        <w:t>inds to</w:t>
      </w:r>
      <w:r w:rsidR="00580019" w:rsidRPr="00AC699F">
        <w:t xml:space="preserve"> </w:t>
      </w:r>
      <w:r w:rsidRPr="00AC699F">
        <w:t xml:space="preserve">the </w:t>
      </w:r>
      <w:r w:rsidR="00304237">
        <w:t xml:space="preserve">growth hormone receptor </w:t>
      </w:r>
      <w:r w:rsidRPr="00AC699F">
        <w:t xml:space="preserve">(with </w:t>
      </w:r>
      <w:r w:rsidR="004B3954">
        <w:t>a third</w:t>
      </w:r>
      <w:r w:rsidRPr="00AC699F">
        <w:t xml:space="preserve"> the potency of </w:t>
      </w:r>
      <w:r w:rsidR="00304237">
        <w:t>human growth hormones</w:t>
      </w:r>
      <w:r w:rsidRPr="00AC699F">
        <w:t xml:space="preserve">), </w:t>
      </w:r>
      <w:r w:rsidR="004B3954">
        <w:t xml:space="preserve">human </w:t>
      </w:r>
      <w:r w:rsidR="004B3954" w:rsidRPr="004B3954">
        <w:t>prolactin receptor</w:t>
      </w:r>
      <w:r w:rsidRPr="00AC699F">
        <w:t xml:space="preserve"> (with 8-fold lower potency than h</w:t>
      </w:r>
      <w:r w:rsidR="004B3954">
        <w:t>uman growth hormones</w:t>
      </w:r>
      <w:r w:rsidRPr="00AC699F">
        <w:t xml:space="preserve"> and 25-fold lower potency than h</w:t>
      </w:r>
      <w:r w:rsidR="004B3954">
        <w:t>uman prolactin</w:t>
      </w:r>
      <w:r w:rsidRPr="00AC699F">
        <w:t xml:space="preserve">). </w:t>
      </w:r>
      <w:proofErr w:type="spellStart"/>
      <w:r w:rsidRPr="00AC699F">
        <w:rPr>
          <w:kern w:val="2"/>
        </w:rPr>
        <w:t>Somapacitan</w:t>
      </w:r>
      <w:proofErr w:type="spellEnd"/>
      <w:r w:rsidRPr="00AC699F">
        <w:rPr>
          <w:kern w:val="2"/>
        </w:rPr>
        <w:t xml:space="preserve"> has a single substitution in the amino acid backbone which an albumin binding moiety has been attached, and </w:t>
      </w:r>
      <w:r w:rsidRPr="00AC699F">
        <w:t xml:space="preserve">was found to bind </w:t>
      </w:r>
      <w:r w:rsidR="004B3954" w:rsidRPr="004B3954">
        <w:t>human serum albumin</w:t>
      </w:r>
      <w:r w:rsidRPr="00AC699F">
        <w:t>, while h</w:t>
      </w:r>
      <w:r w:rsidR="004B3954">
        <w:t>uman growth hormones</w:t>
      </w:r>
      <w:r w:rsidRPr="00AC699F">
        <w:t xml:space="preserve"> did not. </w:t>
      </w:r>
      <w:proofErr w:type="spellStart"/>
      <w:r w:rsidRPr="00AC699F">
        <w:t>Somapacitan</w:t>
      </w:r>
      <w:proofErr w:type="spellEnd"/>
      <w:r w:rsidRPr="00AC699F">
        <w:t xml:space="preserve"> activated </w:t>
      </w:r>
      <w:r w:rsidR="004B3954">
        <w:t>growth hormone</w:t>
      </w:r>
      <w:r w:rsidRPr="00AC699F">
        <w:t xml:space="preserve"> receptor (to a similar degree as h</w:t>
      </w:r>
      <w:r w:rsidR="004B3954">
        <w:t>uman growth hormones</w:t>
      </w:r>
      <w:r w:rsidRPr="00AC699F">
        <w:t xml:space="preserve">) in primary rat hepatocytes and a human hepatoma cell line, and induced phosphorylation of </w:t>
      </w:r>
      <w:r w:rsidR="004B3954">
        <w:t>s</w:t>
      </w:r>
      <w:r w:rsidR="004B3954" w:rsidRPr="004B3954">
        <w:t>ignal transducer and activator of transcription 5</w:t>
      </w:r>
      <w:r w:rsidRPr="00AC699F">
        <w:t xml:space="preserve"> </w:t>
      </w:r>
      <w:r w:rsidRPr="004B3954">
        <w:rPr>
          <w:i/>
          <w:iCs/>
        </w:rPr>
        <w:t>in vitro</w:t>
      </w:r>
      <w:r w:rsidRPr="00AC699F">
        <w:t xml:space="preserve">. In hypophysectomised </w:t>
      </w:r>
      <w:r w:rsidR="004B3954" w:rsidRPr="004B3954">
        <w:t>Sprague Dawley</w:t>
      </w:r>
      <w:r w:rsidRPr="00AC699F">
        <w:t xml:space="preserve"> rats, </w:t>
      </w:r>
      <w:proofErr w:type="spellStart"/>
      <w:r w:rsidRPr="00AC699F">
        <w:t>somapacitan</w:t>
      </w:r>
      <w:proofErr w:type="spellEnd"/>
      <w:r w:rsidRPr="00AC699F">
        <w:t xml:space="preserve"> decreased body weight-normalised body fat mass, and increased body weight gain, plasma </w:t>
      </w:r>
      <w:r w:rsidR="004B3954">
        <w:t>i</w:t>
      </w:r>
      <w:r w:rsidR="004B3954" w:rsidRPr="004B3954">
        <w:t xml:space="preserve">nsulin-like growth factor 1 </w:t>
      </w:r>
      <w:r w:rsidR="004B3954">
        <w:t>(</w:t>
      </w:r>
      <w:r w:rsidRPr="00AC699F">
        <w:t>IGF-</w:t>
      </w:r>
      <w:r w:rsidR="00580019">
        <w:t>1</w:t>
      </w:r>
      <w:r w:rsidR="004B3954">
        <w:t>)</w:t>
      </w:r>
      <w:r w:rsidRPr="00AC699F">
        <w:t xml:space="preserve"> levels, lean body mass and bone mineral content of the tibia bone (without changing bone mineral density). </w:t>
      </w:r>
      <w:proofErr w:type="spellStart"/>
      <w:r w:rsidRPr="00AC699F">
        <w:t>Somapacitan</w:t>
      </w:r>
      <w:proofErr w:type="spellEnd"/>
      <w:r w:rsidRPr="00AC699F">
        <w:t xml:space="preserve"> increased IGF-</w:t>
      </w:r>
      <w:r w:rsidR="00580019">
        <w:t>1</w:t>
      </w:r>
      <w:r w:rsidRPr="00AC699F">
        <w:t xml:space="preserve"> plasma levels in cynomolgus monkeys and Göttingen minipigs. Similar </w:t>
      </w:r>
      <w:r w:rsidRPr="00AC699F">
        <w:rPr>
          <w:kern w:val="2"/>
        </w:rPr>
        <w:t>pharmacological effects were also apparent in the toxicity studies conducted in (intact) rats and monkeys.</w:t>
      </w:r>
      <w:r w:rsidRPr="00AC699F">
        <w:t xml:space="preserve"> These effects support the</w:t>
      </w:r>
      <w:r w:rsidRPr="00AC699F">
        <w:rPr>
          <w:kern w:val="2"/>
        </w:rPr>
        <w:t xml:space="preserve"> proposed indication.</w:t>
      </w:r>
    </w:p>
    <w:p w14:paraId="78B7446A" w14:textId="15E64D62" w:rsidR="00E104EA" w:rsidRPr="00AC699F" w:rsidRDefault="00E104EA" w:rsidP="00E104EA">
      <w:pPr>
        <w:rPr>
          <w:rFonts w:cs="Verdana"/>
          <w:kern w:val="2"/>
        </w:rPr>
      </w:pPr>
      <w:r w:rsidRPr="00AC699F">
        <w:rPr>
          <w:kern w:val="2"/>
        </w:rPr>
        <w:t xml:space="preserve">No clinically relevant </w:t>
      </w:r>
      <w:r w:rsidRPr="00AC699F">
        <w:rPr>
          <w:rFonts w:cs="Verdana"/>
        </w:rPr>
        <w:t xml:space="preserve">competitive interaction was found when </w:t>
      </w:r>
      <w:proofErr w:type="spellStart"/>
      <w:r w:rsidRPr="00AC699F">
        <w:rPr>
          <w:rFonts w:cs="Verdana"/>
        </w:rPr>
        <w:t>somapacitan</w:t>
      </w:r>
      <w:proofErr w:type="spellEnd"/>
      <w:r w:rsidRPr="00AC699F">
        <w:rPr>
          <w:rFonts w:cs="Verdana"/>
        </w:rPr>
        <w:t xml:space="preserve"> was s</w:t>
      </w:r>
      <w:r w:rsidRPr="00AC699F">
        <w:t xml:space="preserve">creened against a broad panel of transmembrane and soluble receptors, ion channels and transporters. </w:t>
      </w:r>
      <w:r w:rsidRPr="00AC699F">
        <w:rPr>
          <w:rFonts w:cs="Verdana"/>
        </w:rPr>
        <w:t xml:space="preserve">Possible interactions </w:t>
      </w:r>
      <w:r w:rsidRPr="00AC699F">
        <w:rPr>
          <w:rFonts w:eastAsiaTheme="minorHAnsi" w:cs="TimesNewRomanPSMT"/>
        </w:rPr>
        <w:t xml:space="preserve">have been documented </w:t>
      </w:r>
      <w:r w:rsidRPr="00AC699F">
        <w:rPr>
          <w:rFonts w:cs="Verdana"/>
        </w:rPr>
        <w:t xml:space="preserve">between </w:t>
      </w:r>
      <w:r w:rsidR="004B3954">
        <w:rPr>
          <w:rFonts w:cs="Verdana"/>
        </w:rPr>
        <w:t>human growth hormone</w:t>
      </w:r>
      <w:r w:rsidRPr="00AC699F">
        <w:rPr>
          <w:rFonts w:cs="Verdana"/>
        </w:rPr>
        <w:t xml:space="preserve"> and a</w:t>
      </w:r>
      <w:r w:rsidRPr="00AC699F">
        <w:rPr>
          <w:rFonts w:eastAsiaTheme="minorHAnsi" w:cs="TimesNewRomanPSMT"/>
        </w:rPr>
        <w:t>ntihyperglycemic treatment, glucocorticoid therapy, s</w:t>
      </w:r>
      <w:r w:rsidRPr="00AC699F">
        <w:rPr>
          <w:rFonts w:cs="Verdana"/>
        </w:rPr>
        <w:t>ex hormones</w:t>
      </w:r>
      <w:r w:rsidRPr="00AC699F">
        <w:rPr>
          <w:rFonts w:eastAsiaTheme="minorHAnsi" w:cs="TimesNewRomanPSMT"/>
        </w:rPr>
        <w:t xml:space="preserve"> and thyroid hormones.</w:t>
      </w:r>
    </w:p>
    <w:p w14:paraId="29C8857A" w14:textId="594A8456" w:rsidR="00E104EA" w:rsidRPr="00AC699F" w:rsidRDefault="00E104EA" w:rsidP="00E104EA">
      <w:pPr>
        <w:rPr>
          <w:rFonts w:cs="Verdana"/>
          <w:kern w:val="2"/>
        </w:rPr>
      </w:pPr>
      <w:r w:rsidRPr="00AC699F">
        <w:t xml:space="preserve">Safety pharmacology studies do not indicate clinically relevant effects of </w:t>
      </w:r>
      <w:proofErr w:type="spellStart"/>
      <w:r w:rsidRPr="00AC699F">
        <w:t>somapacitan</w:t>
      </w:r>
      <w:proofErr w:type="spellEnd"/>
      <w:r w:rsidRPr="00AC699F">
        <w:t xml:space="preserve"> on </w:t>
      </w:r>
      <w:r w:rsidR="004B3954">
        <w:t>central nervous system</w:t>
      </w:r>
      <w:r w:rsidRPr="00AC699F">
        <w:t xml:space="preserve"> cardiovascular or respiratory function.</w:t>
      </w:r>
    </w:p>
    <w:p w14:paraId="0CB5739D" w14:textId="7B631E28" w:rsidR="00E104EA" w:rsidRPr="00AC699F" w:rsidRDefault="00E104EA" w:rsidP="00E104EA">
      <w:pPr>
        <w:rPr>
          <w:kern w:val="2"/>
        </w:rPr>
      </w:pPr>
      <w:r w:rsidRPr="00AC699F">
        <w:t xml:space="preserve">The bioavailability of </w:t>
      </w:r>
      <w:proofErr w:type="spellStart"/>
      <w:r w:rsidRPr="00AC699F">
        <w:t>somapacitan</w:t>
      </w:r>
      <w:proofErr w:type="spellEnd"/>
      <w:r w:rsidRPr="00AC699F">
        <w:t xml:space="preserve"> after </w:t>
      </w:r>
      <w:r w:rsidR="004B3954">
        <w:t xml:space="preserve">subcutaneous </w:t>
      </w:r>
      <w:r w:rsidRPr="00AC699F">
        <w:t>administration was 36% in minipig, 39% in rat and 69% in monkey</w:t>
      </w:r>
      <w:r w:rsidR="00580019">
        <w:t>-based studies</w:t>
      </w:r>
      <w:r w:rsidRPr="00AC699F">
        <w:t xml:space="preserve">, and the </w:t>
      </w:r>
      <w:r w:rsidR="004B3954" w:rsidRPr="004B3954">
        <w:t xml:space="preserve">time after administration of </w:t>
      </w:r>
      <w:proofErr w:type="spellStart"/>
      <w:r w:rsidR="004B3954">
        <w:t>somapacitan</w:t>
      </w:r>
      <w:proofErr w:type="spellEnd"/>
      <w:r w:rsidR="004B3954" w:rsidRPr="004B3954">
        <w:t xml:space="preserve"> when </w:t>
      </w:r>
      <w:r w:rsidR="00923E6E">
        <w:t>time of maximum concentration</w:t>
      </w:r>
      <w:r w:rsidR="004B3954" w:rsidRPr="004B3954">
        <w:t xml:space="preserve"> is reached </w:t>
      </w:r>
      <w:r w:rsidR="004B3954">
        <w:t>(</w:t>
      </w:r>
      <w:proofErr w:type="spellStart"/>
      <w:r w:rsidRPr="00FD4805">
        <w:t>T</w:t>
      </w:r>
      <w:r w:rsidRPr="00FD4805">
        <w:rPr>
          <w:vertAlign w:val="subscript"/>
        </w:rPr>
        <w:t>max</w:t>
      </w:r>
      <w:proofErr w:type="spellEnd"/>
      <w:r w:rsidR="004B3954">
        <w:t xml:space="preserve">) </w:t>
      </w:r>
      <w:r w:rsidRPr="00AC699F">
        <w:t>ranged from 8</w:t>
      </w:r>
      <w:r w:rsidR="004B3954">
        <w:t xml:space="preserve"> </w:t>
      </w:r>
      <w:r w:rsidRPr="00AC699F">
        <w:t>h</w:t>
      </w:r>
      <w:r w:rsidR="004B3954">
        <w:t>ours</w:t>
      </w:r>
      <w:r w:rsidRPr="00AC699F">
        <w:t xml:space="preserve"> in rat</w:t>
      </w:r>
      <w:r w:rsidR="00580019">
        <w:t>-based studies</w:t>
      </w:r>
      <w:r w:rsidRPr="00AC699F">
        <w:t xml:space="preserve"> to</w:t>
      </w:r>
      <w:r w:rsidRPr="00AC699F">
        <w:rPr>
          <w:b/>
          <w:bCs/>
        </w:rPr>
        <w:t xml:space="preserve"> </w:t>
      </w:r>
      <w:r w:rsidRPr="00AC699F">
        <w:t>24</w:t>
      </w:r>
      <w:r w:rsidR="004B3954">
        <w:t xml:space="preserve"> </w:t>
      </w:r>
      <w:r w:rsidRPr="00AC699F">
        <w:t>h</w:t>
      </w:r>
      <w:r w:rsidR="004B3954">
        <w:t>ours</w:t>
      </w:r>
      <w:r w:rsidRPr="00AC699F">
        <w:t xml:space="preserve"> in monkey</w:t>
      </w:r>
      <w:r w:rsidR="00580019">
        <w:t>s</w:t>
      </w:r>
      <w:r w:rsidRPr="00AC699F">
        <w:t>. Terminal half-life was between 4 and 17</w:t>
      </w:r>
      <w:r w:rsidR="00580019">
        <w:t> </w:t>
      </w:r>
      <w:r w:rsidRPr="00AC699F">
        <w:t xml:space="preserve">hours via the </w:t>
      </w:r>
      <w:r w:rsidR="004B3954">
        <w:t>subcutaneously</w:t>
      </w:r>
      <w:r w:rsidRPr="00AC699F">
        <w:t xml:space="preserve"> route, whereas in patients it was 2</w:t>
      </w:r>
      <w:r w:rsidR="004B3954">
        <w:t xml:space="preserve"> to </w:t>
      </w:r>
      <w:r w:rsidRPr="00AC699F">
        <w:t>3 days, which is why nonclinical studies used more frequent dosing (usually twice per week) than that recommended clinically (once weekly).</w:t>
      </w:r>
      <w:r w:rsidRPr="00AC699F">
        <w:rPr>
          <w:b/>
          <w:bCs/>
        </w:rPr>
        <w:t xml:space="preserve"> </w:t>
      </w:r>
      <w:r w:rsidRPr="00AC699F">
        <w:t xml:space="preserve">Anti-drug antibodies against </w:t>
      </w:r>
      <w:proofErr w:type="spellStart"/>
      <w:r w:rsidRPr="00AC699F">
        <w:t>somapacitan</w:t>
      </w:r>
      <w:proofErr w:type="spellEnd"/>
      <w:r w:rsidRPr="00AC699F">
        <w:t xml:space="preserve"> were detected in 33</w:t>
      </w:r>
      <w:r w:rsidR="004B3954">
        <w:t xml:space="preserve"> to </w:t>
      </w:r>
      <w:r w:rsidRPr="00AC699F">
        <w:t xml:space="preserve">46% of the rats and in </w:t>
      </w:r>
      <w:r w:rsidR="004B3954">
        <w:t>two</w:t>
      </w:r>
      <w:r w:rsidRPr="00AC699F">
        <w:t xml:space="preserve"> monkeys at the end of the </w:t>
      </w:r>
      <w:r w:rsidRPr="004D303B">
        <w:t>13- and 26-week studies,</w:t>
      </w:r>
      <w:r w:rsidRPr="00AC699F">
        <w:t xml:space="preserve"> but no significant impact was observed on exposure levels. No clear gender differences in exposure were observed</w:t>
      </w:r>
      <w:r w:rsidRPr="00AC699F">
        <w:rPr>
          <w:b/>
          <w:bCs/>
        </w:rPr>
        <w:t xml:space="preserve">. </w:t>
      </w:r>
      <w:proofErr w:type="spellStart"/>
      <w:r w:rsidRPr="00AC699F">
        <w:t>Somapacitan</w:t>
      </w:r>
      <w:proofErr w:type="spellEnd"/>
      <w:r w:rsidRPr="00AC699F">
        <w:t xml:space="preserve"> was</w:t>
      </w:r>
      <w:r w:rsidRPr="00AC699F">
        <w:rPr>
          <w:b/>
          <w:bCs/>
        </w:rPr>
        <w:t xml:space="preserve"> </w:t>
      </w:r>
      <w:r w:rsidRPr="00AC699F">
        <w:t>highly protein bound (&gt;</w:t>
      </w:r>
      <w:r w:rsidR="004D303B">
        <w:t> </w:t>
      </w:r>
      <w:r w:rsidRPr="00AC699F">
        <w:t xml:space="preserve">99%) in nonclinical species and humans. Following a single </w:t>
      </w:r>
      <w:r w:rsidR="004D303B">
        <w:t>subcutaneously</w:t>
      </w:r>
      <w:r w:rsidR="004D303B" w:rsidRPr="00AC699F">
        <w:t xml:space="preserve"> </w:t>
      </w:r>
      <w:r w:rsidRPr="00AC699F">
        <w:t xml:space="preserve">administration, </w:t>
      </w:r>
      <w:proofErr w:type="spellStart"/>
      <w:r w:rsidRPr="00AC699F">
        <w:t>somapacitan</w:t>
      </w:r>
      <w:proofErr w:type="spellEnd"/>
      <w:r w:rsidRPr="00AC699F">
        <w:t xml:space="preserve"> was absorbed slowly, and distributed widely, with only low levels of radioactivity observed in the central nervous system. Placental transfer and secretion in milk was observed for </w:t>
      </w:r>
      <w:proofErr w:type="spellStart"/>
      <w:r w:rsidRPr="00AC699F">
        <w:t>somapacitan</w:t>
      </w:r>
      <w:proofErr w:type="spellEnd"/>
      <w:r w:rsidRPr="00AC699F">
        <w:t xml:space="preserve">. Metabolites are formed via proteolysis of the peptide backbone of </w:t>
      </w:r>
      <w:proofErr w:type="spellStart"/>
      <w:r w:rsidRPr="00AC699F">
        <w:t>somapacitan</w:t>
      </w:r>
      <w:proofErr w:type="spellEnd"/>
      <w:r w:rsidRPr="00AC699F">
        <w:t xml:space="preserve">. All human metabolites were found in rat and monkey plasma. Elimination of </w:t>
      </w:r>
      <w:proofErr w:type="spellStart"/>
      <w:r w:rsidRPr="00AC699F">
        <w:t>somapacitan</w:t>
      </w:r>
      <w:proofErr w:type="spellEnd"/>
      <w:r w:rsidRPr="00AC699F">
        <w:t xml:space="preserve"> was slow, with urine being the primary route of excretion in rats, </w:t>
      </w:r>
      <w:proofErr w:type="gramStart"/>
      <w:r w:rsidRPr="00AC699F">
        <w:t>monkeys</w:t>
      </w:r>
      <w:proofErr w:type="gramEnd"/>
      <w:r w:rsidRPr="00AC699F">
        <w:t xml:space="preserve"> and humans, followed by faecal excretion. </w:t>
      </w:r>
      <w:proofErr w:type="spellStart"/>
      <w:r w:rsidRPr="00AC699F">
        <w:t>Somapacitan</w:t>
      </w:r>
      <w:proofErr w:type="spellEnd"/>
      <w:r w:rsidRPr="00AC699F">
        <w:t xml:space="preserve"> was highly metabolised and excreted in the bile in rats. The rats and monkeys were found to be appropriate models for the study of </w:t>
      </w:r>
      <w:proofErr w:type="spellStart"/>
      <w:r w:rsidRPr="00AC699F">
        <w:t>somapacitan</w:t>
      </w:r>
      <w:proofErr w:type="spellEnd"/>
      <w:r w:rsidRPr="00AC699F">
        <w:t>.</w:t>
      </w:r>
    </w:p>
    <w:p w14:paraId="2820FCCB" w14:textId="4C6A3297" w:rsidR="00E104EA" w:rsidRPr="00AC699F" w:rsidRDefault="00E104EA" w:rsidP="00E104EA">
      <w:proofErr w:type="spellStart"/>
      <w:r w:rsidRPr="00AC699F">
        <w:rPr>
          <w:kern w:val="2"/>
        </w:rPr>
        <w:lastRenderedPageBreak/>
        <w:t>Somapacitan</w:t>
      </w:r>
      <w:proofErr w:type="spellEnd"/>
      <w:r w:rsidRPr="00AC699F">
        <w:rPr>
          <w:kern w:val="2"/>
        </w:rPr>
        <w:t xml:space="preserve"> inhibited </w:t>
      </w:r>
      <w:r w:rsidRPr="00AC699F">
        <w:t>the activities of cytochrome P450 enzymes</w:t>
      </w:r>
      <w:r w:rsidR="00923E6E">
        <w:t>;</w:t>
      </w:r>
      <w:r w:rsidR="00923E6E">
        <w:rPr>
          <w:rStyle w:val="FootnoteReference"/>
        </w:rPr>
        <w:footnoteReference w:id="4"/>
      </w:r>
      <w:r w:rsidRPr="00AC699F">
        <w:t xml:space="preserve"> CYP1A, CYP2B, CYP2C, CYP3A and CYP2E in rats, and weakly enhanced CYP1A activity in monkeys. </w:t>
      </w:r>
      <w:r w:rsidRPr="00AC699F">
        <w:rPr>
          <w:rFonts w:cs="TimesNewRomanPSMT"/>
        </w:rPr>
        <w:t xml:space="preserve">The induction of CYP450 enzymes has been documented for </w:t>
      </w:r>
      <w:r w:rsidR="004D303B" w:rsidRPr="004D303B">
        <w:rPr>
          <w:rFonts w:cs="TimesNewRomanPSMT"/>
        </w:rPr>
        <w:t xml:space="preserve">recombinant human growth hormone </w:t>
      </w:r>
      <w:r w:rsidR="004D303B">
        <w:rPr>
          <w:rFonts w:cs="TimesNewRomanPSMT"/>
        </w:rPr>
        <w:t>(</w:t>
      </w:r>
      <w:r w:rsidRPr="00AC699F">
        <w:t>somatropin</w:t>
      </w:r>
      <w:r w:rsidR="004D303B">
        <w:t>)</w:t>
      </w:r>
      <w:r w:rsidRPr="00AC699F">
        <w:t>.</w:t>
      </w:r>
    </w:p>
    <w:p w14:paraId="148EB86A" w14:textId="77777777" w:rsidR="00E104EA" w:rsidRPr="00AC699F" w:rsidRDefault="00E104EA" w:rsidP="00E104EA">
      <w:pPr>
        <w:rPr>
          <w:kern w:val="2"/>
        </w:rPr>
      </w:pPr>
      <w:proofErr w:type="spellStart"/>
      <w:r w:rsidRPr="00AC699F">
        <w:rPr>
          <w:kern w:val="2"/>
        </w:rPr>
        <w:t>Somapacitan</w:t>
      </w:r>
      <w:proofErr w:type="spellEnd"/>
      <w:r w:rsidRPr="00AC699F">
        <w:rPr>
          <w:kern w:val="2"/>
        </w:rPr>
        <w:t xml:space="preserve"> had a low order of acute oral toxicity in rats and monkeys.</w:t>
      </w:r>
    </w:p>
    <w:p w14:paraId="4245649E" w14:textId="4E102095" w:rsidR="00E104EA" w:rsidRPr="00AC699F" w:rsidRDefault="00E104EA" w:rsidP="00E104EA">
      <w:pPr>
        <w:rPr>
          <w:kern w:val="2"/>
        </w:rPr>
      </w:pPr>
      <w:r w:rsidRPr="00AC699F">
        <w:rPr>
          <w:kern w:val="2"/>
        </w:rPr>
        <w:t>Repeat</w:t>
      </w:r>
      <w:r w:rsidR="00580019">
        <w:rPr>
          <w:kern w:val="2"/>
        </w:rPr>
        <w:noBreakHyphen/>
      </w:r>
      <w:r w:rsidRPr="00AC699F">
        <w:rPr>
          <w:kern w:val="2"/>
        </w:rPr>
        <w:t xml:space="preserve">dose toxicity studies by the </w:t>
      </w:r>
      <w:r w:rsidR="004D303B" w:rsidRPr="004D303B">
        <w:t>subcutaneous</w:t>
      </w:r>
      <w:r w:rsidRPr="004D303B">
        <w:t xml:space="preserve"> </w:t>
      </w:r>
      <w:r w:rsidRPr="00AC699F">
        <w:rPr>
          <w:kern w:val="2"/>
        </w:rPr>
        <w:t>route were conducted in rats and monkeys (twice weekly administration for up to 26 weeks). Maximum exposures (</w:t>
      </w:r>
      <w:r w:rsidR="00923E6E">
        <w:t xml:space="preserve">area under the </w:t>
      </w:r>
      <w:r w:rsidR="00923E6E">
        <w:rPr>
          <w:rFonts w:cs="Calibri"/>
          <w:color w:val="000000"/>
        </w:rPr>
        <w:t>concentration versus time curve</w:t>
      </w:r>
      <w:r w:rsidR="004D303B">
        <w:rPr>
          <w:kern w:val="2"/>
        </w:rPr>
        <w:t xml:space="preserve"> </w:t>
      </w:r>
      <w:r w:rsidR="00580019">
        <w:rPr>
          <w:kern w:val="2"/>
        </w:rPr>
        <w:t>(</w:t>
      </w:r>
      <w:r w:rsidRPr="00AC699F">
        <w:rPr>
          <w:kern w:val="2"/>
        </w:rPr>
        <w:t>AUC</w:t>
      </w:r>
      <w:r w:rsidR="00580019">
        <w:rPr>
          <w:kern w:val="2"/>
        </w:rPr>
        <w:t>)</w:t>
      </w:r>
      <w:r w:rsidRPr="00AC699F">
        <w:rPr>
          <w:kern w:val="2"/>
        </w:rPr>
        <w:t>) were high in both rat and monkey studies. Treatment</w:t>
      </w:r>
      <w:r w:rsidR="004D303B">
        <w:rPr>
          <w:kern w:val="2"/>
        </w:rPr>
        <w:t xml:space="preserve"> </w:t>
      </w:r>
      <w:r w:rsidRPr="00AC699F">
        <w:rPr>
          <w:kern w:val="2"/>
        </w:rPr>
        <w:t>related histopathological changes were observed at the</w:t>
      </w:r>
      <w:r w:rsidR="004D303B">
        <w:rPr>
          <w:kern w:val="2"/>
        </w:rPr>
        <w:t xml:space="preserve"> </w:t>
      </w:r>
      <w:r w:rsidR="004D303B" w:rsidRPr="004D303B">
        <w:t>subcutaneous</w:t>
      </w:r>
      <w:r w:rsidRPr="00AC699F">
        <w:rPr>
          <w:kern w:val="2"/>
        </w:rPr>
        <w:t xml:space="preserve"> injection site (local inflammatory reactions) in both laboratory animal species, and further </w:t>
      </w:r>
      <w:proofErr w:type="gramStart"/>
      <w:r w:rsidRPr="00AC699F">
        <w:rPr>
          <w:kern w:val="2"/>
        </w:rPr>
        <w:t>changes</w:t>
      </w:r>
      <w:r w:rsidR="004D303B">
        <w:rPr>
          <w:kern w:val="2"/>
        </w:rPr>
        <w:t xml:space="preserve"> </w:t>
      </w:r>
      <w:r w:rsidRPr="00AC699F">
        <w:rPr>
          <w:kern w:val="2"/>
        </w:rPr>
        <w:t> recognised</w:t>
      </w:r>
      <w:proofErr w:type="gramEnd"/>
      <w:r w:rsidRPr="00AC699F">
        <w:rPr>
          <w:kern w:val="2"/>
        </w:rPr>
        <w:t xml:space="preserve"> as exaggerated pharmacological effects</w:t>
      </w:r>
      <w:r w:rsidR="004D303B">
        <w:rPr>
          <w:kern w:val="2"/>
        </w:rPr>
        <w:t xml:space="preserve"> </w:t>
      </w:r>
      <w:r w:rsidRPr="00AC699F">
        <w:rPr>
          <w:kern w:val="2"/>
        </w:rPr>
        <w:t xml:space="preserve">involved </w:t>
      </w:r>
      <w:r w:rsidRPr="00AC699F">
        <w:rPr>
          <w:rFonts w:cs="Verdana"/>
        </w:rPr>
        <w:t>increased IGF-</w:t>
      </w:r>
      <w:r w:rsidR="00580019">
        <w:rPr>
          <w:rFonts w:cs="Verdana"/>
        </w:rPr>
        <w:t>1</w:t>
      </w:r>
      <w:r w:rsidRPr="00AC699F">
        <w:rPr>
          <w:rFonts w:cs="Verdana"/>
        </w:rPr>
        <w:t xml:space="preserve"> levels,</w:t>
      </w:r>
      <w:r w:rsidRPr="00AC699F">
        <w:rPr>
          <w:kern w:val="2"/>
        </w:rPr>
        <w:t xml:space="preserve"> slight anaemia, </w:t>
      </w:r>
      <w:r w:rsidRPr="00AC699F">
        <w:rPr>
          <w:rFonts w:cs="Verdana"/>
        </w:rPr>
        <w:t>feminisation, lactation and mammary changes</w:t>
      </w:r>
      <w:r w:rsidRPr="00AC699F">
        <w:rPr>
          <w:kern w:val="2"/>
        </w:rPr>
        <w:t xml:space="preserve"> in rats and in monkeys. </w:t>
      </w:r>
      <w:r w:rsidRPr="00AC699F">
        <w:rPr>
          <w:rFonts w:cs="Verdana"/>
        </w:rPr>
        <w:t xml:space="preserve">In rats, increases in body weight gain and food consumption were also observed. </w:t>
      </w:r>
      <w:r w:rsidRPr="00AC699F">
        <w:rPr>
          <w:kern w:val="2"/>
        </w:rPr>
        <w:t xml:space="preserve">The studies established that </w:t>
      </w:r>
      <w:proofErr w:type="spellStart"/>
      <w:r w:rsidRPr="00AC699F">
        <w:rPr>
          <w:kern w:val="2"/>
        </w:rPr>
        <w:t>somapacitan</w:t>
      </w:r>
      <w:proofErr w:type="spellEnd"/>
      <w:r w:rsidRPr="00AC699F">
        <w:rPr>
          <w:kern w:val="2"/>
        </w:rPr>
        <w:t xml:space="preserve"> has a similar toxicological profile to other </w:t>
      </w:r>
      <w:r w:rsidR="004B3954">
        <w:rPr>
          <w:kern w:val="2"/>
        </w:rPr>
        <w:t>human growth hormone</w:t>
      </w:r>
      <w:r w:rsidRPr="00AC699F">
        <w:rPr>
          <w:kern w:val="2"/>
        </w:rPr>
        <w:t xml:space="preserve"> </w:t>
      </w:r>
      <w:r>
        <w:rPr>
          <w:kern w:val="2"/>
        </w:rPr>
        <w:t xml:space="preserve">products </w:t>
      </w:r>
      <w:r w:rsidRPr="00AC699F">
        <w:rPr>
          <w:kern w:val="2"/>
        </w:rPr>
        <w:t>in the market.</w:t>
      </w:r>
    </w:p>
    <w:p w14:paraId="7B31DE62" w14:textId="43E1BE64" w:rsidR="00E104EA" w:rsidRPr="00AC699F" w:rsidRDefault="00E104EA" w:rsidP="00E104EA">
      <w:proofErr w:type="spellStart"/>
      <w:r w:rsidRPr="00AC699F">
        <w:rPr>
          <w:kern w:val="2"/>
        </w:rPr>
        <w:t>Somapacitan</w:t>
      </w:r>
      <w:proofErr w:type="spellEnd"/>
      <w:r w:rsidRPr="00AC699F">
        <w:rPr>
          <w:kern w:val="2"/>
        </w:rPr>
        <w:t xml:space="preserve"> was not found to be genotoxic in the reverse mutation test, chromosome aberration test and the </w:t>
      </w:r>
      <w:r w:rsidRPr="00AC699F">
        <w:rPr>
          <w:i/>
          <w:iCs/>
          <w:kern w:val="2"/>
        </w:rPr>
        <w:t xml:space="preserve">in vivo </w:t>
      </w:r>
      <w:r w:rsidRPr="00AC699F">
        <w:rPr>
          <w:kern w:val="2"/>
        </w:rPr>
        <w:t xml:space="preserve">micronucleus test. </w:t>
      </w:r>
      <w:r w:rsidR="00580019">
        <w:rPr>
          <w:kern w:val="2"/>
        </w:rPr>
        <w:t xml:space="preserve">Additionally, </w:t>
      </w:r>
      <w:proofErr w:type="spellStart"/>
      <w:r w:rsidR="00580019">
        <w:rPr>
          <w:kern w:val="2"/>
        </w:rPr>
        <w:t>s</w:t>
      </w:r>
      <w:r w:rsidRPr="00AC699F">
        <w:rPr>
          <w:kern w:val="2"/>
        </w:rPr>
        <w:t>omapacitan</w:t>
      </w:r>
      <w:proofErr w:type="spellEnd"/>
      <w:r w:rsidRPr="00AC699F">
        <w:rPr>
          <w:kern w:val="2"/>
        </w:rPr>
        <w:t xml:space="preserve"> is not considered to pose a genotoxic hazard given its protein nature. No carcinogenicity studies were conducted with </w:t>
      </w:r>
      <w:proofErr w:type="spellStart"/>
      <w:r w:rsidRPr="00AC699F">
        <w:rPr>
          <w:kern w:val="2"/>
        </w:rPr>
        <w:t>somapacitan</w:t>
      </w:r>
      <w:proofErr w:type="spellEnd"/>
      <w:r w:rsidRPr="00AC699F">
        <w:rPr>
          <w:kern w:val="2"/>
        </w:rPr>
        <w:t xml:space="preserve">, and </w:t>
      </w:r>
      <w:r w:rsidRPr="00AC699F">
        <w:t xml:space="preserve">proliferative changes observed in the repeat-dose toxicity studies (especially in the mammary gland) </w:t>
      </w:r>
      <w:proofErr w:type="gramStart"/>
      <w:r w:rsidRPr="00AC699F">
        <w:t>are considered to be</w:t>
      </w:r>
      <w:proofErr w:type="gramEnd"/>
      <w:r w:rsidRPr="00AC699F">
        <w:t xml:space="preserve"> due to the exaggerated pharmacology of </w:t>
      </w:r>
      <w:proofErr w:type="spellStart"/>
      <w:r w:rsidRPr="00AC699F">
        <w:t>somapacitan</w:t>
      </w:r>
      <w:proofErr w:type="spellEnd"/>
      <w:r w:rsidRPr="00AC699F">
        <w:t xml:space="preserve">. Analysis of hepatocytes in monkeys showed no proliferative effects </w:t>
      </w:r>
      <w:r w:rsidRPr="00AC699F">
        <w:rPr>
          <w:rFonts w:cs="Verdana-Italic"/>
          <w:i/>
          <w:iCs/>
        </w:rPr>
        <w:t>in vivo</w:t>
      </w:r>
      <w:r w:rsidRPr="00AC699F">
        <w:t xml:space="preserve">. </w:t>
      </w:r>
      <w:r w:rsidRPr="00AC699F">
        <w:rPr>
          <w:kern w:val="2"/>
        </w:rPr>
        <w:t xml:space="preserve">The carcinogenic risk of </w:t>
      </w:r>
      <w:proofErr w:type="spellStart"/>
      <w:r w:rsidRPr="00AC699F">
        <w:rPr>
          <w:kern w:val="2"/>
        </w:rPr>
        <w:t>somapacitan</w:t>
      </w:r>
      <w:proofErr w:type="spellEnd"/>
      <w:r w:rsidRPr="00AC699F">
        <w:rPr>
          <w:kern w:val="2"/>
        </w:rPr>
        <w:t xml:space="preserve"> is expected to be comparable to that of </w:t>
      </w:r>
      <w:r w:rsidR="004D303B">
        <w:rPr>
          <w:kern w:val="2"/>
        </w:rPr>
        <w:t>recombinant human growth hormones (</w:t>
      </w:r>
      <w:r w:rsidRPr="00AC699F">
        <w:rPr>
          <w:kern w:val="2"/>
        </w:rPr>
        <w:t>somatropin</w:t>
      </w:r>
      <w:r w:rsidR="004D303B">
        <w:rPr>
          <w:kern w:val="2"/>
        </w:rPr>
        <w:t>)</w:t>
      </w:r>
      <w:r w:rsidRPr="00AC699F">
        <w:rPr>
          <w:kern w:val="2"/>
        </w:rPr>
        <w:t>.</w:t>
      </w:r>
    </w:p>
    <w:p w14:paraId="432D3F67" w14:textId="0C5F76E6" w:rsidR="00E104EA" w:rsidRPr="00AC699F" w:rsidRDefault="00E104EA" w:rsidP="00E104EA">
      <w:pPr>
        <w:rPr>
          <w:kern w:val="2"/>
        </w:rPr>
      </w:pPr>
      <w:r w:rsidRPr="00AC699F">
        <w:rPr>
          <w:kern w:val="2"/>
        </w:rPr>
        <w:t xml:space="preserve">Male and female fertility indices were unaffected by </w:t>
      </w:r>
      <w:proofErr w:type="spellStart"/>
      <w:r w:rsidRPr="00AC699F">
        <w:rPr>
          <w:kern w:val="2"/>
        </w:rPr>
        <w:t>somapacitan</w:t>
      </w:r>
      <w:proofErr w:type="spellEnd"/>
      <w:r w:rsidRPr="00AC699F">
        <w:rPr>
          <w:kern w:val="2"/>
        </w:rPr>
        <w:t xml:space="preserve"> in rats, although treatment did cause </w:t>
      </w:r>
      <w:r w:rsidRPr="00AC699F">
        <w:rPr>
          <w:rFonts w:cs="Verdana"/>
        </w:rPr>
        <w:t xml:space="preserve">irregular oestrous cycles, and low numbers of copulation </w:t>
      </w:r>
      <w:proofErr w:type="gramStart"/>
      <w:r w:rsidRPr="00AC699F">
        <w:rPr>
          <w:rFonts w:cs="Verdana"/>
        </w:rPr>
        <w:t>plugs</w:t>
      </w:r>
      <w:proofErr w:type="gramEnd"/>
      <w:r w:rsidRPr="00AC699F">
        <w:rPr>
          <w:rFonts w:cs="Verdana"/>
        </w:rPr>
        <w:t xml:space="preserve"> and sperm count estimates from vaginal smears. </w:t>
      </w:r>
      <w:r w:rsidRPr="00AC699F">
        <w:rPr>
          <w:kern w:val="2"/>
        </w:rPr>
        <w:t xml:space="preserve">In rats, findings observed at very high relative exposures </w:t>
      </w:r>
      <w:r w:rsidRPr="00AC699F">
        <w:rPr>
          <w:rFonts w:cs="Verdana"/>
        </w:rPr>
        <w:t xml:space="preserve">(277-fold at the </w:t>
      </w:r>
      <w:r w:rsidR="004D303B" w:rsidRPr="004D303B">
        <w:rPr>
          <w:rFonts w:cs="Verdana"/>
        </w:rPr>
        <w:t>no</w:t>
      </w:r>
      <w:r w:rsidR="004D303B">
        <w:rPr>
          <w:rFonts w:cs="Verdana"/>
        </w:rPr>
        <w:t xml:space="preserve"> </w:t>
      </w:r>
      <w:r w:rsidR="004D303B" w:rsidRPr="004D303B">
        <w:rPr>
          <w:rFonts w:cs="Verdana"/>
        </w:rPr>
        <w:t>observed</w:t>
      </w:r>
      <w:r w:rsidR="004D303B">
        <w:rPr>
          <w:rFonts w:cs="Verdana"/>
        </w:rPr>
        <w:t xml:space="preserve"> </w:t>
      </w:r>
      <w:r w:rsidR="004D303B" w:rsidRPr="004D303B">
        <w:rPr>
          <w:rFonts w:cs="Verdana"/>
        </w:rPr>
        <w:t>adverse</w:t>
      </w:r>
      <w:r w:rsidR="004D303B">
        <w:rPr>
          <w:rFonts w:cs="Verdana"/>
        </w:rPr>
        <w:t xml:space="preserve"> </w:t>
      </w:r>
      <w:r w:rsidR="004D303B" w:rsidRPr="004D303B">
        <w:rPr>
          <w:rFonts w:cs="Verdana"/>
        </w:rPr>
        <w:t>effect level</w:t>
      </w:r>
      <w:r w:rsidRPr="00AC699F">
        <w:rPr>
          <w:rFonts w:cs="Verdana"/>
        </w:rPr>
        <w:t xml:space="preserve">) included slightly increases in mean </w:t>
      </w:r>
      <w:proofErr w:type="spellStart"/>
      <w:r w:rsidRPr="00AC699F">
        <w:rPr>
          <w:rFonts w:cs="Verdana"/>
        </w:rPr>
        <w:t>fetal</w:t>
      </w:r>
      <w:proofErr w:type="spellEnd"/>
      <w:r w:rsidRPr="00AC699F">
        <w:rPr>
          <w:rFonts w:cs="Verdana"/>
        </w:rPr>
        <w:t xml:space="preserve"> weights and an increased incidence of variations (short-, bent-, and/or thickened long bones). </w:t>
      </w:r>
      <w:r w:rsidRPr="00AC699F">
        <w:rPr>
          <w:kern w:val="2"/>
          <w:szCs w:val="20"/>
        </w:rPr>
        <w:t xml:space="preserve">In pregnant rabbits, the relative exposures at the </w:t>
      </w:r>
      <w:r w:rsidR="004D303B" w:rsidRPr="004D303B">
        <w:rPr>
          <w:rFonts w:cs="Verdana"/>
        </w:rPr>
        <w:t>no</w:t>
      </w:r>
      <w:r w:rsidR="004D303B">
        <w:rPr>
          <w:rFonts w:cs="Verdana"/>
        </w:rPr>
        <w:t xml:space="preserve"> </w:t>
      </w:r>
      <w:r w:rsidR="004D303B" w:rsidRPr="004D303B">
        <w:rPr>
          <w:rFonts w:cs="Verdana"/>
        </w:rPr>
        <w:t>observed</w:t>
      </w:r>
      <w:r w:rsidR="004D303B">
        <w:rPr>
          <w:rFonts w:cs="Verdana"/>
        </w:rPr>
        <w:t xml:space="preserve"> </w:t>
      </w:r>
      <w:r w:rsidR="004D303B" w:rsidRPr="004D303B">
        <w:rPr>
          <w:rFonts w:cs="Verdana"/>
        </w:rPr>
        <w:t>adverse</w:t>
      </w:r>
      <w:r w:rsidR="004D303B">
        <w:rPr>
          <w:rFonts w:cs="Verdana"/>
        </w:rPr>
        <w:t xml:space="preserve"> </w:t>
      </w:r>
      <w:r w:rsidR="004D303B" w:rsidRPr="004D303B">
        <w:rPr>
          <w:rFonts w:cs="Verdana"/>
        </w:rPr>
        <w:t>effect level</w:t>
      </w:r>
      <w:r w:rsidRPr="00AC699F">
        <w:rPr>
          <w:kern w:val="2"/>
          <w:szCs w:val="20"/>
        </w:rPr>
        <w:t xml:space="preserve"> for malformations/embryo-</w:t>
      </w:r>
      <w:proofErr w:type="spellStart"/>
      <w:r w:rsidRPr="00AC699F">
        <w:rPr>
          <w:kern w:val="2"/>
          <w:szCs w:val="20"/>
        </w:rPr>
        <w:t>fetal</w:t>
      </w:r>
      <w:proofErr w:type="spellEnd"/>
      <w:r w:rsidRPr="00AC699F">
        <w:rPr>
          <w:kern w:val="2"/>
          <w:szCs w:val="20"/>
        </w:rPr>
        <w:t xml:space="preserve"> lethality and for maternal toxicity/</w:t>
      </w:r>
      <w:proofErr w:type="spellStart"/>
      <w:r w:rsidRPr="00AC699F">
        <w:rPr>
          <w:kern w:val="2"/>
          <w:szCs w:val="20"/>
        </w:rPr>
        <w:t>fetal</w:t>
      </w:r>
      <w:proofErr w:type="spellEnd"/>
      <w:r w:rsidRPr="00AC699F">
        <w:rPr>
          <w:kern w:val="2"/>
          <w:szCs w:val="20"/>
        </w:rPr>
        <w:t xml:space="preserve"> growth were 111 and 12.4, respectively. Since </w:t>
      </w:r>
      <w:r w:rsidRPr="00AC699F">
        <w:rPr>
          <w:rFonts w:cs="Verdana"/>
        </w:rPr>
        <w:t>e</w:t>
      </w:r>
      <w:r w:rsidRPr="00AC699F">
        <w:rPr>
          <w:kern w:val="2"/>
        </w:rPr>
        <w:t>mbryofetal development was unaffected at very high multiples of the clinical exposure, assignment to Pregnancy Category B1 is supported.</w:t>
      </w:r>
      <w:r w:rsidR="00AD5BD7">
        <w:rPr>
          <w:rStyle w:val="FootnoteReference"/>
          <w:kern w:val="2"/>
        </w:rPr>
        <w:footnoteReference w:id="5"/>
      </w:r>
    </w:p>
    <w:p w14:paraId="39E6182D" w14:textId="46727301" w:rsidR="00E104EA" w:rsidRPr="00AC699F" w:rsidRDefault="00E104EA" w:rsidP="00E104EA">
      <w:pPr>
        <w:rPr>
          <w:kern w:val="2"/>
        </w:rPr>
      </w:pPr>
      <w:bookmarkStart w:id="38" w:name="_Hlk88503927"/>
      <w:r w:rsidRPr="00AC699F">
        <w:rPr>
          <w:kern w:val="2"/>
        </w:rPr>
        <w:t xml:space="preserve">Acceptable local tolerance with </w:t>
      </w:r>
      <w:r w:rsidR="00AD5BD7">
        <w:rPr>
          <w:kern w:val="2"/>
        </w:rPr>
        <w:t>subcutaneous</w:t>
      </w:r>
      <w:r w:rsidRPr="00AC699F">
        <w:rPr>
          <w:kern w:val="2"/>
        </w:rPr>
        <w:t xml:space="preserve"> injection was shown for </w:t>
      </w:r>
      <w:proofErr w:type="spellStart"/>
      <w:r w:rsidRPr="00AC699F">
        <w:rPr>
          <w:kern w:val="2"/>
        </w:rPr>
        <w:t>somapacitan</w:t>
      </w:r>
      <w:proofErr w:type="spellEnd"/>
      <w:r w:rsidRPr="00AC699F">
        <w:rPr>
          <w:kern w:val="2"/>
        </w:rPr>
        <w:t xml:space="preserve"> in the general repeat</w:t>
      </w:r>
      <w:r w:rsidR="00AD5BD7">
        <w:rPr>
          <w:kern w:val="2"/>
        </w:rPr>
        <w:t xml:space="preserve"> </w:t>
      </w:r>
      <w:r w:rsidRPr="00AC699F">
        <w:rPr>
          <w:kern w:val="2"/>
        </w:rPr>
        <w:t xml:space="preserve">dose toxicity studies, with monkeys displaying </w:t>
      </w:r>
      <w:r w:rsidRPr="00AC699F">
        <w:t xml:space="preserve">limited inflammatory tissue reaction after </w:t>
      </w:r>
      <w:r w:rsidR="00AD5BD7">
        <w:rPr>
          <w:kern w:val="2"/>
        </w:rPr>
        <w:t>subcutaneous</w:t>
      </w:r>
      <w:r w:rsidRPr="00AC699F">
        <w:t xml:space="preserve"> administration of </w:t>
      </w:r>
      <w:proofErr w:type="spellStart"/>
      <w:r w:rsidRPr="00AC699F">
        <w:t>somapacitan</w:t>
      </w:r>
      <w:proofErr w:type="spellEnd"/>
      <w:r w:rsidRPr="00AC699F">
        <w:t xml:space="preserve"> at the same </w:t>
      </w:r>
      <w:r w:rsidRPr="00AC699F">
        <w:rPr>
          <w:kern w:val="2"/>
        </w:rPr>
        <w:t>strength (</w:t>
      </w:r>
      <w:r w:rsidRPr="00AC699F">
        <w:t>6.7 mg/mL) as</w:t>
      </w:r>
      <w:r w:rsidRPr="00AC699F">
        <w:rPr>
          <w:kern w:val="2"/>
        </w:rPr>
        <w:t xml:space="preserve"> that proposed for patients</w:t>
      </w:r>
      <w:r w:rsidRPr="00AC699F">
        <w:t xml:space="preserve">. In a dedicated local toxicity study in rabbits </w:t>
      </w:r>
      <w:r w:rsidRPr="00AC699F">
        <w:lastRenderedPageBreak/>
        <w:t>using a higher strength (10</w:t>
      </w:r>
      <w:r w:rsidR="00A52172">
        <w:t> </w:t>
      </w:r>
      <w:r w:rsidRPr="00AC699F">
        <w:t>mg/mL), only mild inflammatory changes were observed at the injection sites.</w:t>
      </w:r>
    </w:p>
    <w:bookmarkEnd w:id="38"/>
    <w:p w14:paraId="4B3A544F" w14:textId="77777777" w:rsidR="00E104EA" w:rsidRPr="00AC699F" w:rsidRDefault="00E104EA" w:rsidP="00E104EA">
      <w:pPr>
        <w:rPr>
          <w:kern w:val="2"/>
        </w:rPr>
      </w:pPr>
      <w:r w:rsidRPr="00AC699F">
        <w:rPr>
          <w:kern w:val="2"/>
        </w:rPr>
        <w:t xml:space="preserve">There are no nonclinical objections to the registration of </w:t>
      </w:r>
      <w:proofErr w:type="spellStart"/>
      <w:r w:rsidRPr="00AC699F">
        <w:rPr>
          <w:kern w:val="2"/>
        </w:rPr>
        <w:t>somapacitan</w:t>
      </w:r>
      <w:proofErr w:type="spellEnd"/>
      <w:r w:rsidRPr="00AC699F">
        <w:rPr>
          <w:kern w:val="2"/>
        </w:rPr>
        <w:t xml:space="preserve"> for the proposed indication.</w:t>
      </w:r>
    </w:p>
    <w:p w14:paraId="3FF42D5C" w14:textId="0435AA3C" w:rsidR="008E7846" w:rsidRDefault="008E7846" w:rsidP="008E7846">
      <w:pPr>
        <w:pStyle w:val="Heading3"/>
      </w:pPr>
      <w:bookmarkStart w:id="39" w:name="_Toc110415604"/>
      <w:r>
        <w:t>Clinical</w:t>
      </w:r>
      <w:bookmarkEnd w:id="36"/>
      <w:bookmarkEnd w:id="37"/>
      <w:bookmarkEnd w:id="39"/>
    </w:p>
    <w:p w14:paraId="78EEB09A" w14:textId="77777777" w:rsidR="0074163C" w:rsidRDefault="0074163C" w:rsidP="0074163C">
      <w:pPr>
        <w:pStyle w:val="Heading4"/>
      </w:pPr>
      <w:bookmarkStart w:id="40" w:name="_Toc98931928"/>
      <w:r>
        <w:t>Summary of clinical studies</w:t>
      </w:r>
      <w:bookmarkEnd w:id="40"/>
    </w:p>
    <w:p w14:paraId="77F9F2B0" w14:textId="66DBE9A0" w:rsidR="0074163C" w:rsidRDefault="0074163C" w:rsidP="0074163C">
      <w:r>
        <w:t>The clinical dossier consisted of</w:t>
      </w:r>
      <w:r w:rsidR="000E1B13">
        <w:t xml:space="preserve"> eight clinical trials: five clinical pharmacology studies and three Phase III clinical studies</w:t>
      </w:r>
      <w:r w:rsidR="00AE05A4">
        <w:t>.</w:t>
      </w:r>
    </w:p>
    <w:p w14:paraId="1D9E94B1" w14:textId="352763B9" w:rsidR="00AE05A4" w:rsidRDefault="00AE05A4" w:rsidP="00AD5BD7">
      <w:pPr>
        <w:pStyle w:val="TableTitle"/>
      </w:pPr>
      <w:r w:rsidRPr="00AD5BD7">
        <w:t xml:space="preserve">Table </w:t>
      </w:r>
      <w:fldSimple w:instr=" SEQ Table \* ARABIC ">
        <w:r w:rsidR="000377C2">
          <w:rPr>
            <w:noProof/>
          </w:rPr>
          <w:t>3</w:t>
        </w:r>
      </w:fldSimple>
      <w:r>
        <w:t xml:space="preserve">: </w:t>
      </w:r>
      <w:r w:rsidR="00AD5BD7">
        <w:t xml:space="preserve">Summary of clinical </w:t>
      </w:r>
      <w:r w:rsidR="00580019">
        <w:t>studies</w:t>
      </w:r>
    </w:p>
    <w:tbl>
      <w:tblPr>
        <w:tblStyle w:val="TableTGAblue"/>
        <w:tblW w:w="5000" w:type="pct"/>
        <w:tblLook w:val="04A0" w:firstRow="1" w:lastRow="0" w:firstColumn="1" w:lastColumn="0" w:noHBand="0" w:noVBand="1"/>
      </w:tblPr>
      <w:tblGrid>
        <w:gridCol w:w="1661"/>
        <w:gridCol w:w="2513"/>
        <w:gridCol w:w="1568"/>
        <w:gridCol w:w="2742"/>
      </w:tblGrid>
      <w:tr w:rsidR="00AE05A4" w:rsidRPr="00AE05A4" w14:paraId="20C98F9A" w14:textId="77777777" w:rsidTr="00AE05A4">
        <w:trPr>
          <w:cnfStyle w:val="100000000000" w:firstRow="1" w:lastRow="0" w:firstColumn="0" w:lastColumn="0" w:oddVBand="0" w:evenVBand="0" w:oddHBand="0" w:evenHBand="0" w:firstRowFirstColumn="0" w:firstRowLastColumn="0" w:lastRowFirstColumn="0" w:lastRowLastColumn="0"/>
        </w:trPr>
        <w:tc>
          <w:tcPr>
            <w:tcW w:w="979" w:type="pct"/>
          </w:tcPr>
          <w:p w14:paraId="44F92E20" w14:textId="43296FE5" w:rsidR="00AE05A4" w:rsidRPr="00AE05A4" w:rsidRDefault="00580019" w:rsidP="008457EA">
            <w:pPr>
              <w:ind w:left="0" w:right="0"/>
              <w:rPr>
                <w:b w:val="0"/>
                <w:bCs/>
                <w:sz w:val="20"/>
                <w:szCs w:val="20"/>
              </w:rPr>
            </w:pPr>
            <w:r>
              <w:rPr>
                <w:bCs/>
                <w:sz w:val="20"/>
                <w:szCs w:val="20"/>
              </w:rPr>
              <w:t>Study</w:t>
            </w:r>
          </w:p>
        </w:tc>
        <w:tc>
          <w:tcPr>
            <w:tcW w:w="1481" w:type="pct"/>
          </w:tcPr>
          <w:p w14:paraId="266B6847" w14:textId="77777777" w:rsidR="00AE05A4" w:rsidRPr="00AE05A4" w:rsidRDefault="00AE05A4" w:rsidP="008457EA">
            <w:pPr>
              <w:ind w:left="0" w:right="0"/>
              <w:rPr>
                <w:b w:val="0"/>
                <w:bCs/>
                <w:sz w:val="20"/>
                <w:szCs w:val="20"/>
              </w:rPr>
            </w:pPr>
            <w:r w:rsidRPr="00AE05A4">
              <w:rPr>
                <w:bCs/>
                <w:sz w:val="20"/>
                <w:szCs w:val="20"/>
              </w:rPr>
              <w:t>Study design</w:t>
            </w:r>
          </w:p>
        </w:tc>
        <w:tc>
          <w:tcPr>
            <w:tcW w:w="924" w:type="pct"/>
          </w:tcPr>
          <w:p w14:paraId="018C3FCB" w14:textId="7AE6CCA9" w:rsidR="00AE05A4" w:rsidRPr="00AE05A4" w:rsidRDefault="00A52172" w:rsidP="008457EA">
            <w:pPr>
              <w:ind w:left="0" w:right="0"/>
              <w:rPr>
                <w:b w:val="0"/>
                <w:bCs/>
                <w:sz w:val="20"/>
                <w:szCs w:val="20"/>
              </w:rPr>
            </w:pPr>
            <w:r>
              <w:rPr>
                <w:bCs/>
                <w:sz w:val="20"/>
                <w:szCs w:val="20"/>
              </w:rPr>
              <w:t>S</w:t>
            </w:r>
            <w:r w:rsidR="00AE05A4" w:rsidRPr="00AE05A4">
              <w:rPr>
                <w:bCs/>
                <w:sz w:val="20"/>
                <w:szCs w:val="20"/>
              </w:rPr>
              <w:t>ubjects</w:t>
            </w:r>
          </w:p>
        </w:tc>
        <w:tc>
          <w:tcPr>
            <w:tcW w:w="1616" w:type="pct"/>
          </w:tcPr>
          <w:p w14:paraId="7C77F39C" w14:textId="77777777" w:rsidR="00AE05A4" w:rsidRPr="00AE05A4" w:rsidRDefault="00AE05A4" w:rsidP="008457EA">
            <w:pPr>
              <w:ind w:left="0" w:right="0"/>
              <w:rPr>
                <w:b w:val="0"/>
                <w:bCs/>
                <w:sz w:val="20"/>
                <w:szCs w:val="20"/>
              </w:rPr>
            </w:pPr>
            <w:r w:rsidRPr="00AE05A4">
              <w:rPr>
                <w:bCs/>
                <w:sz w:val="20"/>
                <w:szCs w:val="20"/>
              </w:rPr>
              <w:t>Dose</w:t>
            </w:r>
          </w:p>
        </w:tc>
      </w:tr>
      <w:tr w:rsidR="00AE05A4" w:rsidRPr="00AE05A4" w14:paraId="6D2ECB15" w14:textId="77777777" w:rsidTr="00AE05A4">
        <w:tc>
          <w:tcPr>
            <w:tcW w:w="979" w:type="pct"/>
          </w:tcPr>
          <w:p w14:paraId="6F96C38F" w14:textId="5ED19BA9" w:rsidR="00AE05A4" w:rsidRPr="008457EA" w:rsidRDefault="00580019" w:rsidP="008457EA">
            <w:pPr>
              <w:ind w:left="0" w:right="0"/>
              <w:rPr>
                <w:b/>
                <w:sz w:val="20"/>
                <w:szCs w:val="20"/>
              </w:rPr>
            </w:pPr>
            <w:r w:rsidRPr="008457EA">
              <w:rPr>
                <w:b/>
                <w:sz w:val="20"/>
                <w:szCs w:val="20"/>
              </w:rPr>
              <w:t xml:space="preserve">Study </w:t>
            </w:r>
            <w:r w:rsidR="00AE05A4" w:rsidRPr="008457EA">
              <w:rPr>
                <w:b/>
                <w:sz w:val="20"/>
                <w:szCs w:val="20"/>
              </w:rPr>
              <w:t>3915a</w:t>
            </w:r>
          </w:p>
          <w:p w14:paraId="7AF11E54" w14:textId="27B68D2B" w:rsidR="00AE05A4" w:rsidRPr="00AE05A4" w:rsidRDefault="00AE05A4" w:rsidP="008457EA">
            <w:pPr>
              <w:ind w:left="0" w:right="0"/>
              <w:rPr>
                <w:sz w:val="20"/>
                <w:szCs w:val="20"/>
              </w:rPr>
            </w:pPr>
            <w:proofErr w:type="gramStart"/>
            <w:r w:rsidRPr="00AE05A4">
              <w:rPr>
                <w:sz w:val="20"/>
                <w:szCs w:val="20"/>
              </w:rPr>
              <w:t>4 week</w:t>
            </w:r>
            <w:proofErr w:type="gramEnd"/>
            <w:r w:rsidR="00580019">
              <w:rPr>
                <w:sz w:val="20"/>
                <w:szCs w:val="20"/>
              </w:rPr>
              <w:t xml:space="preserve"> duration</w:t>
            </w:r>
          </w:p>
        </w:tc>
        <w:tc>
          <w:tcPr>
            <w:tcW w:w="1481" w:type="pct"/>
          </w:tcPr>
          <w:p w14:paraId="0F257873" w14:textId="2040C5FE" w:rsidR="00AE05A4" w:rsidRPr="00AE05A4" w:rsidRDefault="00AE05A4" w:rsidP="008457EA">
            <w:pPr>
              <w:ind w:left="0" w:right="0"/>
              <w:rPr>
                <w:sz w:val="20"/>
                <w:szCs w:val="20"/>
              </w:rPr>
            </w:pPr>
            <w:r w:rsidRPr="00AE05A4">
              <w:rPr>
                <w:sz w:val="20"/>
                <w:szCs w:val="20"/>
              </w:rPr>
              <w:t xml:space="preserve">Phase </w:t>
            </w:r>
            <w:r>
              <w:rPr>
                <w:sz w:val="20"/>
                <w:szCs w:val="20"/>
              </w:rPr>
              <w:t>I</w:t>
            </w:r>
            <w:r w:rsidRPr="00AE05A4">
              <w:rPr>
                <w:sz w:val="20"/>
                <w:szCs w:val="20"/>
              </w:rPr>
              <w:t>: Safety, tolerability, PK and PD study</w:t>
            </w:r>
          </w:p>
          <w:p w14:paraId="7EF77D50" w14:textId="4CBE9B4A" w:rsidR="00AE05A4" w:rsidRPr="00AE05A4" w:rsidRDefault="00AE05A4" w:rsidP="008457EA">
            <w:pPr>
              <w:ind w:left="0" w:right="0"/>
              <w:rPr>
                <w:sz w:val="20"/>
                <w:szCs w:val="20"/>
              </w:rPr>
            </w:pPr>
            <w:r w:rsidRPr="00AE05A4">
              <w:rPr>
                <w:sz w:val="20"/>
                <w:szCs w:val="20"/>
              </w:rPr>
              <w:t>Randomi</w:t>
            </w:r>
            <w:r>
              <w:rPr>
                <w:sz w:val="20"/>
                <w:szCs w:val="20"/>
              </w:rPr>
              <w:t>s</w:t>
            </w:r>
            <w:r w:rsidRPr="00AE05A4">
              <w:rPr>
                <w:sz w:val="20"/>
                <w:szCs w:val="20"/>
              </w:rPr>
              <w:t xml:space="preserve">ed, single and multiple </w:t>
            </w:r>
            <w:proofErr w:type="gramStart"/>
            <w:r w:rsidRPr="00AE05A4">
              <w:rPr>
                <w:sz w:val="20"/>
                <w:szCs w:val="20"/>
              </w:rPr>
              <w:t>dose</w:t>
            </w:r>
            <w:proofErr w:type="gramEnd"/>
            <w:r w:rsidRPr="00AE05A4">
              <w:rPr>
                <w:sz w:val="20"/>
                <w:szCs w:val="20"/>
              </w:rPr>
              <w:t xml:space="preserve"> escalating, double blind, placebo controlled</w:t>
            </w:r>
          </w:p>
        </w:tc>
        <w:tc>
          <w:tcPr>
            <w:tcW w:w="924" w:type="pct"/>
          </w:tcPr>
          <w:p w14:paraId="778F636A" w14:textId="77777777" w:rsidR="00AE05A4" w:rsidRPr="00AE05A4" w:rsidRDefault="00AE05A4" w:rsidP="008457EA">
            <w:pPr>
              <w:ind w:left="0" w:right="0"/>
              <w:rPr>
                <w:sz w:val="20"/>
                <w:szCs w:val="20"/>
              </w:rPr>
            </w:pPr>
            <w:r w:rsidRPr="00AE05A4">
              <w:rPr>
                <w:sz w:val="20"/>
                <w:szCs w:val="20"/>
              </w:rPr>
              <w:t>105 healthy subjects</w:t>
            </w:r>
          </w:p>
          <w:p w14:paraId="52E5D55D" w14:textId="122987D9" w:rsidR="00AE05A4" w:rsidRPr="00AE05A4" w:rsidRDefault="00AE05A4" w:rsidP="008457EA">
            <w:pPr>
              <w:ind w:left="0" w:right="0"/>
              <w:rPr>
                <w:sz w:val="20"/>
                <w:szCs w:val="20"/>
              </w:rPr>
            </w:pPr>
            <w:r w:rsidRPr="00AE05A4">
              <w:rPr>
                <w:sz w:val="20"/>
                <w:szCs w:val="20"/>
              </w:rPr>
              <w:t>22</w:t>
            </w:r>
            <w:r>
              <w:rPr>
                <w:sz w:val="20"/>
                <w:szCs w:val="20"/>
              </w:rPr>
              <w:t xml:space="preserve"> to </w:t>
            </w:r>
            <w:r w:rsidRPr="00AE05A4">
              <w:rPr>
                <w:sz w:val="20"/>
                <w:szCs w:val="20"/>
              </w:rPr>
              <w:t>45 years</w:t>
            </w:r>
          </w:p>
        </w:tc>
        <w:tc>
          <w:tcPr>
            <w:tcW w:w="1616" w:type="pct"/>
          </w:tcPr>
          <w:p w14:paraId="5637345D" w14:textId="66EC0A7E" w:rsidR="00AE05A4" w:rsidRPr="00AE05A4" w:rsidRDefault="00AE05A4" w:rsidP="008457EA">
            <w:pPr>
              <w:ind w:left="0" w:right="0"/>
              <w:rPr>
                <w:sz w:val="20"/>
                <w:szCs w:val="20"/>
              </w:rPr>
            </w:pPr>
            <w:r w:rsidRPr="00AE05A4">
              <w:rPr>
                <w:sz w:val="20"/>
                <w:szCs w:val="20"/>
              </w:rPr>
              <w:t>Single dose cohorts 0.01, 0.04, 0.08, 0.16 and 0.32</w:t>
            </w:r>
            <w:r>
              <w:rPr>
                <w:sz w:val="20"/>
                <w:szCs w:val="20"/>
              </w:rPr>
              <w:t> </w:t>
            </w:r>
            <w:r w:rsidRPr="00AE05A4">
              <w:rPr>
                <w:sz w:val="20"/>
                <w:szCs w:val="20"/>
              </w:rPr>
              <w:t>mg/kg or placebo</w:t>
            </w:r>
          </w:p>
          <w:p w14:paraId="2EBEEA49" w14:textId="39338762" w:rsidR="00AE05A4" w:rsidRPr="00AE05A4" w:rsidRDefault="00AE05A4" w:rsidP="008457EA">
            <w:pPr>
              <w:ind w:left="0" w:right="0"/>
              <w:rPr>
                <w:sz w:val="20"/>
                <w:szCs w:val="20"/>
              </w:rPr>
            </w:pPr>
            <w:r w:rsidRPr="00AE05A4">
              <w:rPr>
                <w:sz w:val="20"/>
                <w:szCs w:val="20"/>
              </w:rPr>
              <w:t>Multiple dose cohorts: 0.02, 0.08, 0.16 and 0.24</w:t>
            </w:r>
            <w:r>
              <w:rPr>
                <w:sz w:val="20"/>
                <w:szCs w:val="20"/>
              </w:rPr>
              <w:t> </w:t>
            </w:r>
            <w:r w:rsidRPr="00AE05A4">
              <w:rPr>
                <w:sz w:val="20"/>
                <w:szCs w:val="20"/>
              </w:rPr>
              <w:t>mg/kg or placebo</w:t>
            </w:r>
          </w:p>
        </w:tc>
      </w:tr>
      <w:tr w:rsidR="00AE05A4" w:rsidRPr="00AE05A4" w14:paraId="405276EB" w14:textId="77777777" w:rsidTr="00AE05A4">
        <w:tc>
          <w:tcPr>
            <w:tcW w:w="979" w:type="pct"/>
          </w:tcPr>
          <w:p w14:paraId="7B1B2E1F" w14:textId="21527075" w:rsidR="00580019" w:rsidRPr="00AE05A4" w:rsidRDefault="00580019" w:rsidP="008457EA">
            <w:pPr>
              <w:ind w:left="0" w:right="0"/>
              <w:rPr>
                <w:sz w:val="20"/>
                <w:szCs w:val="20"/>
              </w:rPr>
            </w:pPr>
            <w:r w:rsidRPr="008457EA">
              <w:rPr>
                <w:b/>
                <w:sz w:val="20"/>
                <w:szCs w:val="20"/>
              </w:rPr>
              <w:t xml:space="preserve">Study </w:t>
            </w:r>
            <w:r w:rsidR="00AE05A4" w:rsidRPr="008457EA">
              <w:rPr>
                <w:b/>
                <w:sz w:val="20"/>
                <w:szCs w:val="20"/>
              </w:rPr>
              <w:t>4237</w:t>
            </w:r>
          </w:p>
          <w:p w14:paraId="0F84A5D3" w14:textId="72B0F711" w:rsidR="00AE05A4" w:rsidRPr="00AE05A4" w:rsidRDefault="00AE05A4" w:rsidP="008457EA">
            <w:pPr>
              <w:ind w:left="0" w:right="0"/>
              <w:rPr>
                <w:sz w:val="20"/>
                <w:szCs w:val="20"/>
              </w:rPr>
            </w:pPr>
            <w:proofErr w:type="gramStart"/>
            <w:r w:rsidRPr="00AE05A4">
              <w:rPr>
                <w:sz w:val="20"/>
                <w:szCs w:val="20"/>
              </w:rPr>
              <w:t>5 week</w:t>
            </w:r>
            <w:proofErr w:type="gramEnd"/>
            <w:r w:rsidR="00580019">
              <w:rPr>
                <w:sz w:val="20"/>
                <w:szCs w:val="20"/>
              </w:rPr>
              <w:t xml:space="preserve"> duration</w:t>
            </w:r>
          </w:p>
        </w:tc>
        <w:tc>
          <w:tcPr>
            <w:tcW w:w="1481" w:type="pct"/>
          </w:tcPr>
          <w:p w14:paraId="6EDA466C" w14:textId="77777777" w:rsidR="00AE05A4" w:rsidRPr="00AE05A4" w:rsidRDefault="00AE05A4" w:rsidP="008457EA">
            <w:pPr>
              <w:ind w:left="0" w:right="0"/>
              <w:rPr>
                <w:sz w:val="20"/>
                <w:szCs w:val="20"/>
              </w:rPr>
            </w:pPr>
            <w:r w:rsidRPr="00AE05A4">
              <w:rPr>
                <w:sz w:val="20"/>
                <w:szCs w:val="20"/>
              </w:rPr>
              <w:t xml:space="preserve">Absorption, </w:t>
            </w:r>
            <w:proofErr w:type="gramStart"/>
            <w:r w:rsidRPr="00AE05A4">
              <w:rPr>
                <w:sz w:val="20"/>
                <w:szCs w:val="20"/>
              </w:rPr>
              <w:t>metabolism</w:t>
            </w:r>
            <w:proofErr w:type="gramEnd"/>
            <w:r w:rsidRPr="00AE05A4">
              <w:rPr>
                <w:sz w:val="20"/>
                <w:szCs w:val="20"/>
              </w:rPr>
              <w:t xml:space="preserve"> and excretion</w:t>
            </w:r>
          </w:p>
          <w:p w14:paraId="317BD220" w14:textId="357F6B0E" w:rsidR="00AE05A4" w:rsidRPr="00AE05A4" w:rsidRDefault="00AE05A4" w:rsidP="008457EA">
            <w:pPr>
              <w:ind w:left="0" w:right="0"/>
              <w:rPr>
                <w:sz w:val="20"/>
                <w:szCs w:val="20"/>
              </w:rPr>
            </w:pPr>
            <w:r w:rsidRPr="00AE05A4">
              <w:rPr>
                <w:sz w:val="20"/>
                <w:szCs w:val="20"/>
              </w:rPr>
              <w:t xml:space="preserve">Single </w:t>
            </w:r>
            <w:proofErr w:type="gramStart"/>
            <w:r w:rsidRPr="00AE05A4">
              <w:rPr>
                <w:sz w:val="20"/>
                <w:szCs w:val="20"/>
              </w:rPr>
              <w:t>dose</w:t>
            </w:r>
            <w:proofErr w:type="gramEnd"/>
            <w:r w:rsidRPr="00AE05A4">
              <w:rPr>
                <w:sz w:val="20"/>
                <w:szCs w:val="20"/>
              </w:rPr>
              <w:t xml:space="preserve"> open labelled</w:t>
            </w:r>
          </w:p>
        </w:tc>
        <w:tc>
          <w:tcPr>
            <w:tcW w:w="924" w:type="pct"/>
          </w:tcPr>
          <w:p w14:paraId="7638DBE8" w14:textId="77777777" w:rsidR="00AE05A4" w:rsidRPr="00AE05A4" w:rsidRDefault="00AE05A4" w:rsidP="008457EA">
            <w:pPr>
              <w:ind w:left="0" w:right="0"/>
              <w:rPr>
                <w:sz w:val="20"/>
                <w:szCs w:val="20"/>
              </w:rPr>
            </w:pPr>
            <w:r w:rsidRPr="00AE05A4">
              <w:rPr>
                <w:sz w:val="20"/>
                <w:szCs w:val="20"/>
              </w:rPr>
              <w:t>7 subjects</w:t>
            </w:r>
          </w:p>
        </w:tc>
        <w:tc>
          <w:tcPr>
            <w:tcW w:w="1616" w:type="pct"/>
          </w:tcPr>
          <w:p w14:paraId="7E593BA7" w14:textId="5E4D4A59" w:rsidR="00AE05A4" w:rsidRPr="00AE05A4" w:rsidRDefault="00AE05A4" w:rsidP="008457EA">
            <w:pPr>
              <w:ind w:left="0" w:right="0"/>
              <w:rPr>
                <w:sz w:val="20"/>
                <w:szCs w:val="20"/>
              </w:rPr>
            </w:pPr>
            <w:r w:rsidRPr="00AE05A4">
              <w:rPr>
                <w:sz w:val="20"/>
                <w:szCs w:val="20"/>
              </w:rPr>
              <w:t>6</w:t>
            </w:r>
            <w:r>
              <w:rPr>
                <w:sz w:val="20"/>
                <w:szCs w:val="20"/>
              </w:rPr>
              <w:t xml:space="preserve"> </w:t>
            </w:r>
            <w:r w:rsidRPr="00AE05A4">
              <w:rPr>
                <w:sz w:val="20"/>
                <w:szCs w:val="20"/>
              </w:rPr>
              <w:t>mg</w:t>
            </w:r>
          </w:p>
        </w:tc>
      </w:tr>
      <w:tr w:rsidR="00AE05A4" w:rsidRPr="00AE05A4" w14:paraId="11064BC4" w14:textId="77777777" w:rsidTr="00AE05A4">
        <w:tc>
          <w:tcPr>
            <w:tcW w:w="979" w:type="pct"/>
          </w:tcPr>
          <w:p w14:paraId="36A8FBF3" w14:textId="15640C1B" w:rsidR="00AE05A4" w:rsidRPr="008457EA" w:rsidRDefault="00580019" w:rsidP="008457EA">
            <w:pPr>
              <w:ind w:left="0" w:right="0"/>
              <w:rPr>
                <w:b/>
                <w:sz w:val="20"/>
                <w:szCs w:val="20"/>
              </w:rPr>
            </w:pPr>
            <w:r w:rsidRPr="008457EA">
              <w:rPr>
                <w:b/>
                <w:sz w:val="20"/>
                <w:szCs w:val="20"/>
              </w:rPr>
              <w:t xml:space="preserve">Study </w:t>
            </w:r>
            <w:r w:rsidR="00AE05A4" w:rsidRPr="008457EA">
              <w:rPr>
                <w:b/>
                <w:sz w:val="20"/>
                <w:szCs w:val="20"/>
              </w:rPr>
              <w:t>4297</w:t>
            </w:r>
          </w:p>
        </w:tc>
        <w:tc>
          <w:tcPr>
            <w:tcW w:w="1481" w:type="pct"/>
          </w:tcPr>
          <w:p w14:paraId="0BD6664F" w14:textId="77777777" w:rsidR="00AE05A4" w:rsidRPr="00AE05A4" w:rsidRDefault="00AE05A4" w:rsidP="008457EA">
            <w:pPr>
              <w:ind w:left="0" w:right="0"/>
              <w:rPr>
                <w:sz w:val="20"/>
                <w:szCs w:val="20"/>
              </w:rPr>
            </w:pPr>
            <w:r w:rsidRPr="00AE05A4">
              <w:rPr>
                <w:sz w:val="20"/>
                <w:szCs w:val="20"/>
              </w:rPr>
              <w:t xml:space="preserve">PK/PD and safety of </w:t>
            </w:r>
            <w:proofErr w:type="spellStart"/>
            <w:r w:rsidRPr="00AE05A4">
              <w:rPr>
                <w:sz w:val="20"/>
                <w:szCs w:val="20"/>
              </w:rPr>
              <w:t>somapacitan</w:t>
            </w:r>
            <w:proofErr w:type="spellEnd"/>
            <w:r w:rsidRPr="00AE05A4">
              <w:rPr>
                <w:sz w:val="20"/>
                <w:szCs w:val="20"/>
              </w:rPr>
              <w:t xml:space="preserve"> in subjects with renal impairment. Multiple </w:t>
            </w:r>
            <w:proofErr w:type="gramStart"/>
            <w:r w:rsidRPr="00AE05A4">
              <w:rPr>
                <w:sz w:val="20"/>
                <w:szCs w:val="20"/>
              </w:rPr>
              <w:t>dose</w:t>
            </w:r>
            <w:proofErr w:type="gramEnd"/>
            <w:r w:rsidRPr="00AE05A4">
              <w:rPr>
                <w:sz w:val="20"/>
                <w:szCs w:val="20"/>
              </w:rPr>
              <w:t>, open labelled</w:t>
            </w:r>
          </w:p>
          <w:p w14:paraId="3B1F8DB0" w14:textId="77777777" w:rsidR="00AE05A4" w:rsidRPr="00AE05A4" w:rsidRDefault="00AE05A4" w:rsidP="008457EA">
            <w:pPr>
              <w:ind w:left="0" w:right="0"/>
              <w:rPr>
                <w:sz w:val="20"/>
                <w:szCs w:val="20"/>
              </w:rPr>
            </w:pPr>
            <w:proofErr w:type="gramStart"/>
            <w:r w:rsidRPr="00AE05A4">
              <w:rPr>
                <w:sz w:val="20"/>
                <w:szCs w:val="20"/>
              </w:rPr>
              <w:t>6 week</w:t>
            </w:r>
            <w:proofErr w:type="gramEnd"/>
            <w:r w:rsidRPr="00AE05A4">
              <w:rPr>
                <w:sz w:val="20"/>
                <w:szCs w:val="20"/>
              </w:rPr>
              <w:t xml:space="preserve"> duration</w:t>
            </w:r>
          </w:p>
        </w:tc>
        <w:tc>
          <w:tcPr>
            <w:tcW w:w="924" w:type="pct"/>
          </w:tcPr>
          <w:p w14:paraId="448B5A20" w14:textId="77777777" w:rsidR="00AE05A4" w:rsidRPr="00AE05A4" w:rsidRDefault="00AE05A4" w:rsidP="008457EA">
            <w:pPr>
              <w:ind w:left="0" w:right="0"/>
              <w:rPr>
                <w:sz w:val="20"/>
                <w:szCs w:val="20"/>
              </w:rPr>
            </w:pPr>
            <w:r w:rsidRPr="00AE05A4">
              <w:rPr>
                <w:sz w:val="20"/>
                <w:szCs w:val="20"/>
              </w:rPr>
              <w:t>44 subjects</w:t>
            </w:r>
          </w:p>
          <w:p w14:paraId="310D5884" w14:textId="4CEE423D" w:rsidR="00AE05A4" w:rsidRPr="00AE05A4" w:rsidRDefault="00AE05A4" w:rsidP="008457EA">
            <w:pPr>
              <w:ind w:left="0" w:right="0"/>
              <w:rPr>
                <w:sz w:val="20"/>
                <w:szCs w:val="20"/>
              </w:rPr>
            </w:pPr>
            <w:r w:rsidRPr="00AE05A4">
              <w:rPr>
                <w:sz w:val="20"/>
                <w:szCs w:val="20"/>
              </w:rPr>
              <w:t>28</w:t>
            </w:r>
            <w:r>
              <w:rPr>
                <w:sz w:val="20"/>
                <w:szCs w:val="20"/>
              </w:rPr>
              <w:t xml:space="preserve"> to </w:t>
            </w:r>
            <w:r w:rsidRPr="00AE05A4">
              <w:rPr>
                <w:sz w:val="20"/>
                <w:szCs w:val="20"/>
              </w:rPr>
              <w:t>74 years</w:t>
            </w:r>
          </w:p>
        </w:tc>
        <w:tc>
          <w:tcPr>
            <w:tcW w:w="1616" w:type="pct"/>
          </w:tcPr>
          <w:p w14:paraId="4F83DEC7" w14:textId="743ABD51"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once weekly</w:t>
            </w:r>
            <w:r>
              <w:rPr>
                <w:sz w:val="20"/>
                <w:szCs w:val="20"/>
              </w:rPr>
              <w:t xml:space="preserve">, </w:t>
            </w:r>
            <w:r w:rsidRPr="00AE05A4">
              <w:rPr>
                <w:sz w:val="20"/>
                <w:szCs w:val="20"/>
              </w:rPr>
              <w:t>0.08</w:t>
            </w:r>
            <w:r w:rsidR="00AD5BD7">
              <w:rPr>
                <w:sz w:val="20"/>
                <w:szCs w:val="20"/>
              </w:rPr>
              <w:t> </w:t>
            </w:r>
            <w:r w:rsidRPr="00AE05A4">
              <w:rPr>
                <w:sz w:val="20"/>
                <w:szCs w:val="20"/>
              </w:rPr>
              <w:t>mg/kg</w:t>
            </w:r>
          </w:p>
        </w:tc>
      </w:tr>
      <w:tr w:rsidR="00AE05A4" w:rsidRPr="00AE05A4" w14:paraId="4998FDBB" w14:textId="77777777" w:rsidTr="00AE05A4">
        <w:tc>
          <w:tcPr>
            <w:tcW w:w="979" w:type="pct"/>
          </w:tcPr>
          <w:p w14:paraId="39955F04" w14:textId="30B948AC" w:rsidR="00AE05A4" w:rsidRPr="008457EA" w:rsidRDefault="007E1937" w:rsidP="008457EA">
            <w:pPr>
              <w:ind w:left="0" w:right="0"/>
              <w:rPr>
                <w:b/>
                <w:sz w:val="20"/>
                <w:szCs w:val="20"/>
              </w:rPr>
            </w:pPr>
            <w:r w:rsidRPr="008457EA">
              <w:rPr>
                <w:b/>
                <w:sz w:val="20"/>
                <w:szCs w:val="20"/>
              </w:rPr>
              <w:t xml:space="preserve">Study </w:t>
            </w:r>
            <w:r w:rsidR="00AE05A4" w:rsidRPr="008457EA">
              <w:rPr>
                <w:b/>
                <w:sz w:val="20"/>
                <w:szCs w:val="20"/>
              </w:rPr>
              <w:t>4298</w:t>
            </w:r>
          </w:p>
        </w:tc>
        <w:tc>
          <w:tcPr>
            <w:tcW w:w="1481" w:type="pct"/>
          </w:tcPr>
          <w:p w14:paraId="326AFADD" w14:textId="404C8217" w:rsidR="00AE05A4" w:rsidRPr="00AE05A4" w:rsidRDefault="00AE05A4" w:rsidP="008457EA">
            <w:pPr>
              <w:ind w:left="0" w:right="0"/>
              <w:rPr>
                <w:sz w:val="20"/>
                <w:szCs w:val="20"/>
              </w:rPr>
            </w:pPr>
            <w:r w:rsidRPr="00AE05A4">
              <w:rPr>
                <w:sz w:val="20"/>
                <w:szCs w:val="20"/>
              </w:rPr>
              <w:t>PK/PD and safety study subjects wit</w:t>
            </w:r>
            <w:r w:rsidR="007E1937">
              <w:rPr>
                <w:sz w:val="20"/>
                <w:szCs w:val="20"/>
              </w:rPr>
              <w:t>h</w:t>
            </w:r>
            <w:r w:rsidRPr="00AE05A4">
              <w:rPr>
                <w:sz w:val="20"/>
                <w:szCs w:val="20"/>
              </w:rPr>
              <w:t xml:space="preserve"> hepatic impairment. Multiple </w:t>
            </w:r>
            <w:proofErr w:type="gramStart"/>
            <w:r w:rsidRPr="00AE05A4">
              <w:rPr>
                <w:sz w:val="20"/>
                <w:szCs w:val="20"/>
              </w:rPr>
              <w:t>dose</w:t>
            </w:r>
            <w:proofErr w:type="gramEnd"/>
            <w:r w:rsidRPr="00AE05A4">
              <w:rPr>
                <w:sz w:val="20"/>
                <w:szCs w:val="20"/>
              </w:rPr>
              <w:t>, open labelled.</w:t>
            </w:r>
          </w:p>
          <w:p w14:paraId="4D26C507" w14:textId="29907C73" w:rsidR="00AE05A4" w:rsidRPr="00AE05A4" w:rsidRDefault="00AE05A4" w:rsidP="008457EA">
            <w:pPr>
              <w:ind w:left="0" w:right="0"/>
              <w:rPr>
                <w:sz w:val="20"/>
                <w:szCs w:val="20"/>
              </w:rPr>
            </w:pPr>
            <w:r w:rsidRPr="00AE05A4">
              <w:rPr>
                <w:sz w:val="20"/>
                <w:szCs w:val="20"/>
              </w:rPr>
              <w:t>6 weeks</w:t>
            </w:r>
            <w:r w:rsidR="00AD5BD7">
              <w:rPr>
                <w:sz w:val="20"/>
                <w:szCs w:val="20"/>
              </w:rPr>
              <w:t xml:space="preserve"> duration</w:t>
            </w:r>
          </w:p>
        </w:tc>
        <w:tc>
          <w:tcPr>
            <w:tcW w:w="924" w:type="pct"/>
          </w:tcPr>
          <w:p w14:paraId="63618817" w14:textId="77777777" w:rsidR="00AE05A4" w:rsidRPr="00AE05A4" w:rsidRDefault="00AE05A4" w:rsidP="008457EA">
            <w:pPr>
              <w:ind w:left="0" w:right="0"/>
              <w:rPr>
                <w:sz w:val="20"/>
                <w:szCs w:val="20"/>
              </w:rPr>
            </w:pPr>
            <w:r w:rsidRPr="00AE05A4">
              <w:rPr>
                <w:sz w:val="20"/>
                <w:szCs w:val="20"/>
              </w:rPr>
              <w:t>34 subjects</w:t>
            </w:r>
          </w:p>
          <w:p w14:paraId="2FAEBF6F" w14:textId="62D607E9" w:rsidR="00AE05A4" w:rsidRPr="00AE05A4" w:rsidRDefault="00AE05A4" w:rsidP="008457EA">
            <w:pPr>
              <w:ind w:left="0" w:right="0"/>
              <w:rPr>
                <w:sz w:val="20"/>
                <w:szCs w:val="20"/>
              </w:rPr>
            </w:pPr>
            <w:r w:rsidRPr="00AE05A4">
              <w:rPr>
                <w:sz w:val="20"/>
                <w:szCs w:val="20"/>
              </w:rPr>
              <w:t>37</w:t>
            </w:r>
            <w:r>
              <w:rPr>
                <w:sz w:val="20"/>
                <w:szCs w:val="20"/>
              </w:rPr>
              <w:t xml:space="preserve"> to </w:t>
            </w:r>
            <w:r w:rsidRPr="00AE05A4">
              <w:rPr>
                <w:sz w:val="20"/>
                <w:szCs w:val="20"/>
              </w:rPr>
              <w:t>69 years</w:t>
            </w:r>
          </w:p>
        </w:tc>
        <w:tc>
          <w:tcPr>
            <w:tcW w:w="1616" w:type="pct"/>
          </w:tcPr>
          <w:p w14:paraId="5DF2E06F" w14:textId="0C7DC656"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once weekly</w:t>
            </w:r>
            <w:r>
              <w:rPr>
                <w:sz w:val="20"/>
                <w:szCs w:val="20"/>
              </w:rPr>
              <w:t xml:space="preserve">, </w:t>
            </w:r>
            <w:r w:rsidRPr="00AE05A4">
              <w:rPr>
                <w:sz w:val="20"/>
                <w:szCs w:val="20"/>
              </w:rPr>
              <w:t>0.08</w:t>
            </w:r>
            <w:r w:rsidR="00AD5BD7">
              <w:rPr>
                <w:sz w:val="20"/>
                <w:szCs w:val="20"/>
              </w:rPr>
              <w:t> </w:t>
            </w:r>
            <w:r w:rsidRPr="00AE05A4">
              <w:rPr>
                <w:sz w:val="20"/>
                <w:szCs w:val="20"/>
              </w:rPr>
              <w:t>mg/kg</w:t>
            </w:r>
          </w:p>
        </w:tc>
      </w:tr>
      <w:tr w:rsidR="00AE05A4" w:rsidRPr="00AE05A4" w14:paraId="39D9D067" w14:textId="77777777" w:rsidTr="00AE05A4">
        <w:tc>
          <w:tcPr>
            <w:tcW w:w="979" w:type="pct"/>
          </w:tcPr>
          <w:p w14:paraId="0D4ACEFF" w14:textId="559FD2D9" w:rsidR="00AE05A4" w:rsidRPr="008457EA" w:rsidRDefault="007E1937" w:rsidP="008457EA">
            <w:pPr>
              <w:ind w:left="0" w:right="0"/>
              <w:rPr>
                <w:b/>
                <w:sz w:val="20"/>
                <w:szCs w:val="20"/>
              </w:rPr>
            </w:pPr>
            <w:r w:rsidRPr="008457EA">
              <w:rPr>
                <w:b/>
                <w:sz w:val="20"/>
                <w:szCs w:val="20"/>
              </w:rPr>
              <w:t xml:space="preserve">Study </w:t>
            </w:r>
            <w:r w:rsidR="00AE05A4" w:rsidRPr="008457EA">
              <w:rPr>
                <w:b/>
                <w:sz w:val="20"/>
                <w:szCs w:val="20"/>
              </w:rPr>
              <w:t>3947</w:t>
            </w:r>
          </w:p>
        </w:tc>
        <w:tc>
          <w:tcPr>
            <w:tcW w:w="1481" w:type="pct"/>
          </w:tcPr>
          <w:p w14:paraId="6654B342" w14:textId="0A033AB8" w:rsidR="00AE05A4" w:rsidRPr="00AE05A4" w:rsidRDefault="00AE05A4" w:rsidP="008457EA">
            <w:pPr>
              <w:ind w:left="0" w:right="0"/>
              <w:rPr>
                <w:sz w:val="20"/>
                <w:szCs w:val="20"/>
              </w:rPr>
            </w:pPr>
            <w:r w:rsidRPr="00AE05A4">
              <w:rPr>
                <w:sz w:val="20"/>
                <w:szCs w:val="20"/>
              </w:rPr>
              <w:t xml:space="preserve">Safety, tolerability, PK/PD randomised multiple </w:t>
            </w:r>
            <w:proofErr w:type="gramStart"/>
            <w:r w:rsidRPr="00AE05A4">
              <w:rPr>
                <w:sz w:val="20"/>
                <w:szCs w:val="20"/>
              </w:rPr>
              <w:t>dose</w:t>
            </w:r>
            <w:proofErr w:type="gramEnd"/>
            <w:r w:rsidRPr="00AE05A4">
              <w:rPr>
                <w:sz w:val="20"/>
                <w:szCs w:val="20"/>
              </w:rPr>
              <w:t>, dose escalation, active control</w:t>
            </w:r>
          </w:p>
        </w:tc>
        <w:tc>
          <w:tcPr>
            <w:tcW w:w="924" w:type="pct"/>
          </w:tcPr>
          <w:p w14:paraId="5A6DD84C" w14:textId="77777777" w:rsidR="00AE05A4" w:rsidRPr="00AE05A4" w:rsidRDefault="00AE05A4" w:rsidP="008457EA">
            <w:pPr>
              <w:ind w:left="0" w:right="0"/>
              <w:rPr>
                <w:sz w:val="20"/>
                <w:szCs w:val="20"/>
              </w:rPr>
            </w:pPr>
            <w:r w:rsidRPr="00AE05A4">
              <w:rPr>
                <w:sz w:val="20"/>
                <w:szCs w:val="20"/>
              </w:rPr>
              <w:t>34 AGHD patients</w:t>
            </w:r>
          </w:p>
        </w:tc>
        <w:tc>
          <w:tcPr>
            <w:tcW w:w="1616" w:type="pct"/>
          </w:tcPr>
          <w:p w14:paraId="430FB5F9" w14:textId="5BAD7D64"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s</w:t>
            </w:r>
            <w:r>
              <w:rPr>
                <w:sz w:val="20"/>
                <w:szCs w:val="20"/>
              </w:rPr>
              <w:t xml:space="preserve">ubcutaneously </w:t>
            </w:r>
            <w:r w:rsidRPr="00AE05A4">
              <w:rPr>
                <w:sz w:val="20"/>
                <w:szCs w:val="20"/>
              </w:rPr>
              <w:t>once weekly for 4 weeks 0.02, 0.04, 0.08 and 0.2</w:t>
            </w:r>
            <w:r>
              <w:rPr>
                <w:sz w:val="20"/>
                <w:szCs w:val="20"/>
              </w:rPr>
              <w:t> </w:t>
            </w:r>
            <w:r w:rsidRPr="00AE05A4">
              <w:rPr>
                <w:sz w:val="20"/>
                <w:szCs w:val="20"/>
              </w:rPr>
              <w:t>mg/kg in 12 patients</w:t>
            </w:r>
          </w:p>
          <w:p w14:paraId="4CC4ED8B" w14:textId="77777777"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daily</w:t>
            </w:r>
          </w:p>
        </w:tc>
      </w:tr>
      <w:tr w:rsidR="00AE05A4" w:rsidRPr="00AE05A4" w14:paraId="62657544" w14:textId="77777777" w:rsidTr="008457EA">
        <w:trPr>
          <w:cantSplit/>
        </w:trPr>
        <w:tc>
          <w:tcPr>
            <w:tcW w:w="0" w:type="pct"/>
          </w:tcPr>
          <w:p w14:paraId="741CD043" w14:textId="1083E81E" w:rsidR="00AE05A4" w:rsidRPr="008457EA" w:rsidRDefault="007E1937" w:rsidP="008457EA">
            <w:pPr>
              <w:ind w:left="0" w:right="0"/>
              <w:rPr>
                <w:b/>
                <w:sz w:val="20"/>
                <w:szCs w:val="20"/>
              </w:rPr>
            </w:pPr>
            <w:r w:rsidRPr="008457EA">
              <w:rPr>
                <w:b/>
                <w:sz w:val="20"/>
                <w:szCs w:val="20"/>
              </w:rPr>
              <w:lastRenderedPageBreak/>
              <w:t xml:space="preserve">Study </w:t>
            </w:r>
            <w:r w:rsidR="00AE05A4" w:rsidRPr="008457EA">
              <w:rPr>
                <w:b/>
                <w:sz w:val="20"/>
                <w:szCs w:val="20"/>
              </w:rPr>
              <w:t>4054a</w:t>
            </w:r>
          </w:p>
        </w:tc>
        <w:tc>
          <w:tcPr>
            <w:tcW w:w="0" w:type="pct"/>
          </w:tcPr>
          <w:p w14:paraId="106E9A2C" w14:textId="38F05BEB" w:rsidR="00AE05A4" w:rsidRPr="00AE05A4" w:rsidRDefault="00AE05A4" w:rsidP="008457EA">
            <w:pPr>
              <w:ind w:left="0" w:right="0"/>
              <w:rPr>
                <w:sz w:val="20"/>
                <w:szCs w:val="20"/>
              </w:rPr>
            </w:pPr>
            <w:r>
              <w:rPr>
                <w:sz w:val="20"/>
                <w:szCs w:val="20"/>
              </w:rPr>
              <w:t xml:space="preserve">Phase III, </w:t>
            </w:r>
            <w:proofErr w:type="gramStart"/>
            <w:r>
              <w:rPr>
                <w:sz w:val="20"/>
                <w:szCs w:val="20"/>
              </w:rPr>
              <w:t>e</w:t>
            </w:r>
            <w:r w:rsidRPr="00AE05A4">
              <w:rPr>
                <w:sz w:val="20"/>
                <w:szCs w:val="20"/>
              </w:rPr>
              <w:t>fficacy</w:t>
            </w:r>
            <w:proofErr w:type="gramEnd"/>
            <w:r w:rsidRPr="00AE05A4">
              <w:rPr>
                <w:sz w:val="20"/>
                <w:szCs w:val="20"/>
              </w:rPr>
              <w:t xml:space="preserve"> and safety</w:t>
            </w:r>
          </w:p>
          <w:p w14:paraId="7E1D38F6" w14:textId="6AADE3DC" w:rsidR="00AE05A4" w:rsidRPr="00AE05A4" w:rsidRDefault="00AE05A4" w:rsidP="008457EA">
            <w:pPr>
              <w:ind w:left="0" w:right="0"/>
              <w:rPr>
                <w:sz w:val="20"/>
                <w:szCs w:val="20"/>
              </w:rPr>
            </w:pPr>
            <w:r w:rsidRPr="00AE05A4">
              <w:rPr>
                <w:sz w:val="20"/>
                <w:szCs w:val="20"/>
              </w:rPr>
              <w:t>Randomi</w:t>
            </w:r>
            <w:r>
              <w:rPr>
                <w:sz w:val="20"/>
                <w:szCs w:val="20"/>
              </w:rPr>
              <w:t>s</w:t>
            </w:r>
            <w:r w:rsidRPr="00AE05A4">
              <w:rPr>
                <w:sz w:val="20"/>
                <w:szCs w:val="20"/>
              </w:rPr>
              <w:t>ed, parallel group, placebo and active controlled (somatropin)</w:t>
            </w:r>
          </w:p>
          <w:p w14:paraId="421F314C" w14:textId="77777777" w:rsidR="00AE05A4" w:rsidRPr="00AE05A4" w:rsidRDefault="00AE05A4" w:rsidP="008457EA">
            <w:pPr>
              <w:ind w:left="0" w:right="0"/>
              <w:rPr>
                <w:sz w:val="20"/>
                <w:szCs w:val="20"/>
              </w:rPr>
            </w:pPr>
            <w:r w:rsidRPr="00AE05A4">
              <w:rPr>
                <w:sz w:val="20"/>
                <w:szCs w:val="20"/>
              </w:rPr>
              <w:t xml:space="preserve">34 weeks with </w:t>
            </w:r>
            <w:proofErr w:type="gramStart"/>
            <w:r w:rsidRPr="00AE05A4">
              <w:rPr>
                <w:sz w:val="20"/>
                <w:szCs w:val="20"/>
              </w:rPr>
              <w:t>52 week</w:t>
            </w:r>
            <w:proofErr w:type="gramEnd"/>
            <w:r w:rsidRPr="00AE05A4">
              <w:rPr>
                <w:sz w:val="20"/>
                <w:szCs w:val="20"/>
              </w:rPr>
              <w:t xml:space="preserve"> open label extension</w:t>
            </w:r>
          </w:p>
        </w:tc>
        <w:tc>
          <w:tcPr>
            <w:tcW w:w="0" w:type="pct"/>
          </w:tcPr>
          <w:p w14:paraId="41B31B3C" w14:textId="77777777" w:rsidR="00AE05A4" w:rsidRPr="00AE05A4" w:rsidRDefault="00AE05A4" w:rsidP="008457EA">
            <w:pPr>
              <w:ind w:left="0" w:right="0"/>
              <w:rPr>
                <w:sz w:val="20"/>
                <w:szCs w:val="20"/>
              </w:rPr>
            </w:pPr>
            <w:r w:rsidRPr="00AE05A4">
              <w:rPr>
                <w:sz w:val="20"/>
                <w:szCs w:val="20"/>
              </w:rPr>
              <w:t xml:space="preserve">300 </w:t>
            </w:r>
            <w:proofErr w:type="gramStart"/>
            <w:r w:rsidRPr="00AE05A4">
              <w:rPr>
                <w:sz w:val="20"/>
                <w:szCs w:val="20"/>
              </w:rPr>
              <w:t>treatment</w:t>
            </w:r>
            <w:proofErr w:type="gramEnd"/>
            <w:r w:rsidRPr="00AE05A4">
              <w:rPr>
                <w:sz w:val="20"/>
                <w:szCs w:val="20"/>
              </w:rPr>
              <w:t xml:space="preserve"> naïve AGHD patients</w:t>
            </w:r>
          </w:p>
        </w:tc>
        <w:tc>
          <w:tcPr>
            <w:tcW w:w="0" w:type="pct"/>
          </w:tcPr>
          <w:p w14:paraId="0F28927C" w14:textId="78030D40"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dose depends on age and IGF</w:t>
            </w:r>
            <w:r w:rsidR="00AD5BD7">
              <w:rPr>
                <w:sz w:val="20"/>
                <w:szCs w:val="20"/>
              </w:rPr>
              <w:noBreakHyphen/>
            </w:r>
            <w:r w:rsidR="007E1937">
              <w:rPr>
                <w:sz w:val="20"/>
                <w:szCs w:val="20"/>
              </w:rPr>
              <w:t>1</w:t>
            </w:r>
          </w:p>
          <w:p w14:paraId="22884FAD" w14:textId="28204A03" w:rsidR="00AE05A4" w:rsidRPr="00AE05A4" w:rsidRDefault="00AE05A4" w:rsidP="008457EA">
            <w:pPr>
              <w:ind w:left="0" w:right="0"/>
              <w:rPr>
                <w:sz w:val="20"/>
                <w:szCs w:val="20"/>
              </w:rPr>
            </w:pPr>
            <w:r w:rsidRPr="00AE05A4">
              <w:rPr>
                <w:sz w:val="20"/>
                <w:szCs w:val="20"/>
              </w:rPr>
              <w:t>Somatropin dose depends on age and IGF</w:t>
            </w:r>
            <w:r w:rsidR="00AD5BD7">
              <w:rPr>
                <w:sz w:val="20"/>
                <w:szCs w:val="20"/>
              </w:rPr>
              <w:noBreakHyphen/>
            </w:r>
            <w:r w:rsidR="007E1937">
              <w:rPr>
                <w:sz w:val="20"/>
                <w:szCs w:val="20"/>
              </w:rPr>
              <w:t>1</w:t>
            </w:r>
          </w:p>
        </w:tc>
      </w:tr>
      <w:tr w:rsidR="00AE05A4" w:rsidRPr="00AE05A4" w14:paraId="78339E61" w14:textId="77777777" w:rsidTr="00AE05A4">
        <w:tc>
          <w:tcPr>
            <w:tcW w:w="979" w:type="pct"/>
          </w:tcPr>
          <w:p w14:paraId="69508E3D" w14:textId="66540FE4" w:rsidR="00AE05A4" w:rsidRPr="008457EA" w:rsidRDefault="007E1937" w:rsidP="008457EA">
            <w:pPr>
              <w:ind w:left="0" w:right="0"/>
              <w:rPr>
                <w:b/>
                <w:sz w:val="20"/>
                <w:szCs w:val="20"/>
              </w:rPr>
            </w:pPr>
            <w:r w:rsidRPr="008457EA">
              <w:rPr>
                <w:b/>
                <w:sz w:val="20"/>
                <w:szCs w:val="20"/>
              </w:rPr>
              <w:t xml:space="preserve">Study </w:t>
            </w:r>
            <w:r w:rsidR="00AE05A4" w:rsidRPr="008457EA">
              <w:rPr>
                <w:b/>
                <w:sz w:val="20"/>
                <w:szCs w:val="20"/>
              </w:rPr>
              <w:t>4043a</w:t>
            </w:r>
          </w:p>
        </w:tc>
        <w:tc>
          <w:tcPr>
            <w:tcW w:w="1481" w:type="pct"/>
          </w:tcPr>
          <w:p w14:paraId="526DA083" w14:textId="1F999BF5" w:rsidR="00AE05A4" w:rsidRPr="00AE05A4" w:rsidRDefault="00AE05A4" w:rsidP="008457EA">
            <w:pPr>
              <w:ind w:left="0" w:right="0"/>
              <w:rPr>
                <w:sz w:val="20"/>
                <w:szCs w:val="20"/>
              </w:rPr>
            </w:pPr>
            <w:r>
              <w:rPr>
                <w:sz w:val="20"/>
                <w:szCs w:val="20"/>
              </w:rPr>
              <w:t>Phase III, s</w:t>
            </w:r>
            <w:r w:rsidRPr="00AE05A4">
              <w:rPr>
                <w:sz w:val="20"/>
                <w:szCs w:val="20"/>
              </w:rPr>
              <w:t>afety:</w:t>
            </w:r>
          </w:p>
          <w:p w14:paraId="52B3A013" w14:textId="77777777" w:rsidR="00AE05A4" w:rsidRPr="00AE05A4" w:rsidRDefault="00AE05A4" w:rsidP="008457EA">
            <w:pPr>
              <w:ind w:left="0" w:right="0"/>
              <w:rPr>
                <w:sz w:val="20"/>
                <w:szCs w:val="20"/>
              </w:rPr>
            </w:pPr>
            <w:r w:rsidRPr="00AE05A4">
              <w:rPr>
                <w:sz w:val="20"/>
                <w:szCs w:val="20"/>
              </w:rPr>
              <w:t>Randomised, open label, parallel group</w:t>
            </w:r>
          </w:p>
          <w:p w14:paraId="5010D49D" w14:textId="74DF9F70" w:rsidR="00AE05A4" w:rsidRPr="00AE05A4" w:rsidRDefault="00AE05A4" w:rsidP="008457EA">
            <w:pPr>
              <w:ind w:left="0" w:right="0"/>
              <w:rPr>
                <w:sz w:val="20"/>
                <w:szCs w:val="20"/>
              </w:rPr>
            </w:pPr>
            <w:r w:rsidRPr="00AE05A4">
              <w:rPr>
                <w:sz w:val="20"/>
                <w:szCs w:val="20"/>
              </w:rPr>
              <w:t>26 weeks</w:t>
            </w:r>
            <w:r w:rsidR="00AD5BD7">
              <w:rPr>
                <w:sz w:val="20"/>
                <w:szCs w:val="20"/>
              </w:rPr>
              <w:t xml:space="preserve"> duration</w:t>
            </w:r>
          </w:p>
        </w:tc>
        <w:tc>
          <w:tcPr>
            <w:tcW w:w="924" w:type="pct"/>
          </w:tcPr>
          <w:p w14:paraId="30B97177" w14:textId="77777777" w:rsidR="00AE05A4" w:rsidRPr="00AE05A4" w:rsidRDefault="00AE05A4" w:rsidP="008457EA">
            <w:pPr>
              <w:ind w:left="0" w:right="0"/>
              <w:rPr>
                <w:sz w:val="20"/>
                <w:szCs w:val="20"/>
              </w:rPr>
            </w:pPr>
            <w:r w:rsidRPr="00AE05A4">
              <w:rPr>
                <w:sz w:val="20"/>
                <w:szCs w:val="20"/>
              </w:rPr>
              <w:t>92 previously treated GH patients</w:t>
            </w:r>
          </w:p>
        </w:tc>
        <w:tc>
          <w:tcPr>
            <w:tcW w:w="1616" w:type="pct"/>
          </w:tcPr>
          <w:p w14:paraId="1D418A93" w14:textId="79C40F02"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dose depends on age and IGF</w:t>
            </w:r>
            <w:r w:rsidR="00AD5BD7">
              <w:rPr>
                <w:sz w:val="20"/>
                <w:szCs w:val="20"/>
              </w:rPr>
              <w:noBreakHyphen/>
            </w:r>
            <w:r w:rsidR="007E1937">
              <w:rPr>
                <w:sz w:val="20"/>
                <w:szCs w:val="20"/>
              </w:rPr>
              <w:t>1</w:t>
            </w:r>
          </w:p>
          <w:p w14:paraId="5542A152" w14:textId="7180A939" w:rsidR="00AE05A4" w:rsidRPr="00AE05A4" w:rsidRDefault="00AE05A4" w:rsidP="008457EA">
            <w:pPr>
              <w:ind w:left="0" w:right="0"/>
              <w:rPr>
                <w:sz w:val="20"/>
                <w:szCs w:val="20"/>
              </w:rPr>
            </w:pPr>
            <w:r w:rsidRPr="00AE05A4">
              <w:rPr>
                <w:sz w:val="20"/>
                <w:szCs w:val="20"/>
              </w:rPr>
              <w:t>Somatropin dose depends on age and IGF</w:t>
            </w:r>
            <w:r w:rsidR="00AD5BD7">
              <w:rPr>
                <w:sz w:val="20"/>
                <w:szCs w:val="20"/>
              </w:rPr>
              <w:noBreakHyphen/>
            </w:r>
            <w:r w:rsidR="007E1937">
              <w:rPr>
                <w:sz w:val="20"/>
                <w:szCs w:val="20"/>
              </w:rPr>
              <w:t>1</w:t>
            </w:r>
          </w:p>
        </w:tc>
      </w:tr>
      <w:tr w:rsidR="00AE05A4" w:rsidRPr="00AE05A4" w14:paraId="0FD678C2" w14:textId="77777777" w:rsidTr="00AE05A4">
        <w:tc>
          <w:tcPr>
            <w:tcW w:w="979" w:type="pct"/>
          </w:tcPr>
          <w:p w14:paraId="6F4FD60A" w14:textId="55B33BB0" w:rsidR="00AE05A4" w:rsidRPr="008457EA" w:rsidRDefault="007E1937" w:rsidP="008457EA">
            <w:pPr>
              <w:ind w:left="0" w:right="0"/>
              <w:rPr>
                <w:b/>
                <w:sz w:val="20"/>
                <w:szCs w:val="20"/>
              </w:rPr>
            </w:pPr>
            <w:r w:rsidRPr="008457EA">
              <w:rPr>
                <w:b/>
                <w:sz w:val="20"/>
                <w:szCs w:val="20"/>
              </w:rPr>
              <w:t xml:space="preserve">Study </w:t>
            </w:r>
            <w:r w:rsidR="00AE05A4" w:rsidRPr="008457EA">
              <w:rPr>
                <w:b/>
                <w:sz w:val="20"/>
                <w:szCs w:val="20"/>
              </w:rPr>
              <w:t>4244a</w:t>
            </w:r>
          </w:p>
        </w:tc>
        <w:tc>
          <w:tcPr>
            <w:tcW w:w="1481" w:type="pct"/>
          </w:tcPr>
          <w:p w14:paraId="64D31F90" w14:textId="2E2C3B4B" w:rsidR="00AE05A4" w:rsidRPr="00AE05A4" w:rsidRDefault="00AE05A4" w:rsidP="008457EA">
            <w:pPr>
              <w:ind w:left="0" w:right="0"/>
              <w:rPr>
                <w:sz w:val="20"/>
                <w:szCs w:val="20"/>
              </w:rPr>
            </w:pPr>
            <w:r>
              <w:rPr>
                <w:sz w:val="20"/>
                <w:szCs w:val="20"/>
              </w:rPr>
              <w:t xml:space="preserve">Phase III, </w:t>
            </w:r>
            <w:proofErr w:type="gramStart"/>
            <w:r>
              <w:rPr>
                <w:sz w:val="20"/>
                <w:szCs w:val="20"/>
              </w:rPr>
              <w:t>s</w:t>
            </w:r>
            <w:r w:rsidRPr="00AE05A4">
              <w:rPr>
                <w:sz w:val="20"/>
                <w:szCs w:val="20"/>
              </w:rPr>
              <w:t>afety</w:t>
            </w:r>
            <w:proofErr w:type="gramEnd"/>
            <w:r w:rsidRPr="00AE05A4">
              <w:rPr>
                <w:sz w:val="20"/>
                <w:szCs w:val="20"/>
              </w:rPr>
              <w:t xml:space="preserve"> and efficacy</w:t>
            </w:r>
          </w:p>
        </w:tc>
        <w:tc>
          <w:tcPr>
            <w:tcW w:w="924" w:type="pct"/>
          </w:tcPr>
          <w:p w14:paraId="126EC0BD" w14:textId="036FD398" w:rsidR="00AE05A4" w:rsidRPr="00AE05A4" w:rsidRDefault="00AE05A4" w:rsidP="008457EA">
            <w:pPr>
              <w:ind w:left="0" w:right="0"/>
              <w:rPr>
                <w:sz w:val="20"/>
                <w:szCs w:val="20"/>
              </w:rPr>
            </w:pPr>
            <w:r w:rsidRPr="00AE05A4">
              <w:rPr>
                <w:sz w:val="20"/>
                <w:szCs w:val="20"/>
              </w:rPr>
              <w:t xml:space="preserve">62 previously treated </w:t>
            </w:r>
            <w:r w:rsidR="00AD5BD7">
              <w:rPr>
                <w:sz w:val="20"/>
                <w:szCs w:val="20"/>
              </w:rPr>
              <w:t>growth hormone</w:t>
            </w:r>
            <w:r w:rsidRPr="00AE05A4">
              <w:rPr>
                <w:sz w:val="20"/>
                <w:szCs w:val="20"/>
              </w:rPr>
              <w:t xml:space="preserve"> patients from Japan</w:t>
            </w:r>
          </w:p>
        </w:tc>
        <w:tc>
          <w:tcPr>
            <w:tcW w:w="1616" w:type="pct"/>
          </w:tcPr>
          <w:p w14:paraId="7CC11FE2" w14:textId="6FE8E651" w:rsidR="00AE05A4" w:rsidRPr="00AE05A4" w:rsidRDefault="00AE05A4" w:rsidP="008457EA">
            <w:pPr>
              <w:ind w:left="0" w:right="0"/>
              <w:rPr>
                <w:sz w:val="20"/>
                <w:szCs w:val="20"/>
              </w:rPr>
            </w:pPr>
            <w:proofErr w:type="spellStart"/>
            <w:r w:rsidRPr="00AE05A4">
              <w:rPr>
                <w:sz w:val="20"/>
                <w:szCs w:val="20"/>
              </w:rPr>
              <w:t>Somapacitan</w:t>
            </w:r>
            <w:proofErr w:type="spellEnd"/>
            <w:r w:rsidRPr="00AE05A4">
              <w:rPr>
                <w:sz w:val="20"/>
                <w:szCs w:val="20"/>
              </w:rPr>
              <w:t xml:space="preserve"> dose depends on age and IGF</w:t>
            </w:r>
            <w:r w:rsidR="00AD5BD7">
              <w:rPr>
                <w:sz w:val="20"/>
                <w:szCs w:val="20"/>
              </w:rPr>
              <w:noBreakHyphen/>
            </w:r>
            <w:r w:rsidR="007E1937">
              <w:rPr>
                <w:sz w:val="20"/>
                <w:szCs w:val="20"/>
              </w:rPr>
              <w:t>1</w:t>
            </w:r>
          </w:p>
          <w:p w14:paraId="3DE4DBF1" w14:textId="54D89FF2" w:rsidR="00AE05A4" w:rsidRPr="00AE05A4" w:rsidRDefault="00AE05A4" w:rsidP="008457EA">
            <w:pPr>
              <w:ind w:left="0" w:right="0"/>
              <w:rPr>
                <w:sz w:val="20"/>
                <w:szCs w:val="20"/>
              </w:rPr>
            </w:pPr>
            <w:r w:rsidRPr="00AE05A4">
              <w:rPr>
                <w:sz w:val="20"/>
                <w:szCs w:val="20"/>
              </w:rPr>
              <w:t>Somatropin dose depends on age and IGF</w:t>
            </w:r>
            <w:r w:rsidR="00AD5BD7">
              <w:rPr>
                <w:sz w:val="20"/>
                <w:szCs w:val="20"/>
              </w:rPr>
              <w:noBreakHyphen/>
            </w:r>
            <w:r w:rsidR="007E1937">
              <w:rPr>
                <w:sz w:val="20"/>
                <w:szCs w:val="20"/>
              </w:rPr>
              <w:t>1</w:t>
            </w:r>
          </w:p>
        </w:tc>
      </w:tr>
    </w:tbl>
    <w:p w14:paraId="526F1528" w14:textId="185ADF56" w:rsidR="00AE05A4" w:rsidRDefault="007E1937" w:rsidP="00AE05A4">
      <w:pPr>
        <w:pStyle w:val="TableDescription"/>
      </w:pPr>
      <w:r>
        <w:t xml:space="preserve">Abbreviations: </w:t>
      </w:r>
      <w:r w:rsidR="00AD5BD7">
        <w:t xml:space="preserve">AGHD = </w:t>
      </w:r>
      <w:r w:rsidR="00AD5BD7" w:rsidRPr="00AD5BD7">
        <w:t>adult growth hormone deficiency</w:t>
      </w:r>
      <w:r w:rsidR="00AD5BD7">
        <w:t xml:space="preserve">; </w:t>
      </w:r>
      <w:r>
        <w:t xml:space="preserve">GH = growth hormone; </w:t>
      </w:r>
      <w:r w:rsidR="00AD5BD7">
        <w:t>IGF-</w:t>
      </w:r>
      <w:r>
        <w:t>1</w:t>
      </w:r>
      <w:r w:rsidR="00AD5BD7">
        <w:t xml:space="preserve"> = insulin-like growth factor-1 </w:t>
      </w:r>
      <w:r w:rsidR="00AE05A4">
        <w:t>PK</w:t>
      </w:r>
      <w:r>
        <w:t> </w:t>
      </w:r>
      <w:r w:rsidR="00AE05A4">
        <w:t>=</w:t>
      </w:r>
      <w:r>
        <w:t> </w:t>
      </w:r>
      <w:r w:rsidR="00AE05A4">
        <w:t>pharmacokinetics; PD = pharmacodynamics</w:t>
      </w:r>
      <w:r>
        <w:t>.</w:t>
      </w:r>
    </w:p>
    <w:p w14:paraId="4A2D8641" w14:textId="62C28827" w:rsidR="00AE05A4" w:rsidRDefault="00AE05A4" w:rsidP="00AE05A4">
      <w:pPr>
        <w:pStyle w:val="Heading4"/>
      </w:pPr>
      <w:r>
        <w:t>Pharmacology</w:t>
      </w:r>
    </w:p>
    <w:p w14:paraId="4F844347" w14:textId="560E1B13" w:rsidR="00AE05A4" w:rsidRDefault="00AE05A4" w:rsidP="00AE05A4">
      <w:pPr>
        <w:pStyle w:val="Heading5"/>
      </w:pPr>
      <w:r>
        <w:t>Pharmacokinetics</w:t>
      </w:r>
    </w:p>
    <w:p w14:paraId="2015E891" w14:textId="597FB950" w:rsidR="00AE05A4" w:rsidRDefault="00AE05A4" w:rsidP="00AE05A4">
      <w:r>
        <w:t xml:space="preserve">After </w:t>
      </w:r>
      <w:r w:rsidR="00AD5BD7">
        <w:t>subcutaneous</w:t>
      </w:r>
      <w:r>
        <w:t xml:space="preserve"> administration, </w:t>
      </w:r>
      <w:r w:rsidR="007E1937">
        <w:t>time of maximum concentration (</w:t>
      </w:r>
      <w:proofErr w:type="spellStart"/>
      <w:r>
        <w:t>T</w:t>
      </w:r>
      <w:r w:rsidRPr="00AE05A4">
        <w:rPr>
          <w:vertAlign w:val="subscript"/>
        </w:rPr>
        <w:t>max</w:t>
      </w:r>
      <w:proofErr w:type="spellEnd"/>
      <w:r w:rsidR="007E1937">
        <w:t>) w</w:t>
      </w:r>
      <w:r>
        <w:t>as obtained after 8 to 20 hours.</w:t>
      </w:r>
    </w:p>
    <w:p w14:paraId="2E291813" w14:textId="3978BAB0" w:rsidR="00AE05A4" w:rsidRDefault="00AE05A4" w:rsidP="00AE05A4">
      <w:r>
        <w:t xml:space="preserve">A more than dose proportional increase in AUC and </w:t>
      </w:r>
      <w:r w:rsidR="00AD5BD7">
        <w:t>maximum concentration (</w:t>
      </w:r>
      <w:proofErr w:type="spellStart"/>
      <w:r>
        <w:t>C</w:t>
      </w:r>
      <w:r w:rsidRPr="00AD5BD7">
        <w:rPr>
          <w:vertAlign w:val="subscript"/>
        </w:rPr>
        <w:t>max</w:t>
      </w:r>
      <w:proofErr w:type="spellEnd"/>
      <w:r w:rsidR="00AD5BD7">
        <w:t>)</w:t>
      </w:r>
      <w:r>
        <w:t xml:space="preserve"> was observed over the dose range of 0.01 </w:t>
      </w:r>
      <w:r w:rsidR="00AD5BD7">
        <w:t>to</w:t>
      </w:r>
      <w:r>
        <w:t xml:space="preserve"> 0.32 mg/kg (about 0.7 </w:t>
      </w:r>
      <w:r w:rsidR="00AD5BD7">
        <w:t>to</w:t>
      </w:r>
      <w:r>
        <w:t xml:space="preserve"> 25</w:t>
      </w:r>
      <w:r w:rsidR="00552E47">
        <w:t> </w:t>
      </w:r>
      <w:r>
        <w:t>mg/week). This may suggest saturable elimination mechanisms. At doses in the more clinically relevant range, that is below 0.08</w:t>
      </w:r>
      <w:r w:rsidR="00AD5BD7">
        <w:t> </w:t>
      </w:r>
      <w:r>
        <w:t xml:space="preserve">mg/kg (about 6 </w:t>
      </w:r>
      <w:r w:rsidR="00AD5BD7">
        <w:t>to</w:t>
      </w:r>
      <w:r>
        <w:t xml:space="preserve"> 7 mg/week) linear pharmacokinetics are observed for AUC. After the first dose, the </w:t>
      </w:r>
      <w:proofErr w:type="spellStart"/>
      <w:r>
        <w:t>somapacitan</w:t>
      </w:r>
      <w:proofErr w:type="spellEnd"/>
      <w:r>
        <w:t xml:space="preserve"> dose is titrated based upon the clinical response, so possible non-linear pharmacokinetics are less relevant. No unexpected accumulation is observed after applying the recommended dose scheme. Steady state was estimated to be reached after 1 </w:t>
      </w:r>
      <w:r w:rsidR="00AD5BD7">
        <w:t>to</w:t>
      </w:r>
      <w:r>
        <w:t xml:space="preserve"> 2 doses, with a low accumulation ratio (&lt;</w:t>
      </w:r>
      <w:r w:rsidR="00AD5BD7">
        <w:t> </w:t>
      </w:r>
      <w:r>
        <w:t>2). A high inter</w:t>
      </w:r>
      <w:r w:rsidR="007E1937">
        <w:t>-</w:t>
      </w:r>
      <w:r>
        <w:t xml:space="preserve">subject variability is observed in </w:t>
      </w:r>
      <w:r w:rsidR="00A52172" w:rsidRPr="00A52172">
        <w:t>adult growth hormone deficiency</w:t>
      </w:r>
      <w:r w:rsidR="00A52172">
        <w:t xml:space="preserve"> (AGHD)</w:t>
      </w:r>
      <w:r>
        <w:t xml:space="preserve"> patients at steady state, ranging from about 62 </w:t>
      </w:r>
      <w:r w:rsidR="00AD5BD7">
        <w:t>to</w:t>
      </w:r>
      <w:r>
        <w:t xml:space="preserve"> 102% for </w:t>
      </w:r>
      <w:r w:rsidR="00AD5BD7">
        <w:t>area under</w:t>
      </w:r>
      <w:r w:rsidR="00A52172">
        <w:t xml:space="preserve"> the</w:t>
      </w:r>
      <w:r w:rsidR="00AD5BD7">
        <w:t xml:space="preserve"> concentration </w:t>
      </w:r>
      <w:r w:rsidR="00A52172">
        <w:t xml:space="preserve">versus </w:t>
      </w:r>
      <w:r w:rsidR="00AD5BD7">
        <w:t>time curve from time zero to 168 hours (</w:t>
      </w:r>
      <w:r>
        <w:t>AUC</w:t>
      </w:r>
      <w:r w:rsidRPr="00AD5BD7">
        <w:rPr>
          <w:vertAlign w:val="subscript"/>
        </w:rPr>
        <w:t>0-168h</w:t>
      </w:r>
      <w:r w:rsidR="00AD5BD7" w:rsidRPr="00AD5BD7">
        <w:t>)</w:t>
      </w:r>
      <w:r>
        <w:t xml:space="preserve"> and from 113 </w:t>
      </w:r>
      <w:r w:rsidR="00AD5BD7">
        <w:t>to</w:t>
      </w:r>
      <w:r>
        <w:t xml:space="preserve"> 201% in </w:t>
      </w:r>
      <w:proofErr w:type="spellStart"/>
      <w:r>
        <w:t>C</w:t>
      </w:r>
      <w:r w:rsidRPr="00AD5BD7">
        <w:rPr>
          <w:vertAlign w:val="subscript"/>
        </w:rPr>
        <w:t>max</w:t>
      </w:r>
      <w:proofErr w:type="spellEnd"/>
      <w:r>
        <w:t xml:space="preserve">. </w:t>
      </w:r>
      <w:r w:rsidR="00AD5BD7">
        <w:t>Population pharmacokinetics (</w:t>
      </w:r>
      <w:proofErr w:type="spellStart"/>
      <w:r w:rsidR="00AD5BD7">
        <w:t>p</w:t>
      </w:r>
      <w:r>
        <w:t>opPK</w:t>
      </w:r>
      <w:proofErr w:type="spellEnd"/>
      <w:r w:rsidR="00AD5BD7">
        <w:t>)</w:t>
      </w:r>
      <w:r>
        <w:t xml:space="preserve"> simulations confirmed the moderate to high inter</w:t>
      </w:r>
      <w:r w:rsidR="007E1937">
        <w:noBreakHyphen/>
      </w:r>
      <w:r>
        <w:t xml:space="preserve">subject variability (estimated 64%). The covariates body weight, sex and oral estrogen use, </w:t>
      </w:r>
      <w:proofErr w:type="gramStart"/>
      <w:r>
        <w:t>race</w:t>
      </w:r>
      <w:proofErr w:type="gramEnd"/>
      <w:r>
        <w:t xml:space="preserve"> and age, which were included in the </w:t>
      </w:r>
      <w:proofErr w:type="spellStart"/>
      <w:r>
        <w:t>popPK</w:t>
      </w:r>
      <w:proofErr w:type="spellEnd"/>
      <w:r>
        <w:t xml:space="preserve"> modelling, explained 78% of the observed inter-subject variability.</w:t>
      </w:r>
    </w:p>
    <w:p w14:paraId="3F31049F" w14:textId="7B758F7C" w:rsidR="00AE05A4" w:rsidRDefault="00AE05A4" w:rsidP="00AE05A4">
      <w:proofErr w:type="spellStart"/>
      <w:r>
        <w:t>Somapacitan</w:t>
      </w:r>
      <w:proofErr w:type="spellEnd"/>
      <w:r>
        <w:t xml:space="preserve"> is highly bound to albumin (&gt;</w:t>
      </w:r>
      <w:r w:rsidR="00AD5BD7">
        <w:t> </w:t>
      </w:r>
      <w:r>
        <w:t xml:space="preserve">99%) and slowly release from albumin. The </w:t>
      </w:r>
      <w:proofErr w:type="spellStart"/>
      <w:r>
        <w:t>popPK</w:t>
      </w:r>
      <w:proofErr w:type="spellEnd"/>
      <w:r>
        <w:t xml:space="preserve"> model (incorporating rate</w:t>
      </w:r>
      <w:r w:rsidR="00AD5BD7">
        <w:t xml:space="preserve"> </w:t>
      </w:r>
      <w:r>
        <w:t xml:space="preserve">limiting absorption) estimated a volume of distribution of 14.6 </w:t>
      </w:r>
      <w:r w:rsidR="00A52172">
        <w:t>L</w:t>
      </w:r>
      <w:r>
        <w:t xml:space="preserve">, which would be in line with the volume of distribution of albumin (13.6 </w:t>
      </w:r>
      <w:r w:rsidR="00A52172">
        <w:t>L</w:t>
      </w:r>
      <w:r>
        <w:t>).</w:t>
      </w:r>
    </w:p>
    <w:p w14:paraId="568B1C5B" w14:textId="525E3416" w:rsidR="00AE05A4" w:rsidRDefault="00AE05A4" w:rsidP="00AE05A4">
      <w:r>
        <w:t xml:space="preserve">After injection, </w:t>
      </w:r>
      <w:proofErr w:type="spellStart"/>
      <w:r>
        <w:t>somapacitan</w:t>
      </w:r>
      <w:proofErr w:type="spellEnd"/>
      <w:r>
        <w:t xml:space="preserve"> is considered metabolised by proteolytic cleavages of the peptide backbone and sequential degradation of the linker sequence. This resulted in </w:t>
      </w:r>
      <w:r w:rsidR="00AD5BD7">
        <w:t>three</w:t>
      </w:r>
      <w:r>
        <w:t xml:space="preserve"> main plasma metabolites (named P1, M1 and M1B) and two main urine metabolites (named M4 and M5). Intact </w:t>
      </w:r>
      <w:proofErr w:type="spellStart"/>
      <w:r>
        <w:t>somapacitan</w:t>
      </w:r>
      <w:proofErr w:type="spellEnd"/>
      <w:r>
        <w:t xml:space="preserve"> accounted for 59% of the total exposure of </w:t>
      </w:r>
      <w:proofErr w:type="spellStart"/>
      <w:r>
        <w:t>somapacitan</w:t>
      </w:r>
      <w:proofErr w:type="spellEnd"/>
      <w:r w:rsidR="00AD5BD7">
        <w:t xml:space="preserve"> </w:t>
      </w:r>
      <w:r>
        <w:t xml:space="preserve">related material in plasma, and </w:t>
      </w:r>
      <w:r w:rsidR="007E1937">
        <w:t xml:space="preserve">metabolite </w:t>
      </w:r>
      <w:r>
        <w:t xml:space="preserve">P1 accounted for 21% and </w:t>
      </w:r>
      <w:r w:rsidR="007E1937">
        <w:lastRenderedPageBreak/>
        <w:t xml:space="preserve">metabolites </w:t>
      </w:r>
      <w:r>
        <w:t>M1 and M1B accounted for 12%. The remaining plasma metabolites accounted for &lt;</w:t>
      </w:r>
      <w:r w:rsidR="00AD5BD7">
        <w:t xml:space="preserve"> </w:t>
      </w:r>
      <w:r>
        <w:t>10% of the total AUC exposure.</w:t>
      </w:r>
    </w:p>
    <w:p w14:paraId="6D85AC70" w14:textId="7CDEB2B0" w:rsidR="00AE05A4" w:rsidRDefault="00AE05A4" w:rsidP="00AE05A4">
      <w:r>
        <w:t>After administration of [3H]-</w:t>
      </w:r>
      <w:proofErr w:type="spellStart"/>
      <w:r>
        <w:t>somapacitan</w:t>
      </w:r>
      <w:proofErr w:type="spellEnd"/>
      <w:r>
        <w:t xml:space="preserve">, 94% of the administered dose was recovered 28 days after dosing, of which 80.9% was excreted in urine, 12.9% was excreted in faeces, and 0.19% was excreted in expired air. No intact </w:t>
      </w:r>
      <w:proofErr w:type="spellStart"/>
      <w:r>
        <w:t>somapacitan</w:t>
      </w:r>
      <w:proofErr w:type="spellEnd"/>
      <w:r>
        <w:t xml:space="preserve"> was recovered in urine and fa</w:t>
      </w:r>
      <w:r w:rsidR="007E1937">
        <w:t>e</w:t>
      </w:r>
      <w:r>
        <w:t>ces.</w:t>
      </w:r>
    </w:p>
    <w:p w14:paraId="0C98B942" w14:textId="1B800643" w:rsidR="00AE05A4" w:rsidRDefault="00AE05A4" w:rsidP="00AE05A4">
      <w:r>
        <w:t xml:space="preserve">In the </w:t>
      </w:r>
      <w:r w:rsidR="00A52172">
        <w:t>pharmacokinetics</w:t>
      </w:r>
      <w:r>
        <w:t xml:space="preserve"> model, body weight had an impact on exposure with exposure being higher in</w:t>
      </w:r>
      <w:r w:rsidR="00627A84">
        <w:t xml:space="preserve"> </w:t>
      </w:r>
      <w:r>
        <w:t>a subject with a low body weight of 45 kg (3.12-fold) and lower in a heavy subject weighing 115 kg (-39%) as compared to the reference subject weighing 85 kg. However</w:t>
      </w:r>
      <w:r w:rsidR="00A52172">
        <w:t>,</w:t>
      </w:r>
      <w:r>
        <w:t xml:space="preserve"> it appeared that dosing steps in mg resulted in similar IGF-</w:t>
      </w:r>
      <w:r w:rsidR="007E1937">
        <w:t>1</w:t>
      </w:r>
      <w:r>
        <w:t xml:space="preserve"> levels after titration in all body weight groups, indicating that normalisation to body weight is not required to reach IGF-</w:t>
      </w:r>
      <w:r w:rsidR="007E1937">
        <w:t>1</w:t>
      </w:r>
      <w:r>
        <w:t xml:space="preserve"> target level.</w:t>
      </w:r>
    </w:p>
    <w:p w14:paraId="3DD1C968" w14:textId="24ED6D2C" w:rsidR="00AE05A4" w:rsidRDefault="00627A84" w:rsidP="00AE05A4">
      <w:r>
        <w:t>A</w:t>
      </w:r>
      <w:r w:rsidRPr="00627A84">
        <w:t>dult growth hormone deficiency</w:t>
      </w:r>
      <w:r>
        <w:t xml:space="preserve"> </w:t>
      </w:r>
      <w:r w:rsidR="00AE05A4">
        <w:t>patients in the transition age (18</w:t>
      </w:r>
      <w:r>
        <w:t xml:space="preserve"> to </w:t>
      </w:r>
      <w:r w:rsidR="00AE05A4">
        <w:t>22 years) received higher doses but obtained lower IGF-</w:t>
      </w:r>
      <w:r w:rsidR="007E1937">
        <w:t>1</w:t>
      </w:r>
      <w:r w:rsidR="00AE05A4">
        <w:t xml:space="preserve"> levels after titration than older AGHD patients. This could indicate that AGHD patients in the transition age may need higher doses than AGHD patients outside the transition age and is in accordance with the fact that endogenous growth hormone secretion and IGF-</w:t>
      </w:r>
      <w:r w:rsidR="00F83CAE">
        <w:t>1</w:t>
      </w:r>
      <w:r w:rsidR="00AE05A4">
        <w:t xml:space="preserve"> levels are much higher in healthy subjects in this age group as compared to older subjects. Female subject using no estrogens has a 30% lower exposure compared to male subjects, while females </w:t>
      </w:r>
      <w:proofErr w:type="gramStart"/>
      <w:r w:rsidR="00AE05A4">
        <w:t>subjects</w:t>
      </w:r>
      <w:proofErr w:type="gramEnd"/>
      <w:r w:rsidR="00AE05A4">
        <w:t xml:space="preserve"> on estrogens had a 53% lower exposure. The IGF-</w:t>
      </w:r>
      <w:r w:rsidR="00F83CAE">
        <w:t>1</w:t>
      </w:r>
      <w:r w:rsidR="00AE05A4">
        <w:t xml:space="preserve"> response was lower in females compared to males and lowest in females on oral estrogen for similar doses of </w:t>
      </w:r>
      <w:proofErr w:type="spellStart"/>
      <w:r w:rsidR="00AE05A4">
        <w:t>somapacitan</w:t>
      </w:r>
      <w:proofErr w:type="spellEnd"/>
      <w:r w:rsidR="00AE05A4">
        <w:t xml:space="preserve">. Females and especially females on oral estrogen may thus require higher doses of </w:t>
      </w:r>
      <w:proofErr w:type="spellStart"/>
      <w:r w:rsidR="00AE05A4">
        <w:t>somapacitan</w:t>
      </w:r>
      <w:proofErr w:type="spellEnd"/>
      <w:r w:rsidR="00AE05A4">
        <w:t xml:space="preserve"> to reach a similar IGF-</w:t>
      </w:r>
      <w:r w:rsidR="00F83CAE">
        <w:t>1</w:t>
      </w:r>
      <w:r w:rsidR="00AE05A4">
        <w:t xml:space="preserve"> target range as compared to males.</w:t>
      </w:r>
    </w:p>
    <w:p w14:paraId="34286B08" w14:textId="6A9C03B9" w:rsidR="00AE05A4" w:rsidRDefault="00AE05A4" w:rsidP="00AE05A4">
      <w:proofErr w:type="spellStart"/>
      <w:r>
        <w:t>Somapacitan</w:t>
      </w:r>
      <w:proofErr w:type="spellEnd"/>
      <w:r>
        <w:t xml:space="preserve"> levels were higher in patients with renal impairment. This is in line with published data indicating decreased clearance of </w:t>
      </w:r>
      <w:r w:rsidR="00627A84">
        <w:t>growth hormones</w:t>
      </w:r>
      <w:r>
        <w:t xml:space="preserve"> due to renal impairment.</w:t>
      </w:r>
      <w:r w:rsidR="00F83CAE">
        <w:t xml:space="preserve"> </w:t>
      </w:r>
      <w:r>
        <w:t>IGF-</w:t>
      </w:r>
      <w:r w:rsidR="00F83CAE">
        <w:t>1</w:t>
      </w:r>
      <w:r>
        <w:t xml:space="preserve"> levels were also increase. In hepatic impairment, there was higher </w:t>
      </w:r>
      <w:proofErr w:type="spellStart"/>
      <w:r>
        <w:t>somapacitan</w:t>
      </w:r>
      <w:proofErr w:type="spellEnd"/>
      <w:r>
        <w:t xml:space="preserve"> exposure but lower IGF-</w:t>
      </w:r>
      <w:r w:rsidR="00F83CAE">
        <w:t>1</w:t>
      </w:r>
      <w:r>
        <w:t>.</w:t>
      </w:r>
    </w:p>
    <w:p w14:paraId="0D9ED9FE" w14:textId="26EB1261" w:rsidR="00AE05A4" w:rsidRDefault="00AE05A4" w:rsidP="00AE05A4">
      <w:pPr>
        <w:pStyle w:val="Heading5"/>
      </w:pPr>
      <w:r>
        <w:t>Pharmacodynamics</w:t>
      </w:r>
    </w:p>
    <w:p w14:paraId="0644F367" w14:textId="425BD04D" w:rsidR="00362FF1" w:rsidRDefault="00AE05A4" w:rsidP="00AE05A4">
      <w:r>
        <w:t xml:space="preserve">In the clinical studies patient had higher blood concentrations to </w:t>
      </w:r>
      <w:proofErr w:type="spellStart"/>
      <w:r>
        <w:t>somapacitan</w:t>
      </w:r>
      <w:proofErr w:type="spellEnd"/>
      <w:r>
        <w:t xml:space="preserve"> compared to </w:t>
      </w:r>
      <w:proofErr w:type="spellStart"/>
      <w:r>
        <w:t>Norditropin</w:t>
      </w:r>
      <w:proofErr w:type="spellEnd"/>
      <w:r w:rsidR="00F83CAE">
        <w:t>;</w:t>
      </w:r>
      <w:r w:rsidR="00F83CAE">
        <w:rPr>
          <w:rStyle w:val="FootnoteReference"/>
        </w:rPr>
        <w:footnoteReference w:id="6"/>
      </w:r>
      <w:r>
        <w:t xml:space="preserve"> this is because </w:t>
      </w:r>
      <w:proofErr w:type="spellStart"/>
      <w:r>
        <w:t>somapacitan</w:t>
      </w:r>
      <w:proofErr w:type="spellEnd"/>
      <w:r>
        <w:t xml:space="preserve"> has a lower receptor binding affinity and higher doses are required to get the same IGF-</w:t>
      </w:r>
      <w:r w:rsidR="00362FF1">
        <w:t>1</w:t>
      </w:r>
      <w:r>
        <w:t xml:space="preserve"> result</w:t>
      </w:r>
      <w:r w:rsidR="00627A84">
        <w:t xml:space="preserve"> (</w:t>
      </w:r>
      <w:r w:rsidR="00362FF1">
        <w:t xml:space="preserve">see </w:t>
      </w:r>
      <w:r w:rsidR="00627A84">
        <w:fldChar w:fldCharType="begin"/>
      </w:r>
      <w:r w:rsidR="00627A84">
        <w:instrText xml:space="preserve"> REF _Ref110000761 \h </w:instrText>
      </w:r>
      <w:r w:rsidR="00627A84">
        <w:fldChar w:fldCharType="separate"/>
      </w:r>
      <w:r w:rsidR="000377C2" w:rsidRPr="00627A84">
        <w:t xml:space="preserve">Figure </w:t>
      </w:r>
      <w:r w:rsidR="000377C2">
        <w:rPr>
          <w:noProof/>
        </w:rPr>
        <w:t>2</w:t>
      </w:r>
      <w:r w:rsidR="00627A84">
        <w:fldChar w:fldCharType="end"/>
      </w:r>
      <w:r w:rsidR="00627A84">
        <w:t>)</w:t>
      </w:r>
      <w:r>
        <w:t>. As expected from the longer duration of action, there was a higher and smoother profile for IGF-</w:t>
      </w:r>
      <w:r w:rsidR="00362FF1">
        <w:t>1</w:t>
      </w:r>
      <w:r>
        <w:t xml:space="preserve"> with </w:t>
      </w:r>
      <w:proofErr w:type="spellStart"/>
      <w:r>
        <w:t>somapacitan</w:t>
      </w:r>
      <w:proofErr w:type="spellEnd"/>
      <w:r>
        <w:t xml:space="preserve">, compared to the more pulsatile secretion from </w:t>
      </w:r>
      <w:proofErr w:type="spellStart"/>
      <w:r>
        <w:t>Norditropin</w:t>
      </w:r>
      <w:proofErr w:type="spellEnd"/>
      <w:r w:rsidR="00627A84">
        <w:t xml:space="preserve"> (</w:t>
      </w:r>
      <w:r w:rsidR="00362FF1">
        <w:t xml:space="preserve">see </w:t>
      </w:r>
      <w:r w:rsidR="00627A84">
        <w:fldChar w:fldCharType="begin"/>
      </w:r>
      <w:r w:rsidR="00627A84">
        <w:instrText xml:space="preserve"> REF _Ref110000771 \h </w:instrText>
      </w:r>
      <w:r w:rsidR="00627A84">
        <w:fldChar w:fldCharType="separate"/>
      </w:r>
      <w:r w:rsidR="000377C2" w:rsidRPr="00627A84">
        <w:t xml:space="preserve">Figure </w:t>
      </w:r>
      <w:r w:rsidR="000377C2">
        <w:rPr>
          <w:noProof/>
        </w:rPr>
        <w:t>3</w:t>
      </w:r>
      <w:r w:rsidR="00627A84">
        <w:fldChar w:fldCharType="end"/>
      </w:r>
      <w:r w:rsidR="00627A84">
        <w:t>)</w:t>
      </w:r>
      <w:r>
        <w:t>.</w:t>
      </w:r>
    </w:p>
    <w:p w14:paraId="7B540889" w14:textId="428AD7D3" w:rsidR="00627A84" w:rsidRPr="00627A84" w:rsidRDefault="00AE05A4" w:rsidP="00C7245C">
      <w:pPr>
        <w:pStyle w:val="FigureTitle"/>
        <w:pageBreakBefore/>
      </w:pPr>
      <w:bookmarkStart w:id="41" w:name="_Ref110000761"/>
      <w:r w:rsidRPr="00627A84">
        <w:lastRenderedPageBreak/>
        <w:t xml:space="preserve">Figure </w:t>
      </w:r>
      <w:fldSimple w:instr=" SEQ Figure \* ARABIC ">
        <w:r w:rsidR="000377C2">
          <w:rPr>
            <w:noProof/>
          </w:rPr>
          <w:t>2</w:t>
        </w:r>
      </w:fldSimple>
      <w:bookmarkEnd w:id="41"/>
      <w:r>
        <w:t xml:space="preserve">: </w:t>
      </w:r>
      <w:r w:rsidR="00627A84">
        <w:t xml:space="preserve">Geometric means of human growth hormones or </w:t>
      </w:r>
      <w:proofErr w:type="spellStart"/>
      <w:r w:rsidR="00627A84">
        <w:t>somapacitan</w:t>
      </w:r>
      <w:proofErr w:type="spellEnd"/>
      <w:r w:rsidR="00627A84">
        <w:t xml:space="preserve"> and insulin</w:t>
      </w:r>
      <w:r w:rsidR="00362FF1">
        <w:noBreakHyphen/>
      </w:r>
      <w:r w:rsidR="00627A84">
        <w:t xml:space="preserve">like growth </w:t>
      </w:r>
      <w:proofErr w:type="gramStart"/>
      <w:r w:rsidR="00627A84">
        <w:t>factor-1</w:t>
      </w:r>
      <w:proofErr w:type="gramEnd"/>
    </w:p>
    <w:p w14:paraId="7FEDFF42" w14:textId="4A7F2DB8" w:rsidR="00AE05A4" w:rsidRDefault="00AE05A4" w:rsidP="00AE05A4">
      <w:r w:rsidRPr="00CE7191">
        <w:rPr>
          <w:noProof/>
          <w:lang w:val="en-GB" w:eastAsia="en-GB"/>
        </w:rPr>
        <w:drawing>
          <wp:inline distT="0" distB="0" distL="0" distR="0" wp14:anchorId="3F0F5076" wp14:editId="30A0A0E2">
            <wp:extent cx="5480190" cy="1868557"/>
            <wp:effectExtent l="0" t="0" r="6350" b="0"/>
            <wp:docPr id="1" name="Picture 1" descr=" Geometric means of human growth hormones and insulin-like growth fact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Geometric means of human growth hormones and insulin-like growth factor-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123" r="5609" b="19173"/>
                    <a:stretch/>
                  </pic:blipFill>
                  <pic:spPr bwMode="auto">
                    <a:xfrm>
                      <a:off x="0" y="0"/>
                      <a:ext cx="5526427" cy="1884322"/>
                    </a:xfrm>
                    <a:prstGeom prst="rect">
                      <a:avLst/>
                    </a:prstGeom>
                    <a:noFill/>
                    <a:ln>
                      <a:noFill/>
                    </a:ln>
                    <a:extLst>
                      <a:ext uri="{53640926-AAD7-44D8-BBD7-CCE9431645EC}">
                        <a14:shadowObscured xmlns:a14="http://schemas.microsoft.com/office/drawing/2010/main"/>
                      </a:ext>
                    </a:extLst>
                  </pic:spPr>
                </pic:pic>
              </a:graphicData>
            </a:graphic>
          </wp:inline>
        </w:drawing>
      </w:r>
    </w:p>
    <w:p w14:paraId="0C09CBAE" w14:textId="5FE65091" w:rsidR="00362FF1" w:rsidRDefault="00362FF1" w:rsidP="008457EA">
      <w:pPr>
        <w:pStyle w:val="FigureDescription"/>
      </w:pPr>
      <w:r>
        <w:t xml:space="preserve">Abbreviations: </w:t>
      </w:r>
      <w:r w:rsidRPr="00362FF1">
        <w:t>IGF-1</w:t>
      </w:r>
      <w:r>
        <w:t xml:space="preserve"> SDS = insulin-like growth factor 1 </w:t>
      </w:r>
      <w:r w:rsidRPr="00362FF1">
        <w:t>standard deviation score</w:t>
      </w:r>
      <w:r>
        <w:t>.</w:t>
      </w:r>
    </w:p>
    <w:p w14:paraId="6DE3FA82" w14:textId="77777777" w:rsidR="00362FF1" w:rsidRDefault="00627A84" w:rsidP="00627A84">
      <w:pPr>
        <w:pStyle w:val="TableDescription"/>
      </w:pPr>
      <w:r>
        <w:t xml:space="preserve">Notes: line are geometric means of </w:t>
      </w:r>
      <w:proofErr w:type="spellStart"/>
      <w:r>
        <w:t>hGH</w:t>
      </w:r>
      <w:proofErr w:type="spellEnd"/>
      <w:r>
        <w:t xml:space="preserve"> or </w:t>
      </w:r>
      <w:proofErr w:type="spellStart"/>
      <w:r>
        <w:t>somapacitan</w:t>
      </w:r>
      <w:proofErr w:type="spellEnd"/>
      <w:r>
        <w:t xml:space="preserve"> concentration (panel A) and means of IGF-1 SDS (panel B) of individual predictions in the fixed dose periods after titration as observed in Phase III for </w:t>
      </w:r>
      <w:proofErr w:type="spellStart"/>
      <w:r>
        <w:t>somapacitan</w:t>
      </w:r>
      <w:proofErr w:type="spellEnd"/>
      <w:r>
        <w:t xml:space="preserve"> (average dose 2.4 mg weekly) and </w:t>
      </w:r>
      <w:proofErr w:type="spellStart"/>
      <w:r>
        <w:t>Norditropin</w:t>
      </w:r>
      <w:proofErr w:type="spellEnd"/>
      <w:r>
        <w:t xml:space="preserve"> (average dose 0.3 mg daily).</w:t>
      </w:r>
    </w:p>
    <w:p w14:paraId="1EA708E5" w14:textId="1EF36318" w:rsidR="00627A84" w:rsidRDefault="00627A84" w:rsidP="00627A84">
      <w:pPr>
        <w:pStyle w:val="TableDescription"/>
      </w:pPr>
      <w:r>
        <w:t>Dat</w:t>
      </w:r>
      <w:r w:rsidR="00362FF1">
        <w:t>a</w:t>
      </w:r>
      <w:r>
        <w:t xml:space="preserve"> from Stud</w:t>
      </w:r>
      <w:r w:rsidR="00362FF1">
        <w:t>ies</w:t>
      </w:r>
      <w:r>
        <w:t xml:space="preserve"> 4054, 4043 and 4244.</w:t>
      </w:r>
    </w:p>
    <w:p w14:paraId="5C030A29" w14:textId="639D5F92" w:rsidR="00AE05A4" w:rsidRDefault="00AE05A4" w:rsidP="00AE05A4">
      <w:r>
        <w:t>All dose levels produced an increased IGF-</w:t>
      </w:r>
      <w:r w:rsidR="00362FF1">
        <w:t>1</w:t>
      </w:r>
      <w:r>
        <w:t xml:space="preserve"> above </w:t>
      </w:r>
      <w:r w:rsidR="00362FF1">
        <w:t>B</w:t>
      </w:r>
      <w:r>
        <w:t>aseline, with higher IGF-</w:t>
      </w:r>
      <w:r w:rsidR="00362FF1">
        <w:t>1</w:t>
      </w:r>
      <w:r>
        <w:t xml:space="preserve"> levels for increasing dose.</w:t>
      </w:r>
    </w:p>
    <w:p w14:paraId="23110629" w14:textId="66B0002C" w:rsidR="00AE05A4" w:rsidRDefault="00AE05A4" w:rsidP="00627A84">
      <w:pPr>
        <w:pStyle w:val="FigureTitle"/>
      </w:pPr>
      <w:bookmarkStart w:id="42" w:name="_Ref110000771"/>
      <w:r w:rsidRPr="00627A84">
        <w:t xml:space="preserve">Figure </w:t>
      </w:r>
      <w:fldSimple w:instr=" SEQ Figure \* ARABIC ">
        <w:r w:rsidR="000377C2">
          <w:rPr>
            <w:noProof/>
          </w:rPr>
          <w:t>3</w:t>
        </w:r>
      </w:fldSimple>
      <w:bookmarkEnd w:id="42"/>
      <w:r>
        <w:t>:</w:t>
      </w:r>
      <w:r w:rsidR="00362FF1">
        <w:t xml:space="preserve"> IGF-1 SDS</w:t>
      </w:r>
      <w:r w:rsidR="00627A84">
        <w:t xml:space="preserve"> levels after different dose levels of somatropin</w:t>
      </w:r>
    </w:p>
    <w:p w14:paraId="20367822" w14:textId="609D264C" w:rsidR="00AE05A4" w:rsidRDefault="00B0368C" w:rsidP="00AE05A4">
      <w:r w:rsidRPr="00B0368C">
        <w:rPr>
          <w:noProof/>
          <w:lang w:val="en-GB" w:eastAsia="en-GB"/>
        </w:rPr>
        <w:drawing>
          <wp:inline distT="0" distB="0" distL="0" distR="0" wp14:anchorId="4F08AF39" wp14:editId="31096205">
            <wp:extent cx="5184251" cy="2045795"/>
            <wp:effectExtent l="0" t="0" r="0" b="0"/>
            <wp:docPr id="9" name="Picture 9" descr="Insulin-like growth factor 1 standard deviation score levels after different dose levels of somatro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nsulin-like growth factor 1 standard deviation score levels after different dose levels of somatropin"/>
                    <pic:cNvPicPr/>
                  </pic:nvPicPr>
                  <pic:blipFill rotWithShape="1">
                    <a:blip r:embed="rId19"/>
                    <a:srcRect b="5416"/>
                    <a:stretch/>
                  </pic:blipFill>
                  <pic:spPr bwMode="auto">
                    <a:xfrm>
                      <a:off x="0" y="0"/>
                      <a:ext cx="5202009" cy="2052803"/>
                    </a:xfrm>
                    <a:prstGeom prst="rect">
                      <a:avLst/>
                    </a:prstGeom>
                    <a:ln>
                      <a:noFill/>
                    </a:ln>
                    <a:extLst>
                      <a:ext uri="{53640926-AAD7-44D8-BBD7-CCE9431645EC}">
                        <a14:shadowObscured xmlns:a14="http://schemas.microsoft.com/office/drawing/2010/main"/>
                      </a:ext>
                    </a:extLst>
                  </pic:spPr>
                </pic:pic>
              </a:graphicData>
            </a:graphic>
          </wp:inline>
        </w:drawing>
      </w:r>
    </w:p>
    <w:p w14:paraId="39A204DC" w14:textId="3BC75099" w:rsidR="00362FF1" w:rsidRDefault="00362FF1" w:rsidP="008457EA">
      <w:pPr>
        <w:pStyle w:val="FigureDescription"/>
      </w:pPr>
      <w:r>
        <w:t xml:space="preserve">Abbreviations: </w:t>
      </w:r>
      <w:r w:rsidRPr="00362FF1">
        <w:t>IGF-1</w:t>
      </w:r>
      <w:r>
        <w:t xml:space="preserve"> SDS = insulin-like growth factor 1 </w:t>
      </w:r>
      <w:r w:rsidRPr="00362FF1">
        <w:t>standard deviation score</w:t>
      </w:r>
    </w:p>
    <w:p w14:paraId="2358D80D" w14:textId="0903921F" w:rsidR="00AE05A4" w:rsidRDefault="00AE05A4" w:rsidP="00AE05A4">
      <w:r>
        <w:t xml:space="preserve">Somatropin and </w:t>
      </w:r>
      <w:proofErr w:type="spellStart"/>
      <w:r>
        <w:t>somapacitan</w:t>
      </w:r>
      <w:proofErr w:type="spellEnd"/>
      <w:r>
        <w:t xml:space="preserve"> produced very similar levels of IGF-</w:t>
      </w:r>
      <w:r w:rsidR="00362FF1">
        <w:t>1</w:t>
      </w:r>
      <w:r>
        <w:t xml:space="preserve"> (an indirect effect of these medications).</w:t>
      </w:r>
    </w:p>
    <w:p w14:paraId="22652ACA" w14:textId="4E93F9DB" w:rsidR="00AE05A4" w:rsidRDefault="00AE05A4" w:rsidP="00AE05A4">
      <w:r>
        <w:t xml:space="preserve">Somatropin and </w:t>
      </w:r>
      <w:proofErr w:type="spellStart"/>
      <w:r>
        <w:t>somapacitan</w:t>
      </w:r>
      <w:proofErr w:type="spellEnd"/>
      <w:r>
        <w:t xml:space="preserve"> exerted different effects on fat cells. In </w:t>
      </w:r>
      <w:r w:rsidR="00627A84">
        <w:t>S</w:t>
      </w:r>
      <w:r>
        <w:t xml:space="preserve">tudy 4054, the observed direct effects were lower for </w:t>
      </w:r>
      <w:proofErr w:type="spellStart"/>
      <w:r>
        <w:t>somapacitan</w:t>
      </w:r>
      <w:proofErr w:type="spellEnd"/>
      <w:r>
        <w:t xml:space="preserve"> than they were for somatropin. This may be due to </w:t>
      </w:r>
      <w:proofErr w:type="gramStart"/>
      <w:r>
        <w:t>a number of</w:t>
      </w:r>
      <w:proofErr w:type="gramEnd"/>
      <w:r>
        <w:t xml:space="preserve"> factors, including differences in the study population, insufficient exposure to </w:t>
      </w:r>
      <w:proofErr w:type="spellStart"/>
      <w:r>
        <w:t>somapacitan</w:t>
      </w:r>
      <w:proofErr w:type="spellEnd"/>
      <w:r>
        <w:t xml:space="preserve"> and a lower affinity to adipose tissue for </w:t>
      </w:r>
      <w:proofErr w:type="spellStart"/>
      <w:r>
        <w:t>somapacitan</w:t>
      </w:r>
      <w:proofErr w:type="spellEnd"/>
      <w:r>
        <w:t xml:space="preserve"> as compared to somatropin due to the albumin binding moiety in </w:t>
      </w:r>
      <w:proofErr w:type="spellStart"/>
      <w:r>
        <w:t>somapacitan</w:t>
      </w:r>
      <w:proofErr w:type="spellEnd"/>
      <w:r>
        <w:t>.</w:t>
      </w:r>
    </w:p>
    <w:p w14:paraId="1E27467A" w14:textId="7901BA2C" w:rsidR="00AE05A4" w:rsidRDefault="00AE05A4" w:rsidP="00AE05A4">
      <w:pPr>
        <w:pStyle w:val="Heading4"/>
      </w:pPr>
      <w:r>
        <w:t>Efficacy</w:t>
      </w:r>
    </w:p>
    <w:p w14:paraId="52501009" w14:textId="03D60C5D" w:rsidR="00F8489E" w:rsidRPr="008457EA" w:rsidRDefault="00F8489E" w:rsidP="008457EA">
      <w:pPr>
        <w:pStyle w:val="Heading5"/>
      </w:pPr>
      <w:r>
        <w:t>Study 4054</w:t>
      </w:r>
    </w:p>
    <w:p w14:paraId="73DC4CA8" w14:textId="31EA1425" w:rsidR="00AE05A4" w:rsidRDefault="00AE05A4" w:rsidP="00AE05A4">
      <w:r>
        <w:t>Study 4054 was a Phase III, multi-centre, multinational, randomised, parallel group, placebo-controlled (double blind) and active controlled study (</w:t>
      </w:r>
      <w:proofErr w:type="spellStart"/>
      <w:r w:rsidR="008A76EA">
        <w:t>N</w:t>
      </w:r>
      <w:r>
        <w:t>orditropin</w:t>
      </w:r>
      <w:proofErr w:type="spellEnd"/>
      <w:r>
        <w:t>).</w:t>
      </w:r>
    </w:p>
    <w:p w14:paraId="6575D153" w14:textId="76FB903E" w:rsidR="00AE05A4" w:rsidRDefault="00AE05A4" w:rsidP="00AE05A4">
      <w:r>
        <w:lastRenderedPageBreak/>
        <w:t>The treatment period was for 35 weeks</w:t>
      </w:r>
      <w:r w:rsidR="00500822">
        <w:t xml:space="preserve">, including </w:t>
      </w:r>
      <w:r>
        <w:t xml:space="preserve">8 weeks dose titration, 24 weeks fixed dose. There as a </w:t>
      </w:r>
      <w:proofErr w:type="gramStart"/>
      <w:r w:rsidR="008A76EA">
        <w:t>one</w:t>
      </w:r>
      <w:r>
        <w:t xml:space="preserve"> week</w:t>
      </w:r>
      <w:proofErr w:type="gramEnd"/>
      <w:r>
        <w:t xml:space="preserve"> washout between this and the extension study.</w:t>
      </w:r>
    </w:p>
    <w:p w14:paraId="73EC4693" w14:textId="4E11FDA7" w:rsidR="00AE05A4" w:rsidRDefault="00AE05A4" w:rsidP="00AE05A4">
      <w:r>
        <w:t xml:space="preserve">Patients were </w:t>
      </w:r>
      <w:r w:rsidR="008A76EA">
        <w:t>growth hormone</w:t>
      </w:r>
      <w:r>
        <w:t xml:space="preserve"> naïve or had no exposure to </w:t>
      </w:r>
      <w:r w:rsidR="008A76EA">
        <w:t>growth hormone</w:t>
      </w:r>
      <w:r>
        <w:t xml:space="preserve"> or </w:t>
      </w:r>
      <w:r w:rsidR="008A76EA">
        <w:t>growth hormone</w:t>
      </w:r>
      <w:r>
        <w:t xml:space="preserve"> secretagogues for at least 180 days prior to randomisation. There was a third active treated arm where patients received </w:t>
      </w:r>
      <w:proofErr w:type="spellStart"/>
      <w:r>
        <w:t>Norditropin</w:t>
      </w:r>
      <w:proofErr w:type="spellEnd"/>
      <w:r>
        <w:t>.</w:t>
      </w:r>
    </w:p>
    <w:p w14:paraId="156D5571" w14:textId="121F70EA" w:rsidR="00AE05A4" w:rsidRDefault="00AE05A4" w:rsidP="00AE05A4">
      <w:r>
        <w:t xml:space="preserve">The study was followed by a </w:t>
      </w:r>
      <w:proofErr w:type="gramStart"/>
      <w:r>
        <w:t>53 week</w:t>
      </w:r>
      <w:proofErr w:type="gramEnd"/>
      <w:r>
        <w:t xml:space="preserve"> open label extension study.</w:t>
      </w:r>
    </w:p>
    <w:p w14:paraId="5B3B7E5F" w14:textId="2931710B" w:rsidR="00AE05A4" w:rsidRDefault="00AE05A4" w:rsidP="008A76EA">
      <w:pPr>
        <w:pStyle w:val="FigureTitle"/>
      </w:pPr>
      <w:r w:rsidRPr="008A76EA">
        <w:t xml:space="preserve">Figure </w:t>
      </w:r>
      <w:fldSimple w:instr=" SEQ Figure \* ARABIC ">
        <w:r w:rsidR="000377C2">
          <w:rPr>
            <w:noProof/>
          </w:rPr>
          <w:t>4</w:t>
        </w:r>
      </w:fldSimple>
      <w:r w:rsidR="009E5C76">
        <w:t>: Study 4054 trial design</w:t>
      </w:r>
    </w:p>
    <w:p w14:paraId="39CCE437" w14:textId="0B106F01" w:rsidR="00AE05A4" w:rsidRDefault="009E5C76" w:rsidP="00AE05A4">
      <w:r w:rsidRPr="009E5C76">
        <w:rPr>
          <w:noProof/>
          <w:lang w:val="en-GB" w:eastAsia="en-GB"/>
        </w:rPr>
        <w:drawing>
          <wp:inline distT="0" distB="0" distL="0" distR="0" wp14:anchorId="107F30F7" wp14:editId="1D62E577">
            <wp:extent cx="5400040" cy="2645410"/>
            <wp:effectExtent l="0" t="0" r="0" b="2540"/>
            <wp:docPr id="8" name="Picture 8" descr="The trial consisted of the following periods:&#10;a 2-week screening period&#10;a 35-week randomised, double-blind main period consisting of an 8-week titration period&#10;and a 26-week fixed-dose treatment period and a 1-week washout period&#10;a 53-week open-label extension period consisting of an 8-week titration period and a&#10;44-week fixed-dose treatment period and a 1-week washout period.&#10;Hence, the patients were treated for 34 weeks in the main period and 52 weeks in the extension&#10;period, thus for a total of 86 weeks.&#10;The washout periods were set to 1 week to confirm antibody response. However, as the half-life of&#10;daily GH is short, it is considered acceptable in real life to have 1-day washout only.&#10;Patients were randomised in a 2:2:1 ratio to receive somapacitan, Norditropin or placebo during&#10;the main period. All patients who completed the 35-week main period, and who did not discontinue&#10;treatment in the main period, were offered to continue in the 53-week extension period:&#10;Somapacitan treated patients continued their once-weekly treatment&#10;Placebo patients were switched to somapacitan treatment&#10;Norditropin treated patients were re-randomised 1:1 to somapacitan or Norditro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trial consisted of the following periods:&#10;a 2-week screening period&#10;a 35-week randomised, double-blind main period consisting of an 8-week titration period&#10;and a 26-week fixed-dose treatment period and a 1-week washout period&#10;a 53-week open-label extension period consisting of an 8-week titration period and a&#10;44-week fixed-dose treatment period and a 1-week washout period.&#10;Hence, the patients were treated for 34 weeks in the main period and 52 weeks in the extension&#10;period, thus for a total of 86 weeks.&#10;The washout periods were set to 1 week to confirm antibody response. However, as the half-life of&#10;daily GH is short, it is considered acceptable in real life to have 1-day washout only.&#10;Patients were randomised in a 2:2:1 ratio to receive somapacitan, Norditropin or placebo during&#10;the main period. All patients who completed the 35-week main period, and who did not discontinue&#10;treatment in the main period, were offered to continue in the 53-week extension period:&#10;Somapacitan treated patients continued their once-weekly treatment&#10;Placebo patients were switched to somapacitan treatment&#10;Norditropin treated patients were re-randomised 1:1 to somapacitan or Norditropin"/>
                    <pic:cNvPicPr/>
                  </pic:nvPicPr>
                  <pic:blipFill>
                    <a:blip r:embed="rId20"/>
                    <a:stretch>
                      <a:fillRect/>
                    </a:stretch>
                  </pic:blipFill>
                  <pic:spPr>
                    <a:xfrm>
                      <a:off x="0" y="0"/>
                      <a:ext cx="5400040" cy="2645410"/>
                    </a:xfrm>
                    <a:prstGeom prst="rect">
                      <a:avLst/>
                    </a:prstGeom>
                  </pic:spPr>
                </pic:pic>
              </a:graphicData>
            </a:graphic>
          </wp:inline>
        </w:drawing>
      </w:r>
    </w:p>
    <w:p w14:paraId="0B75C60C" w14:textId="53E65E91" w:rsidR="00F8489E" w:rsidRDefault="00F8489E" w:rsidP="008457EA">
      <w:pPr>
        <w:pStyle w:val="FigureDescription"/>
      </w:pPr>
      <w:r>
        <w:t xml:space="preserve">The trial consisted of the following periods: a 2-week screening period; a 35-week randomised, double-blind main period consisting of an 8-week titration period, and a 26-week fixed-dose treatment period and a </w:t>
      </w:r>
      <w:proofErr w:type="gramStart"/>
      <w:r>
        <w:t>one week</w:t>
      </w:r>
      <w:proofErr w:type="gramEnd"/>
      <w:r>
        <w:t xml:space="preserve"> washout period; a 53-week open-label extension period consisting of an 8-week titration period and a 44-week fixed-dose treatment period and a one week washout period.</w:t>
      </w:r>
    </w:p>
    <w:p w14:paraId="4275E1FA" w14:textId="466D8CD9" w:rsidR="00F8489E" w:rsidRDefault="00F8489E" w:rsidP="008457EA">
      <w:pPr>
        <w:pStyle w:val="FigureDescription"/>
      </w:pPr>
      <w:r>
        <w:t>Hence, the patients were treated for 34 weeks in the main period and 52 weeks in the extension period, thus for a total of 86 weeks.</w:t>
      </w:r>
    </w:p>
    <w:p w14:paraId="06B61811" w14:textId="223B947D" w:rsidR="00F8489E" w:rsidRDefault="00F8489E" w:rsidP="008457EA">
      <w:pPr>
        <w:pStyle w:val="FigureDescription"/>
      </w:pPr>
      <w:r>
        <w:t>The washout periods were set to one week to confirm antibody response. However, as the half-life of daily growth hormone (GH) is short, it is considered acceptable in real life to have 1-day washout only.</w:t>
      </w:r>
    </w:p>
    <w:p w14:paraId="26905B81" w14:textId="7C5065E8" w:rsidR="00F8489E" w:rsidRDefault="00F8489E" w:rsidP="008457EA">
      <w:pPr>
        <w:pStyle w:val="FigureDescription"/>
      </w:pPr>
      <w:r>
        <w:t xml:space="preserve">Patients were randomised in a 2:2:1 ratio to receive </w:t>
      </w:r>
      <w:proofErr w:type="spellStart"/>
      <w:r>
        <w:t>somapacitan</w:t>
      </w:r>
      <w:proofErr w:type="spellEnd"/>
      <w:r>
        <w:t xml:space="preserve">, </w:t>
      </w:r>
      <w:proofErr w:type="spellStart"/>
      <w:r>
        <w:t>Norditropin</w:t>
      </w:r>
      <w:proofErr w:type="spellEnd"/>
      <w:r>
        <w:t xml:space="preserve"> or placebo during the main period. All patients who completed the 35-week main period, and who did not discontinue treatment in the main period, were offered to continue in the 53-week extension period:</w:t>
      </w:r>
    </w:p>
    <w:p w14:paraId="0B132E45" w14:textId="77777777" w:rsidR="00F8489E" w:rsidRDefault="00F8489E" w:rsidP="008457EA">
      <w:pPr>
        <w:pStyle w:val="FigureDescription"/>
      </w:pPr>
      <w:proofErr w:type="spellStart"/>
      <w:r>
        <w:t>Somapacitan</w:t>
      </w:r>
      <w:proofErr w:type="spellEnd"/>
      <w:r>
        <w:t xml:space="preserve"> treated patients continued their once-weekly treatment</w:t>
      </w:r>
    </w:p>
    <w:p w14:paraId="79E2CEB3" w14:textId="77777777" w:rsidR="00F8489E" w:rsidRDefault="00F8489E" w:rsidP="008457EA">
      <w:pPr>
        <w:pStyle w:val="FigureDescription"/>
      </w:pPr>
      <w:r>
        <w:t xml:space="preserve">Placebo patients were switched to </w:t>
      </w:r>
      <w:proofErr w:type="spellStart"/>
      <w:r>
        <w:t>somapacitan</w:t>
      </w:r>
      <w:proofErr w:type="spellEnd"/>
      <w:r>
        <w:t xml:space="preserve"> treatment</w:t>
      </w:r>
    </w:p>
    <w:p w14:paraId="172031DA" w14:textId="44D146CA" w:rsidR="00F8489E" w:rsidRDefault="00F8489E" w:rsidP="008457EA">
      <w:pPr>
        <w:pStyle w:val="FigureDescription"/>
      </w:pPr>
      <w:proofErr w:type="spellStart"/>
      <w:r>
        <w:t>Norditropin</w:t>
      </w:r>
      <w:proofErr w:type="spellEnd"/>
      <w:r>
        <w:t xml:space="preserve"> treated patients were re-randomised 1:1 to </w:t>
      </w:r>
      <w:proofErr w:type="spellStart"/>
      <w:r>
        <w:t>somapacitan</w:t>
      </w:r>
      <w:proofErr w:type="spellEnd"/>
      <w:r>
        <w:t xml:space="preserve"> or </w:t>
      </w:r>
      <w:proofErr w:type="spellStart"/>
      <w:r>
        <w:t>Norditropin</w:t>
      </w:r>
      <w:proofErr w:type="spellEnd"/>
      <w:r>
        <w:t>.</w:t>
      </w:r>
    </w:p>
    <w:p w14:paraId="714FCC43" w14:textId="69096595" w:rsidR="008A76EA" w:rsidRPr="008457EA" w:rsidRDefault="00AE05A4" w:rsidP="008457EA">
      <w:pPr>
        <w:pStyle w:val="Heading6"/>
      </w:pPr>
      <w:r>
        <w:t xml:space="preserve">Study </w:t>
      </w:r>
      <w:r w:rsidR="00F8489E">
        <w:t>p</w:t>
      </w:r>
      <w:r>
        <w:t>opulations</w:t>
      </w:r>
    </w:p>
    <w:p w14:paraId="4141CACE" w14:textId="10787042" w:rsidR="00AE05A4" w:rsidRPr="008A76EA" w:rsidRDefault="00AE05A4" w:rsidP="008A76EA">
      <w:pPr>
        <w:pStyle w:val="ListBullet"/>
      </w:pPr>
      <w:r w:rsidRPr="008A76EA">
        <w:t>Age</w:t>
      </w:r>
      <w:r w:rsidR="00500822">
        <w:t xml:space="preserve">: </w:t>
      </w:r>
      <w:r w:rsidRPr="008A76EA">
        <w:t>23</w:t>
      </w:r>
      <w:r w:rsidR="00500822">
        <w:t xml:space="preserve"> to </w:t>
      </w:r>
      <w:r w:rsidRPr="008A76EA">
        <w:t>79 years</w:t>
      </w:r>
      <w:r w:rsidR="00500822">
        <w:t>.</w:t>
      </w:r>
    </w:p>
    <w:p w14:paraId="2FBE9783" w14:textId="768F541C" w:rsidR="00500822" w:rsidRDefault="00AE05A4" w:rsidP="008A76EA">
      <w:pPr>
        <w:pStyle w:val="ListBullet"/>
      </w:pPr>
      <w:r w:rsidRPr="008A76EA">
        <w:t>Confirmed diagnosis of AGHD</w:t>
      </w:r>
      <w:r w:rsidR="00F8489E">
        <w:t>.</w:t>
      </w:r>
      <w:r w:rsidRPr="008A76EA">
        <w:t xml:space="preserve"> This was defined as either</w:t>
      </w:r>
      <w:r w:rsidR="00F8489E">
        <w:t>:</w:t>
      </w:r>
    </w:p>
    <w:p w14:paraId="00E49022" w14:textId="17CC763A" w:rsidR="00500822" w:rsidRDefault="00AE05A4" w:rsidP="00500822">
      <w:pPr>
        <w:pStyle w:val="ListBullet2"/>
      </w:pPr>
      <w:r w:rsidRPr="008A76EA">
        <w:t xml:space="preserve">a peak </w:t>
      </w:r>
      <w:r w:rsidR="00330F94">
        <w:t>growth hormone</w:t>
      </w:r>
      <w:r w:rsidRPr="008A76EA">
        <w:t xml:space="preserve"> level of &lt; 3</w:t>
      </w:r>
      <w:r w:rsidR="00330F94">
        <w:t> </w:t>
      </w:r>
      <w:r w:rsidRPr="008A76EA">
        <w:t xml:space="preserve">ng/ml using </w:t>
      </w:r>
      <w:r w:rsidR="00330F94">
        <w:t>insulin tolerance test</w:t>
      </w:r>
      <w:r w:rsidRPr="008A76EA">
        <w:t xml:space="preserve"> or glucagon test</w:t>
      </w:r>
      <w:r w:rsidR="00F8489E">
        <w:t>;</w:t>
      </w:r>
      <w:r w:rsidRPr="008A76EA">
        <w:t xml:space="preserve"> or</w:t>
      </w:r>
    </w:p>
    <w:p w14:paraId="4DF95533" w14:textId="4D4E708C" w:rsidR="00500822" w:rsidRDefault="00AE05A4" w:rsidP="00500822">
      <w:pPr>
        <w:pStyle w:val="ListBullet2"/>
      </w:pPr>
      <w:r w:rsidRPr="008A76EA">
        <w:t xml:space="preserve">peak </w:t>
      </w:r>
      <w:r w:rsidR="00330F94">
        <w:t>growth hormone</w:t>
      </w:r>
      <w:r w:rsidRPr="008A76EA">
        <w:t xml:space="preserve"> &lt; 3</w:t>
      </w:r>
      <w:r w:rsidR="00330F94">
        <w:t> </w:t>
      </w:r>
      <w:r w:rsidRPr="008A76EA">
        <w:t xml:space="preserve">ng/ml using </w:t>
      </w:r>
      <w:r w:rsidR="00330F94">
        <w:t>g</w:t>
      </w:r>
      <w:r w:rsidR="00330F94" w:rsidRPr="00330F94">
        <w:t xml:space="preserve">rowth hormone-releasing hormone </w:t>
      </w:r>
      <w:r w:rsidR="00330F94">
        <w:t>(</w:t>
      </w:r>
      <w:r w:rsidRPr="008A76EA">
        <w:t>GHRH</w:t>
      </w:r>
      <w:r w:rsidR="00330F94">
        <w:t>)</w:t>
      </w:r>
      <w:r w:rsidRPr="008A76EA">
        <w:t xml:space="preserve"> and arginine according to </w:t>
      </w:r>
      <w:r w:rsidR="00330F94">
        <w:t>body mass index (</w:t>
      </w:r>
      <w:r w:rsidRPr="008A76EA">
        <w:t>BMI</w:t>
      </w:r>
      <w:r w:rsidR="00330F94">
        <w:t>)</w:t>
      </w:r>
      <w:r w:rsidR="00F8489E">
        <w:t xml:space="preserve">; </w:t>
      </w:r>
      <w:r w:rsidRPr="008A76EA">
        <w:t>or</w:t>
      </w:r>
    </w:p>
    <w:p w14:paraId="140E12E3" w14:textId="7F6EDB89" w:rsidR="00AE05A4" w:rsidRPr="008A76EA" w:rsidRDefault="00AE05A4" w:rsidP="00500822">
      <w:pPr>
        <w:pStyle w:val="ListBullet2"/>
      </w:pPr>
      <w:r w:rsidRPr="008A76EA">
        <w:t xml:space="preserve">three or more pituitary hormone deficiencies and IGF-1 </w:t>
      </w:r>
      <w:r w:rsidR="00330F94">
        <w:t>standard deviation score</w:t>
      </w:r>
      <w:r w:rsidRPr="008A76EA">
        <w:t xml:space="preserve"> less than -2.0</w:t>
      </w:r>
      <w:r w:rsidR="00500822">
        <w:t>.</w:t>
      </w:r>
    </w:p>
    <w:p w14:paraId="7AF73DF7" w14:textId="2F7CD488" w:rsidR="00AE05A4" w:rsidRPr="008A76EA" w:rsidRDefault="00500822" w:rsidP="008A76EA">
      <w:pPr>
        <w:pStyle w:val="ListBullet"/>
      </w:pPr>
      <w:r>
        <w:lastRenderedPageBreak/>
        <w:t>Growth hormone</w:t>
      </w:r>
      <w:r w:rsidR="00AE05A4" w:rsidRPr="008A76EA">
        <w:t xml:space="preserve"> treatment naïve or no exposure to </w:t>
      </w:r>
      <w:r w:rsidR="00330F94">
        <w:t>growth hormone</w:t>
      </w:r>
      <w:r w:rsidR="00AE05A4" w:rsidRPr="008A76EA">
        <w:t xml:space="preserve"> or </w:t>
      </w:r>
      <w:r w:rsidR="00330F94">
        <w:t>growth hormone</w:t>
      </w:r>
      <w:r w:rsidR="00AE05A4" w:rsidRPr="008A76EA">
        <w:t xml:space="preserve"> secretagogues for at least 180 days prior to randomisation with a registered or investigational </w:t>
      </w:r>
      <w:r w:rsidR="00330F94">
        <w:t>growth hormone</w:t>
      </w:r>
      <w:r w:rsidR="00AE05A4" w:rsidRPr="008A76EA">
        <w:t xml:space="preserve"> or </w:t>
      </w:r>
      <w:r w:rsidR="00330F94">
        <w:t>growth hormone</w:t>
      </w:r>
      <w:r w:rsidR="00AE05A4" w:rsidRPr="008A76EA">
        <w:t xml:space="preserve"> secretagogue</w:t>
      </w:r>
      <w:r>
        <w:t>.</w:t>
      </w:r>
    </w:p>
    <w:p w14:paraId="7A113313" w14:textId="67069227" w:rsidR="00AE05A4" w:rsidRPr="008A76EA" w:rsidRDefault="00AE05A4" w:rsidP="008A76EA">
      <w:pPr>
        <w:pStyle w:val="ListBullet"/>
      </w:pPr>
      <w:r w:rsidRPr="008A76EA">
        <w:t>If applicable, hormone replacement therapies for any other hormone deficiencies were adequate and stable for at least 90 days prior to randomisation</w:t>
      </w:r>
      <w:r w:rsidR="00500822">
        <w:t>.</w:t>
      </w:r>
    </w:p>
    <w:p w14:paraId="00E153F8" w14:textId="1F1706C3" w:rsidR="00AE05A4" w:rsidRPr="008A76EA" w:rsidRDefault="00500822" w:rsidP="008A76EA">
      <w:pPr>
        <w:pStyle w:val="ListBullet"/>
      </w:pPr>
      <w:r>
        <w:t xml:space="preserve">Insulin-like growth factor standard deviation score </w:t>
      </w:r>
      <w:r w:rsidR="00AE05A4" w:rsidRPr="008A76EA">
        <w:t>&lt; -0.5</w:t>
      </w:r>
      <w:r>
        <w:t>.</w:t>
      </w:r>
    </w:p>
    <w:p w14:paraId="00A666A6" w14:textId="3FBD188D" w:rsidR="00AE05A4" w:rsidRDefault="00AE05A4" w:rsidP="008457EA">
      <w:pPr>
        <w:pStyle w:val="Heading6"/>
      </w:pPr>
      <w:r>
        <w:t>Doses</w:t>
      </w:r>
    </w:p>
    <w:p w14:paraId="5463AC8B" w14:textId="259D2ACF" w:rsidR="00AE05A4" w:rsidRDefault="00AE05A4" w:rsidP="008A76EA">
      <w:pPr>
        <w:pStyle w:val="TableTitle"/>
      </w:pPr>
      <w:r w:rsidRPr="008A76EA">
        <w:t xml:space="preserve">Table </w:t>
      </w:r>
      <w:fldSimple w:instr=" SEQ Table \* ARABIC ">
        <w:r w:rsidR="000377C2">
          <w:rPr>
            <w:noProof/>
          </w:rPr>
          <w:t>4</w:t>
        </w:r>
      </w:fldSimple>
      <w:r>
        <w:t>:</w:t>
      </w:r>
      <w:r w:rsidR="008A76EA">
        <w:t xml:space="preserve"> </w:t>
      </w:r>
      <w:r w:rsidR="00F8489E">
        <w:t xml:space="preserve">Study 4054 </w:t>
      </w:r>
      <w:r w:rsidR="008A76EA">
        <w:t xml:space="preserve">Starting dose for </w:t>
      </w:r>
      <w:proofErr w:type="spellStart"/>
      <w:r w:rsidR="008A76EA">
        <w:t>somapacitan</w:t>
      </w:r>
      <w:proofErr w:type="spellEnd"/>
      <w:r w:rsidR="008A76EA">
        <w:t>/placebo and somatropin patients</w:t>
      </w:r>
    </w:p>
    <w:p w14:paraId="7CC75533" w14:textId="1D737BD6" w:rsidR="00AE05A4" w:rsidRDefault="00AE05A4" w:rsidP="00AE05A4">
      <w:r w:rsidRPr="0081023C">
        <w:rPr>
          <w:noProof/>
          <w:lang w:val="en-GB" w:eastAsia="en-GB"/>
        </w:rPr>
        <w:drawing>
          <wp:inline distT="0" distB="0" distL="0" distR="0" wp14:anchorId="23375224" wp14:editId="635EDAEA">
            <wp:extent cx="5200153" cy="1046480"/>
            <wp:effectExtent l="0" t="0" r="635" b="1270"/>
            <wp:docPr id="4" name="Picture 4" descr="Starting dose for somapacitan/placebo and somatroping study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ing dose for somapacitan/placebo and somatroping study patient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9258" r="3622" b="10294"/>
                    <a:stretch/>
                  </pic:blipFill>
                  <pic:spPr bwMode="auto">
                    <a:xfrm>
                      <a:off x="0" y="0"/>
                      <a:ext cx="5204461" cy="1047347"/>
                    </a:xfrm>
                    <a:prstGeom prst="rect">
                      <a:avLst/>
                    </a:prstGeom>
                    <a:noFill/>
                    <a:ln>
                      <a:noFill/>
                    </a:ln>
                    <a:extLst>
                      <a:ext uri="{53640926-AAD7-44D8-BBD7-CCE9431645EC}">
                        <a14:shadowObscured xmlns:a14="http://schemas.microsoft.com/office/drawing/2010/main"/>
                      </a:ext>
                    </a:extLst>
                  </pic:spPr>
                </pic:pic>
              </a:graphicData>
            </a:graphic>
          </wp:inline>
        </w:drawing>
      </w:r>
    </w:p>
    <w:p w14:paraId="76D41067" w14:textId="197FFBBA" w:rsidR="00AE05A4" w:rsidRPr="00AD7C14" w:rsidRDefault="008A76EA" w:rsidP="00AE05A4">
      <w:pPr>
        <w:pStyle w:val="TableDescription"/>
      </w:pPr>
      <w:r>
        <w:t>Note:</w:t>
      </w:r>
      <w:r w:rsidR="00AE05A4" w:rsidRPr="00AD7C14">
        <w:t xml:space="preserve"> the recommended dose of </w:t>
      </w:r>
      <w:proofErr w:type="spellStart"/>
      <w:r w:rsidR="00AE05A4" w:rsidRPr="00AD7C14">
        <w:t>Norditropin</w:t>
      </w:r>
      <w:proofErr w:type="spellEnd"/>
      <w:r w:rsidR="00AE05A4" w:rsidRPr="00AD7C14">
        <w:t xml:space="preserve"> for adults with </w:t>
      </w:r>
      <w:r w:rsidR="00F8489E">
        <w:t>growth hormone (</w:t>
      </w:r>
      <w:r w:rsidR="00AE05A4" w:rsidRPr="00AD7C14">
        <w:t>GH</w:t>
      </w:r>
      <w:r w:rsidR="00F8489E">
        <w:t>)</w:t>
      </w:r>
      <w:r w:rsidR="00AE05A4" w:rsidRPr="00AD7C14">
        <w:t xml:space="preserve"> deficiency in the </w:t>
      </w:r>
      <w:r w:rsidR="00F8489E">
        <w:t>Product Information (</w:t>
      </w:r>
      <w:r w:rsidR="00AE05A4" w:rsidRPr="00AD7C14">
        <w:t>PI</w:t>
      </w:r>
      <w:r w:rsidR="00F8489E">
        <w:t>)</w:t>
      </w:r>
      <w:r w:rsidR="00AE05A4" w:rsidRPr="00AD7C14">
        <w:t xml:space="preserve"> is a starting dose of 0.15</w:t>
      </w:r>
      <w:r w:rsidR="00F8489E">
        <w:t xml:space="preserve"> to </w:t>
      </w:r>
      <w:r w:rsidR="00AE05A4" w:rsidRPr="00AD7C14">
        <w:t xml:space="preserve">0.3mg, with dose titration based on </w:t>
      </w:r>
      <w:r w:rsidR="00F8489E">
        <w:t>insulin-like growth factor-1 (</w:t>
      </w:r>
      <w:r w:rsidR="00AE05A4" w:rsidRPr="00AD7C14">
        <w:t>IGF-1</w:t>
      </w:r>
      <w:r w:rsidR="00F8489E">
        <w:t>)</w:t>
      </w:r>
      <w:r w:rsidR="00AE05A4" w:rsidRPr="00AD7C14">
        <w:t>. It is stated that dosing requirements decline with age, and doses seldom exceed 1</w:t>
      </w:r>
      <w:r w:rsidR="00F8489E">
        <w:t> </w:t>
      </w:r>
      <w:r w:rsidR="00AE05A4" w:rsidRPr="00AD7C14">
        <w:t>mg</w:t>
      </w:r>
      <w:r>
        <w:t>.</w:t>
      </w:r>
    </w:p>
    <w:p w14:paraId="53BA7CFC" w14:textId="5DE8CEB5" w:rsidR="00AE05A4" w:rsidRDefault="00AE05A4" w:rsidP="00AE05A4">
      <w:r>
        <w:t xml:space="preserve">Dose adjustments were allowed for the first </w:t>
      </w:r>
      <w:r w:rsidR="00500822">
        <w:t>eight</w:t>
      </w:r>
      <w:r>
        <w:t xml:space="preserve"> weeks of the titration period (</w:t>
      </w:r>
      <w:r w:rsidR="008A76EA">
        <w:t>W</w:t>
      </w:r>
      <w:r>
        <w:t>eeks 2, 4, 6 and 8). Dose adjustments were based on IGF-</w:t>
      </w:r>
      <w:r w:rsidR="00F8489E">
        <w:t>1</w:t>
      </w:r>
      <w:r>
        <w:t xml:space="preserve"> </w:t>
      </w:r>
      <w:r w:rsidR="008A76EA">
        <w:t>standard deviation score</w:t>
      </w:r>
      <w:r>
        <w:t xml:space="preserve">. The dose was fixed after </w:t>
      </w:r>
      <w:r w:rsidR="008A76EA">
        <w:t>W</w:t>
      </w:r>
      <w:r>
        <w:t>eek 8. Blood samples were taken 10</w:t>
      </w:r>
      <w:r w:rsidR="008A76EA">
        <w:t xml:space="preserve"> to </w:t>
      </w:r>
      <w:r>
        <w:t>11 days after each dose adjustment. The maximum recommended dose was 8</w:t>
      </w:r>
      <w:r w:rsidR="008A76EA">
        <w:t> </w:t>
      </w:r>
      <w:r>
        <w:t>mg.</w:t>
      </w:r>
    </w:p>
    <w:p w14:paraId="3459B1EE" w14:textId="474EE22D" w:rsidR="00AE05A4" w:rsidRDefault="00AE05A4" w:rsidP="00AE05A4">
      <w:r>
        <w:t>The target IGF-</w:t>
      </w:r>
      <w:r w:rsidR="00993567">
        <w:t>1</w:t>
      </w:r>
      <w:r>
        <w:t xml:space="preserve"> level was -0.5 to +1.75 </w:t>
      </w:r>
      <w:r w:rsidR="008A76EA">
        <w:t>standard deviation score.</w:t>
      </w:r>
      <w:r>
        <w:t xml:space="preserve"> The dose adjustment algorithm is as follows</w:t>
      </w:r>
    </w:p>
    <w:p w14:paraId="72627F88" w14:textId="64F3225C" w:rsidR="00AE05A4" w:rsidRDefault="00AE05A4" w:rsidP="008A76EA">
      <w:pPr>
        <w:pStyle w:val="TableTitle"/>
      </w:pPr>
      <w:r w:rsidRPr="008A76EA">
        <w:t xml:space="preserve">Table </w:t>
      </w:r>
      <w:fldSimple w:instr=" SEQ Table \* ARABIC ">
        <w:r w:rsidR="000377C2">
          <w:rPr>
            <w:noProof/>
          </w:rPr>
          <w:t>5</w:t>
        </w:r>
      </w:fldSimple>
      <w:r>
        <w:t>:</w:t>
      </w:r>
      <w:r w:rsidR="008A76EA">
        <w:t xml:space="preserve"> </w:t>
      </w:r>
      <w:r w:rsidR="00993567">
        <w:t xml:space="preserve">Study 4054 </w:t>
      </w:r>
      <w:r w:rsidR="008A76EA">
        <w:t>Dose titration algorithm for study treatment</w:t>
      </w:r>
    </w:p>
    <w:p w14:paraId="2E3E487A" w14:textId="3847ABD2" w:rsidR="00993567" w:rsidRPr="005A1468" w:rsidRDefault="00AE05A4">
      <w:r w:rsidRPr="008457EA">
        <w:rPr>
          <w:noProof/>
        </w:rPr>
        <w:drawing>
          <wp:inline distT="0" distB="0" distL="0" distR="0" wp14:anchorId="7928A8EA" wp14:editId="3CF81EBC">
            <wp:extent cx="5152446" cy="115275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21" t="13299" r="5451" b="14498"/>
                    <a:stretch/>
                  </pic:blipFill>
                  <pic:spPr bwMode="auto">
                    <a:xfrm>
                      <a:off x="0" y="0"/>
                      <a:ext cx="5194367" cy="1162137"/>
                    </a:xfrm>
                    <a:prstGeom prst="rect">
                      <a:avLst/>
                    </a:prstGeom>
                    <a:noFill/>
                    <a:ln>
                      <a:noFill/>
                    </a:ln>
                    <a:extLst>
                      <a:ext uri="{53640926-AAD7-44D8-BBD7-CCE9431645EC}">
                        <a14:shadowObscured xmlns:a14="http://schemas.microsoft.com/office/drawing/2010/main"/>
                      </a:ext>
                    </a:extLst>
                  </pic:spPr>
                </pic:pic>
              </a:graphicData>
            </a:graphic>
          </wp:inline>
        </w:drawing>
      </w:r>
    </w:p>
    <w:p w14:paraId="21EE47D8" w14:textId="53DE5BB0" w:rsidR="00993567" w:rsidRPr="005A1468" w:rsidRDefault="00993567">
      <w:pPr>
        <w:pStyle w:val="TableDescription"/>
      </w:pPr>
      <w:r w:rsidRPr="005A1468">
        <w:t>Abbreviations: IGF-1 = insulin-like growth factor-1; IGF-1 S</w:t>
      </w:r>
      <w:r>
        <w:t xml:space="preserve">DS = </w:t>
      </w:r>
      <w:r w:rsidRPr="000C56C7">
        <w:t>insulin-like growth factor-1</w:t>
      </w:r>
      <w:r>
        <w:t xml:space="preserve"> standard deviation score.</w:t>
      </w:r>
    </w:p>
    <w:p w14:paraId="0015F1B2" w14:textId="3097581A" w:rsidR="008A76EA" w:rsidRDefault="00500822" w:rsidP="008A76EA">
      <w:pPr>
        <w:pStyle w:val="TableDescription"/>
      </w:pPr>
      <w:r>
        <w:t xml:space="preserve">∆: change in </w:t>
      </w:r>
      <w:r w:rsidR="00993567" w:rsidRPr="000C56C7">
        <w:t>IGF-1 S</w:t>
      </w:r>
      <w:r w:rsidR="00993567">
        <w:t>DS (</w:t>
      </w:r>
      <w:r>
        <w:t>insulin-like growth factor</w:t>
      </w:r>
      <w:r w:rsidR="00993567">
        <w:t>-</w:t>
      </w:r>
      <w:r>
        <w:t>1 standard deviation score</w:t>
      </w:r>
      <w:r w:rsidR="00993567">
        <w:t>)</w:t>
      </w:r>
      <w:r>
        <w:t xml:space="preserve"> from screening</w:t>
      </w:r>
      <w:r w:rsidR="00993567">
        <w:t>.</w:t>
      </w:r>
    </w:p>
    <w:p w14:paraId="47DD7297" w14:textId="391BBBDB" w:rsidR="00AE05A4" w:rsidRPr="00AD7C14" w:rsidRDefault="00AE05A4" w:rsidP="008457EA">
      <w:pPr>
        <w:pStyle w:val="Heading6"/>
      </w:pPr>
      <w:r w:rsidRPr="00AD7C14">
        <w:t>Objectives</w:t>
      </w:r>
    </w:p>
    <w:p w14:paraId="1581E1B3" w14:textId="77777777" w:rsidR="00AE05A4" w:rsidRDefault="00AE05A4" w:rsidP="00AE05A4">
      <w:r>
        <w:t xml:space="preserve">The primary objective was to demonstrate the efficacy of once weekly dosing of </w:t>
      </w:r>
      <w:proofErr w:type="spellStart"/>
      <w:r>
        <w:t>somapacitan</w:t>
      </w:r>
      <w:proofErr w:type="spellEnd"/>
      <w:r>
        <w:t xml:space="preserve"> compared to placebo after 34 weeks of treatment in AGHD patients</w:t>
      </w:r>
    </w:p>
    <w:p w14:paraId="32BC5783" w14:textId="33778785" w:rsidR="00AE05A4" w:rsidRDefault="00AE05A4" w:rsidP="00AE05A4">
      <w:r>
        <w:t xml:space="preserve">The secondary objective was to evaluate the efficacy and safety of </w:t>
      </w:r>
      <w:proofErr w:type="spellStart"/>
      <w:r>
        <w:t>somapacitan</w:t>
      </w:r>
      <w:proofErr w:type="spellEnd"/>
      <w:r>
        <w:t xml:space="preserve"> for up to 86 weeks of treatment in AGHD</w:t>
      </w:r>
      <w:r w:rsidR="004D4142">
        <w:t>.</w:t>
      </w:r>
    </w:p>
    <w:p w14:paraId="7E75FB00" w14:textId="7802954D" w:rsidR="00AE05A4" w:rsidRPr="00AD7C14" w:rsidRDefault="00AE05A4" w:rsidP="008457EA">
      <w:pPr>
        <w:pStyle w:val="Heading6"/>
      </w:pPr>
      <w:r w:rsidRPr="00AD7C14">
        <w:t>Results</w:t>
      </w:r>
    </w:p>
    <w:p w14:paraId="0F2B3AF8" w14:textId="462BACC0" w:rsidR="00AE05A4" w:rsidRDefault="00993567" w:rsidP="00AE05A4">
      <w:r>
        <w:t xml:space="preserve">A total of </w:t>
      </w:r>
      <w:r w:rsidR="00AE05A4">
        <w:t xml:space="preserve">301 subjects were randomised, </w:t>
      </w:r>
      <w:r>
        <w:t xml:space="preserve">with </w:t>
      </w:r>
      <w:r w:rsidR="00AE05A4">
        <w:t>277 completed the 34</w:t>
      </w:r>
      <w:r w:rsidR="00500822">
        <w:t xml:space="preserve"> </w:t>
      </w:r>
      <w:r w:rsidR="00AE05A4">
        <w:t>week</w:t>
      </w:r>
      <w:r w:rsidR="00500822">
        <w:t>s</w:t>
      </w:r>
      <w:r w:rsidR="00AE05A4">
        <w:t xml:space="preserve"> treatment period. 272 patients entered the extension period, 257 completed the study.</w:t>
      </w:r>
    </w:p>
    <w:p w14:paraId="0881FB43" w14:textId="5F33A47A" w:rsidR="00AE05A4" w:rsidRDefault="00AE05A4" w:rsidP="00AE05A4">
      <w:r>
        <w:t>Of the 300 patients that participated, 91 were diagnosed as children. The mean age was 45</w:t>
      </w:r>
      <w:r w:rsidR="004D4142">
        <w:t> </w:t>
      </w:r>
      <w:r>
        <w:t>years (range 23</w:t>
      </w:r>
      <w:r w:rsidR="00500822">
        <w:t xml:space="preserve"> to </w:t>
      </w:r>
      <w:r>
        <w:t>64 years).</w:t>
      </w:r>
    </w:p>
    <w:p w14:paraId="7D90F188" w14:textId="07A1E613" w:rsidR="00AE05A4" w:rsidRDefault="00AE05A4" w:rsidP="00AE05A4">
      <w:r>
        <w:lastRenderedPageBreak/>
        <w:t xml:space="preserve">The dose of </w:t>
      </w:r>
      <w:proofErr w:type="spellStart"/>
      <w:r>
        <w:t>somapacitan</w:t>
      </w:r>
      <w:proofErr w:type="spellEnd"/>
      <w:r>
        <w:t xml:space="preserve"> (2.33</w:t>
      </w:r>
      <w:r w:rsidR="00500822">
        <w:t xml:space="preserve"> to </w:t>
      </w:r>
      <w:r>
        <w:t>2.61</w:t>
      </w:r>
      <w:r w:rsidR="00500822">
        <w:t> </w:t>
      </w:r>
      <w:r>
        <w:t>mg/week) was greater than the dose of somatropin (1.89</w:t>
      </w:r>
      <w:r w:rsidR="00500822">
        <w:t> </w:t>
      </w:r>
      <w:r>
        <w:t xml:space="preserve">mg/week). This is attributed to the lower binding capacity of </w:t>
      </w:r>
      <w:proofErr w:type="spellStart"/>
      <w:r>
        <w:t>somapacitan</w:t>
      </w:r>
      <w:proofErr w:type="spellEnd"/>
      <w:r>
        <w:t xml:space="preserve"> to the </w:t>
      </w:r>
      <w:r w:rsidR="00500822">
        <w:t>growth hormone</w:t>
      </w:r>
      <w:r>
        <w:t xml:space="preserve"> receptor.</w:t>
      </w:r>
    </w:p>
    <w:p w14:paraId="3C8EF773" w14:textId="16269586" w:rsidR="00AE05A4" w:rsidRDefault="00AE05A4" w:rsidP="00AE05A4">
      <w:r>
        <w:t xml:space="preserve">There was a small but statistically significant change in truncal body fat seen between the </w:t>
      </w:r>
      <w:proofErr w:type="spellStart"/>
      <w:r>
        <w:t>somapacitan</w:t>
      </w:r>
      <w:proofErr w:type="spellEnd"/>
      <w:r>
        <w:t xml:space="preserve"> and placebo group (-1.53%,</w:t>
      </w:r>
      <w:r w:rsidR="004D4142">
        <w:t xml:space="preserve"> </w:t>
      </w:r>
      <w:r>
        <w:t>-2.68 to -0.38, p</w:t>
      </w:r>
      <w:r w:rsidR="00500822">
        <w:t xml:space="preserve"> </w:t>
      </w:r>
      <w:r>
        <w:t>=</w:t>
      </w:r>
      <w:r w:rsidR="00500822">
        <w:t xml:space="preserve"> </w:t>
      </w:r>
      <w:r>
        <w:t xml:space="preserve">0.009). A comparison between </w:t>
      </w:r>
      <w:proofErr w:type="spellStart"/>
      <w:r>
        <w:t>somapacitan</w:t>
      </w:r>
      <w:proofErr w:type="spellEnd"/>
      <w:r>
        <w:t xml:space="preserve"> and somatropin on the effects on body fat was a secondary endpoint. There was a greater reduction in body fat seen in the somatropin group (-2.39 % </w:t>
      </w:r>
      <w:r w:rsidR="00993567">
        <w:t>compared with</w:t>
      </w:r>
      <w:r>
        <w:t xml:space="preserve"> -1.17%). </w:t>
      </w:r>
    </w:p>
    <w:p w14:paraId="245E2117" w14:textId="270AFCD6" w:rsidR="00AE05A4" w:rsidRDefault="00AE05A4" w:rsidP="00A87A5A">
      <w:pPr>
        <w:pStyle w:val="TableTitle"/>
      </w:pPr>
      <w:r w:rsidRPr="00A87A5A">
        <w:t xml:space="preserve">Table </w:t>
      </w:r>
      <w:fldSimple w:instr=" SEQ Table \* ARABIC ">
        <w:r w:rsidR="000377C2">
          <w:rPr>
            <w:noProof/>
          </w:rPr>
          <w:t>6</w:t>
        </w:r>
      </w:fldSimple>
      <w:r w:rsidRPr="00A87A5A">
        <w:t>:</w:t>
      </w:r>
      <w:r w:rsidR="00A87A5A" w:rsidRPr="00A87A5A">
        <w:t xml:space="preserve"> </w:t>
      </w:r>
      <w:r w:rsidR="00993567">
        <w:t xml:space="preserve">Study 4054 </w:t>
      </w:r>
      <w:r w:rsidR="00245FE6">
        <w:t>Estimated change in truncal fat percentage (%) from Baseline to Week 34 (full analysis set)</w:t>
      </w:r>
    </w:p>
    <w:tbl>
      <w:tblPr>
        <w:tblStyle w:val="TableTGAblue"/>
        <w:tblW w:w="8900" w:type="dxa"/>
        <w:tblLayout w:type="fixed"/>
        <w:tblLook w:val="04A0" w:firstRow="1" w:lastRow="0" w:firstColumn="1" w:lastColumn="0" w:noHBand="0" w:noVBand="1"/>
      </w:tblPr>
      <w:tblGrid>
        <w:gridCol w:w="890"/>
        <w:gridCol w:w="990"/>
        <w:gridCol w:w="1260"/>
        <w:gridCol w:w="1170"/>
        <w:gridCol w:w="990"/>
        <w:gridCol w:w="1890"/>
        <w:gridCol w:w="1710"/>
      </w:tblGrid>
      <w:tr w:rsidR="00993567" w:rsidRPr="00245FE6" w14:paraId="64873B43" w14:textId="77777777" w:rsidTr="008457EA">
        <w:trPr>
          <w:cnfStyle w:val="100000000000" w:firstRow="1" w:lastRow="0" w:firstColumn="0" w:lastColumn="0" w:oddVBand="0" w:evenVBand="0" w:oddHBand="0" w:evenHBand="0" w:firstRowFirstColumn="0" w:firstRowLastColumn="0" w:lastRowFirstColumn="0" w:lastRowLastColumn="0"/>
        </w:trPr>
        <w:tc>
          <w:tcPr>
            <w:tcW w:w="890" w:type="dxa"/>
          </w:tcPr>
          <w:p w14:paraId="62702466" w14:textId="5531C138" w:rsidR="00500822" w:rsidRPr="005A1468" w:rsidRDefault="00500822" w:rsidP="008457EA">
            <w:pPr>
              <w:ind w:left="0" w:right="-144"/>
              <w:rPr>
                <w:sz w:val="19"/>
                <w:szCs w:val="19"/>
              </w:rPr>
            </w:pPr>
            <w:r w:rsidRPr="005A1468">
              <w:rPr>
                <w:sz w:val="19"/>
                <w:szCs w:val="19"/>
              </w:rPr>
              <w:t>Change from Bas</w:t>
            </w:r>
            <w:r w:rsidR="00245FE6" w:rsidRPr="005A1468">
              <w:rPr>
                <w:sz w:val="19"/>
                <w:szCs w:val="19"/>
              </w:rPr>
              <w:t>e</w:t>
            </w:r>
            <w:r w:rsidRPr="005A1468">
              <w:rPr>
                <w:sz w:val="19"/>
                <w:szCs w:val="19"/>
              </w:rPr>
              <w:t>line</w:t>
            </w:r>
          </w:p>
        </w:tc>
        <w:tc>
          <w:tcPr>
            <w:tcW w:w="990" w:type="dxa"/>
          </w:tcPr>
          <w:p w14:paraId="033142BD" w14:textId="22CF65C9" w:rsidR="00500822" w:rsidRPr="005A1468" w:rsidRDefault="00245FE6" w:rsidP="008457EA">
            <w:pPr>
              <w:ind w:left="0" w:right="-144"/>
              <w:rPr>
                <w:sz w:val="19"/>
                <w:szCs w:val="19"/>
              </w:rPr>
            </w:pPr>
            <w:r w:rsidRPr="005A1468">
              <w:rPr>
                <w:sz w:val="19"/>
                <w:szCs w:val="19"/>
              </w:rPr>
              <w:t>Duration</w:t>
            </w:r>
          </w:p>
        </w:tc>
        <w:tc>
          <w:tcPr>
            <w:tcW w:w="1260" w:type="dxa"/>
          </w:tcPr>
          <w:p w14:paraId="13D9EC6F" w14:textId="0379A186" w:rsidR="00500822" w:rsidRPr="005A1468" w:rsidRDefault="00500822" w:rsidP="008457EA">
            <w:pPr>
              <w:ind w:left="0" w:right="-144"/>
              <w:rPr>
                <w:sz w:val="19"/>
                <w:szCs w:val="19"/>
              </w:rPr>
            </w:pPr>
            <w:proofErr w:type="spellStart"/>
            <w:r w:rsidRPr="005A1468">
              <w:rPr>
                <w:sz w:val="19"/>
                <w:szCs w:val="19"/>
              </w:rPr>
              <w:t>Somapacitan</w:t>
            </w:r>
            <w:proofErr w:type="spellEnd"/>
            <w:r w:rsidRPr="005A1468">
              <w:rPr>
                <w:sz w:val="19"/>
                <w:szCs w:val="19"/>
              </w:rPr>
              <w:t xml:space="preserve"> (n = </w:t>
            </w:r>
            <w:proofErr w:type="gramStart"/>
            <w:r w:rsidRPr="005A1468">
              <w:rPr>
                <w:sz w:val="19"/>
                <w:szCs w:val="19"/>
              </w:rPr>
              <w:t>120)*</w:t>
            </w:r>
            <w:proofErr w:type="gramEnd"/>
          </w:p>
        </w:tc>
        <w:tc>
          <w:tcPr>
            <w:tcW w:w="1170" w:type="dxa"/>
          </w:tcPr>
          <w:p w14:paraId="2A501267" w14:textId="01B12233" w:rsidR="00500822" w:rsidRPr="005A1468" w:rsidRDefault="00500822" w:rsidP="008457EA">
            <w:pPr>
              <w:ind w:left="0" w:right="-144"/>
              <w:rPr>
                <w:sz w:val="19"/>
                <w:szCs w:val="19"/>
              </w:rPr>
            </w:pPr>
            <w:r w:rsidRPr="005A1468">
              <w:rPr>
                <w:sz w:val="19"/>
                <w:szCs w:val="19"/>
              </w:rPr>
              <w:t xml:space="preserve">Somatropin (n = </w:t>
            </w:r>
            <w:proofErr w:type="gramStart"/>
            <w:r w:rsidRPr="005A1468">
              <w:rPr>
                <w:sz w:val="19"/>
                <w:szCs w:val="19"/>
              </w:rPr>
              <w:t>119)*</w:t>
            </w:r>
            <w:proofErr w:type="gramEnd"/>
          </w:p>
        </w:tc>
        <w:tc>
          <w:tcPr>
            <w:tcW w:w="990" w:type="dxa"/>
          </w:tcPr>
          <w:p w14:paraId="5CDECD1D" w14:textId="52E833B7" w:rsidR="00500822" w:rsidRPr="005A1468" w:rsidRDefault="00500822" w:rsidP="008457EA">
            <w:pPr>
              <w:ind w:left="0" w:right="-144"/>
              <w:rPr>
                <w:sz w:val="19"/>
                <w:szCs w:val="19"/>
              </w:rPr>
            </w:pPr>
            <w:r w:rsidRPr="005A1468">
              <w:rPr>
                <w:sz w:val="19"/>
                <w:szCs w:val="19"/>
              </w:rPr>
              <w:t>Placebo (n</w:t>
            </w:r>
            <w:r w:rsidR="004D4142" w:rsidRPr="005A1468">
              <w:rPr>
                <w:sz w:val="19"/>
                <w:szCs w:val="19"/>
              </w:rPr>
              <w:t> </w:t>
            </w:r>
            <w:r w:rsidRPr="005A1468">
              <w:rPr>
                <w:sz w:val="19"/>
                <w:szCs w:val="19"/>
              </w:rPr>
              <w:t xml:space="preserve">= </w:t>
            </w:r>
            <w:proofErr w:type="gramStart"/>
            <w:r w:rsidRPr="005A1468">
              <w:rPr>
                <w:sz w:val="19"/>
                <w:szCs w:val="19"/>
              </w:rPr>
              <w:t>61)*</w:t>
            </w:r>
            <w:proofErr w:type="gramEnd"/>
          </w:p>
        </w:tc>
        <w:tc>
          <w:tcPr>
            <w:tcW w:w="1890" w:type="dxa"/>
          </w:tcPr>
          <w:p w14:paraId="579293F1" w14:textId="6142F48B" w:rsidR="009730DA" w:rsidRDefault="00500822" w:rsidP="008457EA">
            <w:pPr>
              <w:ind w:left="0" w:right="-144"/>
              <w:rPr>
                <w:b w:val="0"/>
                <w:sz w:val="19"/>
                <w:szCs w:val="19"/>
              </w:rPr>
            </w:pPr>
            <w:r w:rsidRPr="005A1468">
              <w:rPr>
                <w:sz w:val="19"/>
                <w:szCs w:val="19"/>
              </w:rPr>
              <w:t xml:space="preserve">Primary comparison **: difference </w:t>
            </w:r>
            <w:proofErr w:type="spellStart"/>
            <w:r w:rsidRPr="005A1468">
              <w:rPr>
                <w:sz w:val="19"/>
                <w:szCs w:val="19"/>
              </w:rPr>
              <w:t>somapacitan</w:t>
            </w:r>
            <w:proofErr w:type="spellEnd"/>
            <w:r w:rsidRPr="005A1468">
              <w:rPr>
                <w:sz w:val="19"/>
                <w:szCs w:val="19"/>
              </w:rPr>
              <w:t xml:space="preserve"> </w:t>
            </w:r>
            <w:r w:rsidR="009730DA">
              <w:rPr>
                <w:b w:val="0"/>
                <w:sz w:val="19"/>
                <w:szCs w:val="19"/>
              </w:rPr>
              <w:t xml:space="preserve">minus </w:t>
            </w:r>
            <w:r w:rsidRPr="005A1468">
              <w:rPr>
                <w:sz w:val="19"/>
                <w:szCs w:val="19"/>
              </w:rPr>
              <w:t>placebo (95% CI)</w:t>
            </w:r>
          </w:p>
          <w:p w14:paraId="6A6FA740" w14:textId="502704A9" w:rsidR="00500822" w:rsidRPr="005A1468" w:rsidRDefault="00500822" w:rsidP="008457EA">
            <w:pPr>
              <w:ind w:left="0" w:right="-144"/>
              <w:rPr>
                <w:sz w:val="19"/>
                <w:szCs w:val="19"/>
              </w:rPr>
            </w:pPr>
            <w:r w:rsidRPr="005A1468">
              <w:rPr>
                <w:sz w:val="19"/>
                <w:szCs w:val="19"/>
              </w:rPr>
              <w:t>p</w:t>
            </w:r>
            <w:r w:rsidR="009730DA">
              <w:rPr>
                <w:b w:val="0"/>
                <w:sz w:val="19"/>
                <w:szCs w:val="19"/>
              </w:rPr>
              <w:noBreakHyphen/>
            </w:r>
            <w:r w:rsidRPr="005A1468">
              <w:rPr>
                <w:sz w:val="19"/>
                <w:szCs w:val="19"/>
              </w:rPr>
              <w:t>value</w:t>
            </w:r>
          </w:p>
        </w:tc>
        <w:tc>
          <w:tcPr>
            <w:tcW w:w="1710" w:type="dxa"/>
          </w:tcPr>
          <w:p w14:paraId="0DC6F8EC" w14:textId="4E7B6A6E" w:rsidR="009730DA" w:rsidRDefault="00500822" w:rsidP="008457EA">
            <w:pPr>
              <w:ind w:left="0" w:right="-144"/>
              <w:rPr>
                <w:b w:val="0"/>
                <w:sz w:val="19"/>
                <w:szCs w:val="19"/>
              </w:rPr>
            </w:pPr>
            <w:r w:rsidRPr="005A1468">
              <w:rPr>
                <w:sz w:val="19"/>
                <w:szCs w:val="19"/>
              </w:rPr>
              <w:t xml:space="preserve">Secondary comparison **: difference </w:t>
            </w:r>
            <w:proofErr w:type="spellStart"/>
            <w:r w:rsidRPr="005A1468">
              <w:rPr>
                <w:sz w:val="19"/>
                <w:szCs w:val="19"/>
              </w:rPr>
              <w:t>somapacitan</w:t>
            </w:r>
            <w:proofErr w:type="spellEnd"/>
            <w:r w:rsidRPr="005A1468">
              <w:rPr>
                <w:sz w:val="19"/>
                <w:szCs w:val="19"/>
              </w:rPr>
              <w:t xml:space="preserve"> </w:t>
            </w:r>
            <w:r w:rsidR="009730DA">
              <w:rPr>
                <w:b w:val="0"/>
                <w:sz w:val="19"/>
                <w:szCs w:val="19"/>
              </w:rPr>
              <w:t>minus</w:t>
            </w:r>
            <w:r w:rsidRPr="005A1468">
              <w:rPr>
                <w:sz w:val="19"/>
                <w:szCs w:val="19"/>
              </w:rPr>
              <w:t xml:space="preserve"> somatropin</w:t>
            </w:r>
            <w:r w:rsidR="009730DA">
              <w:rPr>
                <w:b w:val="0"/>
                <w:sz w:val="19"/>
                <w:szCs w:val="19"/>
              </w:rPr>
              <w:br/>
            </w:r>
            <w:r w:rsidRPr="005A1468">
              <w:rPr>
                <w:sz w:val="19"/>
                <w:szCs w:val="19"/>
              </w:rPr>
              <w:t>(95% CI)</w:t>
            </w:r>
          </w:p>
          <w:p w14:paraId="58703AA9" w14:textId="296EE8D1" w:rsidR="00500822" w:rsidRPr="005A1468" w:rsidRDefault="00500822" w:rsidP="008457EA">
            <w:pPr>
              <w:ind w:left="0" w:right="-144"/>
              <w:rPr>
                <w:sz w:val="19"/>
                <w:szCs w:val="19"/>
              </w:rPr>
            </w:pPr>
            <w:r w:rsidRPr="005A1468">
              <w:rPr>
                <w:sz w:val="19"/>
                <w:szCs w:val="19"/>
              </w:rPr>
              <w:t>p-value</w:t>
            </w:r>
          </w:p>
        </w:tc>
      </w:tr>
      <w:tr w:rsidR="00993567" w:rsidRPr="00245FE6" w14:paraId="791495DF" w14:textId="77777777" w:rsidTr="008457EA">
        <w:tc>
          <w:tcPr>
            <w:tcW w:w="890" w:type="dxa"/>
          </w:tcPr>
          <w:p w14:paraId="32F95953" w14:textId="1EE664A2" w:rsidR="00500822" w:rsidRPr="008457EA" w:rsidRDefault="00245FE6" w:rsidP="008457EA">
            <w:pPr>
              <w:ind w:left="0" w:right="-144"/>
              <w:rPr>
                <w:sz w:val="20"/>
                <w:szCs w:val="20"/>
              </w:rPr>
            </w:pPr>
            <w:r w:rsidRPr="008457EA">
              <w:rPr>
                <w:sz w:val="20"/>
                <w:szCs w:val="20"/>
              </w:rPr>
              <w:t xml:space="preserve">Truncal fat </w:t>
            </w:r>
            <w:r w:rsidR="009730DA">
              <w:rPr>
                <w:sz w:val="20"/>
                <w:szCs w:val="20"/>
              </w:rPr>
              <w:t>(%)</w:t>
            </w:r>
          </w:p>
        </w:tc>
        <w:tc>
          <w:tcPr>
            <w:tcW w:w="990" w:type="dxa"/>
          </w:tcPr>
          <w:p w14:paraId="22E492C8" w14:textId="07AF5201" w:rsidR="00500822" w:rsidRPr="008457EA" w:rsidRDefault="00245FE6" w:rsidP="008457EA">
            <w:pPr>
              <w:ind w:left="0" w:right="-144"/>
              <w:rPr>
                <w:sz w:val="20"/>
                <w:szCs w:val="20"/>
              </w:rPr>
            </w:pPr>
            <w:r w:rsidRPr="008457EA">
              <w:rPr>
                <w:sz w:val="20"/>
                <w:szCs w:val="20"/>
              </w:rPr>
              <w:t>Week -3 to</w:t>
            </w:r>
            <w:r w:rsidR="009730DA">
              <w:rPr>
                <w:sz w:val="20"/>
                <w:szCs w:val="20"/>
              </w:rPr>
              <w:br/>
            </w:r>
            <w:r w:rsidRPr="008457EA">
              <w:rPr>
                <w:sz w:val="20"/>
                <w:szCs w:val="20"/>
              </w:rPr>
              <w:t>Week 34</w:t>
            </w:r>
          </w:p>
        </w:tc>
        <w:tc>
          <w:tcPr>
            <w:tcW w:w="1260" w:type="dxa"/>
          </w:tcPr>
          <w:p w14:paraId="08915459" w14:textId="77777777" w:rsidR="00500822" w:rsidRPr="008457EA" w:rsidRDefault="00245FE6" w:rsidP="008457EA">
            <w:pPr>
              <w:ind w:left="0" w:right="-144"/>
              <w:rPr>
                <w:sz w:val="20"/>
                <w:szCs w:val="20"/>
              </w:rPr>
            </w:pPr>
            <w:r w:rsidRPr="008457EA">
              <w:rPr>
                <w:sz w:val="20"/>
                <w:szCs w:val="20"/>
              </w:rPr>
              <w:t>39.11</w:t>
            </w:r>
          </w:p>
          <w:p w14:paraId="35DFBD07" w14:textId="548F0CED" w:rsidR="00245FE6" w:rsidRPr="008457EA" w:rsidRDefault="00245FE6" w:rsidP="008457EA">
            <w:pPr>
              <w:ind w:left="0" w:right="-144"/>
              <w:rPr>
                <w:sz w:val="20"/>
                <w:szCs w:val="20"/>
              </w:rPr>
            </w:pPr>
            <w:r w:rsidRPr="008457EA">
              <w:rPr>
                <w:sz w:val="20"/>
                <w:szCs w:val="20"/>
              </w:rPr>
              <w:t>-1.17</w:t>
            </w:r>
          </w:p>
        </w:tc>
        <w:tc>
          <w:tcPr>
            <w:tcW w:w="1170" w:type="dxa"/>
          </w:tcPr>
          <w:p w14:paraId="3F7E148E" w14:textId="77777777" w:rsidR="00500822" w:rsidRPr="008457EA" w:rsidRDefault="00245FE6" w:rsidP="008457EA">
            <w:pPr>
              <w:ind w:left="0" w:right="-144"/>
              <w:rPr>
                <w:sz w:val="20"/>
                <w:szCs w:val="20"/>
              </w:rPr>
            </w:pPr>
            <w:r w:rsidRPr="008457EA">
              <w:rPr>
                <w:sz w:val="20"/>
                <w:szCs w:val="20"/>
              </w:rPr>
              <w:t>38.1</w:t>
            </w:r>
          </w:p>
          <w:p w14:paraId="63637C20" w14:textId="6AE71C14" w:rsidR="00245FE6" w:rsidRPr="008457EA" w:rsidRDefault="00245FE6" w:rsidP="008457EA">
            <w:pPr>
              <w:ind w:left="0" w:right="-144"/>
              <w:rPr>
                <w:sz w:val="20"/>
                <w:szCs w:val="20"/>
              </w:rPr>
            </w:pPr>
            <w:r w:rsidRPr="008457EA">
              <w:rPr>
                <w:sz w:val="20"/>
                <w:szCs w:val="20"/>
              </w:rPr>
              <w:t>-2.39</w:t>
            </w:r>
          </w:p>
        </w:tc>
        <w:tc>
          <w:tcPr>
            <w:tcW w:w="990" w:type="dxa"/>
          </w:tcPr>
          <w:p w14:paraId="59248DC9" w14:textId="77777777" w:rsidR="00500822" w:rsidRPr="008457EA" w:rsidRDefault="00245FE6" w:rsidP="008457EA">
            <w:pPr>
              <w:ind w:left="0" w:right="-144"/>
              <w:rPr>
                <w:sz w:val="20"/>
                <w:szCs w:val="20"/>
              </w:rPr>
            </w:pPr>
            <w:r w:rsidRPr="008457EA">
              <w:rPr>
                <w:sz w:val="20"/>
                <w:szCs w:val="20"/>
              </w:rPr>
              <w:t>36.9</w:t>
            </w:r>
          </w:p>
          <w:p w14:paraId="7A9DB582" w14:textId="70AD46BD" w:rsidR="00245FE6" w:rsidRPr="008457EA" w:rsidRDefault="00245FE6" w:rsidP="008457EA">
            <w:pPr>
              <w:ind w:left="0" w:right="-144"/>
              <w:rPr>
                <w:sz w:val="20"/>
                <w:szCs w:val="20"/>
              </w:rPr>
            </w:pPr>
            <w:r w:rsidRPr="008457EA">
              <w:rPr>
                <w:sz w:val="20"/>
                <w:szCs w:val="20"/>
              </w:rPr>
              <w:t>+0.49</w:t>
            </w:r>
          </w:p>
        </w:tc>
        <w:tc>
          <w:tcPr>
            <w:tcW w:w="1890" w:type="dxa"/>
          </w:tcPr>
          <w:p w14:paraId="42C84E1A" w14:textId="77777777" w:rsidR="00500822" w:rsidRPr="008457EA" w:rsidRDefault="00245FE6" w:rsidP="008457EA">
            <w:pPr>
              <w:ind w:left="0" w:right="-144"/>
              <w:rPr>
                <w:sz w:val="20"/>
                <w:szCs w:val="20"/>
              </w:rPr>
            </w:pPr>
            <w:r w:rsidRPr="008457EA">
              <w:rPr>
                <w:sz w:val="20"/>
                <w:szCs w:val="20"/>
              </w:rPr>
              <w:t xml:space="preserve">-1.53 (-2.68; -0.38) </w:t>
            </w:r>
          </w:p>
          <w:p w14:paraId="0F492CEC" w14:textId="6BE997D9" w:rsidR="00245FE6" w:rsidRPr="008457EA" w:rsidRDefault="009730DA" w:rsidP="008457EA">
            <w:pPr>
              <w:ind w:left="0" w:right="-144"/>
              <w:rPr>
                <w:sz w:val="20"/>
                <w:szCs w:val="20"/>
              </w:rPr>
            </w:pPr>
            <w:r>
              <w:rPr>
                <w:sz w:val="20"/>
                <w:szCs w:val="20"/>
              </w:rPr>
              <w:t>p</w:t>
            </w:r>
            <w:r w:rsidR="00245FE6" w:rsidRPr="008457EA">
              <w:rPr>
                <w:sz w:val="20"/>
                <w:szCs w:val="20"/>
              </w:rPr>
              <w:t xml:space="preserve"> = 0.009</w:t>
            </w:r>
          </w:p>
        </w:tc>
        <w:tc>
          <w:tcPr>
            <w:tcW w:w="0" w:type="dxa"/>
          </w:tcPr>
          <w:p w14:paraId="6EA62C5A" w14:textId="780065A3" w:rsidR="00245FE6" w:rsidRPr="008457EA" w:rsidRDefault="00245FE6" w:rsidP="008457EA">
            <w:pPr>
              <w:ind w:left="0" w:right="-144"/>
              <w:rPr>
                <w:sz w:val="20"/>
                <w:szCs w:val="20"/>
              </w:rPr>
            </w:pPr>
            <w:r w:rsidRPr="008457EA">
              <w:rPr>
                <w:sz w:val="20"/>
                <w:szCs w:val="20"/>
              </w:rPr>
              <w:t>1.17 (0.23; 2.11)</w:t>
            </w:r>
          </w:p>
          <w:p w14:paraId="054D1468" w14:textId="5BBCA22B" w:rsidR="00500822" w:rsidRPr="008457EA" w:rsidRDefault="00245FE6" w:rsidP="008457EA">
            <w:pPr>
              <w:ind w:left="0" w:right="-144"/>
              <w:rPr>
                <w:sz w:val="20"/>
                <w:szCs w:val="20"/>
              </w:rPr>
            </w:pPr>
            <w:r w:rsidRPr="008457EA">
              <w:rPr>
                <w:sz w:val="20"/>
                <w:szCs w:val="20"/>
              </w:rPr>
              <w:t>p = not reported</w:t>
            </w:r>
          </w:p>
        </w:tc>
      </w:tr>
      <w:tr w:rsidR="00245FE6" w:rsidRPr="00245FE6" w14:paraId="71E945D6" w14:textId="77777777" w:rsidTr="008457EA">
        <w:tc>
          <w:tcPr>
            <w:tcW w:w="3140" w:type="dxa"/>
            <w:gridSpan w:val="3"/>
          </w:tcPr>
          <w:p w14:paraId="42A07514" w14:textId="77777777" w:rsidR="00245FE6" w:rsidRPr="008457EA" w:rsidRDefault="00245FE6" w:rsidP="008457EA">
            <w:pPr>
              <w:ind w:left="0" w:right="-144"/>
              <w:rPr>
                <w:sz w:val="20"/>
                <w:szCs w:val="20"/>
              </w:rPr>
            </w:pPr>
          </w:p>
        </w:tc>
        <w:tc>
          <w:tcPr>
            <w:tcW w:w="2160" w:type="dxa"/>
            <w:gridSpan w:val="2"/>
          </w:tcPr>
          <w:p w14:paraId="5B37918C" w14:textId="3E2DA9A1" w:rsidR="00245FE6" w:rsidRPr="008457EA" w:rsidRDefault="00245FE6" w:rsidP="008457EA">
            <w:pPr>
              <w:ind w:left="0" w:right="-144"/>
              <w:rPr>
                <w:sz w:val="20"/>
                <w:szCs w:val="20"/>
              </w:rPr>
            </w:pPr>
            <w:r w:rsidRPr="008457EA">
              <w:rPr>
                <w:sz w:val="20"/>
                <w:szCs w:val="20"/>
              </w:rPr>
              <w:t>Secondary analysis ***</w:t>
            </w:r>
          </w:p>
        </w:tc>
        <w:tc>
          <w:tcPr>
            <w:tcW w:w="1890" w:type="dxa"/>
          </w:tcPr>
          <w:p w14:paraId="7C27843D" w14:textId="77777777" w:rsidR="009730DA" w:rsidRDefault="00245FE6" w:rsidP="008457EA">
            <w:pPr>
              <w:ind w:left="0" w:right="-144"/>
              <w:rPr>
                <w:sz w:val="20"/>
                <w:szCs w:val="20"/>
              </w:rPr>
            </w:pPr>
            <w:r w:rsidRPr="008457EA">
              <w:rPr>
                <w:sz w:val="20"/>
                <w:szCs w:val="20"/>
              </w:rPr>
              <w:t>-1.65 (-2.83; -0.47)</w:t>
            </w:r>
          </w:p>
          <w:p w14:paraId="7DD79CD2" w14:textId="7B735577" w:rsidR="00245FE6" w:rsidRPr="008457EA" w:rsidRDefault="00245FE6" w:rsidP="008457EA">
            <w:pPr>
              <w:ind w:left="0" w:right="-144"/>
              <w:rPr>
                <w:sz w:val="20"/>
                <w:szCs w:val="20"/>
              </w:rPr>
            </w:pPr>
            <w:r w:rsidRPr="008457EA">
              <w:rPr>
                <w:sz w:val="20"/>
                <w:szCs w:val="20"/>
              </w:rPr>
              <w:t>p = 0.006</w:t>
            </w:r>
          </w:p>
        </w:tc>
        <w:tc>
          <w:tcPr>
            <w:tcW w:w="1710" w:type="dxa"/>
          </w:tcPr>
          <w:p w14:paraId="43AF287D" w14:textId="77777777" w:rsidR="00245FE6" w:rsidRPr="008457EA" w:rsidRDefault="00245FE6" w:rsidP="008457EA">
            <w:pPr>
              <w:ind w:left="0" w:right="-144"/>
              <w:rPr>
                <w:sz w:val="20"/>
                <w:szCs w:val="20"/>
              </w:rPr>
            </w:pPr>
            <w:r w:rsidRPr="008457EA">
              <w:rPr>
                <w:sz w:val="20"/>
                <w:szCs w:val="20"/>
              </w:rPr>
              <w:t>1.4 (0.44; 2.35)</w:t>
            </w:r>
          </w:p>
          <w:p w14:paraId="53A812E2" w14:textId="31B128CA" w:rsidR="00245FE6" w:rsidRPr="008457EA" w:rsidRDefault="00245FE6" w:rsidP="008457EA">
            <w:pPr>
              <w:ind w:left="0" w:right="-144"/>
              <w:rPr>
                <w:sz w:val="20"/>
                <w:szCs w:val="20"/>
              </w:rPr>
            </w:pPr>
            <w:r w:rsidRPr="008457EA">
              <w:rPr>
                <w:sz w:val="20"/>
                <w:szCs w:val="20"/>
              </w:rPr>
              <w:t>p = not reported</w:t>
            </w:r>
          </w:p>
        </w:tc>
      </w:tr>
      <w:tr w:rsidR="00245FE6" w:rsidRPr="00245FE6" w14:paraId="6631C2C9" w14:textId="77777777" w:rsidTr="008457EA">
        <w:tc>
          <w:tcPr>
            <w:tcW w:w="3140" w:type="dxa"/>
            <w:gridSpan w:val="3"/>
          </w:tcPr>
          <w:p w14:paraId="1C68D798" w14:textId="77777777" w:rsidR="00245FE6" w:rsidRPr="008457EA" w:rsidRDefault="00245FE6" w:rsidP="008457EA">
            <w:pPr>
              <w:ind w:left="0" w:right="-144"/>
              <w:rPr>
                <w:sz w:val="20"/>
                <w:szCs w:val="20"/>
              </w:rPr>
            </w:pPr>
          </w:p>
        </w:tc>
        <w:tc>
          <w:tcPr>
            <w:tcW w:w="2160" w:type="dxa"/>
            <w:gridSpan w:val="2"/>
          </w:tcPr>
          <w:p w14:paraId="5CE734A8" w14:textId="41675504" w:rsidR="00245FE6" w:rsidRPr="008457EA" w:rsidRDefault="00245FE6" w:rsidP="008457EA">
            <w:pPr>
              <w:ind w:left="0" w:right="-144"/>
              <w:rPr>
                <w:sz w:val="20"/>
                <w:szCs w:val="20"/>
              </w:rPr>
            </w:pPr>
            <w:r w:rsidRPr="008457EA">
              <w:rPr>
                <w:sz w:val="20"/>
                <w:szCs w:val="20"/>
              </w:rPr>
              <w:t>Secondary analysis ***</w:t>
            </w:r>
          </w:p>
        </w:tc>
        <w:tc>
          <w:tcPr>
            <w:tcW w:w="1890" w:type="dxa"/>
          </w:tcPr>
          <w:p w14:paraId="4E3D688C" w14:textId="77777777" w:rsidR="00245FE6" w:rsidRPr="008457EA" w:rsidRDefault="00245FE6" w:rsidP="008457EA">
            <w:pPr>
              <w:ind w:left="0" w:right="-144"/>
              <w:rPr>
                <w:sz w:val="20"/>
                <w:szCs w:val="20"/>
              </w:rPr>
            </w:pPr>
            <w:r w:rsidRPr="008457EA">
              <w:rPr>
                <w:sz w:val="20"/>
                <w:szCs w:val="20"/>
              </w:rPr>
              <w:t>-1.68 (-2.87; -0.5)</w:t>
            </w:r>
          </w:p>
          <w:p w14:paraId="2CDBFF8D" w14:textId="4F7AF37C" w:rsidR="00245FE6" w:rsidRPr="008457EA" w:rsidRDefault="009730DA" w:rsidP="008457EA">
            <w:pPr>
              <w:ind w:left="0" w:right="-144"/>
              <w:rPr>
                <w:sz w:val="20"/>
                <w:szCs w:val="20"/>
              </w:rPr>
            </w:pPr>
            <w:r>
              <w:rPr>
                <w:sz w:val="20"/>
                <w:szCs w:val="20"/>
              </w:rPr>
              <w:t xml:space="preserve">p = </w:t>
            </w:r>
            <w:r w:rsidR="00245FE6" w:rsidRPr="008457EA">
              <w:rPr>
                <w:sz w:val="20"/>
                <w:szCs w:val="20"/>
              </w:rPr>
              <w:t>0.006</w:t>
            </w:r>
          </w:p>
        </w:tc>
        <w:tc>
          <w:tcPr>
            <w:tcW w:w="1710" w:type="dxa"/>
          </w:tcPr>
          <w:p w14:paraId="7959A1AC" w14:textId="77777777" w:rsidR="00245FE6" w:rsidRPr="008457EA" w:rsidRDefault="00245FE6" w:rsidP="008457EA">
            <w:pPr>
              <w:ind w:left="0" w:right="-144"/>
              <w:rPr>
                <w:sz w:val="20"/>
                <w:szCs w:val="20"/>
              </w:rPr>
            </w:pPr>
            <w:r w:rsidRPr="008457EA">
              <w:rPr>
                <w:sz w:val="20"/>
                <w:szCs w:val="20"/>
              </w:rPr>
              <w:t>1.36 (0.4; 2.32)</w:t>
            </w:r>
          </w:p>
          <w:p w14:paraId="0EE79AFE" w14:textId="23C5E11C" w:rsidR="00245FE6" w:rsidRPr="008457EA" w:rsidRDefault="00245FE6" w:rsidP="008457EA">
            <w:pPr>
              <w:ind w:left="0" w:right="-144"/>
              <w:rPr>
                <w:sz w:val="20"/>
                <w:szCs w:val="20"/>
              </w:rPr>
            </w:pPr>
            <w:r w:rsidRPr="008457EA">
              <w:rPr>
                <w:sz w:val="20"/>
                <w:szCs w:val="20"/>
              </w:rPr>
              <w:t>p = not reported</w:t>
            </w:r>
          </w:p>
        </w:tc>
      </w:tr>
    </w:tbl>
    <w:p w14:paraId="0A2CB4CF" w14:textId="6267F8D0" w:rsidR="009730DA" w:rsidRDefault="009730DA" w:rsidP="00245FE6">
      <w:pPr>
        <w:pStyle w:val="TableDescription"/>
      </w:pPr>
      <w:r>
        <w:t>Abbreviations: CI = confidence interval(s); n = number of subjects.</w:t>
      </w:r>
    </w:p>
    <w:p w14:paraId="75CEED0D" w14:textId="3E42225A" w:rsidR="00245FE6" w:rsidRDefault="00245FE6" w:rsidP="00245FE6">
      <w:pPr>
        <w:pStyle w:val="TableDescription"/>
      </w:pPr>
      <w:r>
        <w:t>*</w:t>
      </w:r>
      <w:r w:rsidR="004D4142">
        <w:t xml:space="preserve"> </w:t>
      </w:r>
      <w:r>
        <w:t>Observed changes in mean percentages.</w:t>
      </w:r>
    </w:p>
    <w:p w14:paraId="2A037EEE" w14:textId="0D0B63F4" w:rsidR="00245FE6" w:rsidRDefault="00245FE6" w:rsidP="00245FE6">
      <w:pPr>
        <w:pStyle w:val="TableDescription"/>
      </w:pPr>
      <w:r>
        <w:t>** Primary analysis: change in truncal fat percentage from Baseline to the 34 week’s measurements was analysed using an analysis of covariance model with treatment, growth hormones deficiency onset type, sex, region, diabetes mellitus and sex by region by diabetes mellitus interaction as factors and baseline as a covariate.</w:t>
      </w:r>
    </w:p>
    <w:p w14:paraId="09062E75" w14:textId="731DF6AA" w:rsidR="00245FE6" w:rsidRDefault="00245FE6" w:rsidP="00245FE6">
      <w:pPr>
        <w:pStyle w:val="TableDescription"/>
      </w:pPr>
      <w:r>
        <w:t>*** Changes in truncal fat percentage from Baseline to the 34 weeks measurements was analysed using an analysis of covariance model with treatment, growth hormone deficiency onset type, set, region, diabetes mellitus and sex by region, diabe</w:t>
      </w:r>
      <w:r w:rsidR="00A87A5A">
        <w:t>tes mellitus interaction as factors and baseline as a covariate. Subjects without Week 34 data for the endpoint are excluded from the analysis.</w:t>
      </w:r>
    </w:p>
    <w:p w14:paraId="15B8054D" w14:textId="7AB37A53" w:rsidR="00AE05A4" w:rsidRDefault="00AE05A4" w:rsidP="00A87A5A">
      <w:r>
        <w:t xml:space="preserve">When body fat and lean body mass in other areas of the body were compared, there was a decrease in body fat in the </w:t>
      </w:r>
      <w:proofErr w:type="spellStart"/>
      <w:r>
        <w:t>somapacitan</w:t>
      </w:r>
      <w:proofErr w:type="spellEnd"/>
      <w:r>
        <w:t xml:space="preserve"> and somatropin groups, but an increase in body fat in the placebo group. The changes in body fat tended to be greater for somatropin. There was a greater increase in lean body mass in the </w:t>
      </w:r>
      <w:proofErr w:type="spellStart"/>
      <w:r>
        <w:t>somapacitan</w:t>
      </w:r>
      <w:proofErr w:type="spellEnd"/>
      <w:r>
        <w:t xml:space="preserve"> and somatropin groups than the placebo group. The changes in lean body mass were similar between the </w:t>
      </w:r>
      <w:proofErr w:type="spellStart"/>
      <w:r>
        <w:t>somapacitan</w:t>
      </w:r>
      <w:proofErr w:type="spellEnd"/>
      <w:r>
        <w:t xml:space="preserve"> and somatropin groups.</w:t>
      </w:r>
    </w:p>
    <w:p w14:paraId="4FB0095A" w14:textId="0111C051" w:rsidR="00AE05A4" w:rsidRDefault="00AE05A4" w:rsidP="00A87A5A">
      <w:r>
        <w:t>There was an increase in IGF-</w:t>
      </w:r>
      <w:r w:rsidR="009730DA">
        <w:t>1</w:t>
      </w:r>
      <w:r>
        <w:t xml:space="preserve"> and </w:t>
      </w:r>
      <w:r w:rsidR="009730DA">
        <w:t>IGF</w:t>
      </w:r>
      <w:r w:rsidR="004D4142" w:rsidRPr="004D4142">
        <w:t xml:space="preserve"> binding protein 3</w:t>
      </w:r>
      <w:r>
        <w:t xml:space="preserve"> from a </w:t>
      </w:r>
      <w:r w:rsidR="00A87A5A">
        <w:t>B</w:t>
      </w:r>
      <w:r>
        <w:t xml:space="preserve">aseline low of less than </w:t>
      </w:r>
      <w:r w:rsidR="009730DA">
        <w:noBreakHyphen/>
      </w:r>
      <w:r>
        <w:t xml:space="preserve">2 </w:t>
      </w:r>
      <w:r w:rsidR="00A87A5A">
        <w:t>standard deviation score</w:t>
      </w:r>
      <w:r>
        <w:t xml:space="preserve"> to the normal range. There was little change in the placebo group</w:t>
      </w:r>
      <w:r w:rsidR="009730DA">
        <w:t>.</w:t>
      </w:r>
      <w:r>
        <w:t xml:space="preserve"> </w:t>
      </w:r>
    </w:p>
    <w:p w14:paraId="2F63AC3F" w14:textId="210B9E79" w:rsidR="00AE05A4" w:rsidRDefault="00AE05A4" w:rsidP="00A87A5A">
      <w:r>
        <w:lastRenderedPageBreak/>
        <w:t xml:space="preserve">There was a small numerical increase in </w:t>
      </w:r>
      <w:r w:rsidR="004D4142">
        <w:t>s</w:t>
      </w:r>
      <w:r w:rsidR="004D4142" w:rsidRPr="004D4142">
        <w:t xml:space="preserve">hort </w:t>
      </w:r>
      <w:r w:rsidR="004D4142">
        <w:t>f</w:t>
      </w:r>
      <w:r w:rsidR="004D4142" w:rsidRPr="004D4142">
        <w:t xml:space="preserve">orm (36) </w:t>
      </w:r>
      <w:r w:rsidR="004D4142">
        <w:t>h</w:t>
      </w:r>
      <w:r w:rsidR="004D4142" w:rsidRPr="004D4142">
        <w:t xml:space="preserve">ealth </w:t>
      </w:r>
      <w:r w:rsidR="004D4142">
        <w:t>s</w:t>
      </w:r>
      <w:r w:rsidR="004D4142" w:rsidRPr="004D4142">
        <w:t xml:space="preserve">urvey </w:t>
      </w:r>
      <w:r w:rsidR="004D4142">
        <w:rPr>
          <w:rStyle w:val="FootnoteReference"/>
        </w:rPr>
        <w:footnoteReference w:id="7"/>
      </w:r>
      <w:r>
        <w:t xml:space="preserve"> scores at </w:t>
      </w:r>
      <w:r w:rsidR="00A87A5A">
        <w:t>W</w:t>
      </w:r>
      <w:r>
        <w:t xml:space="preserve">eek 34 compared to </w:t>
      </w:r>
      <w:r w:rsidR="009730DA">
        <w:t>B</w:t>
      </w:r>
      <w:r>
        <w:t xml:space="preserve">aseline in the </w:t>
      </w:r>
      <w:proofErr w:type="spellStart"/>
      <w:r>
        <w:t>somapacitan</w:t>
      </w:r>
      <w:proofErr w:type="spellEnd"/>
      <w:r>
        <w:t xml:space="preserve"> compared to the placebo groups. There was no significant difference in the </w:t>
      </w:r>
      <w:r w:rsidR="00A87A5A">
        <w:t>t</w:t>
      </w:r>
      <w:r w:rsidR="00A87A5A" w:rsidRPr="00A87A5A">
        <w:t xml:space="preserve">reatment </w:t>
      </w:r>
      <w:r w:rsidR="00A87A5A">
        <w:t>r</w:t>
      </w:r>
      <w:r w:rsidR="00A87A5A" w:rsidRPr="00A87A5A">
        <w:t xml:space="preserve">elated </w:t>
      </w:r>
      <w:r w:rsidR="00A87A5A">
        <w:t>i</w:t>
      </w:r>
      <w:r w:rsidR="00A87A5A" w:rsidRPr="00A87A5A">
        <w:t xml:space="preserve">mpact </w:t>
      </w:r>
      <w:r w:rsidR="00A87A5A">
        <w:t>m</w:t>
      </w:r>
      <w:r w:rsidR="00A87A5A" w:rsidRPr="00A87A5A">
        <w:t>easure</w:t>
      </w:r>
      <w:r w:rsidR="00A87A5A">
        <w:t xml:space="preserve"> a</w:t>
      </w:r>
      <w:r w:rsidR="00A87A5A" w:rsidRPr="00A87A5A">
        <w:t xml:space="preserve">dult </w:t>
      </w:r>
      <w:r w:rsidR="00A87A5A">
        <w:t>g</w:t>
      </w:r>
      <w:r w:rsidR="00A87A5A" w:rsidRPr="00A87A5A">
        <w:t xml:space="preserve">rowth </w:t>
      </w:r>
      <w:r w:rsidR="00A87A5A">
        <w:t>h</w:t>
      </w:r>
      <w:r w:rsidR="00A87A5A" w:rsidRPr="00A87A5A">
        <w:t xml:space="preserve">ormone </w:t>
      </w:r>
      <w:r w:rsidR="00A87A5A">
        <w:t>d</w:t>
      </w:r>
      <w:r w:rsidR="00A87A5A" w:rsidRPr="00A87A5A">
        <w:t>eficiency</w:t>
      </w:r>
      <w:r>
        <w:t xml:space="preserve"> scores between </w:t>
      </w:r>
      <w:proofErr w:type="spellStart"/>
      <w:r>
        <w:t>somapacitan</w:t>
      </w:r>
      <w:proofErr w:type="spellEnd"/>
      <w:r>
        <w:t xml:space="preserve"> and placebo.</w:t>
      </w:r>
    </w:p>
    <w:p w14:paraId="1DD3AB9B" w14:textId="69256D27" w:rsidR="00AE05A4" w:rsidRDefault="00A87A5A" w:rsidP="00A87A5A">
      <w:r w:rsidRPr="00A87A5A">
        <w:t xml:space="preserve">Treatment </w:t>
      </w:r>
      <w:r>
        <w:t>s</w:t>
      </w:r>
      <w:r w:rsidRPr="00A87A5A">
        <w:t xml:space="preserve">atisfaction </w:t>
      </w:r>
      <w:r>
        <w:t>q</w:t>
      </w:r>
      <w:r w:rsidRPr="00A87A5A">
        <w:t xml:space="preserve">uestionnaire for </w:t>
      </w:r>
      <w:r>
        <w:t>m</w:t>
      </w:r>
      <w:r w:rsidRPr="00A87A5A">
        <w:t xml:space="preserve">edication (TSQM-9) </w:t>
      </w:r>
      <w:r w:rsidR="00AE05A4">
        <w:t xml:space="preserve">scores (effectiveness, convenience, global satisfaction) after 34 weeks of treatment were used to support the primary objective. At 34 weeks, the overall satisfaction score was greater for </w:t>
      </w:r>
      <w:proofErr w:type="spellStart"/>
      <w:r w:rsidR="00AE05A4">
        <w:t>somapacitan</w:t>
      </w:r>
      <w:proofErr w:type="spellEnd"/>
      <w:r w:rsidR="00AE05A4">
        <w:t xml:space="preserve"> than placebo, with no significant difference observed in effectiveness or convenience scores.</w:t>
      </w:r>
    </w:p>
    <w:p w14:paraId="5C6B0E0F" w14:textId="7FB24F47" w:rsidR="00AE05A4" w:rsidRDefault="00AE05A4" w:rsidP="00A87A5A">
      <w:r>
        <w:t xml:space="preserve">There were no significant changes in cholesterol and triglycerides or cardiovascular parameters at </w:t>
      </w:r>
      <w:r w:rsidR="008044C4">
        <w:t>B</w:t>
      </w:r>
      <w:r>
        <w:t>aseline and at 34 weeks.</w:t>
      </w:r>
    </w:p>
    <w:p w14:paraId="12072A7F" w14:textId="2692508D" w:rsidR="00AE05A4" w:rsidRDefault="004D4142" w:rsidP="00A87A5A">
      <w:r>
        <w:t>The Delegate note</w:t>
      </w:r>
      <w:r w:rsidR="009730DA">
        <w:t>s</w:t>
      </w:r>
      <w:r>
        <w:t xml:space="preserve"> that</w:t>
      </w:r>
      <w:r w:rsidR="00AE05A4">
        <w:t xml:space="preserve"> at the end of the </w:t>
      </w:r>
      <w:proofErr w:type="gramStart"/>
      <w:r w:rsidR="00AE05A4">
        <w:t>8 week</w:t>
      </w:r>
      <w:proofErr w:type="gramEnd"/>
      <w:r w:rsidR="00AE05A4">
        <w:t xml:space="preserve"> titration phase, 47% of the AGHD study patients did not obtain an IGF-</w:t>
      </w:r>
      <w:r w:rsidR="009730DA">
        <w:t>1</w:t>
      </w:r>
      <w:r w:rsidR="00AE05A4">
        <w:t xml:space="preserve"> level above </w:t>
      </w:r>
      <w:r w:rsidR="00C02D6A">
        <w:t>zero</w:t>
      </w:r>
      <w:r w:rsidR="00AE05A4">
        <w:t>. The sponsor performed a modelling analysis. This showed that if patients received dose titration to receive the highest dose, 90% would achieve IGF</w:t>
      </w:r>
      <w:r w:rsidR="00A87A5A">
        <w:noBreakHyphen/>
      </w:r>
      <w:r w:rsidR="009730DA">
        <w:t>1</w:t>
      </w:r>
      <w:r w:rsidR="00AE05A4">
        <w:t xml:space="preserve"> in the target range.</w:t>
      </w:r>
    </w:p>
    <w:p w14:paraId="37F603D5" w14:textId="18E175CC" w:rsidR="00AE05A4" w:rsidRDefault="00AE05A4" w:rsidP="00AE05A4">
      <w:r>
        <w:t>At the end of the open label extension period, over</w:t>
      </w:r>
      <w:r w:rsidR="004D4142">
        <w:t xml:space="preserve"> </w:t>
      </w:r>
      <w:r>
        <w:t>all there were similar changes in truncal fat, visceral adipose tissue, and lean muscle mass between all groups.</w:t>
      </w:r>
    </w:p>
    <w:p w14:paraId="73FDD6F8" w14:textId="5628F52E" w:rsidR="00AE05A4" w:rsidRDefault="00AE05A4" w:rsidP="00AE05A4">
      <w:pPr>
        <w:pStyle w:val="Heading5"/>
      </w:pPr>
      <w:r>
        <w:t xml:space="preserve">Supportive </w:t>
      </w:r>
      <w:r w:rsidR="009730DA">
        <w:t>s</w:t>
      </w:r>
      <w:r>
        <w:t>tudies</w:t>
      </w:r>
    </w:p>
    <w:p w14:paraId="6C2CEB11" w14:textId="7C52DC3E" w:rsidR="00AE05A4" w:rsidRDefault="00AE05A4" w:rsidP="00AE05A4">
      <w:r>
        <w:t xml:space="preserve">Study 4504 was supported by </w:t>
      </w:r>
      <w:r w:rsidR="008044C4">
        <w:t>S</w:t>
      </w:r>
      <w:r>
        <w:t xml:space="preserve">tudy </w:t>
      </w:r>
      <w:r w:rsidR="00821388">
        <w:t>4</w:t>
      </w:r>
      <w:r>
        <w:t xml:space="preserve">043 in patients with AGHD previously treated with </w:t>
      </w:r>
      <w:r w:rsidR="00A87A5A">
        <w:t>growth hormone</w:t>
      </w:r>
      <w:r>
        <w:t xml:space="preserve">, and </w:t>
      </w:r>
      <w:r w:rsidR="008044C4">
        <w:t>S</w:t>
      </w:r>
      <w:r>
        <w:t>tudy 4244 in Japanese subjects with AGHD.</w:t>
      </w:r>
    </w:p>
    <w:p w14:paraId="1242D880" w14:textId="77777777" w:rsidR="00AE05A4" w:rsidRDefault="00AE05A4" w:rsidP="00AE05A4">
      <w:pPr>
        <w:pStyle w:val="Heading4"/>
      </w:pPr>
      <w:r>
        <w:t>Safety</w:t>
      </w:r>
    </w:p>
    <w:p w14:paraId="29785A94" w14:textId="39346A06" w:rsidR="00AE05A4" w:rsidRDefault="00AE05A4" w:rsidP="00AE05A4">
      <w:r>
        <w:t xml:space="preserve">The </w:t>
      </w:r>
      <w:r w:rsidR="00A87A5A">
        <w:t>three</w:t>
      </w:r>
      <w:r>
        <w:t xml:space="preserve"> </w:t>
      </w:r>
      <w:r w:rsidR="0090423A">
        <w:t>Phase</w:t>
      </w:r>
      <w:r>
        <w:t xml:space="preserve"> </w:t>
      </w:r>
      <w:r w:rsidR="00A87A5A">
        <w:t>III</w:t>
      </w:r>
      <w:r>
        <w:t xml:space="preserve"> studies included 333 </w:t>
      </w:r>
      <w:r w:rsidR="004D4142">
        <w:t>AGHD</w:t>
      </w:r>
      <w:r>
        <w:t xml:space="preserve"> patients to once weekly </w:t>
      </w:r>
      <w:proofErr w:type="spellStart"/>
      <w:r>
        <w:t>somapacitan</w:t>
      </w:r>
      <w:proofErr w:type="spellEnd"/>
      <w:r>
        <w:t xml:space="preserve"> at a mean dose of 2.38</w:t>
      </w:r>
      <w:r w:rsidR="00A87A5A">
        <w:t> </w:t>
      </w:r>
      <w:r>
        <w:t>mg/week. Of these, 253 were exposed for more than 12 months, and 109 for more than 18 months.</w:t>
      </w:r>
    </w:p>
    <w:p w14:paraId="4D080F53" w14:textId="3EFBC76D" w:rsidR="00AE05A4" w:rsidRPr="00AE05A4" w:rsidRDefault="00AE05A4" w:rsidP="00AE05A4">
      <w:r>
        <w:t xml:space="preserve">The </w:t>
      </w:r>
      <w:r w:rsidR="00A87A5A">
        <w:t>adverse events</w:t>
      </w:r>
      <w:r>
        <w:t xml:space="preserve"> profile was similar between </w:t>
      </w:r>
      <w:proofErr w:type="spellStart"/>
      <w:r>
        <w:t>somapacitan</w:t>
      </w:r>
      <w:proofErr w:type="spellEnd"/>
      <w:r>
        <w:t xml:space="preserve"> and somatropin. Most </w:t>
      </w:r>
      <w:r w:rsidR="00A87A5A">
        <w:t>adverse events</w:t>
      </w:r>
      <w:r>
        <w:t xml:space="preserve"> were mild.</w:t>
      </w:r>
    </w:p>
    <w:p w14:paraId="07E4C927" w14:textId="77777777" w:rsidR="008E7846" w:rsidRDefault="00386150" w:rsidP="007B6132">
      <w:pPr>
        <w:pStyle w:val="Heading3"/>
        <w:rPr>
          <w:lang w:eastAsia="en-AU"/>
        </w:rPr>
      </w:pPr>
      <w:bookmarkStart w:id="43" w:name="_Toc314842514"/>
      <w:bookmarkStart w:id="44" w:name="_Toc110415605"/>
      <w:r>
        <w:rPr>
          <w:lang w:eastAsia="en-AU"/>
        </w:rPr>
        <w:t>Risk m</w:t>
      </w:r>
      <w:r w:rsidR="008E7846">
        <w:rPr>
          <w:lang w:eastAsia="en-AU"/>
        </w:rPr>
        <w:t xml:space="preserve">anagement </w:t>
      </w:r>
      <w:r>
        <w:rPr>
          <w:lang w:eastAsia="en-AU"/>
        </w:rPr>
        <w:t>p</w:t>
      </w:r>
      <w:r w:rsidR="008E7846">
        <w:rPr>
          <w:lang w:eastAsia="en-AU"/>
        </w:rPr>
        <w:t>lan</w:t>
      </w:r>
      <w:bookmarkEnd w:id="43"/>
      <w:bookmarkEnd w:id="44"/>
    </w:p>
    <w:p w14:paraId="31F16EE8" w14:textId="466D3ED6" w:rsidR="003D3C4F" w:rsidRDefault="00A87A5A" w:rsidP="003D3C4F">
      <w:bookmarkStart w:id="45" w:name="_Toc247691531"/>
      <w:bookmarkStart w:id="46" w:name="_Toc314842515"/>
      <w:bookmarkStart w:id="47" w:name="_Toc196046505"/>
      <w:bookmarkStart w:id="48" w:name="_Toc196046949"/>
      <w:r>
        <w:t>The s</w:t>
      </w:r>
      <w:r w:rsidR="003D3C4F">
        <w:t xml:space="preserve">ponsor has submitted approved </w:t>
      </w:r>
      <w:r>
        <w:t>European Union (</w:t>
      </w:r>
      <w:r w:rsidR="003D3C4F">
        <w:t>EU</w:t>
      </w:r>
      <w:r>
        <w:t>)</w:t>
      </w:r>
      <w:r w:rsidR="003D3C4F">
        <w:t>-</w:t>
      </w:r>
      <w:r>
        <w:t>risk management plan (</w:t>
      </w:r>
      <w:r w:rsidR="003D3C4F">
        <w:t>RMP</w:t>
      </w:r>
      <w:r>
        <w:t>)</w:t>
      </w:r>
      <w:r w:rsidR="003D3C4F">
        <w:t xml:space="preserve"> version 1.0 (12 April 2021; </w:t>
      </w:r>
      <w:r>
        <w:t>data lock point (</w:t>
      </w:r>
      <w:r w:rsidR="003D3C4F">
        <w:t>DLP</w:t>
      </w:r>
      <w:r>
        <w:t>)</w:t>
      </w:r>
      <w:r w:rsidR="003D3C4F">
        <w:t xml:space="preserve"> 31 Mar 2019) and </w:t>
      </w:r>
      <w:r>
        <w:t>Australia specific annex (</w:t>
      </w:r>
      <w:r w:rsidR="003D3C4F">
        <w:t>ASA</w:t>
      </w:r>
      <w:r>
        <w:t>)</w:t>
      </w:r>
      <w:r w:rsidR="003D3C4F">
        <w:t xml:space="preserve"> version 0.1 (19 April 2021) in support of this application. </w:t>
      </w:r>
      <w:r>
        <w:t xml:space="preserve">In </w:t>
      </w:r>
      <w:r w:rsidR="003D3C4F">
        <w:t>response</w:t>
      </w:r>
      <w:r>
        <w:t xml:space="preserve"> to TGA questions</w:t>
      </w:r>
      <w:r w:rsidR="003D3C4F">
        <w:t>, sponsor has supplied ASA version 0.2 (15 October 2021).</w:t>
      </w:r>
    </w:p>
    <w:p w14:paraId="16389120" w14:textId="77777777" w:rsidR="003D3C4F" w:rsidRDefault="003D3C4F" w:rsidP="003D3C4F">
      <w:r>
        <w:t>The current evaluation is supported by a complete set of European Medicines Agency assessment reports, including RMP and Pharmacovigilance Risk Assessment Committee (PRAC) reports. The focus of the current assessment is ensuring the RMP-ASA is appropriate for the health settings, and setting of use, in Australia.</w:t>
      </w:r>
    </w:p>
    <w:p w14:paraId="45A4636E" w14:textId="40FD2630" w:rsidR="0074163C" w:rsidRDefault="0074163C" w:rsidP="0074163C">
      <w:r>
        <w:t xml:space="preserve">The summary of safety concerns and their associated risk monitoring and mitigation strategies are summarised in </w:t>
      </w:r>
      <w:r w:rsidR="00A87A5A">
        <w:fldChar w:fldCharType="begin"/>
      </w:r>
      <w:r w:rsidR="00A87A5A">
        <w:instrText xml:space="preserve"> REF _Ref97629131 \h </w:instrText>
      </w:r>
      <w:r w:rsidR="00A87A5A">
        <w:fldChar w:fldCharType="separate"/>
      </w:r>
      <w:r w:rsidR="000377C2">
        <w:t xml:space="preserve">Table </w:t>
      </w:r>
      <w:r w:rsidR="000377C2">
        <w:rPr>
          <w:noProof/>
        </w:rPr>
        <w:t>7</w:t>
      </w:r>
      <w:r w:rsidR="00A87A5A">
        <w:fldChar w:fldCharType="end"/>
      </w:r>
      <w:r>
        <w:t xml:space="preserve">. Further information regarding </w:t>
      </w:r>
      <w:r w:rsidR="00CC5044">
        <w:t>the TGA</w:t>
      </w:r>
      <w:r w:rsidR="00BF7063">
        <w:t>’</w:t>
      </w:r>
      <w:r w:rsidR="00CC5044">
        <w:t>s r</w:t>
      </w:r>
      <w:r>
        <w:t xml:space="preserve">isk management approach can be found in </w:t>
      </w:r>
      <w:hyperlink r:id="rId23" w:history="1">
        <w:r w:rsidRPr="0023444E">
          <w:rPr>
            <w:rStyle w:val="Hyperlink"/>
          </w:rPr>
          <w:t>risk management plans for medicines and biologicals</w:t>
        </w:r>
      </w:hyperlink>
      <w:r>
        <w:t xml:space="preserve"> and </w:t>
      </w:r>
      <w:hyperlink r:id="rId24" w:history="1">
        <w:r w:rsidRPr="0023444E">
          <w:rPr>
            <w:rStyle w:val="Hyperlink"/>
          </w:rPr>
          <w:t>the TGA's risk management approach</w:t>
        </w:r>
      </w:hyperlink>
      <w:r>
        <w:t>.</w:t>
      </w:r>
    </w:p>
    <w:p w14:paraId="370A6C9D" w14:textId="43BCEB8A" w:rsidR="0074163C" w:rsidRDefault="0074163C" w:rsidP="00EA0AD8">
      <w:pPr>
        <w:pStyle w:val="TableTitle"/>
      </w:pPr>
      <w:bookmarkStart w:id="49" w:name="_Ref97629131"/>
      <w:r>
        <w:lastRenderedPageBreak/>
        <w:t xml:space="preserve">Table </w:t>
      </w:r>
      <w:fldSimple w:instr=" SEQ Table \* ARABIC ">
        <w:r w:rsidR="000377C2">
          <w:rPr>
            <w:noProof/>
          </w:rPr>
          <w:t>7</w:t>
        </w:r>
      </w:fldSimple>
      <w:bookmarkEnd w:id="49"/>
      <w:r>
        <w:t>: Summary of safety concerns</w:t>
      </w:r>
    </w:p>
    <w:tbl>
      <w:tblPr>
        <w:tblStyle w:val="TableTGAblue"/>
        <w:tblW w:w="5000" w:type="pct"/>
        <w:tblLook w:val="04A0" w:firstRow="1" w:lastRow="0" w:firstColumn="1" w:lastColumn="0" w:noHBand="0" w:noVBand="1"/>
      </w:tblPr>
      <w:tblGrid>
        <w:gridCol w:w="1614"/>
        <w:gridCol w:w="1826"/>
        <w:gridCol w:w="1164"/>
        <w:gridCol w:w="1364"/>
        <w:gridCol w:w="1164"/>
        <w:gridCol w:w="1362"/>
      </w:tblGrid>
      <w:tr w:rsidR="003D3C4F" w:rsidRPr="00BF52F4" w14:paraId="29725F3D" w14:textId="77777777" w:rsidTr="00EA0AD8">
        <w:trPr>
          <w:cnfStyle w:val="100000000000" w:firstRow="1" w:lastRow="0" w:firstColumn="0" w:lastColumn="0" w:oddVBand="0" w:evenVBand="0" w:oddHBand="0" w:evenHBand="0" w:firstRowFirstColumn="0" w:firstRowLastColumn="0" w:lastRowFirstColumn="0" w:lastRowLastColumn="0"/>
          <w:trHeight w:val="131"/>
        </w:trPr>
        <w:tc>
          <w:tcPr>
            <w:tcW w:w="2025" w:type="pct"/>
            <w:gridSpan w:val="2"/>
            <w:vMerge w:val="restart"/>
            <w:tcBorders>
              <w:top w:val="single" w:sz="4" w:space="0" w:color="auto"/>
              <w:left w:val="single" w:sz="4" w:space="0" w:color="auto"/>
              <w:bottom w:val="single" w:sz="4" w:space="0" w:color="auto"/>
              <w:right w:val="single" w:sz="4" w:space="0" w:color="auto"/>
            </w:tcBorders>
          </w:tcPr>
          <w:p w14:paraId="6B4A38F7" w14:textId="77777777" w:rsidR="003D3C4F" w:rsidRPr="00EA0AD8" w:rsidRDefault="003D3C4F" w:rsidP="00D719B1">
            <w:pPr>
              <w:pStyle w:val="Tabletext"/>
              <w:rPr>
                <w:b w:val="0"/>
              </w:rPr>
            </w:pPr>
            <w:r w:rsidRPr="00EA0AD8">
              <w:t>Summary of safety concerns</w:t>
            </w:r>
          </w:p>
        </w:tc>
        <w:tc>
          <w:tcPr>
            <w:tcW w:w="1488" w:type="pct"/>
            <w:gridSpan w:val="2"/>
            <w:tcBorders>
              <w:top w:val="single" w:sz="4" w:space="0" w:color="auto"/>
              <w:left w:val="single" w:sz="4" w:space="0" w:color="auto"/>
              <w:bottom w:val="single" w:sz="4" w:space="0" w:color="auto"/>
              <w:right w:val="single" w:sz="4" w:space="0" w:color="auto"/>
            </w:tcBorders>
          </w:tcPr>
          <w:p w14:paraId="19783E7D" w14:textId="77777777" w:rsidR="003D3C4F" w:rsidRPr="00EA0AD8" w:rsidRDefault="003D3C4F" w:rsidP="00D719B1">
            <w:pPr>
              <w:pStyle w:val="Tabletext"/>
              <w:rPr>
                <w:b w:val="0"/>
                <w:sz w:val="18"/>
              </w:rPr>
            </w:pPr>
            <w:r w:rsidRPr="00EA0AD8">
              <w:rPr>
                <w:sz w:val="18"/>
              </w:rPr>
              <w:t>Pharmacovigilance</w:t>
            </w:r>
          </w:p>
        </w:tc>
        <w:tc>
          <w:tcPr>
            <w:tcW w:w="1488" w:type="pct"/>
            <w:gridSpan w:val="2"/>
            <w:tcBorders>
              <w:top w:val="single" w:sz="4" w:space="0" w:color="auto"/>
              <w:left w:val="single" w:sz="4" w:space="0" w:color="auto"/>
              <w:bottom w:val="single" w:sz="4" w:space="0" w:color="auto"/>
              <w:right w:val="single" w:sz="4" w:space="0" w:color="auto"/>
            </w:tcBorders>
          </w:tcPr>
          <w:p w14:paraId="35020479" w14:textId="77777777" w:rsidR="003D3C4F" w:rsidRPr="00EA0AD8" w:rsidRDefault="003D3C4F" w:rsidP="00D719B1">
            <w:pPr>
              <w:pStyle w:val="Tabletext"/>
              <w:rPr>
                <w:b w:val="0"/>
                <w:sz w:val="18"/>
              </w:rPr>
            </w:pPr>
            <w:r w:rsidRPr="00EA0AD8">
              <w:rPr>
                <w:sz w:val="18"/>
              </w:rPr>
              <w:t>Risk Minimisation</w:t>
            </w:r>
          </w:p>
        </w:tc>
      </w:tr>
      <w:tr w:rsidR="00EA0AD8" w:rsidRPr="00BF52F4" w14:paraId="16E7D109" w14:textId="77777777" w:rsidTr="00EA0AD8">
        <w:trPr>
          <w:trHeight w:val="150"/>
        </w:trPr>
        <w:tc>
          <w:tcPr>
            <w:tcW w:w="2025" w:type="pct"/>
            <w:gridSpan w:val="2"/>
            <w:vMerge/>
            <w:tcBorders>
              <w:top w:val="single" w:sz="4" w:space="0" w:color="auto"/>
              <w:left w:val="single" w:sz="4" w:space="0" w:color="auto"/>
              <w:bottom w:val="single" w:sz="4" w:space="0" w:color="auto"/>
              <w:right w:val="single" w:sz="4" w:space="0" w:color="auto"/>
            </w:tcBorders>
          </w:tcPr>
          <w:p w14:paraId="23BC735D" w14:textId="77777777" w:rsidR="003D3C4F" w:rsidRPr="00EA0AD8" w:rsidRDefault="003D3C4F" w:rsidP="00D719B1">
            <w:pPr>
              <w:pStyle w:val="Tabletext"/>
              <w:rPr>
                <w:b/>
                <w:color w:val="FFFFFF" w:themeColor="background1"/>
              </w:rPr>
            </w:pPr>
          </w:p>
        </w:tc>
        <w:tc>
          <w:tcPr>
            <w:tcW w:w="685" w:type="pct"/>
            <w:tcBorders>
              <w:top w:val="single" w:sz="4" w:space="0" w:color="auto"/>
              <w:left w:val="single" w:sz="4" w:space="0" w:color="auto"/>
              <w:bottom w:val="single" w:sz="4" w:space="0" w:color="auto"/>
              <w:right w:val="single" w:sz="4" w:space="0" w:color="auto"/>
            </w:tcBorders>
            <w:shd w:val="clear" w:color="auto" w:fill="006DA7"/>
          </w:tcPr>
          <w:p w14:paraId="0FA28636" w14:textId="77777777" w:rsidR="003D3C4F" w:rsidRPr="00EA0AD8" w:rsidRDefault="003D3C4F" w:rsidP="00D719B1">
            <w:pPr>
              <w:pStyle w:val="Tabletext"/>
              <w:rPr>
                <w:color w:val="FFFFFF" w:themeColor="background1"/>
                <w:sz w:val="18"/>
              </w:rPr>
            </w:pPr>
            <w:r w:rsidRPr="00EA0AD8">
              <w:rPr>
                <w:color w:val="FFFFFF" w:themeColor="background1"/>
                <w:sz w:val="18"/>
              </w:rPr>
              <w:t>Routine</w:t>
            </w:r>
          </w:p>
        </w:tc>
        <w:tc>
          <w:tcPr>
            <w:tcW w:w="803" w:type="pct"/>
            <w:tcBorders>
              <w:top w:val="single" w:sz="4" w:space="0" w:color="auto"/>
              <w:left w:val="single" w:sz="4" w:space="0" w:color="auto"/>
              <w:bottom w:val="single" w:sz="4" w:space="0" w:color="auto"/>
              <w:right w:val="single" w:sz="4" w:space="0" w:color="auto"/>
            </w:tcBorders>
            <w:shd w:val="clear" w:color="auto" w:fill="006DA7"/>
          </w:tcPr>
          <w:p w14:paraId="69038DC5" w14:textId="77777777" w:rsidR="003D3C4F" w:rsidRPr="00EA0AD8" w:rsidRDefault="003D3C4F" w:rsidP="00D719B1">
            <w:pPr>
              <w:pStyle w:val="Tabletext"/>
              <w:rPr>
                <w:color w:val="FFFFFF" w:themeColor="background1"/>
                <w:sz w:val="18"/>
              </w:rPr>
            </w:pPr>
            <w:r w:rsidRPr="00EA0AD8">
              <w:rPr>
                <w:color w:val="FFFFFF" w:themeColor="background1"/>
                <w:sz w:val="18"/>
              </w:rPr>
              <w:t>Additional</w:t>
            </w:r>
          </w:p>
        </w:tc>
        <w:tc>
          <w:tcPr>
            <w:tcW w:w="685" w:type="pct"/>
            <w:tcBorders>
              <w:top w:val="single" w:sz="4" w:space="0" w:color="auto"/>
              <w:left w:val="single" w:sz="4" w:space="0" w:color="auto"/>
              <w:bottom w:val="single" w:sz="4" w:space="0" w:color="auto"/>
              <w:right w:val="single" w:sz="4" w:space="0" w:color="auto"/>
            </w:tcBorders>
            <w:shd w:val="clear" w:color="auto" w:fill="006DA7"/>
          </w:tcPr>
          <w:p w14:paraId="4862BBB2" w14:textId="77777777" w:rsidR="003D3C4F" w:rsidRPr="00EA0AD8" w:rsidRDefault="003D3C4F" w:rsidP="00D719B1">
            <w:pPr>
              <w:pStyle w:val="Tabletext"/>
              <w:rPr>
                <w:color w:val="FFFFFF" w:themeColor="background1"/>
                <w:sz w:val="18"/>
              </w:rPr>
            </w:pPr>
            <w:r w:rsidRPr="00EA0AD8">
              <w:rPr>
                <w:color w:val="FFFFFF" w:themeColor="background1"/>
                <w:sz w:val="18"/>
              </w:rPr>
              <w:t>Routine</w:t>
            </w:r>
          </w:p>
        </w:tc>
        <w:tc>
          <w:tcPr>
            <w:tcW w:w="803" w:type="pct"/>
            <w:tcBorders>
              <w:top w:val="single" w:sz="4" w:space="0" w:color="auto"/>
              <w:left w:val="single" w:sz="4" w:space="0" w:color="auto"/>
              <w:bottom w:val="single" w:sz="4" w:space="0" w:color="auto"/>
              <w:right w:val="single" w:sz="4" w:space="0" w:color="auto"/>
            </w:tcBorders>
            <w:shd w:val="clear" w:color="auto" w:fill="006DA7"/>
          </w:tcPr>
          <w:p w14:paraId="0EC7828B" w14:textId="77777777" w:rsidR="003D3C4F" w:rsidRPr="00EA0AD8" w:rsidRDefault="003D3C4F" w:rsidP="00D719B1">
            <w:pPr>
              <w:pStyle w:val="Tabletext"/>
              <w:rPr>
                <w:color w:val="FFFFFF" w:themeColor="background1"/>
                <w:sz w:val="18"/>
              </w:rPr>
            </w:pPr>
            <w:r w:rsidRPr="00EA0AD8">
              <w:rPr>
                <w:color w:val="FFFFFF" w:themeColor="background1"/>
                <w:sz w:val="18"/>
              </w:rPr>
              <w:t>Additional</w:t>
            </w:r>
          </w:p>
        </w:tc>
      </w:tr>
      <w:tr w:rsidR="003D3C4F" w:rsidRPr="00BF52F4" w14:paraId="18F74763" w14:textId="77777777" w:rsidTr="00EA0AD8">
        <w:trPr>
          <w:trHeight w:val="845"/>
        </w:trPr>
        <w:tc>
          <w:tcPr>
            <w:tcW w:w="950" w:type="pct"/>
            <w:tcBorders>
              <w:top w:val="single" w:sz="4" w:space="0" w:color="auto"/>
            </w:tcBorders>
          </w:tcPr>
          <w:p w14:paraId="564B0522" w14:textId="77777777" w:rsidR="003D3C4F" w:rsidRPr="00BF52F4" w:rsidRDefault="003D3C4F" w:rsidP="00D719B1">
            <w:pPr>
              <w:pStyle w:val="Tabletext"/>
              <w:rPr>
                <w:b/>
              </w:rPr>
            </w:pPr>
            <w:r w:rsidRPr="00BF52F4">
              <w:rPr>
                <w:b/>
              </w:rPr>
              <w:t>Important identified risks</w:t>
            </w:r>
          </w:p>
        </w:tc>
        <w:tc>
          <w:tcPr>
            <w:tcW w:w="1075" w:type="pct"/>
            <w:tcBorders>
              <w:top w:val="single" w:sz="4" w:space="0" w:color="auto"/>
            </w:tcBorders>
          </w:tcPr>
          <w:p w14:paraId="7B648637" w14:textId="1D5D3EF0" w:rsidR="003D3C4F" w:rsidRPr="00BF52F4" w:rsidRDefault="00A87A5A" w:rsidP="00A87A5A">
            <w:pPr>
              <w:pStyle w:val="Tabletext"/>
            </w:pPr>
            <w:r>
              <w:t>None</w:t>
            </w:r>
          </w:p>
        </w:tc>
        <w:tc>
          <w:tcPr>
            <w:tcW w:w="685" w:type="pct"/>
            <w:tcBorders>
              <w:top w:val="single" w:sz="4" w:space="0" w:color="auto"/>
            </w:tcBorders>
          </w:tcPr>
          <w:p w14:paraId="5A7DF326" w14:textId="77777777" w:rsidR="003D3C4F" w:rsidRPr="00826BD2" w:rsidRDefault="003D3C4F" w:rsidP="00D719B1">
            <w:pPr>
              <w:pStyle w:val="Tabletext"/>
              <w:jc w:val="center"/>
            </w:pPr>
            <w:r w:rsidRPr="00826BD2">
              <w:t>–</w:t>
            </w:r>
          </w:p>
        </w:tc>
        <w:tc>
          <w:tcPr>
            <w:tcW w:w="803" w:type="pct"/>
            <w:tcBorders>
              <w:top w:val="single" w:sz="4" w:space="0" w:color="auto"/>
            </w:tcBorders>
          </w:tcPr>
          <w:p w14:paraId="2CE5ECB8" w14:textId="77777777" w:rsidR="003D3C4F" w:rsidRPr="00826BD2" w:rsidRDefault="003D3C4F" w:rsidP="00D719B1">
            <w:pPr>
              <w:pStyle w:val="Tabletext"/>
              <w:jc w:val="center"/>
            </w:pPr>
            <w:r w:rsidRPr="00826BD2">
              <w:t>–</w:t>
            </w:r>
          </w:p>
        </w:tc>
        <w:tc>
          <w:tcPr>
            <w:tcW w:w="685" w:type="pct"/>
            <w:tcBorders>
              <w:top w:val="single" w:sz="4" w:space="0" w:color="auto"/>
            </w:tcBorders>
          </w:tcPr>
          <w:p w14:paraId="0BB7289D" w14:textId="77777777" w:rsidR="003D3C4F" w:rsidRPr="00826BD2" w:rsidRDefault="003D3C4F" w:rsidP="00D719B1">
            <w:pPr>
              <w:pStyle w:val="Tabletext"/>
              <w:jc w:val="center"/>
            </w:pPr>
            <w:r w:rsidRPr="00826BD2">
              <w:t>–</w:t>
            </w:r>
          </w:p>
        </w:tc>
        <w:tc>
          <w:tcPr>
            <w:tcW w:w="803" w:type="pct"/>
            <w:tcBorders>
              <w:top w:val="single" w:sz="4" w:space="0" w:color="auto"/>
            </w:tcBorders>
          </w:tcPr>
          <w:p w14:paraId="0C9DB361" w14:textId="77777777" w:rsidR="003D3C4F" w:rsidRPr="00826BD2" w:rsidRDefault="003D3C4F" w:rsidP="00D719B1">
            <w:pPr>
              <w:pStyle w:val="Tabletext"/>
              <w:jc w:val="center"/>
            </w:pPr>
            <w:r w:rsidRPr="00826BD2">
              <w:t>–</w:t>
            </w:r>
          </w:p>
        </w:tc>
      </w:tr>
      <w:tr w:rsidR="003D3C4F" w:rsidRPr="00BF52F4" w14:paraId="3C9E4DA6" w14:textId="77777777" w:rsidTr="003D3C4F">
        <w:trPr>
          <w:trHeight w:val="159"/>
        </w:trPr>
        <w:tc>
          <w:tcPr>
            <w:tcW w:w="950" w:type="pct"/>
            <w:vMerge w:val="restart"/>
          </w:tcPr>
          <w:p w14:paraId="617A6ED0" w14:textId="77777777" w:rsidR="003D3C4F" w:rsidRPr="00BF52F4" w:rsidRDefault="003D3C4F" w:rsidP="00D719B1">
            <w:pPr>
              <w:pStyle w:val="Tabletext"/>
              <w:rPr>
                <w:b/>
              </w:rPr>
            </w:pPr>
            <w:r w:rsidRPr="00BF52F4">
              <w:rPr>
                <w:b/>
              </w:rPr>
              <w:t>Important potential risks</w:t>
            </w:r>
          </w:p>
        </w:tc>
        <w:tc>
          <w:tcPr>
            <w:tcW w:w="1075" w:type="pct"/>
          </w:tcPr>
          <w:p w14:paraId="30FA1733" w14:textId="77777777" w:rsidR="003D3C4F" w:rsidRPr="00BF52F4" w:rsidRDefault="003D3C4F" w:rsidP="00D719B1">
            <w:pPr>
              <w:pStyle w:val="Tabletext"/>
            </w:pPr>
            <w:r>
              <w:t>Neoplasms</w:t>
            </w:r>
          </w:p>
        </w:tc>
        <w:tc>
          <w:tcPr>
            <w:tcW w:w="685" w:type="pct"/>
          </w:tcPr>
          <w:p w14:paraId="0558E01D" w14:textId="77777777" w:rsidR="003D3C4F" w:rsidRPr="00826BD2" w:rsidRDefault="003D3C4F" w:rsidP="00D719B1">
            <w:pPr>
              <w:pStyle w:val="Tabletext"/>
              <w:jc w:val="center"/>
              <w:rPr>
                <w:vertAlign w:val="superscript"/>
              </w:rPr>
            </w:pPr>
            <w:r w:rsidRPr="00826BD2">
              <w:sym w:font="Wingdings" w:char="F0FC"/>
            </w:r>
            <w:r>
              <w:rPr>
                <w:vertAlign w:val="superscript"/>
              </w:rPr>
              <w:t>1</w:t>
            </w:r>
          </w:p>
        </w:tc>
        <w:tc>
          <w:tcPr>
            <w:tcW w:w="803" w:type="pct"/>
          </w:tcPr>
          <w:p w14:paraId="3D9A712E" w14:textId="77777777" w:rsidR="003D3C4F" w:rsidRPr="00826BD2" w:rsidRDefault="003D3C4F" w:rsidP="00D719B1">
            <w:pPr>
              <w:pStyle w:val="Tabletext"/>
              <w:jc w:val="center"/>
            </w:pPr>
            <w:r w:rsidRPr="00F20AE1">
              <w:sym w:font="Wingdings" w:char="F0FC"/>
            </w:r>
            <w:r>
              <w:rPr>
                <w:vertAlign w:val="superscript"/>
              </w:rPr>
              <w:t>3</w:t>
            </w:r>
          </w:p>
        </w:tc>
        <w:tc>
          <w:tcPr>
            <w:tcW w:w="685" w:type="pct"/>
          </w:tcPr>
          <w:p w14:paraId="68F4D7D6" w14:textId="77777777" w:rsidR="003D3C4F" w:rsidRPr="00826BD2" w:rsidRDefault="003D3C4F" w:rsidP="00D719B1">
            <w:pPr>
              <w:pStyle w:val="Tabletext"/>
              <w:jc w:val="center"/>
            </w:pPr>
            <w:r w:rsidRPr="00826BD2">
              <w:sym w:font="Wingdings" w:char="F0FC"/>
            </w:r>
          </w:p>
        </w:tc>
        <w:tc>
          <w:tcPr>
            <w:tcW w:w="803" w:type="pct"/>
          </w:tcPr>
          <w:p w14:paraId="14091CB0" w14:textId="77777777" w:rsidR="003D3C4F" w:rsidRPr="00826BD2" w:rsidRDefault="003D3C4F" w:rsidP="00D719B1">
            <w:pPr>
              <w:pStyle w:val="Tabletext"/>
              <w:jc w:val="center"/>
            </w:pPr>
            <w:r w:rsidRPr="00826BD2">
              <w:t>–</w:t>
            </w:r>
          </w:p>
        </w:tc>
      </w:tr>
      <w:tr w:rsidR="003D3C4F" w:rsidRPr="00BF52F4" w14:paraId="13B80EF9" w14:textId="77777777" w:rsidTr="003D3C4F">
        <w:trPr>
          <w:trHeight w:val="122"/>
        </w:trPr>
        <w:tc>
          <w:tcPr>
            <w:tcW w:w="950" w:type="pct"/>
            <w:vMerge/>
          </w:tcPr>
          <w:p w14:paraId="2015BE9C" w14:textId="77777777" w:rsidR="003D3C4F" w:rsidRPr="00BF52F4" w:rsidRDefault="003D3C4F" w:rsidP="00D719B1">
            <w:pPr>
              <w:pStyle w:val="Tabletext"/>
              <w:rPr>
                <w:b/>
              </w:rPr>
            </w:pPr>
          </w:p>
        </w:tc>
        <w:tc>
          <w:tcPr>
            <w:tcW w:w="1075" w:type="pct"/>
          </w:tcPr>
          <w:p w14:paraId="7D3E3053" w14:textId="77777777" w:rsidR="003D3C4F" w:rsidRPr="00BF52F4" w:rsidRDefault="003D3C4F" w:rsidP="00D719B1">
            <w:pPr>
              <w:pStyle w:val="Tabletext"/>
            </w:pPr>
            <w:r>
              <w:t>Diabetes mellitus type 2</w:t>
            </w:r>
          </w:p>
        </w:tc>
        <w:tc>
          <w:tcPr>
            <w:tcW w:w="685" w:type="pct"/>
          </w:tcPr>
          <w:p w14:paraId="55D0CF32" w14:textId="77777777" w:rsidR="003D3C4F" w:rsidRPr="00826BD2" w:rsidRDefault="003D3C4F" w:rsidP="00D719B1">
            <w:pPr>
              <w:pStyle w:val="Tabletext"/>
              <w:jc w:val="center"/>
            </w:pPr>
            <w:r w:rsidRPr="00826BD2">
              <w:sym w:font="Wingdings" w:char="F0FC"/>
            </w:r>
          </w:p>
        </w:tc>
        <w:tc>
          <w:tcPr>
            <w:tcW w:w="803" w:type="pct"/>
          </w:tcPr>
          <w:p w14:paraId="46A9927F" w14:textId="77777777" w:rsidR="003D3C4F" w:rsidRPr="00826BD2" w:rsidRDefault="003D3C4F" w:rsidP="00D719B1">
            <w:pPr>
              <w:pStyle w:val="Tabletext"/>
              <w:jc w:val="center"/>
            </w:pPr>
            <w:r w:rsidRPr="00F20AE1">
              <w:sym w:font="Wingdings" w:char="F0FC"/>
            </w:r>
            <w:r>
              <w:rPr>
                <w:vertAlign w:val="superscript"/>
              </w:rPr>
              <w:t>3</w:t>
            </w:r>
          </w:p>
        </w:tc>
        <w:tc>
          <w:tcPr>
            <w:tcW w:w="685" w:type="pct"/>
          </w:tcPr>
          <w:p w14:paraId="7265EA1A" w14:textId="77777777" w:rsidR="003D3C4F" w:rsidRPr="00826BD2" w:rsidRDefault="003D3C4F" w:rsidP="00D719B1">
            <w:pPr>
              <w:pStyle w:val="Tabletext"/>
              <w:jc w:val="center"/>
            </w:pPr>
            <w:r w:rsidRPr="00826BD2">
              <w:sym w:font="Wingdings" w:char="F0FC"/>
            </w:r>
          </w:p>
        </w:tc>
        <w:tc>
          <w:tcPr>
            <w:tcW w:w="803" w:type="pct"/>
          </w:tcPr>
          <w:p w14:paraId="4AD2CABA" w14:textId="77777777" w:rsidR="003D3C4F" w:rsidRPr="00826BD2" w:rsidRDefault="003D3C4F" w:rsidP="00D719B1">
            <w:pPr>
              <w:pStyle w:val="Tabletext"/>
              <w:jc w:val="center"/>
            </w:pPr>
            <w:r w:rsidRPr="00826BD2">
              <w:t>–</w:t>
            </w:r>
          </w:p>
        </w:tc>
      </w:tr>
      <w:tr w:rsidR="003D3C4F" w:rsidRPr="00BF52F4" w14:paraId="101EFC8C" w14:textId="77777777" w:rsidTr="003D3C4F">
        <w:trPr>
          <w:trHeight w:val="122"/>
        </w:trPr>
        <w:tc>
          <w:tcPr>
            <w:tcW w:w="950" w:type="pct"/>
            <w:vMerge/>
          </w:tcPr>
          <w:p w14:paraId="1723324A" w14:textId="77777777" w:rsidR="003D3C4F" w:rsidRPr="00BF52F4" w:rsidRDefault="003D3C4F" w:rsidP="00D719B1">
            <w:pPr>
              <w:pStyle w:val="Tabletext"/>
              <w:rPr>
                <w:b/>
              </w:rPr>
            </w:pPr>
          </w:p>
        </w:tc>
        <w:tc>
          <w:tcPr>
            <w:tcW w:w="1075" w:type="pct"/>
          </w:tcPr>
          <w:p w14:paraId="3C4CED77" w14:textId="77777777" w:rsidR="003D3C4F" w:rsidRPr="00BF52F4" w:rsidRDefault="003D3C4F" w:rsidP="00D719B1">
            <w:pPr>
              <w:pStyle w:val="Tabletext"/>
            </w:pPr>
            <w:r>
              <w:t>Medication errors (Incorrect dose administration rate)</w:t>
            </w:r>
          </w:p>
        </w:tc>
        <w:tc>
          <w:tcPr>
            <w:tcW w:w="685" w:type="pct"/>
          </w:tcPr>
          <w:p w14:paraId="6E3ECAFD" w14:textId="77777777" w:rsidR="003D3C4F" w:rsidRPr="00B70AA3" w:rsidRDefault="003D3C4F" w:rsidP="00D719B1">
            <w:pPr>
              <w:pStyle w:val="Tabletext"/>
              <w:jc w:val="center"/>
              <w:rPr>
                <w:vertAlign w:val="superscript"/>
              </w:rPr>
            </w:pPr>
            <w:r w:rsidRPr="00826BD2">
              <w:sym w:font="Wingdings" w:char="F0FC"/>
            </w:r>
            <w:r w:rsidRPr="005D5913">
              <w:rPr>
                <w:vertAlign w:val="superscript"/>
              </w:rPr>
              <w:t>1,</w:t>
            </w:r>
            <w:r>
              <w:rPr>
                <w:vertAlign w:val="superscript"/>
              </w:rPr>
              <w:t>2</w:t>
            </w:r>
          </w:p>
        </w:tc>
        <w:tc>
          <w:tcPr>
            <w:tcW w:w="803" w:type="pct"/>
          </w:tcPr>
          <w:p w14:paraId="79FE472A" w14:textId="77777777" w:rsidR="003D3C4F" w:rsidRPr="00826BD2" w:rsidRDefault="003D3C4F" w:rsidP="00D719B1">
            <w:pPr>
              <w:pStyle w:val="Tabletext"/>
              <w:jc w:val="center"/>
            </w:pPr>
            <w:r w:rsidRPr="00F20AE1">
              <w:sym w:font="Wingdings" w:char="F0FC"/>
            </w:r>
            <w:r>
              <w:rPr>
                <w:vertAlign w:val="superscript"/>
              </w:rPr>
              <w:t>3</w:t>
            </w:r>
          </w:p>
        </w:tc>
        <w:tc>
          <w:tcPr>
            <w:tcW w:w="685" w:type="pct"/>
          </w:tcPr>
          <w:p w14:paraId="2AFD0ED2" w14:textId="77777777" w:rsidR="003D3C4F" w:rsidRPr="00826BD2" w:rsidRDefault="003D3C4F" w:rsidP="00D719B1">
            <w:pPr>
              <w:pStyle w:val="Tabletext"/>
              <w:jc w:val="center"/>
            </w:pPr>
            <w:r w:rsidRPr="005D5913">
              <w:sym w:font="Wingdings" w:char="F0FC"/>
            </w:r>
          </w:p>
        </w:tc>
        <w:tc>
          <w:tcPr>
            <w:tcW w:w="803" w:type="pct"/>
          </w:tcPr>
          <w:p w14:paraId="492E4BCE" w14:textId="77777777" w:rsidR="003D3C4F" w:rsidRPr="005D5913" w:rsidRDefault="003D3C4F" w:rsidP="00D719B1">
            <w:pPr>
              <w:pStyle w:val="Tabletext"/>
              <w:jc w:val="center"/>
              <w:rPr>
                <w:vertAlign w:val="superscript"/>
              </w:rPr>
            </w:pPr>
            <w:r w:rsidRPr="005D5913">
              <w:sym w:font="Wingdings" w:char="F0FC"/>
            </w:r>
            <w:r>
              <w:rPr>
                <w:vertAlign w:val="superscript"/>
              </w:rPr>
              <w:t>4</w:t>
            </w:r>
          </w:p>
        </w:tc>
      </w:tr>
      <w:tr w:rsidR="003D3C4F" w:rsidRPr="00BF52F4" w14:paraId="5566A978" w14:textId="77777777" w:rsidTr="003D3C4F">
        <w:trPr>
          <w:trHeight w:val="112"/>
        </w:trPr>
        <w:tc>
          <w:tcPr>
            <w:tcW w:w="950" w:type="pct"/>
            <w:vMerge/>
          </w:tcPr>
          <w:p w14:paraId="0FCB511E" w14:textId="77777777" w:rsidR="003D3C4F" w:rsidRPr="00BF52F4" w:rsidRDefault="003D3C4F" w:rsidP="00D719B1">
            <w:pPr>
              <w:pStyle w:val="Tabletext"/>
              <w:rPr>
                <w:b/>
              </w:rPr>
            </w:pPr>
          </w:p>
        </w:tc>
        <w:tc>
          <w:tcPr>
            <w:tcW w:w="1075" w:type="pct"/>
          </w:tcPr>
          <w:p w14:paraId="05F39F9A" w14:textId="77777777" w:rsidR="003D3C4F" w:rsidRPr="00BF52F4" w:rsidRDefault="003D3C4F" w:rsidP="00D719B1">
            <w:pPr>
              <w:pStyle w:val="Tabletext"/>
            </w:pPr>
            <w:r>
              <w:t>Off-label paediatric use</w:t>
            </w:r>
          </w:p>
        </w:tc>
        <w:tc>
          <w:tcPr>
            <w:tcW w:w="685" w:type="pct"/>
          </w:tcPr>
          <w:p w14:paraId="6E3E9728" w14:textId="77777777" w:rsidR="003D3C4F" w:rsidRPr="00826BD2" w:rsidRDefault="003D3C4F" w:rsidP="00D719B1">
            <w:pPr>
              <w:pStyle w:val="Tabletext"/>
              <w:jc w:val="center"/>
            </w:pPr>
            <w:r w:rsidRPr="00826BD2">
              <w:sym w:font="Wingdings" w:char="F0FC"/>
            </w:r>
          </w:p>
        </w:tc>
        <w:tc>
          <w:tcPr>
            <w:tcW w:w="803" w:type="pct"/>
          </w:tcPr>
          <w:p w14:paraId="7239CCEB" w14:textId="77777777" w:rsidR="003D3C4F" w:rsidRPr="00826BD2" w:rsidRDefault="003D3C4F" w:rsidP="00D719B1">
            <w:pPr>
              <w:pStyle w:val="Tabletext"/>
              <w:jc w:val="center"/>
            </w:pPr>
            <w:r w:rsidRPr="00F20AE1">
              <w:sym w:font="Wingdings" w:char="F0FC"/>
            </w:r>
          </w:p>
        </w:tc>
        <w:tc>
          <w:tcPr>
            <w:tcW w:w="685" w:type="pct"/>
          </w:tcPr>
          <w:p w14:paraId="2E774916" w14:textId="77777777" w:rsidR="003D3C4F" w:rsidRPr="00826BD2" w:rsidRDefault="003D3C4F" w:rsidP="00D719B1">
            <w:pPr>
              <w:pStyle w:val="Tabletext"/>
              <w:jc w:val="center"/>
            </w:pPr>
            <w:r w:rsidRPr="00826BD2">
              <w:sym w:font="Wingdings" w:char="F0FC"/>
            </w:r>
          </w:p>
        </w:tc>
        <w:tc>
          <w:tcPr>
            <w:tcW w:w="803" w:type="pct"/>
          </w:tcPr>
          <w:p w14:paraId="313B9242" w14:textId="77777777" w:rsidR="003D3C4F" w:rsidRPr="00826BD2" w:rsidRDefault="003D3C4F" w:rsidP="00D719B1">
            <w:pPr>
              <w:pStyle w:val="Tabletext"/>
              <w:jc w:val="center"/>
            </w:pPr>
            <w:r w:rsidRPr="005D5913">
              <w:sym w:font="Wingdings" w:char="F0FC"/>
            </w:r>
            <w:r w:rsidRPr="005D5913">
              <w:rPr>
                <w:vertAlign w:val="superscript"/>
              </w:rPr>
              <w:t>4</w:t>
            </w:r>
          </w:p>
        </w:tc>
      </w:tr>
      <w:tr w:rsidR="003D3C4F" w:rsidRPr="00BF52F4" w14:paraId="3807CEE6" w14:textId="77777777" w:rsidTr="003D3C4F">
        <w:trPr>
          <w:trHeight w:val="178"/>
        </w:trPr>
        <w:tc>
          <w:tcPr>
            <w:tcW w:w="950" w:type="pct"/>
            <w:vMerge w:val="restart"/>
          </w:tcPr>
          <w:p w14:paraId="5E8042F9" w14:textId="77777777" w:rsidR="003D3C4F" w:rsidRPr="00BF52F4" w:rsidRDefault="003D3C4F" w:rsidP="00D719B1">
            <w:pPr>
              <w:pStyle w:val="Tabletext"/>
              <w:rPr>
                <w:b/>
              </w:rPr>
            </w:pPr>
            <w:r w:rsidRPr="00BF52F4">
              <w:rPr>
                <w:b/>
              </w:rPr>
              <w:t>Missing information</w:t>
            </w:r>
          </w:p>
        </w:tc>
        <w:tc>
          <w:tcPr>
            <w:tcW w:w="1075" w:type="pct"/>
          </w:tcPr>
          <w:p w14:paraId="79963740" w14:textId="77777777" w:rsidR="003D3C4F" w:rsidRPr="00BF52F4" w:rsidRDefault="003D3C4F" w:rsidP="00D719B1">
            <w:pPr>
              <w:pStyle w:val="Tabletext"/>
            </w:pPr>
            <w:r>
              <w:t>Patients with heart failure, NYHA class &gt;2</w:t>
            </w:r>
          </w:p>
        </w:tc>
        <w:tc>
          <w:tcPr>
            <w:tcW w:w="685" w:type="pct"/>
          </w:tcPr>
          <w:p w14:paraId="12D28891" w14:textId="77777777" w:rsidR="003D3C4F" w:rsidRPr="00826BD2" w:rsidRDefault="003D3C4F" w:rsidP="00D719B1">
            <w:pPr>
              <w:pStyle w:val="Tabletext"/>
              <w:jc w:val="center"/>
            </w:pPr>
            <w:r w:rsidRPr="00826BD2">
              <w:sym w:font="Wingdings" w:char="F0FC"/>
            </w:r>
          </w:p>
        </w:tc>
        <w:tc>
          <w:tcPr>
            <w:tcW w:w="803" w:type="pct"/>
          </w:tcPr>
          <w:p w14:paraId="31CDCEF6" w14:textId="77777777" w:rsidR="003D3C4F" w:rsidRPr="00826BD2" w:rsidRDefault="003D3C4F" w:rsidP="00D719B1">
            <w:pPr>
              <w:pStyle w:val="Tabletext"/>
              <w:jc w:val="center"/>
            </w:pPr>
            <w:r w:rsidRPr="00F20AE1">
              <w:sym w:font="Wingdings" w:char="F0FC"/>
            </w:r>
            <w:r>
              <w:rPr>
                <w:vertAlign w:val="superscript"/>
              </w:rPr>
              <w:t>3</w:t>
            </w:r>
          </w:p>
        </w:tc>
        <w:tc>
          <w:tcPr>
            <w:tcW w:w="685" w:type="pct"/>
          </w:tcPr>
          <w:p w14:paraId="3F897441" w14:textId="77777777" w:rsidR="003D3C4F" w:rsidRPr="00826BD2" w:rsidRDefault="003D3C4F" w:rsidP="00D719B1">
            <w:pPr>
              <w:pStyle w:val="Tabletext"/>
              <w:jc w:val="center"/>
            </w:pPr>
            <w:r w:rsidRPr="00826BD2">
              <w:sym w:font="Wingdings" w:char="F0FC"/>
            </w:r>
          </w:p>
        </w:tc>
        <w:tc>
          <w:tcPr>
            <w:tcW w:w="803" w:type="pct"/>
          </w:tcPr>
          <w:p w14:paraId="173DC6FE" w14:textId="77777777" w:rsidR="003D3C4F" w:rsidRPr="00826BD2" w:rsidRDefault="003D3C4F" w:rsidP="00D719B1">
            <w:pPr>
              <w:pStyle w:val="Tabletext"/>
              <w:jc w:val="center"/>
            </w:pPr>
            <w:r w:rsidRPr="00826BD2">
              <w:t>–</w:t>
            </w:r>
          </w:p>
        </w:tc>
      </w:tr>
      <w:tr w:rsidR="003D3C4F" w:rsidRPr="00BF52F4" w14:paraId="72D07F55" w14:textId="77777777" w:rsidTr="003D3C4F">
        <w:trPr>
          <w:trHeight w:val="103"/>
        </w:trPr>
        <w:tc>
          <w:tcPr>
            <w:tcW w:w="950" w:type="pct"/>
            <w:vMerge/>
          </w:tcPr>
          <w:p w14:paraId="1E99121E" w14:textId="77777777" w:rsidR="003D3C4F" w:rsidRPr="00BF52F4" w:rsidRDefault="003D3C4F" w:rsidP="00D719B1">
            <w:pPr>
              <w:pStyle w:val="Tabletext"/>
            </w:pPr>
          </w:p>
        </w:tc>
        <w:tc>
          <w:tcPr>
            <w:tcW w:w="1075" w:type="pct"/>
          </w:tcPr>
          <w:p w14:paraId="7158C417" w14:textId="77777777" w:rsidR="003D3C4F" w:rsidRPr="00BF52F4" w:rsidRDefault="003D3C4F" w:rsidP="00D719B1">
            <w:pPr>
              <w:pStyle w:val="Tabletext"/>
            </w:pPr>
            <w:r>
              <w:t>Patients with severe hepatic impairment</w:t>
            </w:r>
          </w:p>
        </w:tc>
        <w:tc>
          <w:tcPr>
            <w:tcW w:w="685" w:type="pct"/>
          </w:tcPr>
          <w:p w14:paraId="75679339" w14:textId="77777777" w:rsidR="003D3C4F" w:rsidRPr="00826BD2" w:rsidRDefault="003D3C4F" w:rsidP="00D719B1">
            <w:pPr>
              <w:pStyle w:val="Tabletext"/>
              <w:jc w:val="center"/>
            </w:pPr>
            <w:r w:rsidRPr="00826BD2">
              <w:sym w:font="Wingdings" w:char="F0FC"/>
            </w:r>
          </w:p>
        </w:tc>
        <w:tc>
          <w:tcPr>
            <w:tcW w:w="803" w:type="pct"/>
          </w:tcPr>
          <w:p w14:paraId="2187EF10" w14:textId="77777777" w:rsidR="003D3C4F" w:rsidRPr="00826BD2" w:rsidRDefault="003D3C4F" w:rsidP="00D719B1">
            <w:pPr>
              <w:pStyle w:val="Tabletext"/>
              <w:jc w:val="center"/>
            </w:pPr>
            <w:r w:rsidRPr="00F20AE1">
              <w:sym w:font="Wingdings" w:char="F0FC"/>
            </w:r>
            <w:r>
              <w:rPr>
                <w:vertAlign w:val="superscript"/>
              </w:rPr>
              <w:t>3</w:t>
            </w:r>
          </w:p>
        </w:tc>
        <w:tc>
          <w:tcPr>
            <w:tcW w:w="685" w:type="pct"/>
          </w:tcPr>
          <w:p w14:paraId="76EB0E4D" w14:textId="77777777" w:rsidR="003D3C4F" w:rsidRPr="00826BD2" w:rsidRDefault="003D3C4F" w:rsidP="00D719B1">
            <w:pPr>
              <w:pStyle w:val="Tabletext"/>
              <w:jc w:val="center"/>
            </w:pPr>
            <w:r w:rsidRPr="00826BD2">
              <w:sym w:font="Wingdings" w:char="F0FC"/>
            </w:r>
          </w:p>
        </w:tc>
        <w:tc>
          <w:tcPr>
            <w:tcW w:w="803" w:type="pct"/>
          </w:tcPr>
          <w:p w14:paraId="3290A9D8" w14:textId="77777777" w:rsidR="003D3C4F" w:rsidRPr="00826BD2" w:rsidRDefault="003D3C4F" w:rsidP="00D719B1">
            <w:pPr>
              <w:pStyle w:val="Tabletext"/>
              <w:jc w:val="center"/>
            </w:pPr>
            <w:r w:rsidRPr="00826BD2">
              <w:t>–</w:t>
            </w:r>
          </w:p>
        </w:tc>
      </w:tr>
      <w:tr w:rsidR="003D3C4F" w:rsidRPr="00BF52F4" w14:paraId="3C66CA75" w14:textId="77777777" w:rsidTr="003D3C4F">
        <w:trPr>
          <w:trHeight w:val="140"/>
        </w:trPr>
        <w:tc>
          <w:tcPr>
            <w:tcW w:w="950" w:type="pct"/>
            <w:vMerge/>
          </w:tcPr>
          <w:p w14:paraId="43B1E51A" w14:textId="77777777" w:rsidR="003D3C4F" w:rsidRPr="00BF52F4" w:rsidRDefault="003D3C4F" w:rsidP="00D719B1">
            <w:pPr>
              <w:pStyle w:val="Tabletext"/>
            </w:pPr>
          </w:p>
        </w:tc>
        <w:tc>
          <w:tcPr>
            <w:tcW w:w="1075" w:type="pct"/>
          </w:tcPr>
          <w:p w14:paraId="1AAEEECA" w14:textId="77777777" w:rsidR="003D3C4F" w:rsidRPr="00BF52F4" w:rsidRDefault="003D3C4F" w:rsidP="00D719B1">
            <w:pPr>
              <w:pStyle w:val="Tabletext"/>
            </w:pPr>
            <w:r>
              <w:t>Long-term safety</w:t>
            </w:r>
          </w:p>
        </w:tc>
        <w:tc>
          <w:tcPr>
            <w:tcW w:w="685" w:type="pct"/>
          </w:tcPr>
          <w:p w14:paraId="440B74C7" w14:textId="77777777" w:rsidR="003D3C4F" w:rsidRPr="00826BD2" w:rsidRDefault="003D3C4F" w:rsidP="00D719B1">
            <w:pPr>
              <w:pStyle w:val="Tabletext"/>
              <w:jc w:val="center"/>
            </w:pPr>
            <w:r w:rsidRPr="00826BD2">
              <w:sym w:font="Wingdings" w:char="F0FC"/>
            </w:r>
          </w:p>
        </w:tc>
        <w:tc>
          <w:tcPr>
            <w:tcW w:w="803" w:type="pct"/>
          </w:tcPr>
          <w:p w14:paraId="068BD561" w14:textId="77777777" w:rsidR="003D3C4F" w:rsidRPr="00826BD2" w:rsidRDefault="003D3C4F" w:rsidP="00D719B1">
            <w:pPr>
              <w:pStyle w:val="Tabletext"/>
              <w:jc w:val="center"/>
              <w:rPr>
                <w:vertAlign w:val="superscript"/>
              </w:rPr>
            </w:pPr>
            <w:r w:rsidRPr="00826BD2">
              <w:sym w:font="Wingdings" w:char="F0FC"/>
            </w:r>
            <w:r>
              <w:rPr>
                <w:vertAlign w:val="superscript"/>
              </w:rPr>
              <w:t>3</w:t>
            </w:r>
          </w:p>
        </w:tc>
        <w:tc>
          <w:tcPr>
            <w:tcW w:w="685" w:type="pct"/>
          </w:tcPr>
          <w:p w14:paraId="3D85B0F9" w14:textId="77777777" w:rsidR="003D3C4F" w:rsidRPr="00826BD2" w:rsidRDefault="003D3C4F" w:rsidP="00D719B1">
            <w:pPr>
              <w:pStyle w:val="Tabletext"/>
              <w:jc w:val="center"/>
            </w:pPr>
            <w:r w:rsidRPr="00826BD2">
              <w:sym w:font="Wingdings" w:char="F0FC"/>
            </w:r>
          </w:p>
        </w:tc>
        <w:tc>
          <w:tcPr>
            <w:tcW w:w="803" w:type="pct"/>
          </w:tcPr>
          <w:p w14:paraId="4CE305EA" w14:textId="77777777" w:rsidR="003D3C4F" w:rsidRPr="00826BD2" w:rsidRDefault="003D3C4F" w:rsidP="00D719B1">
            <w:pPr>
              <w:pStyle w:val="Tabletext"/>
              <w:jc w:val="center"/>
            </w:pPr>
            <w:r w:rsidRPr="00826BD2">
              <w:t>–</w:t>
            </w:r>
          </w:p>
        </w:tc>
      </w:tr>
    </w:tbl>
    <w:p w14:paraId="7F0FADB7" w14:textId="77777777" w:rsidR="003D3C4F" w:rsidRPr="004A7C77" w:rsidRDefault="003D3C4F" w:rsidP="003D3C4F">
      <w:pPr>
        <w:pStyle w:val="TableDescription"/>
      </w:pPr>
      <w:r w:rsidRPr="004A7C77">
        <w:t>Abbreviation: NYHA=New York Heart Association</w:t>
      </w:r>
    </w:p>
    <w:p w14:paraId="1788313B" w14:textId="10D6E22C" w:rsidR="003D3C4F" w:rsidRPr="00A87A5A" w:rsidRDefault="003D3C4F" w:rsidP="00A87A5A">
      <w:pPr>
        <w:pStyle w:val="TableDescription"/>
      </w:pPr>
      <w:r w:rsidRPr="00A87A5A">
        <w:t xml:space="preserve">1 </w:t>
      </w:r>
      <w:proofErr w:type="gramStart"/>
      <w:r w:rsidRPr="00A87A5A">
        <w:t>Pre-defined</w:t>
      </w:r>
      <w:proofErr w:type="gramEnd"/>
      <w:r w:rsidRPr="00A87A5A">
        <w:t xml:space="preserve"> relevant follow-up questions</w:t>
      </w:r>
    </w:p>
    <w:p w14:paraId="5ED55FB3" w14:textId="77777777" w:rsidR="003D3C4F" w:rsidRPr="00A87A5A" w:rsidRDefault="003D3C4F" w:rsidP="00A87A5A">
      <w:pPr>
        <w:pStyle w:val="TableDescription"/>
      </w:pPr>
      <w:r w:rsidRPr="00A87A5A">
        <w:t xml:space="preserve">2 Detailed </w:t>
      </w:r>
      <w:proofErr w:type="gramStart"/>
      <w:r w:rsidRPr="00A87A5A">
        <w:t>evaluation</w:t>
      </w:r>
      <w:proofErr w:type="gramEnd"/>
      <w:r w:rsidRPr="00A87A5A">
        <w:t xml:space="preserve"> of risk of medication error in PSURs to inform ongoing adequacy of risk minimisation</w:t>
      </w:r>
    </w:p>
    <w:p w14:paraId="3AC549DE" w14:textId="1A8D41F6" w:rsidR="003D3C4F" w:rsidRPr="00A87A5A" w:rsidRDefault="003D3C4F" w:rsidP="00A87A5A">
      <w:pPr>
        <w:pStyle w:val="TableDescription"/>
      </w:pPr>
      <w:r w:rsidRPr="00A87A5A">
        <w:t>3</w:t>
      </w:r>
      <w:r w:rsidR="009730DA">
        <w:t xml:space="preserve"> </w:t>
      </w:r>
      <w:r w:rsidRPr="00A87A5A">
        <w:t xml:space="preserve">Planned multinational post-authorisation safety study (PASS) </w:t>
      </w:r>
      <w:r w:rsidR="009730DA">
        <w:t xml:space="preserve">Study </w:t>
      </w:r>
      <w:r w:rsidRPr="00A87A5A">
        <w:t>NN8640-4515</w:t>
      </w:r>
    </w:p>
    <w:p w14:paraId="3DAF9C72" w14:textId="4DBF780F" w:rsidR="003D3C4F" w:rsidRPr="00A87A5A" w:rsidRDefault="003D3C4F" w:rsidP="00A87A5A">
      <w:pPr>
        <w:pStyle w:val="TableDescription"/>
      </w:pPr>
      <w:r w:rsidRPr="00A87A5A">
        <w:t xml:space="preserve">4 </w:t>
      </w:r>
      <w:r w:rsidR="00A87A5A">
        <w:t xml:space="preserve">Dear Health </w:t>
      </w:r>
      <w:r w:rsidR="000A6E08">
        <w:t>C</w:t>
      </w:r>
      <w:r w:rsidR="00A87A5A">
        <w:t xml:space="preserve">are </w:t>
      </w:r>
      <w:r w:rsidR="000A6E08">
        <w:t>P</w:t>
      </w:r>
      <w:r w:rsidR="00A87A5A">
        <w:t>rofessional</w:t>
      </w:r>
      <w:r w:rsidRPr="00A87A5A">
        <w:t xml:space="preserve"> </w:t>
      </w:r>
      <w:proofErr w:type="gramStart"/>
      <w:r w:rsidRPr="00A87A5A">
        <w:t>letter</w:t>
      </w:r>
      <w:proofErr w:type="gramEnd"/>
    </w:p>
    <w:p w14:paraId="2F8EB6CD" w14:textId="46444B6E" w:rsidR="003D3C4F" w:rsidRDefault="003D3C4F" w:rsidP="003D3C4F">
      <w:r>
        <w:t xml:space="preserve">Subject to agreement by TGA nonclinical and clinical evaluators on </w:t>
      </w:r>
      <w:r w:rsidR="000A6E08" w:rsidRPr="000A6E08">
        <w:t xml:space="preserve">European Medicines Agency </w:t>
      </w:r>
      <w:r w:rsidR="000A6E08">
        <w:t>(</w:t>
      </w:r>
      <w:r>
        <w:t>EM</w:t>
      </w:r>
      <w:r w:rsidR="00663BAE">
        <w:t>A</w:t>
      </w:r>
      <w:r w:rsidR="000A6E08">
        <w:t>)</w:t>
      </w:r>
      <w:r>
        <w:t xml:space="preserve"> assessment of the RMP summary of safety concerns, the summary is acceptable from an RMP perspective. </w:t>
      </w:r>
    </w:p>
    <w:p w14:paraId="1107A659" w14:textId="11D8445E" w:rsidR="003D3C4F" w:rsidRDefault="003D3C4F" w:rsidP="003D3C4F">
      <w:r>
        <w:t>Routine pharmacovigilance (PV) activities are proposed for all safety concerns. PV data collection based upon pre-defined follow</w:t>
      </w:r>
      <w:r w:rsidR="000A6E08">
        <w:t xml:space="preserve"> </w:t>
      </w:r>
      <w:r>
        <w:t xml:space="preserve">up questions for neoplasms and medication errors, and the requirement to provide detailed analysis of medication errors in </w:t>
      </w:r>
      <w:r w:rsidR="00663BAE" w:rsidRPr="00DC3D82">
        <w:t>Periodic Safety Update Reports</w:t>
      </w:r>
      <w:r w:rsidR="00663BAE">
        <w:t xml:space="preserve"> (</w:t>
      </w:r>
      <w:r>
        <w:t>PSUR</w:t>
      </w:r>
      <w:r w:rsidR="00663BAE">
        <w:t>)</w:t>
      </w:r>
      <w:r>
        <w:t xml:space="preserve"> submissions has been specified in the EU-RMP and will also apply to Australia. There is a planned additional post-marketing safety study to investigate long-term safety of </w:t>
      </w:r>
      <w:proofErr w:type="spellStart"/>
      <w:r>
        <w:t>somapacitan</w:t>
      </w:r>
      <w:proofErr w:type="spellEnd"/>
      <w:r>
        <w:t xml:space="preserve"> under normal clinical practice conditions. The RMP</w:t>
      </w:r>
      <w:r w:rsidR="00395B10">
        <w:t>/</w:t>
      </w:r>
      <w:r>
        <w:t>ASA plan aligns with EU</w:t>
      </w:r>
      <w:r w:rsidR="000A6E08">
        <w:noBreakHyphen/>
      </w:r>
      <w:r>
        <w:t xml:space="preserve">RMP and is acceptable based on what is currently known on </w:t>
      </w:r>
      <w:proofErr w:type="spellStart"/>
      <w:r>
        <w:t>Sogroya’s</w:t>
      </w:r>
      <w:proofErr w:type="spellEnd"/>
      <w:r>
        <w:t xml:space="preserve"> safety profile and that of </w:t>
      </w:r>
      <w:r w:rsidR="000A6E08">
        <w:t>growth hormone</w:t>
      </w:r>
      <w:r>
        <w:t xml:space="preserve"> class of medicines.</w:t>
      </w:r>
    </w:p>
    <w:p w14:paraId="12553E78" w14:textId="33FD0C07" w:rsidR="003D3C4F" w:rsidRDefault="003D3C4F" w:rsidP="003D3C4F">
      <w:r>
        <w:lastRenderedPageBreak/>
        <w:t xml:space="preserve">Only routine risk minimisation activities (prescription only medicine status, labelling, PI, </w:t>
      </w:r>
      <w:r w:rsidR="000A6E08">
        <w:t xml:space="preserve">Consumer Medicines Information </w:t>
      </w:r>
      <w:r w:rsidR="009730DA">
        <w:t>(</w:t>
      </w:r>
      <w:r>
        <w:t>CMI</w:t>
      </w:r>
      <w:r w:rsidR="009730DA">
        <w:t>)</w:t>
      </w:r>
      <w:r>
        <w:t>) are proposed for all safety concerns. The RMP</w:t>
      </w:r>
      <w:r w:rsidR="00395B10">
        <w:t xml:space="preserve"> and </w:t>
      </w:r>
      <w:r>
        <w:t>ASA plan aligns with EU</w:t>
      </w:r>
      <w:r w:rsidR="000A6E08">
        <w:noBreakHyphen/>
      </w:r>
      <w:r>
        <w:t xml:space="preserve">RMP and is generally considered appropriate for the health settings, and setting of use, in Australia. It is agreed at </w:t>
      </w:r>
      <w:r w:rsidR="000A6E08">
        <w:t>second round of evaluation,</w:t>
      </w:r>
      <w:r>
        <w:t xml:space="preserve"> that sponsor will disseminate a Dear Health Care Professional letter to prescribers of </w:t>
      </w:r>
      <w:proofErr w:type="spellStart"/>
      <w:r>
        <w:t>Sogroya</w:t>
      </w:r>
      <w:proofErr w:type="spellEnd"/>
      <w:r>
        <w:t xml:space="preserve"> prior to launch as an additional risk minimisation measure to address ‘</w:t>
      </w:r>
      <w:r w:rsidRPr="00663BAE">
        <w:rPr>
          <w:i/>
          <w:iCs/>
        </w:rPr>
        <w:t>risk of medication error</w:t>
      </w:r>
      <w:r>
        <w:t>’ and ‘</w:t>
      </w:r>
      <w:r w:rsidRPr="00663BAE">
        <w:rPr>
          <w:i/>
          <w:iCs/>
        </w:rPr>
        <w:t>off-label paediatric use’</w:t>
      </w:r>
      <w:r>
        <w:t>.</w:t>
      </w:r>
    </w:p>
    <w:p w14:paraId="7BA5A697" w14:textId="6EF3B3CD" w:rsidR="003D3C4F" w:rsidRDefault="003D3C4F" w:rsidP="003D3C4F">
      <w:pPr>
        <w:pStyle w:val="Heading4"/>
      </w:pPr>
      <w:r>
        <w:t>Proposed wording for conditions of registration</w:t>
      </w:r>
    </w:p>
    <w:p w14:paraId="1CF4E8FE" w14:textId="77777777" w:rsidR="003D3C4F" w:rsidRDefault="003D3C4F" w:rsidP="003D3C4F">
      <w:r>
        <w:t xml:space="preserve">Any changes to which the sponsor has agreed should be included in a revised RMP and ASA. However, irrespective of </w:t>
      </w:r>
      <w:proofErr w:type="gramStart"/>
      <w:r>
        <w:t>whether or not</w:t>
      </w:r>
      <w:proofErr w:type="gramEnd"/>
      <w:r>
        <w:t xml:space="preserve"> they are included in the currently available version of the RMP document, the agreed changes become part of the risk management system. </w:t>
      </w:r>
    </w:p>
    <w:p w14:paraId="7A9B0EBE" w14:textId="77777777" w:rsidR="003D3C4F" w:rsidRDefault="003D3C4F" w:rsidP="003D3C4F">
      <w:r>
        <w:t xml:space="preserve">The suggested wording is: </w:t>
      </w:r>
    </w:p>
    <w:p w14:paraId="29919140" w14:textId="0DC33FEA" w:rsidR="003D3C4F" w:rsidRPr="003D3C4F" w:rsidRDefault="003D3C4F" w:rsidP="008457EA">
      <w:pPr>
        <w:ind w:left="720"/>
        <w:rPr>
          <w:i/>
          <w:iCs/>
        </w:rPr>
      </w:pPr>
      <w:r w:rsidRPr="003D3C4F">
        <w:rPr>
          <w:i/>
          <w:iCs/>
        </w:rPr>
        <w:t xml:space="preserve">The </w:t>
      </w:r>
      <w:proofErr w:type="spellStart"/>
      <w:r w:rsidRPr="003D3C4F">
        <w:rPr>
          <w:i/>
          <w:iCs/>
        </w:rPr>
        <w:t>Sogroya</w:t>
      </w:r>
      <w:proofErr w:type="spellEnd"/>
      <w:r w:rsidRPr="003D3C4F">
        <w:rPr>
          <w:i/>
          <w:iCs/>
        </w:rPr>
        <w:t xml:space="preserve"> EU-Risk Management Plan (RMP) (version 1.0, dated 7 April 2021, data lock point 31 March 2019), with Australian Specific Annex (version 0.3, dated 20</w:t>
      </w:r>
      <w:r w:rsidR="00395B10">
        <w:rPr>
          <w:i/>
          <w:iCs/>
        </w:rPr>
        <w:t> </w:t>
      </w:r>
      <w:r w:rsidRPr="003D3C4F">
        <w:rPr>
          <w:i/>
          <w:iCs/>
        </w:rPr>
        <w:t>December 2021), included with submission PM-2021-01699-1-5, and any subsequent revisions, as agreed with the TGA will be implemented in Australia.</w:t>
      </w:r>
    </w:p>
    <w:p w14:paraId="507E1266" w14:textId="77777777" w:rsidR="003D3C4F" w:rsidRDefault="003D3C4F" w:rsidP="003D3C4F">
      <w:r>
        <w:t>The following wording is recommended for the PSUR requirement:</w:t>
      </w:r>
    </w:p>
    <w:p w14:paraId="0F94BE35" w14:textId="77777777" w:rsidR="003D3C4F" w:rsidRPr="003D3C4F" w:rsidRDefault="003D3C4F" w:rsidP="008457EA">
      <w:pPr>
        <w:ind w:left="720"/>
        <w:rPr>
          <w:i/>
          <w:iCs/>
        </w:rPr>
      </w:pPr>
      <w:r w:rsidRPr="003D3C4F">
        <w:rPr>
          <w:i/>
          <w:iCs/>
        </w:rPr>
        <w:t xml:space="preserve">An obligatory component of risk management plans is routine pharmacovigilance. Routine pharmacovigilance includes the submission of periodic safety update reports (PSURs). </w:t>
      </w:r>
    </w:p>
    <w:p w14:paraId="5851A0FD" w14:textId="77777777" w:rsidR="003D3C4F" w:rsidRPr="003D3C4F" w:rsidRDefault="003D3C4F" w:rsidP="008457EA">
      <w:pPr>
        <w:ind w:left="720"/>
        <w:rPr>
          <w:i/>
          <w:iCs/>
        </w:rPr>
      </w:pPr>
      <w:r w:rsidRPr="003D3C4F">
        <w:rPr>
          <w:i/>
          <w:iCs/>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4E99EA6B" w14:textId="456DBFC0" w:rsidR="003D3C4F" w:rsidRPr="003D3C4F" w:rsidRDefault="003D3C4F" w:rsidP="008457EA">
      <w:pPr>
        <w:ind w:left="720"/>
        <w:rPr>
          <w:i/>
          <w:iCs/>
        </w:rPr>
      </w:pPr>
      <w:r w:rsidRPr="003D3C4F">
        <w:rPr>
          <w:i/>
          <w:iCs/>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01C2E2EA" w14:textId="772D71E1" w:rsidR="003D3C4F" w:rsidRDefault="003D3C4F" w:rsidP="003D3C4F">
      <w:r>
        <w:t xml:space="preserve">As </w:t>
      </w:r>
      <w:proofErr w:type="spellStart"/>
      <w:r>
        <w:t>S</w:t>
      </w:r>
      <w:r w:rsidR="00663BAE">
        <w:t>ogroya</w:t>
      </w:r>
      <w:proofErr w:type="spellEnd"/>
      <w:r>
        <w:t xml:space="preserve"> is a new biological entity it should be included in the Black Triangle Scheme as a condition of registration. The following wording is recommended for the condition of registration: </w:t>
      </w:r>
    </w:p>
    <w:p w14:paraId="32565874" w14:textId="526CF21A" w:rsidR="003D3C4F" w:rsidRPr="003D3C4F" w:rsidRDefault="003D3C4F" w:rsidP="008457EA">
      <w:pPr>
        <w:ind w:left="720"/>
        <w:rPr>
          <w:i/>
          <w:iCs/>
        </w:rPr>
      </w:pPr>
      <w:proofErr w:type="spellStart"/>
      <w:r w:rsidRPr="003D3C4F">
        <w:rPr>
          <w:i/>
          <w:iCs/>
        </w:rPr>
        <w:t>S</w:t>
      </w:r>
      <w:r w:rsidR="000A6E08">
        <w:rPr>
          <w:i/>
          <w:iCs/>
        </w:rPr>
        <w:t>ogroya</w:t>
      </w:r>
      <w:proofErr w:type="spellEnd"/>
      <w:r w:rsidRPr="003D3C4F">
        <w:rPr>
          <w:i/>
          <w:iCs/>
        </w:rPr>
        <w:t xml:space="preserve"> (</w:t>
      </w:r>
      <w:proofErr w:type="spellStart"/>
      <w:r w:rsidRPr="003D3C4F">
        <w:rPr>
          <w:i/>
          <w:iCs/>
        </w:rPr>
        <w:t>somapacitan</w:t>
      </w:r>
      <w:proofErr w:type="spellEnd"/>
      <w:r w:rsidRPr="003D3C4F">
        <w:rPr>
          <w:i/>
          <w:iCs/>
        </w:rPr>
        <w:t xml:space="preserve">) is to be included in the Black Triangle Scheme. The PI and CMI for </w:t>
      </w:r>
      <w:proofErr w:type="spellStart"/>
      <w:r w:rsidRPr="003D3C4F">
        <w:rPr>
          <w:i/>
          <w:iCs/>
        </w:rPr>
        <w:t>S</w:t>
      </w:r>
      <w:r w:rsidR="000A6E08">
        <w:rPr>
          <w:i/>
          <w:iCs/>
        </w:rPr>
        <w:t>ogroya</w:t>
      </w:r>
      <w:proofErr w:type="spellEnd"/>
      <w:r w:rsidRPr="003D3C4F">
        <w:rPr>
          <w:i/>
          <w:iCs/>
        </w:rPr>
        <w:t xml:space="preserve"> must include the black triangle symbol and mandatory accompanying text for five years, which starts from the date that the sponsor notifies the TGA of supply of the product.</w:t>
      </w:r>
    </w:p>
    <w:p w14:paraId="19666C9D" w14:textId="77777777" w:rsidR="008E7846" w:rsidRDefault="00AA0ED0" w:rsidP="008E7846">
      <w:pPr>
        <w:pStyle w:val="Heading3"/>
      </w:pPr>
      <w:bookmarkStart w:id="50" w:name="_Toc110415606"/>
      <w:r>
        <w:t>Risk-benefit a</w:t>
      </w:r>
      <w:r w:rsidR="008E7846">
        <w:t>nalysis</w:t>
      </w:r>
      <w:bookmarkEnd w:id="45"/>
      <w:bookmarkEnd w:id="46"/>
      <w:bookmarkEnd w:id="50"/>
    </w:p>
    <w:p w14:paraId="09618979" w14:textId="77777777" w:rsidR="0074163C" w:rsidRDefault="0074163C" w:rsidP="0074163C">
      <w:pPr>
        <w:pStyle w:val="Heading4"/>
      </w:pPr>
      <w:bookmarkStart w:id="51" w:name="_Toc98931932"/>
      <w:r>
        <w:t>Delegate’s considerations</w:t>
      </w:r>
      <w:bookmarkEnd w:id="51"/>
    </w:p>
    <w:p w14:paraId="1473F3F5" w14:textId="61115EB8" w:rsidR="00105F76" w:rsidRDefault="00105F76" w:rsidP="00105F76">
      <w:r>
        <w:t xml:space="preserve">This was a COR-B application for the approval of </w:t>
      </w:r>
      <w:proofErr w:type="spellStart"/>
      <w:r>
        <w:t>somapacitan</w:t>
      </w:r>
      <w:proofErr w:type="spellEnd"/>
      <w:r>
        <w:t xml:space="preserve">, a </w:t>
      </w:r>
      <w:proofErr w:type="gramStart"/>
      <w:r>
        <w:t>long acting</w:t>
      </w:r>
      <w:proofErr w:type="gramEnd"/>
      <w:r>
        <w:t xml:space="preserve"> </w:t>
      </w:r>
      <w:r w:rsidR="000A6E08">
        <w:t>growth hormone</w:t>
      </w:r>
      <w:r>
        <w:t xml:space="preserve">, for the treatment of adults with </w:t>
      </w:r>
      <w:r w:rsidR="000A6E08">
        <w:t xml:space="preserve">growth hormone </w:t>
      </w:r>
      <w:r>
        <w:t xml:space="preserve">insufficiency. A </w:t>
      </w:r>
      <w:r w:rsidR="000A6E08">
        <w:t>similar application</w:t>
      </w:r>
      <w:r>
        <w:t xml:space="preserve"> has previously been approved by the EMA and </w:t>
      </w:r>
      <w:r w:rsidR="00395B10">
        <w:t xml:space="preserve">US </w:t>
      </w:r>
      <w:r w:rsidR="000A6E08" w:rsidRPr="000A6E08">
        <w:t xml:space="preserve">Food and Drug Administration </w:t>
      </w:r>
      <w:r w:rsidR="000A6E08">
        <w:t>(</w:t>
      </w:r>
      <w:r w:rsidR="00395B10">
        <w:t>FDA).</w:t>
      </w:r>
    </w:p>
    <w:p w14:paraId="3F62B214" w14:textId="5C5A21BE" w:rsidR="00105F76" w:rsidRDefault="00105F76" w:rsidP="00105F76">
      <w:r>
        <w:t>The quality and nonclinical evaluators had no major concerns.</w:t>
      </w:r>
    </w:p>
    <w:p w14:paraId="48568C52" w14:textId="726B92FB" w:rsidR="00105F76" w:rsidRDefault="00105F76" w:rsidP="00105F76">
      <w:r>
        <w:lastRenderedPageBreak/>
        <w:t xml:space="preserve">The clinical evidence in support of this application was from </w:t>
      </w:r>
      <w:r w:rsidR="000A6E08">
        <w:t>five</w:t>
      </w:r>
      <w:r>
        <w:t xml:space="preserve"> pharmacology and </w:t>
      </w:r>
      <w:r w:rsidR="000A6E08">
        <w:t>three</w:t>
      </w:r>
      <w:r>
        <w:t xml:space="preserve"> efficacy and safety studies. The pivotal studies main efficacy endpoint was change in truncal fat compared to placebo. There was small but statistically significant decrease in fat. It is possible that a bigger effect may have been achieved if more participants in the clinical study were able to achieve an IGF-</w:t>
      </w:r>
      <w:r w:rsidR="00395B10">
        <w:t>1</w:t>
      </w:r>
      <w:r>
        <w:t xml:space="preserve"> around </w:t>
      </w:r>
      <w:r w:rsidR="00663BAE">
        <w:t>two</w:t>
      </w:r>
      <w:r w:rsidR="000A6E08">
        <w:t xml:space="preserve"> standard deviation score</w:t>
      </w:r>
      <w:r>
        <w:t xml:space="preserve">. In the pivotal clinical study, after the </w:t>
      </w:r>
      <w:proofErr w:type="gramStart"/>
      <w:r>
        <w:t>8 week</w:t>
      </w:r>
      <w:proofErr w:type="gramEnd"/>
      <w:r>
        <w:t xml:space="preserve"> dose titration period, only 53% of the </w:t>
      </w:r>
      <w:proofErr w:type="spellStart"/>
      <w:r>
        <w:t>somapacitan</w:t>
      </w:r>
      <w:proofErr w:type="spellEnd"/>
      <w:r>
        <w:t xml:space="preserve"> treated patients achieved a IGF-1 </w:t>
      </w:r>
      <w:r w:rsidR="000A6E08">
        <w:t xml:space="preserve">standard deviation score </w:t>
      </w:r>
      <w:proofErr w:type="spellStart"/>
      <w:r>
        <w:t>score</w:t>
      </w:r>
      <w:proofErr w:type="spellEnd"/>
      <w:r>
        <w:t xml:space="preserve"> over zero.</w:t>
      </w:r>
    </w:p>
    <w:p w14:paraId="3B520493" w14:textId="23F294BB" w:rsidR="00105F76" w:rsidRDefault="00105F76" w:rsidP="00105F76">
      <w:r>
        <w:t xml:space="preserve">The starting dose recommendations in the PI are </w:t>
      </w:r>
      <w:proofErr w:type="gramStart"/>
      <w:r>
        <w:t>similar to</w:t>
      </w:r>
      <w:proofErr w:type="gramEnd"/>
      <w:r>
        <w:t xml:space="preserve"> that used in the clinical studies. However</w:t>
      </w:r>
      <w:r w:rsidR="000A6E08">
        <w:t>,</w:t>
      </w:r>
      <w:r>
        <w:t xml:space="preserve"> in the clinical studies dose titration was not allowed until after the titration period, </w:t>
      </w:r>
      <w:r w:rsidR="000A6E08">
        <w:t>whereas</w:t>
      </w:r>
      <w:r>
        <w:t xml:space="preserve"> in real life it may continue until IGF-</w:t>
      </w:r>
      <w:r w:rsidR="00395B10">
        <w:t>1</w:t>
      </w:r>
      <w:r>
        <w:t xml:space="preserve"> levels are optimised. The sponsor has adequately described the dosing in the PI.</w:t>
      </w:r>
    </w:p>
    <w:p w14:paraId="1DDF23FA" w14:textId="724AA3CA" w:rsidR="00105F76" w:rsidRPr="00105F76" w:rsidRDefault="00105F76" w:rsidP="00105F76">
      <w:r>
        <w:t>In Australia, most laboratories report a raw IGF-</w:t>
      </w:r>
      <w:r w:rsidR="00663BAE">
        <w:t>I</w:t>
      </w:r>
      <w:r>
        <w:t xml:space="preserve"> value rather than a </w:t>
      </w:r>
      <w:r w:rsidR="000A6E08">
        <w:t>standard deviation score</w:t>
      </w:r>
      <w:r>
        <w:t>. It is recommended that the sponsor change the wording of the dose titration section in the PI to reflect this.</w:t>
      </w:r>
    </w:p>
    <w:p w14:paraId="1E2CF712" w14:textId="77777777" w:rsidR="0074163C" w:rsidRDefault="0074163C" w:rsidP="0074163C">
      <w:pPr>
        <w:pStyle w:val="Heading4"/>
      </w:pPr>
      <w:bookmarkStart w:id="52" w:name="_Toc98931933"/>
      <w:r w:rsidRPr="00D23139">
        <w:t>Proposed action</w:t>
      </w:r>
      <w:bookmarkEnd w:id="52"/>
    </w:p>
    <w:p w14:paraId="214B357C" w14:textId="2C4092FD" w:rsidR="00105F76" w:rsidRPr="00170734" w:rsidRDefault="00B15686" w:rsidP="00C7245C">
      <w:pPr>
        <w:rPr>
          <w:i/>
        </w:rPr>
      </w:pPr>
      <w:r>
        <w:t xml:space="preserve">The Delegate </w:t>
      </w:r>
      <w:proofErr w:type="gramStart"/>
      <w:r w:rsidR="00395B10">
        <w:t>was</w:t>
      </w:r>
      <w:r>
        <w:t xml:space="preserve"> </w:t>
      </w:r>
      <w:r w:rsidR="00105F76" w:rsidRPr="00170734">
        <w:t xml:space="preserve">of the </w:t>
      </w:r>
      <w:r w:rsidR="00105F76">
        <w:t>opinion that</w:t>
      </w:r>
      <w:proofErr w:type="gramEnd"/>
      <w:r w:rsidR="00105F76">
        <w:t xml:space="preserve"> </w:t>
      </w:r>
      <w:proofErr w:type="spellStart"/>
      <w:r w:rsidR="00105F76">
        <w:t>S</w:t>
      </w:r>
      <w:r>
        <w:t>ogroya</w:t>
      </w:r>
      <w:proofErr w:type="spellEnd"/>
      <w:r>
        <w:t xml:space="preserve"> s</w:t>
      </w:r>
      <w:r w:rsidR="00105F76">
        <w:t>hould be approved for registration, pending updates to the PI, and addressing outstanding quality and RMP issues.</w:t>
      </w:r>
    </w:p>
    <w:p w14:paraId="199679CE" w14:textId="77777777" w:rsidR="008E7846" w:rsidRPr="002E238E" w:rsidRDefault="008E7846" w:rsidP="00D212F3">
      <w:pPr>
        <w:pStyle w:val="Heading2"/>
      </w:pPr>
      <w:bookmarkStart w:id="53" w:name="_Toc247691532"/>
      <w:bookmarkStart w:id="54" w:name="_Toc314842516"/>
      <w:bookmarkStart w:id="55" w:name="_Toc110415607"/>
      <w:bookmarkEnd w:id="28"/>
      <w:bookmarkEnd w:id="47"/>
      <w:bookmarkEnd w:id="48"/>
      <w:r>
        <w:t>Outcome</w:t>
      </w:r>
      <w:bookmarkEnd w:id="53"/>
      <w:bookmarkEnd w:id="54"/>
      <w:bookmarkEnd w:id="55"/>
    </w:p>
    <w:p w14:paraId="3CCB854A" w14:textId="75CE2EDE" w:rsidR="0074163C" w:rsidRDefault="0074163C" w:rsidP="0074163C">
      <w:bookmarkStart w:id="56" w:name="_Toc247691533"/>
      <w:bookmarkStart w:id="57" w:name="_Toc314842517"/>
      <w:r>
        <w:t xml:space="preserve">Based on a review of quality, </w:t>
      </w:r>
      <w:r w:rsidR="00CC5044">
        <w:t>safety,</w:t>
      </w:r>
      <w:r>
        <w:t xml:space="preserve"> and efficacy, the TGA approved the registration of </w:t>
      </w:r>
      <w:proofErr w:type="spellStart"/>
      <w:r w:rsidR="000D2967" w:rsidRPr="00915863">
        <w:t>S</w:t>
      </w:r>
      <w:r w:rsidR="000D2967">
        <w:t>ogroya</w:t>
      </w:r>
      <w:proofErr w:type="spellEnd"/>
      <w:r w:rsidR="000D2967">
        <w:t xml:space="preserve"> (</w:t>
      </w:r>
      <w:proofErr w:type="spellStart"/>
      <w:r w:rsidR="000D2967" w:rsidRPr="00915863">
        <w:t>somapacitan</w:t>
      </w:r>
      <w:proofErr w:type="spellEnd"/>
      <w:r w:rsidR="000D2967" w:rsidRPr="000A4A42">
        <w:t xml:space="preserve">) </w:t>
      </w:r>
      <w:r w:rsidR="000D2967">
        <w:t>6.7 mg/mL</w:t>
      </w:r>
      <w:r w:rsidR="000D2967" w:rsidRPr="000A4A42">
        <w:t xml:space="preserve">, </w:t>
      </w:r>
      <w:r w:rsidR="000D2967">
        <w:t>solution for injection</w:t>
      </w:r>
      <w:r>
        <w:t xml:space="preserve">, </w:t>
      </w:r>
      <w:r w:rsidR="000D2967">
        <w:t>pre-filled pen (cartridge)</w:t>
      </w:r>
      <w:r>
        <w:t xml:space="preserve">, indicated </w:t>
      </w:r>
      <w:r w:rsidR="000D2967">
        <w:t>for</w:t>
      </w:r>
      <w:r>
        <w:t>:</w:t>
      </w:r>
    </w:p>
    <w:p w14:paraId="66C53D39" w14:textId="77777777" w:rsidR="0074163C" w:rsidRDefault="0074163C" w:rsidP="0074163C"/>
    <w:p w14:paraId="00E1C384" w14:textId="42BE6D22" w:rsidR="000D2967" w:rsidRPr="000D2967" w:rsidRDefault="000D2967" w:rsidP="000D2967">
      <w:pPr>
        <w:ind w:left="720"/>
        <w:rPr>
          <w:i/>
          <w:iCs/>
        </w:rPr>
      </w:pPr>
      <w:proofErr w:type="spellStart"/>
      <w:r w:rsidRPr="000D2967">
        <w:rPr>
          <w:i/>
          <w:iCs/>
        </w:rPr>
        <w:t>Sogroya</w:t>
      </w:r>
      <w:proofErr w:type="spellEnd"/>
      <w:r w:rsidRPr="000D2967">
        <w:rPr>
          <w:i/>
          <w:iCs/>
        </w:rPr>
        <w:t xml:space="preserve"> is indicated for the replacement of endogenous growth hormone (GH) in adults with growth hormone deficiency (AGHD).</w:t>
      </w:r>
    </w:p>
    <w:p w14:paraId="693A22B9" w14:textId="2E832747" w:rsidR="000D2967" w:rsidRDefault="00D23139" w:rsidP="00B15686">
      <w:pPr>
        <w:pStyle w:val="Heading3"/>
      </w:pPr>
      <w:bookmarkStart w:id="58" w:name="_Toc110415608"/>
      <w:r w:rsidRPr="00D23139">
        <w:t>Specific conditions of registration applying to these goods</w:t>
      </w:r>
      <w:bookmarkEnd w:id="58"/>
    </w:p>
    <w:p w14:paraId="704F2DA1" w14:textId="35E8C684" w:rsidR="000D2967" w:rsidRDefault="000D2967" w:rsidP="000D2967">
      <w:pPr>
        <w:pStyle w:val="ListBullet"/>
      </w:pPr>
      <w:proofErr w:type="spellStart"/>
      <w:r>
        <w:t>S</w:t>
      </w:r>
      <w:r w:rsidR="000A6E08">
        <w:t>ogroya</w:t>
      </w:r>
      <w:proofErr w:type="spellEnd"/>
      <w:r>
        <w:t xml:space="preserve"> (</w:t>
      </w:r>
      <w:proofErr w:type="spellStart"/>
      <w:r>
        <w:t>somapacitan</w:t>
      </w:r>
      <w:proofErr w:type="spellEnd"/>
      <w:r>
        <w:t xml:space="preserve">) is to be included in the Black Triangle Scheme. The PI and CMI for </w:t>
      </w:r>
      <w:proofErr w:type="spellStart"/>
      <w:r>
        <w:t>S</w:t>
      </w:r>
      <w:r w:rsidR="000A6E08">
        <w:t>ogroya</w:t>
      </w:r>
      <w:proofErr w:type="spellEnd"/>
      <w:r>
        <w:t xml:space="preserve"> must include the black triangle symbol and mandatory accompanying text for five years, which starts from the date that the sponsor notifies the TGA of supply of the product.</w:t>
      </w:r>
    </w:p>
    <w:p w14:paraId="2656BFEA" w14:textId="77777777" w:rsidR="000D2967" w:rsidRDefault="000D2967" w:rsidP="000D2967">
      <w:pPr>
        <w:pStyle w:val="ListBullet"/>
      </w:pPr>
      <w:r>
        <w:t xml:space="preserve">The </w:t>
      </w:r>
      <w:proofErr w:type="spellStart"/>
      <w:r>
        <w:t>Sogroya</w:t>
      </w:r>
      <w:proofErr w:type="spellEnd"/>
      <w:r>
        <w:t xml:space="preserve"> EU-Risk Management Plan (RMP) (version 1.0, dated 7 April 2021, data lock point 31 March 2019), with Australian Specific Annex (version 0.3, dated 20 December 2021), included with submission PM-2021-01699-1-5, and any subsequent revisions, as agreed with the TGA will be implemented in Australia.</w:t>
      </w:r>
    </w:p>
    <w:p w14:paraId="13D47503" w14:textId="77777777" w:rsidR="000D2967" w:rsidRDefault="000D2967" w:rsidP="000D2967">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7753A29B" w14:textId="4B1BBCC2" w:rsidR="000D2967" w:rsidRDefault="000D2967" w:rsidP="000D2967">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w:t>
      </w:r>
      <w:r w:rsidR="00663BAE">
        <w:t>e</w:t>
      </w:r>
      <w:r>
        <w:t xml:space="preserve"> approval letter. </w:t>
      </w:r>
    </w:p>
    <w:p w14:paraId="613B8201" w14:textId="76327F99" w:rsidR="000D2967" w:rsidRDefault="000D2967" w:rsidP="000D2967">
      <w:pPr>
        <w:pStyle w:val="ListBullet"/>
        <w:numPr>
          <w:ilvl w:val="0"/>
          <w:numId w:val="0"/>
        </w:numPr>
        <w:ind w:left="360"/>
      </w:pPr>
      <w:r>
        <w:t xml:space="preserve">The reports are to at least meet the requirements for PSURs as described in the European Medicines Agency’s Guideline on good pharmacovigilance practices (GVP) Module VII-periodic safety update report (Rev 1), Part VII.B Structures and processes. </w:t>
      </w:r>
      <w:r>
        <w:lastRenderedPageBreak/>
        <w:t>Note that submission of a PSUR does not constitute an application to vary the registration.</w:t>
      </w:r>
    </w:p>
    <w:p w14:paraId="26015AB4" w14:textId="77777777" w:rsidR="000D2967" w:rsidRDefault="000D2967" w:rsidP="000D2967">
      <w:pPr>
        <w:pStyle w:val="ListBullet"/>
      </w:pPr>
      <w:r>
        <w:t>Laboratory testing &amp; compliance with Certified Product Details (CPD)</w:t>
      </w:r>
    </w:p>
    <w:p w14:paraId="46A998C5" w14:textId="2AA501BA" w:rsidR="000D2967" w:rsidRDefault="000D2967" w:rsidP="000D2967">
      <w:pPr>
        <w:pStyle w:val="ListBullet2"/>
      </w:pPr>
      <w:proofErr w:type="spellStart"/>
      <w:r>
        <w:t>i</w:t>
      </w:r>
      <w:proofErr w:type="spellEnd"/>
      <w:r>
        <w:t xml:space="preserve">. All batches of: </w:t>
      </w:r>
      <w:proofErr w:type="spellStart"/>
      <w:r>
        <w:t>S</w:t>
      </w:r>
      <w:r w:rsidR="00663BAE">
        <w:t>ogroya</w:t>
      </w:r>
      <w:proofErr w:type="spellEnd"/>
      <w:r>
        <w:t xml:space="preserve"> </w:t>
      </w:r>
      <w:proofErr w:type="spellStart"/>
      <w:r>
        <w:t>somapacitan</w:t>
      </w:r>
      <w:proofErr w:type="spellEnd"/>
      <w:r>
        <w:t xml:space="preserve"> 6.7 mg/mL solution for injection prefilled pen supplied in Australia must comply with the product details and specifications approved during evaluation and detailed in the Certified Product Details (CPD).</w:t>
      </w:r>
    </w:p>
    <w:p w14:paraId="11EBEAB6" w14:textId="10079310" w:rsidR="000D2967" w:rsidRDefault="000D2967" w:rsidP="000D2967">
      <w:pPr>
        <w:pStyle w:val="ListBullet2"/>
      </w:pPr>
      <w:r>
        <w:t xml:space="preserve">ii. When requested by the TGA, the </w:t>
      </w:r>
      <w:r w:rsidR="00663BAE">
        <w:t>s</w:t>
      </w:r>
      <w:r>
        <w:t>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 index and periodically in testing reports on the TGA website.</w:t>
      </w:r>
    </w:p>
    <w:p w14:paraId="48F7C6B8" w14:textId="77777777" w:rsidR="000D2967" w:rsidRDefault="000D2967" w:rsidP="000D2967">
      <w:pPr>
        <w:pStyle w:val="ListBullet"/>
      </w:pPr>
      <w:r>
        <w:t>Certified Product Details</w:t>
      </w:r>
    </w:p>
    <w:p w14:paraId="3BE6E21A" w14:textId="5EDCCD8F" w:rsidR="000D2967" w:rsidRDefault="000D2967" w:rsidP="000D2967">
      <w:pPr>
        <w:pStyle w:val="ListBullet"/>
        <w:numPr>
          <w:ilvl w:val="0"/>
          <w:numId w:val="0"/>
        </w:numPr>
        <w:ind w:left="360"/>
      </w:pPr>
      <w:r>
        <w:t>The Certified Product Details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2E84094F" w14:textId="77777777" w:rsidR="008E7846" w:rsidRDefault="00A80B5B" w:rsidP="00D23139">
      <w:pPr>
        <w:pStyle w:val="Heading2"/>
      </w:pPr>
      <w:bookmarkStart w:id="59" w:name="_Toc110415609"/>
      <w:r>
        <w:t xml:space="preserve">Attachment 1. </w:t>
      </w:r>
      <w:r w:rsidR="008E7846">
        <w:t xml:space="preserve">Product </w:t>
      </w:r>
      <w:r w:rsidR="00AA0ED0">
        <w:t>I</w:t>
      </w:r>
      <w:r w:rsidR="008E7846">
        <w:t>nformation</w:t>
      </w:r>
      <w:bookmarkEnd w:id="56"/>
      <w:bookmarkEnd w:id="57"/>
      <w:bookmarkEnd w:id="59"/>
    </w:p>
    <w:p w14:paraId="1A65F684" w14:textId="21F4A998" w:rsidR="00523A21" w:rsidRDefault="006136D7" w:rsidP="00C80137">
      <w:r w:rsidRPr="002B3624">
        <w:t xml:space="preserve">The </w:t>
      </w:r>
      <w:r>
        <w:t>PI</w:t>
      </w:r>
      <w:r w:rsidRPr="002B3624">
        <w:t xml:space="preserve"> for</w:t>
      </w:r>
      <w:r w:rsidR="000D2967">
        <w:t xml:space="preserve"> </w:t>
      </w:r>
      <w:proofErr w:type="spellStart"/>
      <w:r w:rsidR="000D2967">
        <w:t>Sogroya</w:t>
      </w:r>
      <w:proofErr w:type="spellEnd"/>
      <w:r w:rsidR="000D2967">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5" w:history="1">
        <w:r w:rsidR="0074163C" w:rsidRPr="008A698E">
          <w:rPr>
            <w:rStyle w:val="Hyperlink"/>
          </w:rPr>
          <w:t>PI/CMI search facility</w:t>
        </w:r>
        <w:r w:rsidR="0074163C" w:rsidRPr="00EB36D6">
          <w:rPr>
            <w:rStyle w:val="Hyperlink"/>
            <w:color w:val="auto"/>
            <w:u w:val="none"/>
          </w:rPr>
          <w:t>.</w:t>
        </w:r>
      </w:hyperlink>
    </w:p>
    <w:p w14:paraId="6FC73A28" w14:textId="77777777" w:rsidR="008E7846" w:rsidRPr="00EB36D6" w:rsidRDefault="008E7846" w:rsidP="00EB36D6">
      <w:r w:rsidRPr="00C80137">
        <w:br w:type="page"/>
      </w:r>
    </w:p>
    <w:p w14:paraId="0BEED30A"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ABF7732" w14:textId="77777777" w:rsidTr="00A05FA4">
        <w:trPr>
          <w:trHeight w:hRule="exact" w:val="704"/>
        </w:trPr>
        <w:tc>
          <w:tcPr>
            <w:tcW w:w="9175" w:type="dxa"/>
          </w:tcPr>
          <w:p w14:paraId="6422EBDD" w14:textId="77777777" w:rsidR="001C32CD" w:rsidRPr="00487162" w:rsidRDefault="001C32CD" w:rsidP="00A05FA4">
            <w:pPr>
              <w:pStyle w:val="TGASignoff"/>
            </w:pPr>
            <w:r w:rsidRPr="00487162">
              <w:lastRenderedPageBreak/>
              <w:t>Therapeutic Goods Administration</w:t>
            </w:r>
          </w:p>
        </w:tc>
      </w:tr>
      <w:tr w:rsidR="001C32CD" w:rsidRPr="004C239D" w14:paraId="0B8061C2" w14:textId="77777777" w:rsidTr="00A05FA4">
        <w:trPr>
          <w:trHeight w:val="1221"/>
        </w:trPr>
        <w:tc>
          <w:tcPr>
            <w:tcW w:w="9175" w:type="dxa"/>
            <w:tcMar>
              <w:top w:w="28" w:type="dxa"/>
            </w:tcMar>
          </w:tcPr>
          <w:p w14:paraId="0E4C80F3" w14:textId="77777777" w:rsidR="001C32CD" w:rsidRPr="00487162" w:rsidRDefault="001C32CD" w:rsidP="00A05FA4">
            <w:pPr>
              <w:pStyle w:val="Address"/>
            </w:pPr>
            <w:r w:rsidRPr="00487162">
              <w:t>PO Box 100 Woden ACT 2606 Australia</w:t>
            </w:r>
          </w:p>
          <w:p w14:paraId="27FB9E34" w14:textId="421AE158"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7AF10602" w14:textId="1C43BE7E" w:rsidR="001C32CD" w:rsidRPr="004C239D" w:rsidRDefault="00033A91"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5732F9A9" w14:textId="77777777"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2380" w14:textId="77777777" w:rsidR="009B25DD" w:rsidRDefault="009B25DD" w:rsidP="00C40A36">
      <w:pPr>
        <w:spacing w:after="0"/>
      </w:pPr>
      <w:r>
        <w:separator/>
      </w:r>
    </w:p>
  </w:endnote>
  <w:endnote w:type="continuationSeparator" w:id="0">
    <w:p w14:paraId="7DF251EE" w14:textId="77777777" w:rsidR="009B25DD" w:rsidRDefault="009B25D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Verdana-Italic">
    <w:altName w:val="Verdana"/>
    <w:panose1 w:val="00000000000000000000"/>
    <w:charset w:val="00"/>
    <w:family w:val="swiss"/>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B25DD" w:rsidRPr="00487162" w14:paraId="7A1F6738" w14:textId="77777777" w:rsidTr="00DB750B">
      <w:trPr>
        <w:trHeight w:val="269"/>
      </w:trPr>
      <w:tc>
        <w:tcPr>
          <w:tcW w:w="7371" w:type="dxa"/>
          <w:tcMar>
            <w:top w:w="142" w:type="dxa"/>
            <w:bottom w:w="0" w:type="dxa"/>
          </w:tcMar>
        </w:tcPr>
        <w:p w14:paraId="5A7C31EE" w14:textId="1FEBEF98" w:rsidR="009B25DD" w:rsidRPr="00487162" w:rsidRDefault="009B25DD" w:rsidP="00460036">
          <w:pPr>
            <w:pStyle w:val="Footer"/>
          </w:pPr>
          <w:proofErr w:type="spellStart"/>
          <w:r w:rsidRPr="00487162">
            <w:t>AusPA</w:t>
          </w:r>
          <w:r>
            <w:t>R</w:t>
          </w:r>
          <w:proofErr w:type="spellEnd"/>
          <w:r>
            <w:t xml:space="preserve"> – </w:t>
          </w:r>
          <w:proofErr w:type="spellStart"/>
          <w:r w:rsidRPr="00915863">
            <w:t>S</w:t>
          </w:r>
          <w:r>
            <w:t>ogroya</w:t>
          </w:r>
          <w:proofErr w:type="spellEnd"/>
          <w:r>
            <w:t xml:space="preserve"> </w:t>
          </w:r>
          <w:r w:rsidRPr="00915863">
            <w:t xml:space="preserve">- </w:t>
          </w:r>
          <w:proofErr w:type="spellStart"/>
          <w:r w:rsidRPr="00915863">
            <w:t>somapacitan</w:t>
          </w:r>
          <w:proofErr w:type="spellEnd"/>
          <w:r w:rsidRPr="00915863">
            <w:t xml:space="preserve"> - Novo Nordisk Pharmaceuticals Pty Ltd - PM-2021-01699-1-5</w:t>
          </w:r>
          <w:r>
            <w:br/>
          </w:r>
          <w:r w:rsidR="00F519F7">
            <w:t>FINAL</w:t>
          </w:r>
          <w:r w:rsidRPr="00487162">
            <w:t xml:space="preserve"> </w:t>
          </w:r>
          <w:r w:rsidR="00F519F7">
            <w:t>7</w:t>
          </w:r>
          <w:r>
            <w:t xml:space="preserve"> </w:t>
          </w:r>
          <w:r w:rsidR="00F519F7">
            <w:t>October</w:t>
          </w:r>
          <w:r>
            <w:t xml:space="preserve"> 2022</w:t>
          </w:r>
        </w:p>
      </w:tc>
      <w:tc>
        <w:tcPr>
          <w:tcW w:w="1490" w:type="dxa"/>
          <w:tcMar>
            <w:top w:w="142" w:type="dxa"/>
            <w:bottom w:w="0" w:type="dxa"/>
          </w:tcMar>
        </w:tcPr>
        <w:p w14:paraId="6994521F" w14:textId="1D1FB5AB" w:rsidR="009B25DD" w:rsidRPr="00487162" w:rsidRDefault="009B25DD" w:rsidP="00DB750B">
          <w:pPr>
            <w:pStyle w:val="Footer"/>
            <w:jc w:val="right"/>
          </w:pPr>
          <w:r w:rsidRPr="00487162">
            <w:t xml:space="preserve">Page </w:t>
          </w:r>
          <w:r>
            <w:fldChar w:fldCharType="begin"/>
          </w:r>
          <w:r>
            <w:instrText xml:space="preserve"> PAGE  \* Arabic </w:instrText>
          </w:r>
          <w:r>
            <w:fldChar w:fldCharType="separate"/>
          </w:r>
          <w:r w:rsidR="005A1468">
            <w:rPr>
              <w:noProof/>
            </w:rPr>
            <w:t>8</w:t>
          </w:r>
          <w:r>
            <w:fldChar w:fldCharType="end"/>
          </w:r>
          <w:r w:rsidRPr="00487162">
            <w:t xml:space="preserve"> of </w:t>
          </w:r>
          <w:fldSimple w:instr=" NUMPAGES  \* Arabic ">
            <w:r w:rsidR="005A1468">
              <w:rPr>
                <w:noProof/>
              </w:rPr>
              <w:t>25</w:t>
            </w:r>
          </w:fldSimple>
        </w:p>
      </w:tc>
    </w:tr>
  </w:tbl>
  <w:p w14:paraId="21C7C821" w14:textId="77777777" w:rsidR="009B25DD" w:rsidRDefault="009B25DD"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B25DD" w:rsidRPr="00487162" w14:paraId="4F248F71" w14:textId="77777777" w:rsidTr="00E45619">
      <w:trPr>
        <w:trHeight w:val="269"/>
      </w:trPr>
      <w:tc>
        <w:tcPr>
          <w:tcW w:w="4519" w:type="dxa"/>
          <w:tcBorders>
            <w:top w:val="single" w:sz="4" w:space="0" w:color="auto"/>
          </w:tcBorders>
          <w:tcMar>
            <w:top w:w="142" w:type="dxa"/>
            <w:bottom w:w="0" w:type="dxa"/>
          </w:tcMar>
        </w:tcPr>
        <w:p w14:paraId="74B6D95F" w14:textId="77777777" w:rsidR="009B25DD" w:rsidRPr="00487162" w:rsidRDefault="009B25DD" w:rsidP="00FE1DEE">
          <w:pPr>
            <w:pStyle w:val="Footer"/>
          </w:pPr>
          <w:r w:rsidRPr="00487162">
            <w:t>Document title, Part #, Section # - Section title</w:t>
          </w:r>
        </w:p>
        <w:p w14:paraId="25BE0368" w14:textId="77777777" w:rsidR="009B25DD" w:rsidRPr="00487162" w:rsidRDefault="009B25DD" w:rsidP="00FE1DEE">
          <w:pPr>
            <w:pStyle w:val="Footer"/>
          </w:pPr>
          <w:r w:rsidRPr="00487162">
            <w:t>V1.0 October 2010</w:t>
          </w:r>
        </w:p>
      </w:tc>
      <w:tc>
        <w:tcPr>
          <w:tcW w:w="4342" w:type="dxa"/>
          <w:tcBorders>
            <w:top w:val="single" w:sz="4" w:space="0" w:color="auto"/>
          </w:tcBorders>
          <w:tcMar>
            <w:top w:w="142" w:type="dxa"/>
            <w:bottom w:w="0" w:type="dxa"/>
          </w:tcMar>
        </w:tcPr>
        <w:p w14:paraId="059563DC" w14:textId="77777777" w:rsidR="009B25DD" w:rsidRPr="00487162" w:rsidRDefault="009B25D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489FB572" w14:textId="77777777" w:rsidR="009B25DD" w:rsidRDefault="009B2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F41A" w14:textId="77777777" w:rsidR="009B25DD" w:rsidRPr="001C32CD" w:rsidRDefault="009B25DD"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B25DD" w14:paraId="2FB6C1F5" w14:textId="77777777" w:rsidTr="0010601F">
      <w:trPr>
        <w:trHeight w:val="108"/>
      </w:trPr>
      <w:tc>
        <w:tcPr>
          <w:tcW w:w="8875" w:type="dxa"/>
          <w:gridSpan w:val="2"/>
          <w:tcBorders>
            <w:bottom w:val="single" w:sz="4" w:space="0" w:color="auto"/>
          </w:tcBorders>
          <w:tcMar>
            <w:right w:w="284" w:type="dxa"/>
          </w:tcMar>
        </w:tcPr>
        <w:p w14:paraId="0B07DF73" w14:textId="77777777" w:rsidR="009B25DD" w:rsidRDefault="009B25DD" w:rsidP="006E08B3">
          <w:pPr>
            <w:pStyle w:val="Heading3"/>
          </w:pPr>
          <w:r>
            <w:t>Copyright</w:t>
          </w:r>
        </w:p>
        <w:p w14:paraId="4813EBA9" w14:textId="77777777" w:rsidR="009B25DD" w:rsidRDefault="009B25DD" w:rsidP="006E08B3">
          <w:r>
            <w:rPr>
              <w:rFonts w:cs="Arial"/>
            </w:rPr>
            <w:t>©</w:t>
          </w:r>
          <w:r>
            <w:t xml:space="preserve"> Commonwealth of Australia [add year]</w:t>
          </w:r>
        </w:p>
        <w:p w14:paraId="3F4484AB" w14:textId="77777777" w:rsidR="009B25DD" w:rsidRDefault="009B25DD" w:rsidP="006E08B3"/>
        <w:p w14:paraId="42A25888" w14:textId="77777777" w:rsidR="009B25DD" w:rsidRDefault="009B25D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92B2D06" w14:textId="77777777" w:rsidR="009B25DD" w:rsidRDefault="009B25DD" w:rsidP="006E08B3"/>
        <w:p w14:paraId="386B344B" w14:textId="77777777" w:rsidR="009B25DD" w:rsidRDefault="009B25DD" w:rsidP="006E08B3">
          <w:pPr>
            <w:pStyle w:val="Heading3"/>
          </w:pPr>
          <w:r>
            <w:t>Confidentiality</w:t>
          </w:r>
        </w:p>
        <w:p w14:paraId="03C1F76B" w14:textId="77777777" w:rsidR="009B25DD" w:rsidRDefault="009B25D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33D7300" w14:textId="77777777" w:rsidR="009B25DD" w:rsidRDefault="009B25DD" w:rsidP="006E08B3"/>
        <w:p w14:paraId="2771AA82" w14:textId="77777777" w:rsidR="009B25DD" w:rsidRDefault="009B25DD" w:rsidP="006E08B3">
          <w:r>
            <w:t>For submission made by individuals, all personal details, other than your name, will be removed from your submission before it is published on the TGA’s Internet site.</w:t>
          </w:r>
        </w:p>
        <w:p w14:paraId="4EA6F918" w14:textId="77777777" w:rsidR="009B25DD" w:rsidRDefault="009B25DD" w:rsidP="006E08B3"/>
        <w:p w14:paraId="76AEEC93" w14:textId="77777777" w:rsidR="009B25DD" w:rsidRDefault="009B25DD" w:rsidP="006E08B3">
          <w:r>
            <w:t>In addition, a list of parties making submissions will be published. If you do not wish to be identified with your submission you must specifically request this in the space provided in the submission coversheet.</w:t>
          </w:r>
        </w:p>
      </w:tc>
    </w:tr>
    <w:tr w:rsidR="009B25DD" w14:paraId="57972B53" w14:textId="77777777" w:rsidTr="0010601F">
      <w:trPr>
        <w:trHeight w:val="417"/>
      </w:trPr>
      <w:tc>
        <w:tcPr>
          <w:tcW w:w="4519" w:type="dxa"/>
          <w:tcBorders>
            <w:top w:val="single" w:sz="4" w:space="0" w:color="auto"/>
          </w:tcBorders>
          <w:tcMar>
            <w:top w:w="142" w:type="dxa"/>
            <w:bottom w:w="0" w:type="dxa"/>
          </w:tcMar>
        </w:tcPr>
        <w:p w14:paraId="113BA5E7" w14:textId="77777777" w:rsidR="009B25DD" w:rsidRDefault="009B25DD" w:rsidP="006E08B3">
          <w:r>
            <w:t>Document title, Part #, Section # - Section title</w:t>
          </w:r>
        </w:p>
        <w:p w14:paraId="385856DA" w14:textId="77777777" w:rsidR="009B25DD" w:rsidRDefault="009B25DD" w:rsidP="006E08B3">
          <w:r>
            <w:t>V1.0 October 2010</w:t>
          </w:r>
        </w:p>
      </w:tc>
      <w:tc>
        <w:tcPr>
          <w:tcW w:w="4356" w:type="dxa"/>
          <w:tcBorders>
            <w:top w:val="single" w:sz="4" w:space="0" w:color="auto"/>
          </w:tcBorders>
          <w:tcMar>
            <w:top w:w="142" w:type="dxa"/>
            <w:bottom w:w="0" w:type="dxa"/>
          </w:tcMar>
        </w:tcPr>
        <w:p w14:paraId="3008AB0F" w14:textId="77777777" w:rsidR="009B25DD" w:rsidRDefault="009B25D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5D65F6ED" w14:textId="77777777" w:rsidR="009B25DD" w:rsidRDefault="009B25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4EF9" w14:textId="77777777" w:rsidR="009B25DD" w:rsidRDefault="009B25DD" w:rsidP="00C40A36">
      <w:pPr>
        <w:spacing w:after="0"/>
      </w:pPr>
      <w:r>
        <w:separator/>
      </w:r>
    </w:p>
  </w:footnote>
  <w:footnote w:type="continuationSeparator" w:id="0">
    <w:p w14:paraId="42285A03" w14:textId="77777777" w:rsidR="009B25DD" w:rsidRDefault="009B25DD" w:rsidP="00C40A36">
      <w:pPr>
        <w:spacing w:after="0"/>
      </w:pPr>
      <w:r>
        <w:continuationSeparator/>
      </w:r>
    </w:p>
  </w:footnote>
  <w:footnote w:id="1">
    <w:p w14:paraId="1CBDF42B" w14:textId="77777777" w:rsidR="00590A44" w:rsidRPr="004119E3" w:rsidRDefault="00590A44" w:rsidP="00590A44">
      <w:pPr>
        <w:pStyle w:val="FootnoteText"/>
        <w:rPr>
          <w:lang w:val="en-GB"/>
        </w:rPr>
      </w:pPr>
      <w:r>
        <w:rPr>
          <w:rStyle w:val="FootnoteReference"/>
        </w:rPr>
        <w:footnoteRef/>
      </w:r>
      <w:r>
        <w:t xml:space="preserve"> Fact sheet: Human growth hormone (somatropin) products approved by the Therapeutic Goods Administration and on the Pharmaceutical Benefits Scheme/ Department of Health and Aged Care, April 2022. Available at: </w:t>
      </w:r>
      <w:hyperlink r:id="rId1" w:history="1">
        <w:r w:rsidRPr="00B67021">
          <w:rPr>
            <w:rStyle w:val="Hyperlink"/>
          </w:rPr>
          <w:t>https://www.health.gov.au/resources/publications/human-growth-hormone-somatropin-approved-by-the-therapeutic-goods-administration-and-on-the-pharmaceutical-benefits-scheme</w:t>
        </w:r>
      </w:hyperlink>
    </w:p>
  </w:footnote>
  <w:footnote w:id="2">
    <w:p w14:paraId="2E34ACDB" w14:textId="56B31CB0" w:rsidR="009B25DD" w:rsidRDefault="009B25DD" w:rsidP="00FA4738">
      <w:pPr>
        <w:pStyle w:val="FootnoteText"/>
      </w:pPr>
      <w:r>
        <w:rPr>
          <w:rStyle w:val="FootnoteReference"/>
        </w:rPr>
        <w:footnoteRef/>
      </w:r>
      <w:r>
        <w:t xml:space="preserve"> Novo Nordisk withdrew the application in Switzerland on 28 January 2021, due to the remaining requirement for clinical data to be made available prior to a possible approval, rather than post-marketing as was agreed by the </w:t>
      </w:r>
      <w:r w:rsidR="00590A44">
        <w:t xml:space="preserve">European Medicines Agency’s (EMA) </w:t>
      </w:r>
      <w:r w:rsidR="00590A44" w:rsidRPr="00590A44">
        <w:t xml:space="preserve">Committee for Medicinal Products for Human Use </w:t>
      </w:r>
      <w:r w:rsidR="00590A44">
        <w:t>(</w:t>
      </w:r>
      <w:r>
        <w:t>CHMP</w:t>
      </w:r>
      <w:r w:rsidR="00590A44">
        <w:t>)</w:t>
      </w:r>
      <w:r>
        <w:t xml:space="preserve"> in Europe.</w:t>
      </w:r>
    </w:p>
  </w:footnote>
  <w:footnote w:id="3">
    <w:p w14:paraId="48B815BF" w14:textId="4A05CDE0" w:rsidR="009B25DD" w:rsidRDefault="009B25DD">
      <w:pPr>
        <w:pStyle w:val="FootnoteText"/>
      </w:pPr>
      <w:r>
        <w:rPr>
          <w:rStyle w:val="FootnoteReference"/>
        </w:rPr>
        <w:footnoteRef/>
      </w:r>
      <w:r>
        <w:t xml:space="preserve"> </w:t>
      </w:r>
      <w:r w:rsidRPr="006F2930">
        <w:t>ICH S6 (R1) Preclinical safety evaluation of biotechnology-derived pharmaceuticals</w:t>
      </w:r>
      <w:r>
        <w:t>. CPMP/ICH/302/95.</w:t>
      </w:r>
    </w:p>
  </w:footnote>
  <w:footnote w:id="4">
    <w:p w14:paraId="5F4FB228" w14:textId="77777777" w:rsidR="009B25DD" w:rsidRDefault="009B25DD" w:rsidP="00923E6E">
      <w:pPr>
        <w:pStyle w:val="FootnoteText"/>
        <w:rPr>
          <w:b/>
          <w:lang w:eastAsia="ja-JP"/>
        </w:rPr>
      </w:pPr>
      <w:r>
        <w:rPr>
          <w:rStyle w:val="FootnoteReference"/>
        </w:rPr>
        <w:footnoteRef/>
      </w:r>
      <w:r>
        <w:t xml:space="preserve"> </w:t>
      </w:r>
      <w:r>
        <w:rPr>
          <w:b/>
          <w:lang w:eastAsia="ja-JP"/>
        </w:rPr>
        <w:t xml:space="preserve">Cytochrome P450 (CYP) enzymes: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2123AA3E" w14:textId="7B8E3850" w:rsidR="009B25DD" w:rsidRDefault="009B25DD">
      <w:pPr>
        <w:pStyle w:val="FootnoteText"/>
      </w:pPr>
      <w:r>
        <w:rPr>
          <w:lang w:eastAsia="ja-JP"/>
        </w:rPr>
        <w:t xml:space="preserve">Many drugs may increase or decrease the activity of various CYP isozymes either by inducing the biosynthesis of an isozyme (enzyme induction) or by directly inhibiting the activity of the CYP (enzyme inhibition). This is a major source of adverse drug </w:t>
      </w:r>
      <w:r>
        <w:rPr>
          <w:lang w:eastAsia="ja-JP"/>
        </w:rPr>
        <w:t>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5">
    <w:p w14:paraId="4560FADE" w14:textId="593D87AC" w:rsidR="009B25DD" w:rsidRDefault="009B25DD" w:rsidP="00AD5BD7">
      <w:pPr>
        <w:pStyle w:val="FootnoteText"/>
      </w:pPr>
      <w:r>
        <w:rPr>
          <w:rStyle w:val="FootnoteReference"/>
        </w:rPr>
        <w:footnoteRef/>
      </w:r>
      <w:r>
        <w:t xml:space="preserve"> Drugs which have been taken by only a limited number of pregnant women and women of childbearing age, without an increase in the frequency of malformation or other direct or indirect harmful effects on the human </w:t>
      </w:r>
      <w:r>
        <w:t>fetus having been observed.</w:t>
      </w:r>
      <w:r w:rsidR="00580019">
        <w:t xml:space="preserve"> </w:t>
      </w:r>
      <w:r>
        <w:t>Studies in animals have not shown evidence of an increased occurrence of fetal damage.</w:t>
      </w:r>
    </w:p>
  </w:footnote>
  <w:footnote w:id="6">
    <w:p w14:paraId="5E6BFDA3" w14:textId="681D3BDF" w:rsidR="00F83CAE" w:rsidRPr="008457EA" w:rsidRDefault="00F83CAE">
      <w:pPr>
        <w:pStyle w:val="FootnoteText"/>
        <w:rPr>
          <w:lang w:val="en-GB"/>
        </w:rPr>
      </w:pPr>
      <w:r>
        <w:rPr>
          <w:rStyle w:val="FootnoteReference"/>
        </w:rPr>
        <w:footnoteRef/>
      </w:r>
      <w:r>
        <w:t xml:space="preserve"> </w:t>
      </w:r>
      <w:r>
        <w:t xml:space="preserve">Norditropin (somatropin), </w:t>
      </w:r>
      <w:r w:rsidR="00362FF1">
        <w:t xml:space="preserve">biosynthetic </w:t>
      </w:r>
      <w:r w:rsidRPr="00F83CAE">
        <w:t>human growth hormone</w:t>
      </w:r>
      <w:r>
        <w:t xml:space="preserve"> of recombinant DNA origin.</w:t>
      </w:r>
    </w:p>
  </w:footnote>
  <w:footnote w:id="7">
    <w:p w14:paraId="05A61523" w14:textId="15FC0854" w:rsidR="009B25DD" w:rsidRDefault="009B25DD">
      <w:pPr>
        <w:pStyle w:val="FootnoteText"/>
      </w:pPr>
      <w:r>
        <w:rPr>
          <w:rStyle w:val="FootnoteReference"/>
        </w:rPr>
        <w:footnoteRef/>
      </w:r>
      <w:r>
        <w:t xml:space="preserve"> </w:t>
      </w:r>
      <w:r w:rsidRPr="004D4142">
        <w:t>The</w:t>
      </w:r>
      <w:r>
        <w:t xml:space="preserve"> s</w:t>
      </w:r>
      <w:r w:rsidRPr="004D4142">
        <w:t xml:space="preserve">hort </w:t>
      </w:r>
      <w:r>
        <w:t>f</w:t>
      </w:r>
      <w:r w:rsidRPr="004D4142">
        <w:t xml:space="preserve">orm (36) </w:t>
      </w:r>
      <w:r>
        <w:t>h</w:t>
      </w:r>
      <w:r w:rsidRPr="004D4142">
        <w:t xml:space="preserve">ealth </w:t>
      </w:r>
      <w:r>
        <w:t>s</w:t>
      </w:r>
      <w:r w:rsidRPr="004D4142">
        <w:t>urvey is a 36-item, patient-reported survey of patient health. The SF-36 is a measure of health status</w:t>
      </w:r>
      <w:r>
        <w:t xml:space="preserve">, </w:t>
      </w:r>
      <w:r w:rsidRPr="004D4142">
        <w:t>commonly used in health economics as a variable in the quality-adjusted life year calculation to determine the cost-effectiveness of a health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4ABC" w14:textId="77777777" w:rsidR="009B25DD" w:rsidRDefault="009B25DD"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EA9F" w14:textId="77777777" w:rsidR="009B25DD" w:rsidRDefault="009B25DD">
    <w:pPr>
      <w:rPr>
        <w:noProof/>
        <w:lang w:eastAsia="en-AU"/>
      </w:rPr>
    </w:pPr>
    <w:r w:rsidRPr="00347824">
      <w:rPr>
        <w:noProof/>
        <w:lang w:val="en-GB" w:eastAsia="en-GB"/>
      </w:rPr>
      <w:drawing>
        <wp:anchor distT="0" distB="0" distL="114300" distR="114300" simplePos="0" relativeHeight="251659264" behindDoc="1" locked="0" layoutInCell="1" allowOverlap="1" wp14:anchorId="1DFD7E47" wp14:editId="20E232B3">
          <wp:simplePos x="0" y="0"/>
          <wp:positionH relativeFrom="column">
            <wp:posOffset>-1089660</wp:posOffset>
          </wp:positionH>
          <wp:positionV relativeFrom="paragraph">
            <wp:posOffset>-585470</wp:posOffset>
          </wp:positionV>
          <wp:extent cx="7572375" cy="10706100"/>
          <wp:effectExtent l="19050" t="0" r="0" b="0"/>
          <wp:wrapNone/>
          <wp:docPr id="1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BDA1" w14:textId="77777777" w:rsidR="009B25DD" w:rsidRDefault="009B2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4D3A" w14:textId="77777777" w:rsidR="009B25DD" w:rsidRDefault="009B25DD">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43E0" w14:textId="77777777" w:rsidR="009B25DD" w:rsidRDefault="009B25DD">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D44A" w14:textId="77777777" w:rsidR="009B25DD" w:rsidRDefault="009B25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161B" w14:textId="77777777" w:rsidR="009B25DD" w:rsidRDefault="009B25DD"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6C68" w14:textId="77777777" w:rsidR="009B25DD" w:rsidRDefault="009B25DD" w:rsidP="006E08B3">
    <w:r>
      <w:t>Therapeutic Goods Administration</w:t>
    </w:r>
  </w:p>
  <w:p w14:paraId="3842A4F4" w14:textId="77777777" w:rsidR="009B25DD" w:rsidRDefault="009B25DD"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6"/>
  </w:num>
  <w:num w:numId="30">
    <w:abstractNumId w:val="8"/>
  </w:num>
  <w:num w:numId="31">
    <w:abstractNumId w:val="4"/>
  </w:num>
  <w:num w:numId="32">
    <w:abstractNumId w:val="1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63"/>
    <w:rsid w:val="00002031"/>
    <w:rsid w:val="00004734"/>
    <w:rsid w:val="00006B22"/>
    <w:rsid w:val="00006FAB"/>
    <w:rsid w:val="0001276A"/>
    <w:rsid w:val="00016622"/>
    <w:rsid w:val="000246AE"/>
    <w:rsid w:val="00025C67"/>
    <w:rsid w:val="00033A91"/>
    <w:rsid w:val="000377C2"/>
    <w:rsid w:val="00044772"/>
    <w:rsid w:val="0004541C"/>
    <w:rsid w:val="0005559E"/>
    <w:rsid w:val="000604D6"/>
    <w:rsid w:val="000734D8"/>
    <w:rsid w:val="00077775"/>
    <w:rsid w:val="00090471"/>
    <w:rsid w:val="00096AA7"/>
    <w:rsid w:val="000A3AED"/>
    <w:rsid w:val="000A6E08"/>
    <w:rsid w:val="000B3532"/>
    <w:rsid w:val="000B3A75"/>
    <w:rsid w:val="000C00C2"/>
    <w:rsid w:val="000C690F"/>
    <w:rsid w:val="000D1295"/>
    <w:rsid w:val="000D2967"/>
    <w:rsid w:val="000D391B"/>
    <w:rsid w:val="000D3D6D"/>
    <w:rsid w:val="000D4FC7"/>
    <w:rsid w:val="000E1B13"/>
    <w:rsid w:val="000E5F13"/>
    <w:rsid w:val="000E6196"/>
    <w:rsid w:val="000F4869"/>
    <w:rsid w:val="000F5B42"/>
    <w:rsid w:val="000F6E6F"/>
    <w:rsid w:val="00105F76"/>
    <w:rsid w:val="0010601F"/>
    <w:rsid w:val="0010788A"/>
    <w:rsid w:val="00107A31"/>
    <w:rsid w:val="00110EA5"/>
    <w:rsid w:val="00112F56"/>
    <w:rsid w:val="00117C1F"/>
    <w:rsid w:val="00122C2E"/>
    <w:rsid w:val="00124ACD"/>
    <w:rsid w:val="00125318"/>
    <w:rsid w:val="001305A2"/>
    <w:rsid w:val="00133238"/>
    <w:rsid w:val="00133A1B"/>
    <w:rsid w:val="00134BB9"/>
    <w:rsid w:val="0014197B"/>
    <w:rsid w:val="001447CD"/>
    <w:rsid w:val="001516B1"/>
    <w:rsid w:val="00154EBB"/>
    <w:rsid w:val="00156316"/>
    <w:rsid w:val="00161181"/>
    <w:rsid w:val="00161D56"/>
    <w:rsid w:val="00162D14"/>
    <w:rsid w:val="00163780"/>
    <w:rsid w:val="00165389"/>
    <w:rsid w:val="0017693F"/>
    <w:rsid w:val="0018110E"/>
    <w:rsid w:val="00181684"/>
    <w:rsid w:val="001843C6"/>
    <w:rsid w:val="001850E0"/>
    <w:rsid w:val="00185407"/>
    <w:rsid w:val="001A03AF"/>
    <w:rsid w:val="001A2158"/>
    <w:rsid w:val="001A525F"/>
    <w:rsid w:val="001A5A00"/>
    <w:rsid w:val="001A66B8"/>
    <w:rsid w:val="001B09F9"/>
    <w:rsid w:val="001B1DA4"/>
    <w:rsid w:val="001B5C90"/>
    <w:rsid w:val="001B6448"/>
    <w:rsid w:val="001C32CD"/>
    <w:rsid w:val="001D2984"/>
    <w:rsid w:val="001E07CF"/>
    <w:rsid w:val="001E359E"/>
    <w:rsid w:val="001E59F1"/>
    <w:rsid w:val="001F2CEE"/>
    <w:rsid w:val="001F49EB"/>
    <w:rsid w:val="001F6CBA"/>
    <w:rsid w:val="00201D4E"/>
    <w:rsid w:val="002076C9"/>
    <w:rsid w:val="00220B8A"/>
    <w:rsid w:val="002257F3"/>
    <w:rsid w:val="002314EA"/>
    <w:rsid w:val="00233456"/>
    <w:rsid w:val="002339A5"/>
    <w:rsid w:val="00245FE6"/>
    <w:rsid w:val="00250271"/>
    <w:rsid w:val="00250F35"/>
    <w:rsid w:val="00257848"/>
    <w:rsid w:val="002578E8"/>
    <w:rsid w:val="0027084A"/>
    <w:rsid w:val="00271E85"/>
    <w:rsid w:val="00280265"/>
    <w:rsid w:val="00286434"/>
    <w:rsid w:val="00286C59"/>
    <w:rsid w:val="00291957"/>
    <w:rsid w:val="002942D1"/>
    <w:rsid w:val="0029501A"/>
    <w:rsid w:val="00297462"/>
    <w:rsid w:val="002A3721"/>
    <w:rsid w:val="002B1638"/>
    <w:rsid w:val="002B3624"/>
    <w:rsid w:val="002D0952"/>
    <w:rsid w:val="002D4E32"/>
    <w:rsid w:val="002E40B3"/>
    <w:rsid w:val="002E4C9A"/>
    <w:rsid w:val="002F11F8"/>
    <w:rsid w:val="002F3F56"/>
    <w:rsid w:val="002F44B5"/>
    <w:rsid w:val="002F5122"/>
    <w:rsid w:val="00304237"/>
    <w:rsid w:val="00311AC0"/>
    <w:rsid w:val="003176FC"/>
    <w:rsid w:val="00324E45"/>
    <w:rsid w:val="0032583B"/>
    <w:rsid w:val="00327883"/>
    <w:rsid w:val="00330F94"/>
    <w:rsid w:val="00332715"/>
    <w:rsid w:val="00335504"/>
    <w:rsid w:val="00340C18"/>
    <w:rsid w:val="003442FD"/>
    <w:rsid w:val="00347824"/>
    <w:rsid w:val="00350567"/>
    <w:rsid w:val="003521E8"/>
    <w:rsid w:val="00362FF1"/>
    <w:rsid w:val="00370CE3"/>
    <w:rsid w:val="003728F3"/>
    <w:rsid w:val="003735BC"/>
    <w:rsid w:val="0037496E"/>
    <w:rsid w:val="00383221"/>
    <w:rsid w:val="00386150"/>
    <w:rsid w:val="003874CE"/>
    <w:rsid w:val="00390900"/>
    <w:rsid w:val="00395B10"/>
    <w:rsid w:val="00397B2A"/>
    <w:rsid w:val="003A7F6C"/>
    <w:rsid w:val="003B4D60"/>
    <w:rsid w:val="003B7E39"/>
    <w:rsid w:val="003C1588"/>
    <w:rsid w:val="003C58DC"/>
    <w:rsid w:val="003D1E62"/>
    <w:rsid w:val="003D3C4F"/>
    <w:rsid w:val="003E0B99"/>
    <w:rsid w:val="003E236D"/>
    <w:rsid w:val="003E2486"/>
    <w:rsid w:val="003E3208"/>
    <w:rsid w:val="003F0B04"/>
    <w:rsid w:val="0040134E"/>
    <w:rsid w:val="004334C7"/>
    <w:rsid w:val="004359CF"/>
    <w:rsid w:val="00440A2D"/>
    <w:rsid w:val="00441C3F"/>
    <w:rsid w:val="00444D1A"/>
    <w:rsid w:val="0045186A"/>
    <w:rsid w:val="00454BDC"/>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B3954"/>
    <w:rsid w:val="004B7B76"/>
    <w:rsid w:val="004C239D"/>
    <w:rsid w:val="004C2B1B"/>
    <w:rsid w:val="004C2DCA"/>
    <w:rsid w:val="004C4FBE"/>
    <w:rsid w:val="004C61D2"/>
    <w:rsid w:val="004D303B"/>
    <w:rsid w:val="004D4142"/>
    <w:rsid w:val="004F0C4A"/>
    <w:rsid w:val="004F0F38"/>
    <w:rsid w:val="004F47D6"/>
    <w:rsid w:val="00500337"/>
    <w:rsid w:val="00500822"/>
    <w:rsid w:val="00501921"/>
    <w:rsid w:val="00505417"/>
    <w:rsid w:val="0052149B"/>
    <w:rsid w:val="00523A21"/>
    <w:rsid w:val="00530354"/>
    <w:rsid w:val="0053625B"/>
    <w:rsid w:val="005434C6"/>
    <w:rsid w:val="00543B39"/>
    <w:rsid w:val="00545CDB"/>
    <w:rsid w:val="00546154"/>
    <w:rsid w:val="00550096"/>
    <w:rsid w:val="00552E47"/>
    <w:rsid w:val="00555280"/>
    <w:rsid w:val="00557FF9"/>
    <w:rsid w:val="00562327"/>
    <w:rsid w:val="005711D5"/>
    <w:rsid w:val="00576378"/>
    <w:rsid w:val="00577130"/>
    <w:rsid w:val="00577945"/>
    <w:rsid w:val="00577E38"/>
    <w:rsid w:val="00580019"/>
    <w:rsid w:val="00585322"/>
    <w:rsid w:val="005857C6"/>
    <w:rsid w:val="00590A44"/>
    <w:rsid w:val="00592F6E"/>
    <w:rsid w:val="00593AD1"/>
    <w:rsid w:val="005A1468"/>
    <w:rsid w:val="005A68B6"/>
    <w:rsid w:val="005A79F5"/>
    <w:rsid w:val="005C494B"/>
    <w:rsid w:val="005C5570"/>
    <w:rsid w:val="005C5B66"/>
    <w:rsid w:val="005C79A4"/>
    <w:rsid w:val="005D5442"/>
    <w:rsid w:val="005E23D6"/>
    <w:rsid w:val="00603F32"/>
    <w:rsid w:val="00605AD4"/>
    <w:rsid w:val="006136D7"/>
    <w:rsid w:val="00625A6E"/>
    <w:rsid w:val="00627A84"/>
    <w:rsid w:val="00632398"/>
    <w:rsid w:val="00640FC3"/>
    <w:rsid w:val="00642020"/>
    <w:rsid w:val="006430EE"/>
    <w:rsid w:val="00643CE5"/>
    <w:rsid w:val="0065337B"/>
    <w:rsid w:val="00653B14"/>
    <w:rsid w:val="0065419D"/>
    <w:rsid w:val="006603BC"/>
    <w:rsid w:val="006604D8"/>
    <w:rsid w:val="00663BAE"/>
    <w:rsid w:val="00664A5B"/>
    <w:rsid w:val="0066735C"/>
    <w:rsid w:val="006763D2"/>
    <w:rsid w:val="00680C08"/>
    <w:rsid w:val="006901BA"/>
    <w:rsid w:val="006916A0"/>
    <w:rsid w:val="006931B1"/>
    <w:rsid w:val="006A15C0"/>
    <w:rsid w:val="006A58A8"/>
    <w:rsid w:val="006B7900"/>
    <w:rsid w:val="006C3E2A"/>
    <w:rsid w:val="006C642F"/>
    <w:rsid w:val="006D03E5"/>
    <w:rsid w:val="006D5D3E"/>
    <w:rsid w:val="006E08B3"/>
    <w:rsid w:val="006E7D4A"/>
    <w:rsid w:val="006F17AC"/>
    <w:rsid w:val="006F25B8"/>
    <w:rsid w:val="006F2930"/>
    <w:rsid w:val="006F572E"/>
    <w:rsid w:val="007046D6"/>
    <w:rsid w:val="00705DB0"/>
    <w:rsid w:val="0072292E"/>
    <w:rsid w:val="00722B57"/>
    <w:rsid w:val="00730F8A"/>
    <w:rsid w:val="00735A8C"/>
    <w:rsid w:val="0074163C"/>
    <w:rsid w:val="0074253D"/>
    <w:rsid w:val="00744121"/>
    <w:rsid w:val="0074429B"/>
    <w:rsid w:val="007540EB"/>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46F5"/>
    <w:rsid w:val="007A6505"/>
    <w:rsid w:val="007B035B"/>
    <w:rsid w:val="007B6132"/>
    <w:rsid w:val="007B6E9F"/>
    <w:rsid w:val="007C1216"/>
    <w:rsid w:val="007C1AF7"/>
    <w:rsid w:val="007C6B9B"/>
    <w:rsid w:val="007D53B6"/>
    <w:rsid w:val="007E1937"/>
    <w:rsid w:val="007F65A0"/>
    <w:rsid w:val="008044C4"/>
    <w:rsid w:val="00804D99"/>
    <w:rsid w:val="00805D27"/>
    <w:rsid w:val="00806DCB"/>
    <w:rsid w:val="008110BC"/>
    <w:rsid w:val="00821388"/>
    <w:rsid w:val="00821776"/>
    <w:rsid w:val="008321F5"/>
    <w:rsid w:val="00832369"/>
    <w:rsid w:val="00833ED8"/>
    <w:rsid w:val="00834660"/>
    <w:rsid w:val="00836BC2"/>
    <w:rsid w:val="008457EA"/>
    <w:rsid w:val="0085156D"/>
    <w:rsid w:val="00852B28"/>
    <w:rsid w:val="0085641B"/>
    <w:rsid w:val="00857136"/>
    <w:rsid w:val="00865B03"/>
    <w:rsid w:val="00875A6B"/>
    <w:rsid w:val="00875BE6"/>
    <w:rsid w:val="0087620B"/>
    <w:rsid w:val="00885B11"/>
    <w:rsid w:val="00886D15"/>
    <w:rsid w:val="00887DD8"/>
    <w:rsid w:val="00891BA9"/>
    <w:rsid w:val="00896018"/>
    <w:rsid w:val="008960DD"/>
    <w:rsid w:val="0089635C"/>
    <w:rsid w:val="008A2B9D"/>
    <w:rsid w:val="008A3D9F"/>
    <w:rsid w:val="008A5E0B"/>
    <w:rsid w:val="008A6D59"/>
    <w:rsid w:val="008A76EA"/>
    <w:rsid w:val="008B4B03"/>
    <w:rsid w:val="008B596F"/>
    <w:rsid w:val="008C159F"/>
    <w:rsid w:val="008C1623"/>
    <w:rsid w:val="008C1850"/>
    <w:rsid w:val="008C51A9"/>
    <w:rsid w:val="008E7846"/>
    <w:rsid w:val="008F02E5"/>
    <w:rsid w:val="008F1CCC"/>
    <w:rsid w:val="008F2967"/>
    <w:rsid w:val="008F6943"/>
    <w:rsid w:val="0090283F"/>
    <w:rsid w:val="00902A21"/>
    <w:rsid w:val="0090423A"/>
    <w:rsid w:val="0091523F"/>
    <w:rsid w:val="00915863"/>
    <w:rsid w:val="00920330"/>
    <w:rsid w:val="009219D7"/>
    <w:rsid w:val="00922D53"/>
    <w:rsid w:val="00923B70"/>
    <w:rsid w:val="00923E6E"/>
    <w:rsid w:val="00924482"/>
    <w:rsid w:val="009278A9"/>
    <w:rsid w:val="00930237"/>
    <w:rsid w:val="00935D9D"/>
    <w:rsid w:val="00937C17"/>
    <w:rsid w:val="00940A89"/>
    <w:rsid w:val="00941F77"/>
    <w:rsid w:val="00946EA5"/>
    <w:rsid w:val="009556D7"/>
    <w:rsid w:val="00960520"/>
    <w:rsid w:val="00963C08"/>
    <w:rsid w:val="009730DA"/>
    <w:rsid w:val="009752A5"/>
    <w:rsid w:val="0098585A"/>
    <w:rsid w:val="00993567"/>
    <w:rsid w:val="009A2752"/>
    <w:rsid w:val="009A4CED"/>
    <w:rsid w:val="009A690D"/>
    <w:rsid w:val="009B1D12"/>
    <w:rsid w:val="009B25DD"/>
    <w:rsid w:val="009B3D49"/>
    <w:rsid w:val="009B416B"/>
    <w:rsid w:val="009C4BD5"/>
    <w:rsid w:val="009D7B77"/>
    <w:rsid w:val="009E0BB0"/>
    <w:rsid w:val="009E3FBB"/>
    <w:rsid w:val="009E5A87"/>
    <w:rsid w:val="009E5C76"/>
    <w:rsid w:val="009E769D"/>
    <w:rsid w:val="009F2673"/>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2172"/>
    <w:rsid w:val="00A60BAD"/>
    <w:rsid w:val="00A77F87"/>
    <w:rsid w:val="00A80B5B"/>
    <w:rsid w:val="00A84E36"/>
    <w:rsid w:val="00A87A5A"/>
    <w:rsid w:val="00A964D1"/>
    <w:rsid w:val="00AA0ED0"/>
    <w:rsid w:val="00AC2B40"/>
    <w:rsid w:val="00AC2BB2"/>
    <w:rsid w:val="00AC2C3C"/>
    <w:rsid w:val="00AC512D"/>
    <w:rsid w:val="00AD0083"/>
    <w:rsid w:val="00AD3935"/>
    <w:rsid w:val="00AD5BD7"/>
    <w:rsid w:val="00AE05A4"/>
    <w:rsid w:val="00AE278A"/>
    <w:rsid w:val="00AE65EB"/>
    <w:rsid w:val="00AE67A7"/>
    <w:rsid w:val="00AF1D94"/>
    <w:rsid w:val="00AF2313"/>
    <w:rsid w:val="00AF60C5"/>
    <w:rsid w:val="00B009C6"/>
    <w:rsid w:val="00B01548"/>
    <w:rsid w:val="00B0368C"/>
    <w:rsid w:val="00B130C5"/>
    <w:rsid w:val="00B13EBD"/>
    <w:rsid w:val="00B1406F"/>
    <w:rsid w:val="00B15686"/>
    <w:rsid w:val="00B21D29"/>
    <w:rsid w:val="00B25034"/>
    <w:rsid w:val="00B33588"/>
    <w:rsid w:val="00B33863"/>
    <w:rsid w:val="00B344EC"/>
    <w:rsid w:val="00B3735F"/>
    <w:rsid w:val="00B37D17"/>
    <w:rsid w:val="00B4175E"/>
    <w:rsid w:val="00B41C85"/>
    <w:rsid w:val="00B452CE"/>
    <w:rsid w:val="00B54C25"/>
    <w:rsid w:val="00B76B91"/>
    <w:rsid w:val="00B77EB1"/>
    <w:rsid w:val="00B811C6"/>
    <w:rsid w:val="00B855B0"/>
    <w:rsid w:val="00B92E08"/>
    <w:rsid w:val="00BB0B78"/>
    <w:rsid w:val="00BB75D6"/>
    <w:rsid w:val="00BC622A"/>
    <w:rsid w:val="00BE0A78"/>
    <w:rsid w:val="00BE6542"/>
    <w:rsid w:val="00BE79F0"/>
    <w:rsid w:val="00BF046D"/>
    <w:rsid w:val="00BF1190"/>
    <w:rsid w:val="00BF3774"/>
    <w:rsid w:val="00BF5D04"/>
    <w:rsid w:val="00BF7063"/>
    <w:rsid w:val="00C009AA"/>
    <w:rsid w:val="00C02D6A"/>
    <w:rsid w:val="00C1164D"/>
    <w:rsid w:val="00C16861"/>
    <w:rsid w:val="00C34133"/>
    <w:rsid w:val="00C346AB"/>
    <w:rsid w:val="00C404A6"/>
    <w:rsid w:val="00C40A36"/>
    <w:rsid w:val="00C44419"/>
    <w:rsid w:val="00C45E7B"/>
    <w:rsid w:val="00C471B1"/>
    <w:rsid w:val="00C525A2"/>
    <w:rsid w:val="00C52E24"/>
    <w:rsid w:val="00C6316B"/>
    <w:rsid w:val="00C634A9"/>
    <w:rsid w:val="00C64586"/>
    <w:rsid w:val="00C70A36"/>
    <w:rsid w:val="00C70D53"/>
    <w:rsid w:val="00C7245C"/>
    <w:rsid w:val="00C73D0B"/>
    <w:rsid w:val="00C74F5C"/>
    <w:rsid w:val="00C772FF"/>
    <w:rsid w:val="00C80137"/>
    <w:rsid w:val="00C801AF"/>
    <w:rsid w:val="00C80256"/>
    <w:rsid w:val="00C94CD4"/>
    <w:rsid w:val="00C9747E"/>
    <w:rsid w:val="00CB6BC0"/>
    <w:rsid w:val="00CC1B7C"/>
    <w:rsid w:val="00CC5044"/>
    <w:rsid w:val="00CC727F"/>
    <w:rsid w:val="00CF15C3"/>
    <w:rsid w:val="00CF2B6F"/>
    <w:rsid w:val="00CF2F3E"/>
    <w:rsid w:val="00CF58B6"/>
    <w:rsid w:val="00CF5DAD"/>
    <w:rsid w:val="00D0062D"/>
    <w:rsid w:val="00D017ED"/>
    <w:rsid w:val="00D040D3"/>
    <w:rsid w:val="00D04C65"/>
    <w:rsid w:val="00D15009"/>
    <w:rsid w:val="00D153D8"/>
    <w:rsid w:val="00D201D2"/>
    <w:rsid w:val="00D212F3"/>
    <w:rsid w:val="00D224FE"/>
    <w:rsid w:val="00D23139"/>
    <w:rsid w:val="00D27350"/>
    <w:rsid w:val="00D425BB"/>
    <w:rsid w:val="00D453FA"/>
    <w:rsid w:val="00D56348"/>
    <w:rsid w:val="00D6493E"/>
    <w:rsid w:val="00D7195D"/>
    <w:rsid w:val="00D719B1"/>
    <w:rsid w:val="00D72CBA"/>
    <w:rsid w:val="00D7301E"/>
    <w:rsid w:val="00D83AE1"/>
    <w:rsid w:val="00D854AC"/>
    <w:rsid w:val="00D855D4"/>
    <w:rsid w:val="00D902C9"/>
    <w:rsid w:val="00D93466"/>
    <w:rsid w:val="00DA1124"/>
    <w:rsid w:val="00DA64CB"/>
    <w:rsid w:val="00DB06B8"/>
    <w:rsid w:val="00DB4549"/>
    <w:rsid w:val="00DB6124"/>
    <w:rsid w:val="00DB750B"/>
    <w:rsid w:val="00DB75B7"/>
    <w:rsid w:val="00DC0A2F"/>
    <w:rsid w:val="00DC1948"/>
    <w:rsid w:val="00DC6E02"/>
    <w:rsid w:val="00DD28CD"/>
    <w:rsid w:val="00DE02AE"/>
    <w:rsid w:val="00DE39D1"/>
    <w:rsid w:val="00DF1D7F"/>
    <w:rsid w:val="00DF4BE4"/>
    <w:rsid w:val="00DF668F"/>
    <w:rsid w:val="00DF7C6F"/>
    <w:rsid w:val="00E02382"/>
    <w:rsid w:val="00E02FB4"/>
    <w:rsid w:val="00E104EA"/>
    <w:rsid w:val="00E13FC7"/>
    <w:rsid w:val="00E20571"/>
    <w:rsid w:val="00E20CE3"/>
    <w:rsid w:val="00E235F7"/>
    <w:rsid w:val="00E23659"/>
    <w:rsid w:val="00E239D4"/>
    <w:rsid w:val="00E26130"/>
    <w:rsid w:val="00E33D42"/>
    <w:rsid w:val="00E40B22"/>
    <w:rsid w:val="00E44ED1"/>
    <w:rsid w:val="00E45619"/>
    <w:rsid w:val="00E4588F"/>
    <w:rsid w:val="00E46DA3"/>
    <w:rsid w:val="00E51BB1"/>
    <w:rsid w:val="00E55CB0"/>
    <w:rsid w:val="00E624A5"/>
    <w:rsid w:val="00E64BA4"/>
    <w:rsid w:val="00E6601E"/>
    <w:rsid w:val="00E7344E"/>
    <w:rsid w:val="00E82665"/>
    <w:rsid w:val="00EA0AD8"/>
    <w:rsid w:val="00EB0798"/>
    <w:rsid w:val="00EB36D6"/>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2F68"/>
    <w:rsid w:val="00F47333"/>
    <w:rsid w:val="00F47E37"/>
    <w:rsid w:val="00F519F7"/>
    <w:rsid w:val="00F53C07"/>
    <w:rsid w:val="00F54B65"/>
    <w:rsid w:val="00F63DBF"/>
    <w:rsid w:val="00F640B6"/>
    <w:rsid w:val="00F66DF2"/>
    <w:rsid w:val="00F80E40"/>
    <w:rsid w:val="00F83CAE"/>
    <w:rsid w:val="00F8489E"/>
    <w:rsid w:val="00F848D9"/>
    <w:rsid w:val="00F931CE"/>
    <w:rsid w:val="00FA4738"/>
    <w:rsid w:val="00FA4BBA"/>
    <w:rsid w:val="00FA5069"/>
    <w:rsid w:val="00FA5B82"/>
    <w:rsid w:val="00FA639E"/>
    <w:rsid w:val="00FB1F0C"/>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91E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769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Tahoma" w:hAnsi="Tahom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Tahoma" w:hAnsi="Tahom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Tahoma" w:hAnsi="Tahom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Bulletpoint">
    <w:name w:val="Bullet point"/>
    <w:basedOn w:val="Normal"/>
    <w:rsid w:val="00E104EA"/>
    <w:pPr>
      <w:numPr>
        <w:numId w:val="33"/>
      </w:numPr>
      <w:tabs>
        <w:tab w:val="left" w:pos="397"/>
      </w:tabs>
      <w:spacing w:before="0" w:after="180" w:line="252" w:lineRule="auto"/>
    </w:pPr>
    <w:rPr>
      <w:rFonts w:eastAsia="Times New Roman"/>
      <w:snapToGrid w:val="0"/>
      <w:kern w:val="16"/>
      <w:szCs w:val="24"/>
    </w:rPr>
  </w:style>
  <w:style w:type="character" w:customStyle="1" w:styleId="TabletextChar">
    <w:name w:val="Table text Char"/>
    <w:basedOn w:val="DefaultParagraphFont"/>
    <w:link w:val="Tabletext"/>
    <w:rsid w:val="003D3C4F"/>
    <w:rPr>
      <w:rFonts w:ascii="Cambria" w:eastAsia="Cambria" w:hAnsi="Cambria" w:cs="Times New Roman"/>
      <w:sz w:val="19"/>
    </w:rPr>
  </w:style>
  <w:style w:type="paragraph" w:customStyle="1" w:styleId="Standard">
    <w:name w:val="Standard"/>
    <w:basedOn w:val="Normal"/>
    <w:link w:val="StandardChar"/>
    <w:qFormat/>
    <w:rsid w:val="003D3C4F"/>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D3C4F"/>
    <w:rPr>
      <w:rFonts w:ascii="Cambria" w:eastAsia="Times New Roman" w:hAnsi="Cambria" w:cs="Times New Roman"/>
      <w:snapToGrid w:val="0"/>
      <w:kern w:val="16"/>
      <w:sz w:val="23"/>
      <w:szCs w:val="24"/>
    </w:rPr>
  </w:style>
  <w:style w:type="character" w:styleId="Emphasis">
    <w:name w:val="Emphasis"/>
    <w:basedOn w:val="DefaultParagraphFont"/>
    <w:uiPriority w:val="20"/>
    <w:qFormat/>
    <w:rsid w:val="004D303B"/>
    <w:rPr>
      <w:i/>
      <w:iCs/>
    </w:rPr>
  </w:style>
  <w:style w:type="table" w:styleId="PlainTable3">
    <w:name w:val="Plain Table 3"/>
    <w:basedOn w:val="TableNormal"/>
    <w:uiPriority w:val="43"/>
    <w:rsid w:val="005008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469">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14993344">
      <w:bodyDiv w:val="1"/>
      <w:marLeft w:val="0"/>
      <w:marRight w:val="0"/>
      <w:marTop w:val="0"/>
      <w:marBottom w:val="0"/>
      <w:divBdr>
        <w:top w:val="none" w:sz="0" w:space="0" w:color="auto"/>
        <w:left w:val="none" w:sz="0" w:space="0" w:color="auto"/>
        <w:bottom w:val="none" w:sz="0" w:space="0" w:color="auto"/>
        <w:right w:val="none" w:sz="0" w:space="0" w:color="auto"/>
      </w:divBdr>
    </w:div>
    <w:div w:id="600068171">
      <w:bodyDiv w:val="1"/>
      <w:marLeft w:val="0"/>
      <w:marRight w:val="0"/>
      <w:marTop w:val="0"/>
      <w:marBottom w:val="0"/>
      <w:divBdr>
        <w:top w:val="none" w:sz="0" w:space="0" w:color="auto"/>
        <w:left w:val="none" w:sz="0" w:space="0" w:color="auto"/>
        <w:bottom w:val="none" w:sz="0" w:space="0" w:color="auto"/>
        <w:right w:val="none" w:sz="0" w:space="0" w:color="auto"/>
      </w:divBdr>
    </w:div>
    <w:div w:id="856844190">
      <w:bodyDiv w:val="1"/>
      <w:marLeft w:val="0"/>
      <w:marRight w:val="0"/>
      <w:marTop w:val="0"/>
      <w:marBottom w:val="0"/>
      <w:divBdr>
        <w:top w:val="none" w:sz="0" w:space="0" w:color="auto"/>
        <w:left w:val="none" w:sz="0" w:space="0" w:color="auto"/>
        <w:bottom w:val="none" w:sz="0" w:space="0" w:color="auto"/>
        <w:right w:val="none" w:sz="0" w:space="0" w:color="auto"/>
      </w:divBdr>
    </w:div>
    <w:div w:id="1638102961">
      <w:bodyDiv w:val="1"/>
      <w:marLeft w:val="0"/>
      <w:marRight w:val="0"/>
      <w:marTop w:val="0"/>
      <w:marBottom w:val="0"/>
      <w:divBdr>
        <w:top w:val="none" w:sz="0" w:space="0" w:color="auto"/>
        <w:left w:val="none" w:sz="0" w:space="0" w:color="auto"/>
        <w:bottom w:val="none" w:sz="0" w:space="0" w:color="auto"/>
        <w:right w:val="none" w:sz="0" w:space="0" w:color="auto"/>
      </w:divBdr>
    </w:div>
    <w:div w:id="1661733547">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tga.gov.au/picmi-search-facility"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ga.gov.au/tgas-risk-management-approach"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comparable-overseas-regulators-cors-timeframes-and-milestones" TargetMode="External"/><Relationship Id="rId23" Type="http://schemas.openxmlformats.org/officeDocument/2006/relationships/hyperlink" Target="https://www.tga.gov.au/publication/risk-management-plans-medicines-and-biologicals" TargetMode="External"/><Relationship Id="rId28" Type="http://schemas.openxmlformats.org/officeDocument/2006/relationships/header" Target="header5.xml"/><Relationship Id="rId36"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hyperlink" Target="mailto:info@tga.gov.au" TargetMode="Externa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human-growth-hormone-somatropin-approved-by-the-therapeutic-goods-administration-and-on-the-pharmaceutical-benefits-sche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0C9E-808B-48FB-AA90-AD7A297E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7222</Words>
  <Characters>41532</Characters>
  <Application>Microsoft Office Word</Application>
  <DocSecurity>0</DocSecurity>
  <Lines>1122</Lines>
  <Paragraphs>716</Paragraphs>
  <ScaleCrop>false</ScaleCrop>
  <HeadingPairs>
    <vt:vector size="2" baseType="variant">
      <vt:variant>
        <vt:lpstr>Title</vt:lpstr>
      </vt:variant>
      <vt:variant>
        <vt:i4>1</vt:i4>
      </vt:variant>
    </vt:vector>
  </HeadingPairs>
  <TitlesOfParts>
    <vt:vector size="1" baseType="lpstr">
      <vt:lpstr>Australian Public Assessment Report for Sogroya</vt:lpstr>
    </vt:vector>
  </TitlesOfParts>
  <Manager/>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Sogroya</dc:title>
  <dc:subject>Prescription medicines</dc:subject>
  <dc:creator/>
  <cp:keywords>AusPARs</cp:keywords>
  <dc:description/>
  <cp:lastModifiedBy/>
  <cp:revision>1</cp:revision>
  <dcterms:created xsi:type="dcterms:W3CDTF">2022-10-04T22:59:00Z</dcterms:created>
  <dcterms:modified xsi:type="dcterms:W3CDTF">2022-10-20T02:52:00Z</dcterms:modified>
  <cp:category/>
</cp:coreProperties>
</file>