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03CF" w14:textId="1566AF94" w:rsidR="008B5A43" w:rsidRPr="006E2063" w:rsidRDefault="00405C53" w:rsidP="00763862">
      <w:pPr>
        <w:pStyle w:val="Heading1"/>
        <w:rPr>
          <w:lang w:val="en-AU" w:eastAsia="en-US" w:bidi="ar-SA"/>
        </w:rPr>
      </w:pPr>
      <w:r w:rsidRPr="006E2063">
        <w:rPr>
          <w:noProof/>
          <w:lang w:val="en-AU" w:eastAsia="en-US" w:bidi="ar-SA"/>
        </w:rPr>
        <mc:AlternateContent>
          <mc:Choice Requires="wps">
            <w:drawing>
              <wp:inline distT="0" distB="0" distL="0" distR="0" wp14:anchorId="48E70CE6" wp14:editId="62E6C046">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5F1D0" w14:textId="77777777" w:rsidR="00C94C01" w:rsidRPr="00BE2A26" w:rsidRDefault="00C94C01" w:rsidP="00405C53">
                            <w:pPr>
                              <w:rPr>
                                <w:rFonts w:ascii="Wingdings 3" w:hAnsi="Wingdings 3" w:hint="eastAsia"/>
                              </w:rPr>
                            </w:pPr>
                            <w:r w:rsidRPr="00BE2A26">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48E70CE6"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62A5F1D0" w14:textId="77777777" w:rsidR="00C94C01" w:rsidRPr="00BE2A26" w:rsidRDefault="00C94C01" w:rsidP="00405C53">
                      <w:pPr>
                        <w:rPr>
                          <w:rFonts w:ascii="Wingdings 3" w:hAnsi="Wingdings 3" w:hint="eastAsia"/>
                        </w:rPr>
                      </w:pPr>
                      <w:r w:rsidRPr="00BE2A26">
                        <w:rPr>
                          <w:rFonts w:ascii="SimSun" w:eastAsia="SimSun" w:hAnsi="SimSun" w:hint="eastAsia"/>
                          <w:sz w:val="40"/>
                        </w:rPr>
                        <w:t>▼</w:t>
                      </w:r>
                    </w:p>
                  </w:txbxContent>
                </v:textbox>
                <w10:anchorlock/>
              </v:shape>
            </w:pict>
          </mc:Fallback>
        </mc:AlternateContent>
      </w:r>
      <w:r w:rsidRPr="006E2063">
        <w:rPr>
          <w:lang w:val="en-AU" w:eastAsia="en-US" w:bidi="ar-SA"/>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00374BF7" w:rsidRPr="006E2063">
          <w:rPr>
            <w:rStyle w:val="Hyperlink"/>
            <w:rFonts w:asciiTheme="majorBidi" w:eastAsia="Times New Roman" w:hAnsiTheme="majorBidi"/>
            <w:sz w:val="24"/>
            <w:szCs w:val="24"/>
            <w:lang w:val="en-AU" w:eastAsia="en-US" w:bidi="ar-SA"/>
          </w:rPr>
          <w:t>www.tga.gov.au/reporting-problems</w:t>
        </w:r>
      </w:hyperlink>
      <w:r w:rsidR="00C57A87" w:rsidRPr="006E2063">
        <w:rPr>
          <w:rStyle w:val="Hyperlink"/>
          <w:rFonts w:asciiTheme="majorBidi" w:eastAsia="Times New Roman" w:hAnsiTheme="majorBidi"/>
          <w:sz w:val="24"/>
          <w:szCs w:val="24"/>
          <w:lang w:val="en-AU" w:eastAsia="en-US" w:bidi="ar-SA"/>
        </w:rPr>
        <w:fldChar w:fldCharType="begin"/>
      </w:r>
      <w:r w:rsidR="00C57A87" w:rsidRPr="006E2063">
        <w:rPr>
          <w:rStyle w:val="Hyperlink"/>
          <w:rFonts w:asciiTheme="majorBidi" w:eastAsia="Times New Roman" w:hAnsiTheme="majorBidi"/>
          <w:sz w:val="24"/>
          <w:szCs w:val="24"/>
          <w:lang w:val="en-AU" w:eastAsia="en-US" w:bidi="ar-SA"/>
        </w:rPr>
        <w:instrText xml:space="preserve"> DOCVARIABLE vault_nd_2a3121a7-b8a7-4a7c-a464-5d8f2e17c085 \* MERGEFORMAT </w:instrText>
      </w:r>
      <w:r w:rsidR="00C57A87" w:rsidRPr="006E2063">
        <w:rPr>
          <w:rStyle w:val="Hyperlink"/>
          <w:rFonts w:asciiTheme="majorBidi" w:eastAsia="Times New Roman" w:hAnsiTheme="majorBidi"/>
          <w:sz w:val="24"/>
          <w:szCs w:val="24"/>
          <w:lang w:val="en-AU" w:eastAsia="en-US" w:bidi="ar-SA"/>
        </w:rPr>
        <w:fldChar w:fldCharType="separate"/>
      </w:r>
      <w:r w:rsidR="00C57A87" w:rsidRPr="006E2063">
        <w:rPr>
          <w:rStyle w:val="Hyperlink"/>
          <w:rFonts w:asciiTheme="majorBidi" w:eastAsia="Times New Roman" w:hAnsiTheme="majorBidi"/>
          <w:sz w:val="24"/>
          <w:szCs w:val="24"/>
          <w:lang w:val="en-AU" w:eastAsia="en-US" w:bidi="ar-SA"/>
        </w:rPr>
        <w:t xml:space="preserve"> </w:t>
      </w:r>
      <w:r w:rsidR="00C57A87" w:rsidRPr="006E2063">
        <w:rPr>
          <w:rStyle w:val="Hyperlink"/>
          <w:rFonts w:asciiTheme="majorBidi" w:eastAsia="Times New Roman" w:hAnsiTheme="majorBidi"/>
          <w:sz w:val="24"/>
          <w:szCs w:val="24"/>
          <w:lang w:val="en-AU" w:eastAsia="en-US" w:bidi="ar-SA"/>
        </w:rPr>
        <w:fldChar w:fldCharType="end"/>
      </w:r>
    </w:p>
    <w:p w14:paraId="259AE962" w14:textId="77777777" w:rsidR="00405C53" w:rsidRPr="006E2063" w:rsidRDefault="00405C53" w:rsidP="00405C53">
      <w:pPr>
        <w:pStyle w:val="Title-TNR"/>
      </w:pPr>
    </w:p>
    <w:p w14:paraId="267B71AA" w14:textId="077AC4E0" w:rsidR="006B1D98" w:rsidRPr="006E2063" w:rsidRDefault="005234D4" w:rsidP="00405C53">
      <w:pPr>
        <w:pStyle w:val="Title-TNR"/>
      </w:pPr>
      <w:r w:rsidRPr="006E2063">
        <w:t>AUSTRALIAN PRODUCT INFORMATION</w:t>
      </w:r>
      <w:r w:rsidR="003421FF">
        <w:fldChar w:fldCharType="begin"/>
      </w:r>
      <w:r w:rsidR="003421FF">
        <w:instrText xml:space="preserve"> DOCVARIABLE VAULT_</w:instrText>
      </w:r>
      <w:r w:rsidR="003421FF">
        <w:instrText xml:space="preserve">ND_a7cc56a4-c21e-4850-a2d3-ae727d983edf \* MERGEFORMAT </w:instrText>
      </w:r>
      <w:r w:rsidR="003421FF">
        <w:fldChar w:fldCharType="separate"/>
      </w:r>
      <w:r w:rsidR="00C57A87" w:rsidRPr="006E2063">
        <w:t xml:space="preserve"> </w:t>
      </w:r>
      <w:r w:rsidR="003421FF">
        <w:fldChar w:fldCharType="end"/>
      </w:r>
    </w:p>
    <w:p w14:paraId="4FE02915" w14:textId="77777777" w:rsidR="006B1D98" w:rsidRPr="006E2063" w:rsidRDefault="006B1D98" w:rsidP="003B6DFB">
      <w:pPr>
        <w:pStyle w:val="Title-TNR"/>
      </w:pPr>
    </w:p>
    <w:p w14:paraId="71622D79" w14:textId="1B341150" w:rsidR="005234D4" w:rsidRPr="006E2063" w:rsidRDefault="006B1D98" w:rsidP="001A11CE">
      <w:pPr>
        <w:pStyle w:val="Title-TNR"/>
      </w:pPr>
      <w:r w:rsidRPr="006E2063">
        <w:t>Sogroya</w:t>
      </w:r>
      <w:r w:rsidRPr="006E2063">
        <w:rPr>
          <w:vertAlign w:val="superscript"/>
        </w:rPr>
        <w:t>®</w:t>
      </w:r>
      <w:r w:rsidR="005234D4" w:rsidRPr="006E2063">
        <w:t xml:space="preserve"> </w:t>
      </w:r>
      <w:r w:rsidR="001A11CE" w:rsidRPr="006E2063">
        <w:t xml:space="preserve">10 mg/1.5 mL </w:t>
      </w:r>
      <w:r w:rsidR="005234D4" w:rsidRPr="006E2063">
        <w:t>(</w:t>
      </w:r>
      <w:r w:rsidRPr="006E2063">
        <w:t>somapacitan</w:t>
      </w:r>
      <w:r w:rsidR="005234D4" w:rsidRPr="006E2063">
        <w:t xml:space="preserve">) </w:t>
      </w:r>
      <w:r w:rsidRPr="006E2063">
        <w:t>solution for injection</w:t>
      </w:r>
      <w:r w:rsidR="003421FF">
        <w:fldChar w:fldCharType="begin"/>
      </w:r>
      <w:r w:rsidR="003421FF">
        <w:instrText xml:space="preserve"> DOCVARIABLE vault_nd_9a0a43e8-93d1-4ca2-b011-b6de47f8a95c \* MERGEFORMAT </w:instrText>
      </w:r>
      <w:r w:rsidR="003421FF">
        <w:fldChar w:fldCharType="separate"/>
      </w:r>
      <w:r w:rsidR="00C57A87" w:rsidRPr="006E2063">
        <w:t xml:space="preserve"> </w:t>
      </w:r>
      <w:r w:rsidR="003421FF">
        <w:fldChar w:fldCharType="end"/>
      </w:r>
    </w:p>
    <w:p w14:paraId="02E6866B" w14:textId="77777777" w:rsidR="00BF2B59" w:rsidRPr="006E2063" w:rsidRDefault="00BF2B59" w:rsidP="00BF2B59">
      <w:pPr>
        <w:pStyle w:val="Normal-TNR"/>
        <w:rPr>
          <w:lang w:val="en-AU"/>
        </w:rPr>
      </w:pPr>
    </w:p>
    <w:p w14:paraId="5E775F0F" w14:textId="575D4575" w:rsidR="005234D4" w:rsidRPr="006E2063" w:rsidRDefault="003B6DFB" w:rsidP="00BF2B59">
      <w:pPr>
        <w:pStyle w:val="Heading1-TNR"/>
        <w:rPr>
          <w:lang w:bidi="he-IL"/>
        </w:rPr>
      </w:pPr>
      <w:r w:rsidRPr="006E2063">
        <w:t>NAME OF THE MEDICINE</w:t>
      </w:r>
      <w:r w:rsidR="003421FF">
        <w:fldChar w:fldCharType="begin"/>
      </w:r>
      <w:r w:rsidR="003421FF">
        <w:instrText xml:space="preserve"> DOCVARIABLE VAULT_ND_d0fe306c-6649-42d7-95cc-709afcf83585 \* MERGEFORMAT </w:instrText>
      </w:r>
      <w:r w:rsidR="003421FF">
        <w:fldChar w:fldCharType="separate"/>
      </w:r>
      <w:r w:rsidR="00C57A87" w:rsidRPr="006E2063">
        <w:t xml:space="preserve"> </w:t>
      </w:r>
      <w:r w:rsidR="003421FF">
        <w:fldChar w:fldCharType="end"/>
      </w:r>
    </w:p>
    <w:p w14:paraId="0898133A" w14:textId="7045CCA6" w:rsidR="001A11CE" w:rsidRPr="006E2063" w:rsidRDefault="001A11CE" w:rsidP="001A11CE">
      <w:pPr>
        <w:pStyle w:val="Normal-TNR"/>
        <w:rPr>
          <w:lang w:val="en-AU"/>
        </w:rPr>
      </w:pPr>
      <w:r w:rsidRPr="006E2063">
        <w:rPr>
          <w:lang w:val="en-AU"/>
        </w:rPr>
        <w:t>somapacitan</w:t>
      </w:r>
      <w:r w:rsidR="00885006" w:rsidRPr="006E2063">
        <w:rPr>
          <w:lang w:val="en-AU"/>
        </w:rPr>
        <w:t xml:space="preserve"> </w:t>
      </w:r>
    </w:p>
    <w:p w14:paraId="2486B611" w14:textId="40C8EFB2" w:rsidR="005234D4" w:rsidRPr="006E2063" w:rsidRDefault="005234D4" w:rsidP="00BF2B59">
      <w:pPr>
        <w:pStyle w:val="Heading1-TNR"/>
      </w:pPr>
      <w:r w:rsidRPr="006E2063">
        <w:t>Qualitative and quantitative composition</w:t>
      </w:r>
      <w:r w:rsidR="00885006" w:rsidRPr="006E2063">
        <w:t xml:space="preserve"> </w:t>
      </w:r>
      <w:fldSimple w:instr=" DOCVARIABLE VAULT_ND_2d41b2d9-4726-4b99-bbaa-5826ccc7c97e \* MERGEFORMAT ">
        <w:r w:rsidR="00C57A87" w:rsidRPr="006E2063">
          <w:t xml:space="preserve"> </w:t>
        </w:r>
      </w:fldSimple>
    </w:p>
    <w:p w14:paraId="16E4CC80" w14:textId="77777777" w:rsidR="001A11CE" w:rsidRPr="006E2063" w:rsidRDefault="001A11CE" w:rsidP="00B61295">
      <w:pPr>
        <w:pStyle w:val="Normal-TNR"/>
        <w:rPr>
          <w:lang w:val="en-AU"/>
        </w:rPr>
      </w:pPr>
      <w:r w:rsidRPr="006E2063">
        <w:rPr>
          <w:lang w:val="en-AU"/>
        </w:rPr>
        <w:t>Somapacitan is a long-acting recombinant human growth hormone (</w:t>
      </w:r>
      <w:proofErr w:type="spellStart"/>
      <w:r w:rsidRPr="006E2063">
        <w:rPr>
          <w:lang w:val="en-AU"/>
        </w:rPr>
        <w:t>hGH</w:t>
      </w:r>
      <w:proofErr w:type="spellEnd"/>
      <w:r w:rsidRPr="006E2063">
        <w:rPr>
          <w:lang w:val="en-AU"/>
        </w:rPr>
        <w:t xml:space="preserve">) derivative with a single substitution in the amino acid backbone (L101C) to which an albumin binding moiety has been attached. Somapacitan is produced using recombinant DNA technology in </w:t>
      </w:r>
      <w:r w:rsidRPr="006E2063">
        <w:rPr>
          <w:i/>
          <w:iCs/>
          <w:lang w:val="en-AU"/>
        </w:rPr>
        <w:t xml:space="preserve">Escherichia coli </w:t>
      </w:r>
      <w:r w:rsidRPr="006E2063">
        <w:rPr>
          <w:lang w:val="en-AU"/>
        </w:rPr>
        <w:t>and chemical modification.</w:t>
      </w:r>
    </w:p>
    <w:p w14:paraId="0E7729BC" w14:textId="4749913A" w:rsidR="001A11CE" w:rsidRPr="006E2063" w:rsidRDefault="001A11CE" w:rsidP="00B61295">
      <w:pPr>
        <w:pStyle w:val="Normal-TNR"/>
        <w:rPr>
          <w:lang w:val="en-AU"/>
        </w:rPr>
      </w:pPr>
      <w:r w:rsidRPr="006E2063">
        <w:rPr>
          <w:lang w:val="en-AU"/>
        </w:rPr>
        <w:t>One m</w:t>
      </w:r>
      <w:r w:rsidR="00F666F5" w:rsidRPr="006E2063">
        <w:rPr>
          <w:lang w:val="en-AU"/>
        </w:rPr>
        <w:t>L</w:t>
      </w:r>
      <w:r w:rsidRPr="006E2063">
        <w:rPr>
          <w:lang w:val="en-AU"/>
        </w:rPr>
        <w:t xml:space="preserve"> of solution contains 6.7 mg of somapacitan. </w:t>
      </w:r>
    </w:p>
    <w:p w14:paraId="65590C0E" w14:textId="27462188" w:rsidR="001A11CE" w:rsidRPr="006E2063" w:rsidRDefault="001A11CE" w:rsidP="00B61295">
      <w:pPr>
        <w:pStyle w:val="Normal-TNR"/>
        <w:rPr>
          <w:lang w:val="en-AU"/>
        </w:rPr>
      </w:pPr>
      <w:r w:rsidRPr="006E2063">
        <w:rPr>
          <w:lang w:val="en-AU"/>
        </w:rPr>
        <w:t>One pre-filled pen contains 10 mg of somapacitan in 1.5 mL solution.</w:t>
      </w:r>
    </w:p>
    <w:p w14:paraId="5F036811" w14:textId="2430555F" w:rsidR="005234D4" w:rsidRPr="006E2063" w:rsidRDefault="005234D4" w:rsidP="00B61295">
      <w:pPr>
        <w:pStyle w:val="Normal-TNR"/>
        <w:rPr>
          <w:lang w:val="en-AU"/>
        </w:rPr>
      </w:pPr>
      <w:r w:rsidRPr="006E2063">
        <w:rPr>
          <w:lang w:val="en-AU"/>
        </w:rPr>
        <w:t xml:space="preserve">For the full list of excipients, see Section 6.1 List of excipients. </w:t>
      </w:r>
    </w:p>
    <w:p w14:paraId="20BC2F5E" w14:textId="228C279E" w:rsidR="005234D4" w:rsidRPr="006E2063" w:rsidRDefault="005234D4" w:rsidP="00BF2B59">
      <w:pPr>
        <w:pStyle w:val="Heading1-TNR"/>
      </w:pPr>
      <w:r w:rsidRPr="006E2063">
        <w:t>Pharmaceutical form</w:t>
      </w:r>
      <w:r w:rsidR="00885006" w:rsidRPr="006E2063">
        <w:t xml:space="preserve"> </w:t>
      </w:r>
      <w:fldSimple w:instr=" DOCVARIABLE VAULT_ND_2c7ad0af-9ae9-4338-83f7-fa53d6a4a7ac \* MERGEFORMAT ">
        <w:r w:rsidR="00C57A87" w:rsidRPr="006E2063">
          <w:t xml:space="preserve"> </w:t>
        </w:r>
      </w:fldSimple>
    </w:p>
    <w:p w14:paraId="48F0A0F4" w14:textId="758E24C2" w:rsidR="00E458FF" w:rsidRPr="006E2063" w:rsidRDefault="003201C8" w:rsidP="00B61295">
      <w:pPr>
        <w:pStyle w:val="Normal-TNR"/>
        <w:rPr>
          <w:lang w:val="en-AU"/>
        </w:rPr>
      </w:pPr>
      <w:r w:rsidRPr="006E2063">
        <w:rPr>
          <w:lang w:val="en-AU"/>
        </w:rPr>
        <w:t>Solution for injection</w:t>
      </w:r>
      <w:r w:rsidR="00E458FF" w:rsidRPr="006E2063">
        <w:rPr>
          <w:lang w:val="en-AU"/>
        </w:rPr>
        <w:t>.</w:t>
      </w:r>
    </w:p>
    <w:p w14:paraId="6F5CFFBA" w14:textId="5D3AACED" w:rsidR="00E458FF" w:rsidRPr="006E2063" w:rsidRDefault="00E458FF" w:rsidP="00B61295">
      <w:pPr>
        <w:pStyle w:val="Normal-TNR"/>
        <w:rPr>
          <w:lang w:val="en-AU"/>
        </w:rPr>
      </w:pPr>
      <w:r w:rsidRPr="006E2063">
        <w:rPr>
          <w:lang w:val="en-AU"/>
        </w:rPr>
        <w:t xml:space="preserve">Clear to slightly opalescent, colourless to slightly yellow liquid, essentially free from visible particles. </w:t>
      </w:r>
    </w:p>
    <w:p w14:paraId="6E71DECB" w14:textId="4FF193AC" w:rsidR="005234D4" w:rsidRPr="006E2063" w:rsidRDefault="005234D4" w:rsidP="00BF2B59">
      <w:pPr>
        <w:pStyle w:val="Heading1-TNR"/>
      </w:pPr>
      <w:r w:rsidRPr="006E2063">
        <w:t>Clinical particulars</w:t>
      </w:r>
      <w:r w:rsidR="003421FF">
        <w:fldChar w:fldCharType="begin"/>
      </w:r>
      <w:r w:rsidR="003421FF">
        <w:instrText xml:space="preserve"> DOCVARIABLE VAULT_ND</w:instrText>
      </w:r>
      <w:r w:rsidR="003421FF">
        <w:instrText xml:space="preserve">_0206e57b-5c78-476d-8a1a-5484f4a66401 \* MERGEFORMAT </w:instrText>
      </w:r>
      <w:r w:rsidR="003421FF">
        <w:fldChar w:fldCharType="separate"/>
      </w:r>
      <w:r w:rsidR="00C57A87" w:rsidRPr="006E2063">
        <w:t xml:space="preserve"> </w:t>
      </w:r>
      <w:r w:rsidR="003421FF">
        <w:fldChar w:fldCharType="end"/>
      </w:r>
    </w:p>
    <w:p w14:paraId="217D140C" w14:textId="13775424" w:rsidR="005234D4" w:rsidRPr="006E2063" w:rsidRDefault="005234D4" w:rsidP="00F80FDA">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Therapeutic indications</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vault_nd_db15860d-d1fc-4cbc-8870-434f6228bb10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4F37AEDF" w14:textId="13CEFD3A" w:rsidR="00E62E96" w:rsidRPr="006E2063" w:rsidRDefault="00E62E96" w:rsidP="00E62E96">
      <w:pPr>
        <w:pStyle w:val="Normal-TNR"/>
        <w:rPr>
          <w:lang w:val="en-AU"/>
        </w:rPr>
      </w:pPr>
      <w:r w:rsidRPr="006E2063">
        <w:rPr>
          <w:lang w:val="en-AU"/>
        </w:rPr>
        <w:t>Sogroya is indicated for the replacement of endogenous growth hormone (GH) in adults with growth hormone deficiency (AGHD).</w:t>
      </w:r>
    </w:p>
    <w:p w14:paraId="5676E567" w14:textId="78C9728C" w:rsidR="005234D4" w:rsidRPr="006E2063" w:rsidRDefault="005234D4" w:rsidP="00F80FDA">
      <w:pPr>
        <w:pStyle w:val="Heading3"/>
        <w:numPr>
          <w:ilvl w:val="1"/>
          <w:numId w:val="8"/>
        </w:numPr>
        <w:spacing w:before="240" w:after="240"/>
        <w:ind w:left="0" w:firstLine="0"/>
        <w:rPr>
          <w:rFonts w:ascii="Times New Roman" w:hAnsi="Times New Roman" w:cs="Times New Roman"/>
          <w:b/>
          <w:bCs/>
          <w:color w:val="auto"/>
          <w:lang w:val="en-AU" w:eastAsia="en-US" w:bidi="ar-SA"/>
        </w:rPr>
      </w:pPr>
      <w:bookmarkStart w:id="0" w:name="_Hlk69356889"/>
      <w:r w:rsidRPr="006E2063">
        <w:rPr>
          <w:rFonts w:ascii="Times New Roman" w:hAnsi="Times New Roman" w:cs="Times New Roman"/>
          <w:b/>
          <w:bCs/>
          <w:color w:val="auto"/>
          <w:lang w:val="en-AU" w:eastAsia="en-US" w:bidi="ar-SA"/>
        </w:rPr>
        <w:t>Dose and method of administration</w:t>
      </w:r>
      <w:bookmarkEnd w:id="0"/>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vault_nd_da138401-8811-45c6-a2c4-69a9a258ae55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4C9ED552" w14:textId="77777777" w:rsidR="005B2943" w:rsidRPr="006E2063" w:rsidRDefault="005B2943" w:rsidP="00431523">
      <w:pPr>
        <w:pStyle w:val="Normal-TNR"/>
        <w:rPr>
          <w:lang w:val="en-AU"/>
        </w:rPr>
      </w:pPr>
      <w:r w:rsidRPr="006E2063">
        <w:rPr>
          <w:lang w:val="en-AU"/>
        </w:rPr>
        <w:t>Somapacitan should be initiated and monitored by physicians who are appropriately qualified and experienced in the diagnosis and management of adult patients with growth hormone deficiency (</w:t>
      </w:r>
      <w:proofErr w:type="gramStart"/>
      <w:r w:rsidRPr="006E2063">
        <w:rPr>
          <w:lang w:val="en-AU"/>
        </w:rPr>
        <w:t>e.g.</w:t>
      </w:r>
      <w:proofErr w:type="gramEnd"/>
      <w:r w:rsidRPr="006E2063">
        <w:rPr>
          <w:lang w:val="en-AU"/>
        </w:rPr>
        <w:t xml:space="preserve"> endocrinologists).</w:t>
      </w:r>
    </w:p>
    <w:p w14:paraId="064F1C14" w14:textId="63E39702" w:rsidR="005B2943" w:rsidRPr="006E2063" w:rsidRDefault="00A02DB5" w:rsidP="00DB1FBD">
      <w:pPr>
        <w:pStyle w:val="Heading4"/>
        <w:rPr>
          <w:lang w:val="en-AU" w:eastAsia="en-US" w:bidi="ar-SA"/>
        </w:rPr>
      </w:pPr>
      <w:r w:rsidRPr="006E2063">
        <w:rPr>
          <w:lang w:val="en-AU" w:eastAsia="en-US" w:bidi="ar-SA"/>
        </w:rPr>
        <w:lastRenderedPageBreak/>
        <w:t>Dos</w:t>
      </w:r>
      <w:r w:rsidR="00B05618" w:rsidRPr="006E2063">
        <w:rPr>
          <w:lang w:val="en-AU" w:eastAsia="en-US" w:bidi="ar-SA"/>
        </w:rPr>
        <w:t>ag</w:t>
      </w:r>
      <w:r w:rsidRPr="006E2063">
        <w:rPr>
          <w:lang w:val="en-AU" w:eastAsia="en-US" w:bidi="ar-SA"/>
        </w:rPr>
        <w:t>e</w:t>
      </w:r>
      <w:r w:rsidR="00C149BB" w:rsidRPr="006E2063">
        <w:rPr>
          <w:lang w:val="en-AU" w:eastAsia="en-US" w:bidi="ar-SA"/>
        </w:rPr>
        <w:t xml:space="preserve"> </w:t>
      </w:r>
      <w:r w:rsidR="00C57A87" w:rsidRPr="006E2063">
        <w:rPr>
          <w:lang w:val="en-AU" w:eastAsia="en-US" w:bidi="ar-SA"/>
        </w:rPr>
        <w:fldChar w:fldCharType="begin"/>
      </w:r>
      <w:r w:rsidR="00C57A87" w:rsidRPr="006E2063">
        <w:rPr>
          <w:lang w:val="en-AU" w:eastAsia="en-US" w:bidi="ar-SA"/>
        </w:rPr>
        <w:instrText xml:space="preserve"> DOCVARIABLE vault_nd_3062caeb-5a9b-4d03-a306-747396efa595 \* MERGEFORMAT </w:instrText>
      </w:r>
      <w:r w:rsidR="00C57A87" w:rsidRPr="006E2063">
        <w:rPr>
          <w:lang w:val="en-AU" w:eastAsia="en-US" w:bidi="ar-SA"/>
        </w:rPr>
        <w:fldChar w:fldCharType="separate"/>
      </w:r>
      <w:r w:rsidR="00C57A87" w:rsidRPr="006E2063">
        <w:rPr>
          <w:lang w:val="en-AU" w:eastAsia="en-US" w:bidi="ar-SA"/>
        </w:rPr>
        <w:t xml:space="preserve"> </w:t>
      </w:r>
      <w:r w:rsidR="00C57A87" w:rsidRPr="006E2063">
        <w:rPr>
          <w:lang w:val="en-AU" w:eastAsia="en-US" w:bidi="ar-SA"/>
        </w:rPr>
        <w:fldChar w:fldCharType="end"/>
      </w:r>
    </w:p>
    <w:p w14:paraId="01D30A91" w14:textId="77777777" w:rsidR="005B2943" w:rsidRPr="006E2063" w:rsidRDefault="005B2943" w:rsidP="005B2943">
      <w:pPr>
        <w:rPr>
          <w:i/>
          <w:iCs/>
          <w:sz w:val="24"/>
          <w:szCs w:val="24"/>
          <w:lang w:val="en-AU"/>
        </w:rPr>
      </w:pPr>
      <w:r w:rsidRPr="006E2063">
        <w:rPr>
          <w:i/>
          <w:iCs/>
          <w:sz w:val="24"/>
          <w:szCs w:val="24"/>
          <w:lang w:val="en-AU"/>
        </w:rPr>
        <w:t xml:space="preserve">Starting dose </w:t>
      </w:r>
    </w:p>
    <w:p w14:paraId="1848FBEC" w14:textId="09A0CCF8" w:rsidR="005B2943" w:rsidRPr="006E2063" w:rsidRDefault="005B2943" w:rsidP="00C93249">
      <w:pPr>
        <w:rPr>
          <w:lang w:val="en-AU"/>
        </w:rPr>
      </w:pPr>
      <w:r w:rsidRPr="006E2063">
        <w:rPr>
          <w:b/>
          <w:bCs/>
          <w:lang w:val="en-AU"/>
        </w:rPr>
        <w:t xml:space="preserve">Table </w:t>
      </w:r>
      <w:r w:rsidR="00C93249" w:rsidRPr="006E2063">
        <w:rPr>
          <w:b/>
          <w:bCs/>
          <w:lang w:val="en-AU"/>
        </w:rPr>
        <w:fldChar w:fldCharType="begin"/>
      </w:r>
      <w:r w:rsidR="00C93249" w:rsidRPr="006E2063">
        <w:rPr>
          <w:b/>
          <w:bCs/>
          <w:lang w:val="en-AU"/>
        </w:rPr>
        <w:instrText xml:space="preserve"> SEQ Table \* ARABIC \s 1 </w:instrText>
      </w:r>
      <w:r w:rsidR="00C93249" w:rsidRPr="006E2063">
        <w:rPr>
          <w:b/>
          <w:bCs/>
          <w:lang w:val="en-AU"/>
        </w:rPr>
        <w:fldChar w:fldCharType="separate"/>
      </w:r>
      <w:r w:rsidR="00C93249" w:rsidRPr="006E2063">
        <w:rPr>
          <w:b/>
          <w:bCs/>
          <w:lang w:val="en-AU"/>
        </w:rPr>
        <w:t>1</w:t>
      </w:r>
      <w:r w:rsidR="00C93249" w:rsidRPr="006E2063">
        <w:rPr>
          <w:b/>
          <w:bCs/>
          <w:lang w:val="en-AU"/>
        </w:rPr>
        <w:fldChar w:fldCharType="end"/>
      </w:r>
      <w:r w:rsidRPr="006E2063">
        <w:rPr>
          <w:b/>
          <w:bCs/>
          <w:lang w:val="en-AU"/>
        </w:rPr>
        <w:t>: Starting dose recommendation</w:t>
      </w:r>
    </w:p>
    <w:tbl>
      <w:tblPr>
        <w:tblStyle w:val="TableGrid"/>
        <w:tblW w:w="5000" w:type="pct"/>
        <w:tblLook w:val="04A0" w:firstRow="1" w:lastRow="0" w:firstColumn="1" w:lastColumn="0" w:noHBand="0" w:noVBand="1"/>
      </w:tblPr>
      <w:tblGrid>
        <w:gridCol w:w="5247"/>
        <w:gridCol w:w="3769"/>
      </w:tblGrid>
      <w:tr w:rsidR="005B2943" w:rsidRPr="006E2063" w14:paraId="1153E5EA" w14:textId="77777777" w:rsidTr="002F48E7">
        <w:tc>
          <w:tcPr>
            <w:tcW w:w="2910" w:type="pct"/>
          </w:tcPr>
          <w:p w14:paraId="42F55CC3" w14:textId="77777777" w:rsidR="005B2943" w:rsidRPr="006E2063" w:rsidRDefault="005B2943" w:rsidP="008B7576">
            <w:pPr>
              <w:spacing w:after="40"/>
              <w:rPr>
                <w:b/>
                <w:bCs/>
                <w:sz w:val="20"/>
                <w:szCs w:val="20"/>
                <w:lang w:val="en-AU"/>
              </w:rPr>
            </w:pPr>
            <w:r w:rsidRPr="006E2063">
              <w:rPr>
                <w:b/>
                <w:bCs/>
                <w:sz w:val="20"/>
                <w:szCs w:val="20"/>
                <w:lang w:val="en-AU"/>
              </w:rPr>
              <w:t>AGHD population</w:t>
            </w:r>
          </w:p>
        </w:tc>
        <w:tc>
          <w:tcPr>
            <w:tcW w:w="2090" w:type="pct"/>
          </w:tcPr>
          <w:p w14:paraId="59F46F05" w14:textId="77777777" w:rsidR="005B2943" w:rsidRPr="006E2063" w:rsidRDefault="005B2943" w:rsidP="008B7576">
            <w:pPr>
              <w:spacing w:after="40"/>
              <w:rPr>
                <w:b/>
                <w:bCs/>
                <w:sz w:val="20"/>
                <w:szCs w:val="20"/>
                <w:lang w:val="en-AU"/>
              </w:rPr>
            </w:pPr>
            <w:r w:rsidRPr="006E2063">
              <w:rPr>
                <w:b/>
                <w:bCs/>
                <w:sz w:val="20"/>
                <w:szCs w:val="20"/>
                <w:lang w:val="en-AU"/>
              </w:rPr>
              <w:t>Recommended starting dose</w:t>
            </w:r>
          </w:p>
        </w:tc>
      </w:tr>
      <w:tr w:rsidR="005B2943" w:rsidRPr="006E2063" w14:paraId="7F5B45BB" w14:textId="77777777" w:rsidTr="006563B4">
        <w:trPr>
          <w:trHeight w:val="1331"/>
        </w:trPr>
        <w:tc>
          <w:tcPr>
            <w:tcW w:w="2910" w:type="pct"/>
          </w:tcPr>
          <w:p w14:paraId="5AA80657" w14:textId="77777777" w:rsidR="005B2943" w:rsidRPr="006E2063" w:rsidRDefault="005B2943" w:rsidP="008B7576">
            <w:pPr>
              <w:spacing w:after="40"/>
              <w:rPr>
                <w:sz w:val="20"/>
                <w:szCs w:val="20"/>
                <w:lang w:val="en-AU"/>
              </w:rPr>
            </w:pPr>
            <w:r w:rsidRPr="006E2063">
              <w:rPr>
                <w:sz w:val="20"/>
                <w:szCs w:val="20"/>
                <w:lang w:val="en-AU"/>
              </w:rPr>
              <w:t>Naïve patients</w:t>
            </w:r>
          </w:p>
          <w:p w14:paraId="7B082A9E" w14:textId="77777777" w:rsidR="005B2943" w:rsidRPr="006E2063" w:rsidRDefault="005B2943" w:rsidP="008B7576">
            <w:pPr>
              <w:spacing w:after="40"/>
              <w:ind w:left="720"/>
              <w:rPr>
                <w:sz w:val="20"/>
                <w:szCs w:val="20"/>
                <w:lang w:val="en-AU"/>
              </w:rPr>
            </w:pPr>
            <w:r w:rsidRPr="006E2063">
              <w:rPr>
                <w:sz w:val="20"/>
                <w:szCs w:val="20"/>
                <w:lang w:val="en-AU"/>
              </w:rPr>
              <w:t>Adults (18-60 years)</w:t>
            </w:r>
          </w:p>
          <w:p w14:paraId="0357E8A3" w14:textId="2DCAAE6D" w:rsidR="005B2943" w:rsidRPr="006E2063" w:rsidRDefault="005B2943" w:rsidP="008B7576">
            <w:pPr>
              <w:spacing w:after="40"/>
              <w:ind w:left="720"/>
              <w:rPr>
                <w:sz w:val="20"/>
                <w:szCs w:val="20"/>
                <w:lang w:val="en-AU"/>
              </w:rPr>
            </w:pPr>
            <w:r w:rsidRPr="006E2063">
              <w:rPr>
                <w:sz w:val="20"/>
                <w:szCs w:val="20"/>
                <w:lang w:val="en-AU"/>
              </w:rPr>
              <w:t xml:space="preserve">Women on oral </w:t>
            </w:r>
            <w:r w:rsidR="000B7A10" w:rsidRPr="006E2063">
              <w:rPr>
                <w:sz w:val="20"/>
                <w:szCs w:val="20"/>
                <w:lang w:val="en-AU"/>
              </w:rPr>
              <w:t>estrogen</w:t>
            </w:r>
            <w:r w:rsidRPr="006E2063">
              <w:rPr>
                <w:sz w:val="20"/>
                <w:szCs w:val="20"/>
                <w:lang w:val="en-AU"/>
              </w:rPr>
              <w:t xml:space="preserve"> (irrespective of age)</w:t>
            </w:r>
          </w:p>
          <w:p w14:paraId="5E8464CB" w14:textId="77777777" w:rsidR="005B2943" w:rsidRPr="006E2063" w:rsidRDefault="005B2943" w:rsidP="008B7576">
            <w:pPr>
              <w:spacing w:after="40"/>
              <w:ind w:left="720"/>
              <w:rPr>
                <w:sz w:val="20"/>
                <w:szCs w:val="20"/>
                <w:lang w:val="en-AU"/>
              </w:rPr>
            </w:pPr>
            <w:r w:rsidRPr="006E2063">
              <w:rPr>
                <w:sz w:val="20"/>
                <w:szCs w:val="20"/>
                <w:lang w:val="en-AU"/>
              </w:rPr>
              <w:t xml:space="preserve">Elderly (≥60 years) </w:t>
            </w:r>
          </w:p>
        </w:tc>
        <w:tc>
          <w:tcPr>
            <w:tcW w:w="2090" w:type="pct"/>
          </w:tcPr>
          <w:p w14:paraId="181BA6B3" w14:textId="77777777" w:rsidR="005B2943" w:rsidRPr="006E2063" w:rsidRDefault="005B2943" w:rsidP="008B7576">
            <w:pPr>
              <w:spacing w:after="40"/>
              <w:rPr>
                <w:sz w:val="20"/>
                <w:szCs w:val="20"/>
                <w:lang w:val="en-AU"/>
              </w:rPr>
            </w:pPr>
          </w:p>
          <w:p w14:paraId="77D6EA87" w14:textId="77777777" w:rsidR="005B2943" w:rsidRPr="006E2063" w:rsidRDefault="005B2943" w:rsidP="008B7576">
            <w:pPr>
              <w:spacing w:after="40"/>
              <w:rPr>
                <w:sz w:val="20"/>
                <w:szCs w:val="20"/>
                <w:lang w:val="en-AU"/>
              </w:rPr>
            </w:pPr>
            <w:r w:rsidRPr="006E2063">
              <w:rPr>
                <w:sz w:val="20"/>
                <w:szCs w:val="20"/>
                <w:lang w:val="en-AU"/>
              </w:rPr>
              <w:t>1.5 mg/week</w:t>
            </w:r>
          </w:p>
          <w:p w14:paraId="0AF04484" w14:textId="77777777" w:rsidR="005B2943" w:rsidRPr="006E2063" w:rsidRDefault="005B2943" w:rsidP="008B7576">
            <w:pPr>
              <w:spacing w:after="40"/>
              <w:rPr>
                <w:sz w:val="20"/>
                <w:szCs w:val="20"/>
                <w:lang w:val="en-AU"/>
              </w:rPr>
            </w:pPr>
            <w:r w:rsidRPr="006E2063">
              <w:rPr>
                <w:sz w:val="20"/>
                <w:szCs w:val="20"/>
                <w:lang w:val="en-AU"/>
              </w:rPr>
              <w:t>2 mg/week</w:t>
            </w:r>
          </w:p>
          <w:p w14:paraId="3E813F04" w14:textId="77777777" w:rsidR="005B2943" w:rsidRPr="006E2063" w:rsidRDefault="005B2943" w:rsidP="008B7576">
            <w:pPr>
              <w:spacing w:after="40"/>
              <w:rPr>
                <w:sz w:val="20"/>
                <w:szCs w:val="20"/>
                <w:lang w:val="en-AU"/>
              </w:rPr>
            </w:pPr>
            <w:r w:rsidRPr="006E2063">
              <w:rPr>
                <w:sz w:val="20"/>
                <w:szCs w:val="20"/>
                <w:lang w:val="en-AU"/>
              </w:rPr>
              <w:t xml:space="preserve">1 mg/week </w:t>
            </w:r>
          </w:p>
        </w:tc>
      </w:tr>
      <w:tr w:rsidR="005B2943" w:rsidRPr="006E2063" w14:paraId="383C3D5E" w14:textId="77777777" w:rsidTr="006563B4">
        <w:trPr>
          <w:trHeight w:val="1251"/>
        </w:trPr>
        <w:tc>
          <w:tcPr>
            <w:tcW w:w="2910" w:type="pct"/>
          </w:tcPr>
          <w:p w14:paraId="6B8F097F" w14:textId="77777777" w:rsidR="005B2943" w:rsidRPr="006E2063" w:rsidRDefault="005B2943" w:rsidP="008B7576">
            <w:pPr>
              <w:spacing w:after="40"/>
              <w:rPr>
                <w:sz w:val="20"/>
                <w:szCs w:val="20"/>
                <w:lang w:val="en-AU"/>
              </w:rPr>
            </w:pPr>
            <w:r w:rsidRPr="006E2063">
              <w:rPr>
                <w:sz w:val="20"/>
                <w:szCs w:val="20"/>
                <w:lang w:val="en-AU"/>
              </w:rPr>
              <w:t>Patients switching from daily GH medicinal products</w:t>
            </w:r>
          </w:p>
          <w:p w14:paraId="696C42FF" w14:textId="77777777" w:rsidR="005B2943" w:rsidRPr="006E2063" w:rsidRDefault="005B2943" w:rsidP="008B7576">
            <w:pPr>
              <w:spacing w:after="40"/>
              <w:ind w:left="720"/>
              <w:rPr>
                <w:sz w:val="20"/>
                <w:szCs w:val="20"/>
                <w:lang w:val="en-AU"/>
              </w:rPr>
            </w:pPr>
            <w:r w:rsidRPr="006E2063">
              <w:rPr>
                <w:sz w:val="20"/>
                <w:szCs w:val="20"/>
                <w:lang w:val="en-AU"/>
              </w:rPr>
              <w:t>Adults (18-60 years)</w:t>
            </w:r>
          </w:p>
          <w:p w14:paraId="79532632" w14:textId="2E311A91" w:rsidR="005B2943" w:rsidRPr="006E2063" w:rsidRDefault="005B2943" w:rsidP="008B7576">
            <w:pPr>
              <w:spacing w:after="40"/>
              <w:ind w:left="720"/>
              <w:rPr>
                <w:sz w:val="20"/>
                <w:szCs w:val="20"/>
                <w:lang w:val="en-AU"/>
              </w:rPr>
            </w:pPr>
            <w:r w:rsidRPr="006E2063">
              <w:rPr>
                <w:sz w:val="20"/>
                <w:szCs w:val="20"/>
                <w:lang w:val="en-AU"/>
              </w:rPr>
              <w:t xml:space="preserve">Women on oral </w:t>
            </w:r>
            <w:r w:rsidR="000B7A10" w:rsidRPr="006E2063">
              <w:rPr>
                <w:sz w:val="20"/>
                <w:szCs w:val="20"/>
                <w:lang w:val="en-AU"/>
              </w:rPr>
              <w:t>estrogen</w:t>
            </w:r>
            <w:r w:rsidRPr="006E2063">
              <w:rPr>
                <w:sz w:val="20"/>
                <w:szCs w:val="20"/>
                <w:lang w:val="en-AU"/>
              </w:rPr>
              <w:t xml:space="preserve"> (irrespective of age)</w:t>
            </w:r>
          </w:p>
          <w:p w14:paraId="05ED4C25" w14:textId="77777777" w:rsidR="005B2943" w:rsidRPr="006E2063" w:rsidRDefault="005B2943" w:rsidP="008B7576">
            <w:pPr>
              <w:spacing w:after="40"/>
              <w:ind w:left="720"/>
              <w:rPr>
                <w:sz w:val="20"/>
                <w:szCs w:val="20"/>
                <w:lang w:val="en-AU"/>
              </w:rPr>
            </w:pPr>
            <w:r w:rsidRPr="006E2063">
              <w:rPr>
                <w:sz w:val="20"/>
                <w:szCs w:val="20"/>
                <w:lang w:val="en-AU"/>
              </w:rPr>
              <w:t xml:space="preserve">Elderly (≥60 years) </w:t>
            </w:r>
          </w:p>
        </w:tc>
        <w:tc>
          <w:tcPr>
            <w:tcW w:w="2090" w:type="pct"/>
          </w:tcPr>
          <w:p w14:paraId="33D5AB02" w14:textId="77777777" w:rsidR="005B2943" w:rsidRPr="006E2063" w:rsidRDefault="005B2943" w:rsidP="008B7576">
            <w:pPr>
              <w:spacing w:after="40"/>
              <w:rPr>
                <w:sz w:val="20"/>
                <w:szCs w:val="20"/>
                <w:lang w:val="en-AU"/>
              </w:rPr>
            </w:pPr>
          </w:p>
          <w:p w14:paraId="270E38FB" w14:textId="77777777" w:rsidR="005B2943" w:rsidRPr="006E2063" w:rsidRDefault="005B2943" w:rsidP="008B7576">
            <w:pPr>
              <w:spacing w:after="40"/>
              <w:rPr>
                <w:sz w:val="20"/>
                <w:szCs w:val="20"/>
                <w:lang w:val="en-AU"/>
              </w:rPr>
            </w:pPr>
            <w:r w:rsidRPr="006E2063">
              <w:rPr>
                <w:sz w:val="20"/>
                <w:szCs w:val="20"/>
                <w:lang w:val="en-AU"/>
              </w:rPr>
              <w:t>2 mg/week</w:t>
            </w:r>
          </w:p>
          <w:p w14:paraId="67ACB313" w14:textId="77777777" w:rsidR="005B2943" w:rsidRPr="006E2063" w:rsidRDefault="005B2943" w:rsidP="008B7576">
            <w:pPr>
              <w:spacing w:after="40"/>
              <w:rPr>
                <w:sz w:val="20"/>
                <w:szCs w:val="20"/>
                <w:lang w:val="en-AU"/>
              </w:rPr>
            </w:pPr>
            <w:r w:rsidRPr="006E2063">
              <w:rPr>
                <w:sz w:val="20"/>
                <w:szCs w:val="20"/>
                <w:lang w:val="en-AU"/>
              </w:rPr>
              <w:t>4 mg/week</w:t>
            </w:r>
          </w:p>
          <w:p w14:paraId="675EBB17" w14:textId="77777777" w:rsidR="005B2943" w:rsidRPr="006E2063" w:rsidRDefault="005B2943" w:rsidP="008B7576">
            <w:pPr>
              <w:spacing w:after="40"/>
              <w:rPr>
                <w:sz w:val="20"/>
                <w:szCs w:val="20"/>
                <w:lang w:val="en-AU"/>
              </w:rPr>
            </w:pPr>
            <w:r w:rsidRPr="006E2063">
              <w:rPr>
                <w:sz w:val="20"/>
                <w:szCs w:val="20"/>
                <w:lang w:val="en-AU"/>
              </w:rPr>
              <w:t xml:space="preserve">1.5 mg/week </w:t>
            </w:r>
          </w:p>
        </w:tc>
      </w:tr>
    </w:tbl>
    <w:p w14:paraId="47965A7E" w14:textId="77777777" w:rsidR="00C6507A" w:rsidRPr="006E2063" w:rsidRDefault="00C6507A" w:rsidP="00C93249">
      <w:pPr>
        <w:spacing w:after="0" w:line="240" w:lineRule="auto"/>
        <w:rPr>
          <w:bCs/>
          <w:i/>
          <w:iCs/>
          <w:sz w:val="24"/>
          <w:szCs w:val="24"/>
          <w:lang w:val="en-AU"/>
        </w:rPr>
      </w:pPr>
      <w:bookmarkStart w:id="1" w:name="_Hlk55938121"/>
    </w:p>
    <w:p w14:paraId="171AEFF7" w14:textId="01B6B276" w:rsidR="005B2943" w:rsidRPr="006E2063" w:rsidRDefault="005B2943" w:rsidP="005B2943">
      <w:pPr>
        <w:rPr>
          <w:bCs/>
          <w:i/>
          <w:iCs/>
          <w:sz w:val="24"/>
          <w:szCs w:val="24"/>
          <w:lang w:val="en-AU"/>
        </w:rPr>
      </w:pPr>
      <w:r w:rsidRPr="006E2063">
        <w:rPr>
          <w:bCs/>
          <w:i/>
          <w:iCs/>
          <w:sz w:val="24"/>
          <w:szCs w:val="24"/>
          <w:lang w:val="en-AU"/>
        </w:rPr>
        <w:t>Dose titration</w:t>
      </w:r>
    </w:p>
    <w:p w14:paraId="7F74899A" w14:textId="3414C408" w:rsidR="005B2943" w:rsidRPr="006E2063" w:rsidRDefault="005B2943" w:rsidP="00431523">
      <w:pPr>
        <w:pStyle w:val="Normal-TNR"/>
        <w:rPr>
          <w:lang w:val="en-AU"/>
        </w:rPr>
      </w:pPr>
      <w:r w:rsidRPr="006E2063">
        <w:rPr>
          <w:lang w:val="en-AU"/>
        </w:rPr>
        <w:t xml:space="preserve">The somapacitan dose must be individually adjusted for each patient. It is recommended to increase the dose gradually with </w:t>
      </w:r>
      <w:proofErr w:type="gramStart"/>
      <w:r w:rsidRPr="006E2063">
        <w:rPr>
          <w:lang w:val="en-AU"/>
        </w:rPr>
        <w:t>2-4 week</w:t>
      </w:r>
      <w:proofErr w:type="gramEnd"/>
      <w:r w:rsidRPr="006E2063">
        <w:rPr>
          <w:lang w:val="en-AU"/>
        </w:rPr>
        <w:t xml:space="preserve"> intervals in steps from 0.5 mg to 1.5 mg based on the patient</w:t>
      </w:r>
      <w:r w:rsidR="000B7A10" w:rsidRPr="006E2063">
        <w:rPr>
          <w:lang w:val="en-AU"/>
        </w:rPr>
        <w:t>’</w:t>
      </w:r>
      <w:r w:rsidRPr="006E2063">
        <w:rPr>
          <w:lang w:val="en-AU"/>
        </w:rPr>
        <w:t>s clinical response and experience of adverse reactions up to a dose of 8 mg somapacitan per week.</w:t>
      </w:r>
    </w:p>
    <w:p w14:paraId="34CFE5F6" w14:textId="7B893AC1" w:rsidR="005B2943" w:rsidRPr="006E2063" w:rsidRDefault="005B2943" w:rsidP="00D5574C">
      <w:pPr>
        <w:pStyle w:val="Normal-TNR"/>
        <w:rPr>
          <w:lang w:val="en-AU"/>
        </w:rPr>
      </w:pPr>
      <w:r w:rsidRPr="006E2063">
        <w:rPr>
          <w:lang w:val="en-AU"/>
        </w:rPr>
        <w:t xml:space="preserve">Serum insulin like growth factor-I (IGF-I) levels (drawn 3-4 days after dosing) can be used as guidance for the dose titration. </w:t>
      </w:r>
      <w:bookmarkEnd w:id="1"/>
      <w:r w:rsidR="00D5574C" w:rsidRPr="00D5574C">
        <w:rPr>
          <w:lang w:val="en-GB"/>
        </w:rPr>
        <w:t>The aim should be to target the IGF-</w:t>
      </w:r>
      <w:r w:rsidR="00D5574C">
        <w:rPr>
          <w:lang w:val="en-GB"/>
        </w:rPr>
        <w:t>I</w:t>
      </w:r>
      <w:r w:rsidR="00D5574C" w:rsidRPr="00D5574C">
        <w:rPr>
          <w:lang w:val="en-GB"/>
        </w:rPr>
        <w:t xml:space="preserve"> value in the </w:t>
      </w:r>
      <w:r w:rsidR="0082621A">
        <w:rPr>
          <w:lang w:val="en-GB"/>
        </w:rPr>
        <w:t xml:space="preserve">age-adjusted </w:t>
      </w:r>
      <w:r w:rsidR="00D5574C" w:rsidRPr="00D5574C">
        <w:rPr>
          <w:lang w:val="en-GB"/>
        </w:rPr>
        <w:t>upper half of the normal range. IGF-I levels in the target range are usually achieved within 8 weeks of dose titration.</w:t>
      </w:r>
      <w:r w:rsidR="008312A7">
        <w:rPr>
          <w:lang w:val="en-AU"/>
        </w:rPr>
        <w:t xml:space="preserve"> </w:t>
      </w:r>
      <w:r w:rsidRPr="006E2063">
        <w:rPr>
          <w:lang w:val="en-AU"/>
        </w:rPr>
        <w:t>Longer dose titration may be necessary in some AGHD patients (see below and section 5.1</w:t>
      </w:r>
      <w:r w:rsidR="001A773A" w:rsidRPr="006E2063">
        <w:rPr>
          <w:lang w:val="en-AU"/>
        </w:rPr>
        <w:t xml:space="preserve"> Pharma</w:t>
      </w:r>
      <w:r w:rsidR="00564ED2" w:rsidRPr="006E2063">
        <w:rPr>
          <w:lang w:val="en-AU"/>
        </w:rPr>
        <w:t>co</w:t>
      </w:r>
      <w:r w:rsidR="006616C6" w:rsidRPr="006E2063">
        <w:rPr>
          <w:lang w:val="en-AU"/>
        </w:rPr>
        <w:t>dynamic</w:t>
      </w:r>
      <w:r w:rsidR="001A773A" w:rsidRPr="006E2063">
        <w:rPr>
          <w:lang w:val="en-AU"/>
        </w:rPr>
        <w:t xml:space="preserve"> properties</w:t>
      </w:r>
      <w:r w:rsidRPr="006E2063">
        <w:rPr>
          <w:lang w:val="en-AU"/>
        </w:rPr>
        <w:t>).</w:t>
      </w:r>
    </w:p>
    <w:p w14:paraId="2ABF94C2" w14:textId="77777777" w:rsidR="005B2943" w:rsidRPr="006E2063" w:rsidRDefault="005B2943" w:rsidP="005B2943">
      <w:pPr>
        <w:rPr>
          <w:bCs/>
          <w:sz w:val="24"/>
          <w:szCs w:val="24"/>
          <w:lang w:val="en-AU"/>
        </w:rPr>
      </w:pPr>
      <w:r w:rsidRPr="006E2063">
        <w:rPr>
          <w:i/>
          <w:iCs/>
          <w:sz w:val="24"/>
          <w:szCs w:val="24"/>
          <w:lang w:val="en-AU"/>
        </w:rPr>
        <w:t>Treatment evaluation</w:t>
      </w:r>
      <w:r w:rsidRPr="006E2063">
        <w:rPr>
          <w:bCs/>
          <w:sz w:val="24"/>
          <w:szCs w:val="24"/>
          <w:lang w:val="en-AU"/>
        </w:rPr>
        <w:t xml:space="preserve"> </w:t>
      </w:r>
    </w:p>
    <w:p w14:paraId="1A2B5D3A" w14:textId="509A47B2" w:rsidR="005B2943" w:rsidRPr="006E2063" w:rsidRDefault="005B2943" w:rsidP="007D50D9">
      <w:pPr>
        <w:rPr>
          <w:sz w:val="24"/>
          <w:szCs w:val="24"/>
          <w:lang w:val="en-AU"/>
        </w:rPr>
      </w:pPr>
      <w:r w:rsidRPr="006E2063">
        <w:rPr>
          <w:sz w:val="24"/>
          <w:szCs w:val="24"/>
          <w:lang w:val="en-AU"/>
        </w:rPr>
        <w:t xml:space="preserve">Using IGF-I as a biomarker for dose titration, the aim is to reach IGF-I levels within the age-adjusted upper </w:t>
      </w:r>
      <w:r w:rsidR="0082621A">
        <w:rPr>
          <w:sz w:val="24"/>
          <w:szCs w:val="24"/>
          <w:lang w:val="en-AU"/>
        </w:rPr>
        <w:t>half of the normal</w:t>
      </w:r>
      <w:r w:rsidR="0082621A" w:rsidRPr="006E2063">
        <w:rPr>
          <w:sz w:val="24"/>
          <w:szCs w:val="24"/>
          <w:lang w:val="en-AU"/>
        </w:rPr>
        <w:t xml:space="preserve"> </w:t>
      </w:r>
      <w:r w:rsidRPr="006E2063">
        <w:rPr>
          <w:sz w:val="24"/>
          <w:szCs w:val="24"/>
          <w:lang w:val="en-AU"/>
        </w:rPr>
        <w:t>range within 12 months of titration. If this target range cannot be achieved within this period, or the patient does not obtain the desired clinical response, other treatment options should be considered.</w:t>
      </w:r>
    </w:p>
    <w:p w14:paraId="0CA444ED" w14:textId="77777777" w:rsidR="005B2943" w:rsidRPr="006E2063" w:rsidRDefault="005B2943" w:rsidP="005B2943">
      <w:pPr>
        <w:rPr>
          <w:sz w:val="24"/>
          <w:szCs w:val="24"/>
          <w:lang w:val="en-AU"/>
        </w:rPr>
      </w:pPr>
      <w:r w:rsidRPr="006E2063">
        <w:rPr>
          <w:sz w:val="24"/>
          <w:szCs w:val="24"/>
          <w:lang w:val="en-AU"/>
        </w:rPr>
        <w:t>During somapacitan maintenance treatment, evaluation of efficacy and safety should be considered at approximately 6- to 12-month intervals and may be assessed by evaluating biochemistry (IGF-I-, glucose-, and lipid levels), body composition, and body mass index.</w:t>
      </w:r>
    </w:p>
    <w:p w14:paraId="15A1B9AF" w14:textId="73662478" w:rsidR="005B2943" w:rsidRPr="006E2063" w:rsidRDefault="005B2943" w:rsidP="005B2943">
      <w:pPr>
        <w:rPr>
          <w:i/>
          <w:iCs/>
          <w:sz w:val="24"/>
          <w:szCs w:val="24"/>
          <w:lang w:val="en-AU"/>
        </w:rPr>
      </w:pPr>
      <w:r w:rsidRPr="006E2063">
        <w:rPr>
          <w:i/>
          <w:iCs/>
          <w:sz w:val="24"/>
          <w:szCs w:val="24"/>
          <w:lang w:val="en-AU"/>
        </w:rPr>
        <w:t>Missed dose</w:t>
      </w:r>
    </w:p>
    <w:p w14:paraId="785D3E98" w14:textId="45564162" w:rsidR="005B2943" w:rsidRPr="006E2063" w:rsidRDefault="005B2943" w:rsidP="005B2943">
      <w:pPr>
        <w:rPr>
          <w:sz w:val="24"/>
          <w:szCs w:val="24"/>
          <w:lang w:val="en-AU"/>
        </w:rPr>
      </w:pPr>
      <w:r w:rsidRPr="006E2063">
        <w:rPr>
          <w:sz w:val="24"/>
          <w:szCs w:val="24"/>
          <w:lang w:val="en-AU"/>
        </w:rPr>
        <w:t>Patients who forget a dose are advised to inject somapacitan upon discovery as soon as possible, within 3 days after the missed dose, and then resume their usual once</w:t>
      </w:r>
      <w:r w:rsidR="00B05618" w:rsidRPr="006E2063">
        <w:rPr>
          <w:sz w:val="24"/>
          <w:szCs w:val="24"/>
          <w:lang w:val="en-AU"/>
        </w:rPr>
        <w:t xml:space="preserve"> </w:t>
      </w:r>
      <w:r w:rsidRPr="006E2063">
        <w:rPr>
          <w:sz w:val="24"/>
          <w:szCs w:val="24"/>
          <w:lang w:val="en-AU"/>
        </w:rPr>
        <w:t xml:space="preserve">weekly dosing schedule. If more than 3 days have passed, the dose should be </w:t>
      </w:r>
      <w:r w:rsidR="006563B4" w:rsidRPr="006E2063">
        <w:rPr>
          <w:sz w:val="24"/>
          <w:szCs w:val="24"/>
          <w:lang w:val="en-AU"/>
        </w:rPr>
        <w:t>skipped,</w:t>
      </w:r>
      <w:r w:rsidRPr="006E2063">
        <w:rPr>
          <w:sz w:val="24"/>
          <w:szCs w:val="24"/>
          <w:lang w:val="en-AU"/>
        </w:rPr>
        <w:t xml:space="preserve"> and the next dose should be administered on the regularly scheduled day. If two or more doses have been missed, the dose should be resumed on the regularly scheduled day.</w:t>
      </w:r>
    </w:p>
    <w:p w14:paraId="60967A7F" w14:textId="77777777" w:rsidR="005B2943" w:rsidRPr="006E2063" w:rsidRDefault="005B2943" w:rsidP="003421FF">
      <w:pPr>
        <w:pageBreakBefore/>
        <w:rPr>
          <w:sz w:val="24"/>
          <w:szCs w:val="24"/>
          <w:lang w:val="en-AU"/>
        </w:rPr>
      </w:pPr>
      <w:r w:rsidRPr="006E2063">
        <w:rPr>
          <w:i/>
          <w:iCs/>
          <w:sz w:val="24"/>
          <w:szCs w:val="24"/>
          <w:lang w:val="en-AU"/>
        </w:rPr>
        <w:lastRenderedPageBreak/>
        <w:t>Changing the dosing day</w:t>
      </w:r>
    </w:p>
    <w:p w14:paraId="07E64AFC" w14:textId="77777777" w:rsidR="005B2943" w:rsidRPr="006E2063" w:rsidRDefault="005B2943" w:rsidP="005B2943">
      <w:pPr>
        <w:rPr>
          <w:sz w:val="24"/>
          <w:szCs w:val="24"/>
          <w:lang w:val="en-AU"/>
        </w:rPr>
      </w:pPr>
      <w:r w:rsidRPr="006E2063">
        <w:rPr>
          <w:sz w:val="24"/>
          <w:szCs w:val="24"/>
          <w:lang w:val="en-AU"/>
        </w:rPr>
        <w:t xml:space="preserve">The day of weekly injection can be changed </w:t>
      </w:r>
      <w:proofErr w:type="gramStart"/>
      <w:r w:rsidRPr="006E2063">
        <w:rPr>
          <w:sz w:val="24"/>
          <w:szCs w:val="24"/>
          <w:lang w:val="en-AU"/>
        </w:rPr>
        <w:t>as long as</w:t>
      </w:r>
      <w:proofErr w:type="gramEnd"/>
      <w:r w:rsidRPr="006E2063">
        <w:rPr>
          <w:sz w:val="24"/>
          <w:szCs w:val="24"/>
          <w:lang w:val="en-AU"/>
        </w:rPr>
        <w:t xml:space="preserve"> the time between two doses is at least 4 days. After selecting a new dosing day, the once weekly dosing should be continued.</w:t>
      </w:r>
    </w:p>
    <w:p w14:paraId="62F36FBA" w14:textId="30920A07" w:rsidR="00211EE2" w:rsidRPr="006E2063" w:rsidRDefault="00211EE2" w:rsidP="00DB1FBD">
      <w:pPr>
        <w:pStyle w:val="Heading4"/>
        <w:rPr>
          <w:lang w:val="en-AU" w:eastAsia="en-US" w:bidi="ar-SA"/>
        </w:rPr>
      </w:pPr>
      <w:bookmarkStart w:id="2" w:name="_Toc535002287"/>
      <w:r w:rsidRPr="006E2063">
        <w:rPr>
          <w:rStyle w:val="Heading4Char"/>
          <w:b/>
          <w:bCs/>
          <w:lang w:val="en-AU"/>
        </w:rPr>
        <w:t>Method of administration</w:t>
      </w:r>
      <w:r w:rsidR="00175CCC" w:rsidRPr="006E2063">
        <w:rPr>
          <w:lang w:val="en-AU" w:eastAsia="en-US" w:bidi="ar-SA"/>
        </w:rPr>
        <w:t xml:space="preserve"> </w:t>
      </w:r>
      <w:r w:rsidR="00C57A87" w:rsidRPr="006E2063">
        <w:rPr>
          <w:lang w:val="en-AU" w:eastAsia="en-US" w:bidi="ar-SA"/>
        </w:rPr>
        <w:fldChar w:fldCharType="begin"/>
      </w:r>
      <w:r w:rsidR="00C57A87" w:rsidRPr="006E2063">
        <w:rPr>
          <w:lang w:val="en-AU" w:eastAsia="en-US" w:bidi="ar-SA"/>
        </w:rPr>
        <w:instrText xml:space="preserve"> DOCVARIABLE vault_nd_d10f1841-ec55-4c54-a258-37c0c25e8595 \* MERGEFORMAT </w:instrText>
      </w:r>
      <w:r w:rsidR="00C57A87" w:rsidRPr="006E2063">
        <w:rPr>
          <w:lang w:val="en-AU" w:eastAsia="en-US" w:bidi="ar-SA"/>
        </w:rPr>
        <w:fldChar w:fldCharType="separate"/>
      </w:r>
      <w:r w:rsidR="00C57A87" w:rsidRPr="006E2063">
        <w:rPr>
          <w:lang w:val="en-AU" w:eastAsia="en-US" w:bidi="ar-SA"/>
        </w:rPr>
        <w:t xml:space="preserve"> </w:t>
      </w:r>
      <w:r w:rsidR="00C57A87" w:rsidRPr="006E2063">
        <w:rPr>
          <w:lang w:val="en-AU" w:eastAsia="en-US" w:bidi="ar-SA"/>
        </w:rPr>
        <w:fldChar w:fldCharType="end"/>
      </w:r>
    </w:p>
    <w:p w14:paraId="30122297" w14:textId="77777777" w:rsidR="00211EE2" w:rsidRPr="006E2063" w:rsidRDefault="00211EE2" w:rsidP="00211EE2">
      <w:pPr>
        <w:rPr>
          <w:sz w:val="24"/>
          <w:szCs w:val="24"/>
          <w:lang w:val="en-AU"/>
        </w:rPr>
      </w:pPr>
      <w:r w:rsidRPr="006E2063">
        <w:rPr>
          <w:bCs/>
          <w:iCs/>
          <w:sz w:val="24"/>
          <w:szCs w:val="24"/>
          <w:lang w:val="en-AU"/>
        </w:rPr>
        <w:t>Somapacitan is to be administered once we</w:t>
      </w:r>
      <w:r w:rsidRPr="006E2063">
        <w:rPr>
          <w:sz w:val="24"/>
          <w:szCs w:val="24"/>
          <w:lang w:val="en-AU"/>
        </w:rPr>
        <w:t xml:space="preserve">ekly at any time of the day. </w:t>
      </w:r>
    </w:p>
    <w:p w14:paraId="42C5C389" w14:textId="77777777" w:rsidR="00211EE2" w:rsidRPr="006E2063" w:rsidRDefault="00211EE2" w:rsidP="00211EE2">
      <w:pPr>
        <w:rPr>
          <w:sz w:val="24"/>
          <w:szCs w:val="24"/>
          <w:lang w:val="en-AU"/>
        </w:rPr>
      </w:pPr>
      <w:r w:rsidRPr="006E2063">
        <w:rPr>
          <w:sz w:val="24"/>
          <w:szCs w:val="24"/>
          <w:lang w:val="en-AU"/>
        </w:rPr>
        <w:t xml:space="preserve">Somapacitan is to be injected subcutaneously in the abdomen or in the thigh. The injection site can be changed without dose adjustment. The injection site should be rotated every week. </w:t>
      </w:r>
    </w:p>
    <w:p w14:paraId="37EB3FF4" w14:textId="77777777" w:rsidR="00211EE2" w:rsidRPr="006E2063" w:rsidRDefault="00211EE2" w:rsidP="00211EE2">
      <w:pPr>
        <w:rPr>
          <w:sz w:val="24"/>
          <w:szCs w:val="24"/>
          <w:lang w:val="en-AU"/>
        </w:rPr>
      </w:pPr>
      <w:r w:rsidRPr="006E2063">
        <w:rPr>
          <w:sz w:val="24"/>
          <w:szCs w:val="24"/>
          <w:lang w:val="en-AU"/>
        </w:rPr>
        <w:t>The pen delivers doses from 0.05 mg to 4 mg in increments of 0.05 mg (0.075 mL).</w:t>
      </w:r>
    </w:p>
    <w:p w14:paraId="57013DAB" w14:textId="6AEE0F3E" w:rsidR="00211EE2" w:rsidRPr="006E2063" w:rsidRDefault="00211EE2" w:rsidP="00211EE2">
      <w:pPr>
        <w:rPr>
          <w:sz w:val="24"/>
          <w:szCs w:val="24"/>
          <w:lang w:val="en-AU"/>
        </w:rPr>
      </w:pPr>
      <w:r w:rsidRPr="006E2063">
        <w:rPr>
          <w:sz w:val="24"/>
          <w:szCs w:val="24"/>
          <w:lang w:val="en-AU"/>
        </w:rPr>
        <w:t xml:space="preserve">For instructions </w:t>
      </w:r>
      <w:r w:rsidR="00D815BE" w:rsidRPr="006E2063">
        <w:rPr>
          <w:sz w:val="24"/>
          <w:szCs w:val="24"/>
          <w:lang w:val="en-AU"/>
        </w:rPr>
        <w:t xml:space="preserve">on handling </w:t>
      </w:r>
      <w:r w:rsidRPr="006E2063">
        <w:rPr>
          <w:sz w:val="24"/>
          <w:szCs w:val="24"/>
          <w:lang w:val="en-AU"/>
        </w:rPr>
        <w:t>the medicinal product before administration, see section 6.</w:t>
      </w:r>
      <w:r w:rsidR="00D815BE" w:rsidRPr="006E2063">
        <w:rPr>
          <w:sz w:val="24"/>
          <w:szCs w:val="24"/>
          <w:lang w:val="en-AU"/>
        </w:rPr>
        <w:t>4 Special precautions for storage.</w:t>
      </w:r>
    </w:p>
    <w:p w14:paraId="65E9EA98" w14:textId="23E86351" w:rsidR="005B2943" w:rsidRPr="006E2063" w:rsidRDefault="00DB1FBD" w:rsidP="00DB1FBD">
      <w:pPr>
        <w:pStyle w:val="Heading4"/>
        <w:rPr>
          <w:lang w:val="en-AU" w:eastAsia="en-US" w:bidi="ar-SA"/>
        </w:rPr>
      </w:pPr>
      <w:r w:rsidRPr="006E2063">
        <w:rPr>
          <w:lang w:val="en-AU"/>
        </w:rPr>
        <w:t>Dosage Adjustments</w:t>
      </w:r>
      <w:bookmarkEnd w:id="2"/>
      <w:r w:rsidR="00C57A87" w:rsidRPr="006E2063">
        <w:rPr>
          <w:lang w:val="en-AU" w:eastAsia="en-US" w:bidi="ar-SA"/>
        </w:rPr>
        <w:fldChar w:fldCharType="begin"/>
      </w:r>
      <w:r w:rsidR="00C57A87" w:rsidRPr="006E2063">
        <w:rPr>
          <w:lang w:val="en-AU" w:eastAsia="en-US" w:bidi="ar-SA"/>
        </w:rPr>
        <w:instrText xml:space="preserve"> DOCVARIABLE vault_nd_c5033f17-363a-4336-8b32-ec1385aa797b \* MERGEFORMAT </w:instrText>
      </w:r>
      <w:r w:rsidR="00C57A87" w:rsidRPr="006E2063">
        <w:rPr>
          <w:lang w:val="en-AU" w:eastAsia="en-US" w:bidi="ar-SA"/>
        </w:rPr>
        <w:fldChar w:fldCharType="separate"/>
      </w:r>
      <w:r w:rsidR="00C57A87" w:rsidRPr="006E2063">
        <w:rPr>
          <w:lang w:val="en-AU" w:eastAsia="en-US" w:bidi="ar-SA"/>
        </w:rPr>
        <w:t xml:space="preserve"> </w:t>
      </w:r>
      <w:r w:rsidR="00C57A87" w:rsidRPr="006E2063">
        <w:rPr>
          <w:lang w:val="en-AU" w:eastAsia="en-US" w:bidi="ar-SA"/>
        </w:rPr>
        <w:fldChar w:fldCharType="end"/>
      </w:r>
    </w:p>
    <w:p w14:paraId="11509A16" w14:textId="77777777" w:rsidR="005B2943" w:rsidRPr="006E2063" w:rsidRDefault="005B2943" w:rsidP="005B2943">
      <w:pPr>
        <w:rPr>
          <w:i/>
          <w:sz w:val="24"/>
          <w:szCs w:val="24"/>
          <w:lang w:val="en-AU"/>
        </w:rPr>
      </w:pPr>
      <w:bookmarkStart w:id="3" w:name="_Toc535002288"/>
      <w:r w:rsidRPr="006E2063">
        <w:rPr>
          <w:i/>
          <w:sz w:val="24"/>
          <w:szCs w:val="24"/>
          <w:lang w:val="en-AU"/>
        </w:rPr>
        <w:t>Elderly (≥60 years of age)</w:t>
      </w:r>
      <w:bookmarkEnd w:id="3"/>
    </w:p>
    <w:p w14:paraId="5C33E7BA" w14:textId="315A2426" w:rsidR="005B2943" w:rsidRPr="006E2063" w:rsidRDefault="005B2943" w:rsidP="005B2943">
      <w:pPr>
        <w:rPr>
          <w:iCs/>
          <w:sz w:val="24"/>
          <w:szCs w:val="24"/>
          <w:lang w:val="en-AU"/>
        </w:rPr>
      </w:pPr>
      <w:r w:rsidRPr="006E2063">
        <w:rPr>
          <w:iCs/>
          <w:sz w:val="24"/>
          <w:szCs w:val="24"/>
          <w:lang w:val="en-AU"/>
        </w:rPr>
        <w:t>Generally, lower doses of somapacitan may be necessary in older patients. For further information, see section 5.2</w:t>
      </w:r>
      <w:r w:rsidR="007A79EB" w:rsidRPr="006E2063">
        <w:rPr>
          <w:iCs/>
          <w:sz w:val="24"/>
          <w:szCs w:val="24"/>
          <w:lang w:val="en-AU"/>
        </w:rPr>
        <w:t xml:space="preserve"> Pharmacokinetic properties</w:t>
      </w:r>
      <w:r w:rsidRPr="006E2063">
        <w:rPr>
          <w:iCs/>
          <w:sz w:val="24"/>
          <w:szCs w:val="24"/>
          <w:lang w:val="en-AU"/>
        </w:rPr>
        <w:t>.</w:t>
      </w:r>
    </w:p>
    <w:p w14:paraId="14A8F64F" w14:textId="77777777" w:rsidR="005B2943" w:rsidRPr="006E2063" w:rsidRDefault="005B2943" w:rsidP="005B2943">
      <w:pPr>
        <w:rPr>
          <w:i/>
          <w:iCs/>
          <w:sz w:val="24"/>
          <w:szCs w:val="24"/>
          <w:lang w:val="en-AU"/>
        </w:rPr>
      </w:pPr>
      <w:r w:rsidRPr="006E2063">
        <w:rPr>
          <w:i/>
          <w:iCs/>
          <w:sz w:val="24"/>
          <w:szCs w:val="24"/>
          <w:lang w:val="en-AU"/>
        </w:rPr>
        <w:t>Gender</w:t>
      </w:r>
    </w:p>
    <w:p w14:paraId="30FDF896" w14:textId="66B4B8FD" w:rsidR="005B2943" w:rsidRPr="006E2063" w:rsidRDefault="005B2943" w:rsidP="005B2943">
      <w:pPr>
        <w:rPr>
          <w:bCs/>
          <w:sz w:val="24"/>
          <w:szCs w:val="24"/>
          <w:lang w:val="en-AU"/>
        </w:rPr>
      </w:pPr>
      <w:r w:rsidRPr="006E2063">
        <w:rPr>
          <w:sz w:val="24"/>
          <w:szCs w:val="24"/>
          <w:lang w:val="en-AU"/>
        </w:rPr>
        <w:t xml:space="preserve">Men show an increasing IGF-I sensitivity over time. This means that there is a risk that men are overtreated. </w:t>
      </w:r>
      <w:r w:rsidRPr="006E2063">
        <w:rPr>
          <w:bCs/>
          <w:iCs/>
          <w:sz w:val="24"/>
          <w:szCs w:val="24"/>
          <w:lang w:val="en-AU"/>
        </w:rPr>
        <w:t xml:space="preserve">Women, especially those on oral </w:t>
      </w:r>
      <w:r w:rsidR="000B7A10" w:rsidRPr="006E2063">
        <w:rPr>
          <w:bCs/>
          <w:iCs/>
          <w:sz w:val="24"/>
          <w:szCs w:val="24"/>
          <w:lang w:val="en-AU"/>
        </w:rPr>
        <w:t>estrogen</w:t>
      </w:r>
      <w:r w:rsidRPr="006E2063">
        <w:rPr>
          <w:bCs/>
          <w:iCs/>
          <w:sz w:val="24"/>
          <w:szCs w:val="24"/>
          <w:lang w:val="en-AU"/>
        </w:rPr>
        <w:t>, may require higher doses and a longer titration period than men, see sections</w:t>
      </w:r>
      <w:r w:rsidRPr="006E2063">
        <w:rPr>
          <w:bCs/>
          <w:sz w:val="24"/>
          <w:szCs w:val="24"/>
          <w:lang w:val="en-AU"/>
        </w:rPr>
        <w:t xml:space="preserve"> 5.1 </w:t>
      </w:r>
      <w:r w:rsidR="002678CC" w:rsidRPr="006E2063">
        <w:rPr>
          <w:iCs/>
          <w:sz w:val="24"/>
          <w:szCs w:val="24"/>
          <w:lang w:val="en-AU"/>
        </w:rPr>
        <w:t xml:space="preserve">Pharmacodynamic properties </w:t>
      </w:r>
      <w:r w:rsidRPr="006E2063">
        <w:rPr>
          <w:bCs/>
          <w:sz w:val="24"/>
          <w:szCs w:val="24"/>
          <w:lang w:val="en-AU"/>
        </w:rPr>
        <w:t>and</w:t>
      </w:r>
      <w:r w:rsidRPr="006E2063">
        <w:rPr>
          <w:bCs/>
          <w:i/>
          <w:iCs/>
          <w:sz w:val="24"/>
          <w:szCs w:val="24"/>
          <w:lang w:val="en-AU"/>
        </w:rPr>
        <w:t xml:space="preserve"> </w:t>
      </w:r>
      <w:r w:rsidRPr="006E2063">
        <w:rPr>
          <w:bCs/>
          <w:sz w:val="24"/>
          <w:szCs w:val="24"/>
          <w:lang w:val="en-AU"/>
        </w:rPr>
        <w:t>5.2</w:t>
      </w:r>
      <w:r w:rsidR="002678CC" w:rsidRPr="006E2063">
        <w:rPr>
          <w:bCs/>
          <w:sz w:val="24"/>
          <w:szCs w:val="24"/>
          <w:lang w:val="en-AU"/>
        </w:rPr>
        <w:t xml:space="preserve"> </w:t>
      </w:r>
      <w:r w:rsidR="002678CC" w:rsidRPr="006E2063">
        <w:rPr>
          <w:iCs/>
          <w:sz w:val="24"/>
          <w:szCs w:val="24"/>
          <w:lang w:val="en-AU"/>
        </w:rPr>
        <w:t>Pharmacokinetic properties</w:t>
      </w:r>
      <w:r w:rsidRPr="006E2063">
        <w:rPr>
          <w:bCs/>
          <w:i/>
          <w:sz w:val="24"/>
          <w:szCs w:val="24"/>
          <w:lang w:val="en-AU"/>
        </w:rPr>
        <w:t xml:space="preserve">. </w:t>
      </w:r>
      <w:r w:rsidRPr="006E2063">
        <w:rPr>
          <w:bCs/>
          <w:iCs/>
          <w:sz w:val="24"/>
          <w:szCs w:val="24"/>
          <w:lang w:val="en-AU"/>
        </w:rPr>
        <w:t xml:space="preserve">In women using oral </w:t>
      </w:r>
      <w:r w:rsidR="000B7A10" w:rsidRPr="006E2063">
        <w:rPr>
          <w:bCs/>
          <w:iCs/>
          <w:sz w:val="24"/>
          <w:szCs w:val="24"/>
          <w:lang w:val="en-AU"/>
        </w:rPr>
        <w:t>estrogen</w:t>
      </w:r>
      <w:r w:rsidRPr="006E2063">
        <w:rPr>
          <w:bCs/>
          <w:iCs/>
          <w:sz w:val="24"/>
          <w:szCs w:val="24"/>
          <w:lang w:val="en-AU"/>
        </w:rPr>
        <w:t xml:space="preserve">, </w:t>
      </w:r>
      <w:r w:rsidRPr="006E2063">
        <w:rPr>
          <w:bCs/>
          <w:sz w:val="24"/>
          <w:szCs w:val="24"/>
          <w:lang w:val="en-AU"/>
        </w:rPr>
        <w:t>chang</w:t>
      </w:r>
      <w:r w:rsidR="0097714D" w:rsidRPr="006E2063">
        <w:rPr>
          <w:bCs/>
          <w:sz w:val="24"/>
          <w:szCs w:val="24"/>
          <w:lang w:val="en-AU"/>
        </w:rPr>
        <w:t>ing</w:t>
      </w:r>
      <w:r w:rsidRPr="006E2063">
        <w:rPr>
          <w:bCs/>
          <w:sz w:val="24"/>
          <w:szCs w:val="24"/>
          <w:lang w:val="en-AU"/>
        </w:rPr>
        <w:t xml:space="preserve"> the route of </w:t>
      </w:r>
      <w:r w:rsidR="000B7A10" w:rsidRPr="006E2063">
        <w:rPr>
          <w:bCs/>
          <w:sz w:val="24"/>
          <w:szCs w:val="24"/>
          <w:lang w:val="en-AU"/>
        </w:rPr>
        <w:t>estrogen</w:t>
      </w:r>
      <w:r w:rsidRPr="006E2063">
        <w:rPr>
          <w:bCs/>
          <w:sz w:val="24"/>
          <w:szCs w:val="24"/>
          <w:lang w:val="en-AU"/>
        </w:rPr>
        <w:t xml:space="preserve"> administration</w:t>
      </w:r>
      <w:r w:rsidR="002678CC" w:rsidRPr="006E2063">
        <w:rPr>
          <w:bCs/>
          <w:sz w:val="24"/>
          <w:szCs w:val="24"/>
          <w:lang w:val="en-AU"/>
        </w:rPr>
        <w:t xml:space="preserve"> </w:t>
      </w:r>
      <w:r w:rsidRPr="006E2063">
        <w:rPr>
          <w:bCs/>
          <w:sz w:val="24"/>
          <w:szCs w:val="24"/>
          <w:lang w:val="en-AU"/>
        </w:rPr>
        <w:t>(</w:t>
      </w:r>
      <w:proofErr w:type="gramStart"/>
      <w:r w:rsidRPr="006E2063">
        <w:rPr>
          <w:bCs/>
          <w:sz w:val="24"/>
          <w:szCs w:val="24"/>
          <w:lang w:val="en-AU"/>
        </w:rPr>
        <w:t>e.g.</w:t>
      </w:r>
      <w:proofErr w:type="gramEnd"/>
      <w:r w:rsidRPr="006E2063">
        <w:rPr>
          <w:bCs/>
          <w:sz w:val="24"/>
          <w:szCs w:val="24"/>
          <w:lang w:val="en-AU"/>
        </w:rPr>
        <w:t xml:space="preserve"> transdermal, vaginal)</w:t>
      </w:r>
      <w:r w:rsidR="002678CC" w:rsidRPr="006E2063">
        <w:rPr>
          <w:bCs/>
          <w:sz w:val="24"/>
          <w:szCs w:val="24"/>
          <w:lang w:val="en-AU"/>
        </w:rPr>
        <w:t xml:space="preserve"> should be considered (</w:t>
      </w:r>
      <w:r w:rsidRPr="006E2063">
        <w:rPr>
          <w:bCs/>
          <w:sz w:val="24"/>
          <w:szCs w:val="24"/>
          <w:lang w:val="en-AU"/>
        </w:rPr>
        <w:t>see section 4.4</w:t>
      </w:r>
      <w:r w:rsidR="002678CC" w:rsidRPr="006E2063">
        <w:rPr>
          <w:bCs/>
          <w:sz w:val="24"/>
          <w:szCs w:val="24"/>
          <w:lang w:val="en-AU"/>
        </w:rPr>
        <w:t xml:space="preserve"> Special warnings and precautions for use)</w:t>
      </w:r>
      <w:r w:rsidRPr="006E2063">
        <w:rPr>
          <w:bCs/>
          <w:sz w:val="24"/>
          <w:szCs w:val="24"/>
          <w:lang w:val="en-AU"/>
        </w:rPr>
        <w:t>.</w:t>
      </w:r>
    </w:p>
    <w:p w14:paraId="3268A743" w14:textId="77777777" w:rsidR="005B2943" w:rsidRPr="006E2063" w:rsidRDefault="005B2943" w:rsidP="005B2943">
      <w:pPr>
        <w:rPr>
          <w:bCs/>
          <w:i/>
          <w:sz w:val="24"/>
          <w:szCs w:val="24"/>
          <w:lang w:val="en-AU"/>
        </w:rPr>
      </w:pPr>
      <w:bookmarkStart w:id="4" w:name="_Toc535002289"/>
      <w:r w:rsidRPr="006E2063">
        <w:rPr>
          <w:bCs/>
          <w:i/>
          <w:sz w:val="24"/>
          <w:szCs w:val="24"/>
          <w:lang w:val="en-AU"/>
        </w:rPr>
        <w:t>Renal impairment</w:t>
      </w:r>
      <w:bookmarkEnd w:id="4"/>
    </w:p>
    <w:p w14:paraId="73E588E2" w14:textId="7803969F" w:rsidR="005B2943" w:rsidRPr="006E2063" w:rsidRDefault="005B2943" w:rsidP="005B2943">
      <w:pPr>
        <w:rPr>
          <w:sz w:val="24"/>
          <w:szCs w:val="24"/>
          <w:lang w:val="en-AU"/>
        </w:rPr>
      </w:pPr>
      <w:r w:rsidRPr="006E2063">
        <w:rPr>
          <w:sz w:val="24"/>
          <w:szCs w:val="24"/>
          <w:lang w:val="en-AU"/>
        </w:rPr>
        <w:t xml:space="preserve">No adjustment of the starting dose is required for patients with renal impairment. Patients with renal impairment may need lower doses of somapacitan but since the dose of somapacitan is individually adjusted according to the need of each patient, no further dose adjustment is required </w:t>
      </w:r>
      <w:r w:rsidR="00B34EF8" w:rsidRPr="006E2063">
        <w:rPr>
          <w:sz w:val="24"/>
          <w:szCs w:val="24"/>
          <w:lang w:val="en-AU"/>
        </w:rPr>
        <w:t>(</w:t>
      </w:r>
      <w:r w:rsidRPr="006E2063">
        <w:rPr>
          <w:sz w:val="24"/>
          <w:szCs w:val="24"/>
          <w:lang w:val="en-AU"/>
        </w:rPr>
        <w:t>see section 5.2</w:t>
      </w:r>
      <w:r w:rsidR="00B34EF8" w:rsidRPr="006E2063">
        <w:rPr>
          <w:sz w:val="24"/>
          <w:szCs w:val="24"/>
          <w:lang w:val="en-AU"/>
        </w:rPr>
        <w:t xml:space="preserve"> </w:t>
      </w:r>
      <w:r w:rsidR="00B34EF8" w:rsidRPr="006E2063">
        <w:rPr>
          <w:iCs/>
          <w:sz w:val="24"/>
          <w:szCs w:val="24"/>
          <w:lang w:val="en-AU"/>
        </w:rPr>
        <w:t>Pharmacokinetic properties)</w:t>
      </w:r>
      <w:r w:rsidRPr="006E2063">
        <w:rPr>
          <w:sz w:val="24"/>
          <w:szCs w:val="24"/>
          <w:lang w:val="en-AU"/>
        </w:rPr>
        <w:t>.</w:t>
      </w:r>
    </w:p>
    <w:p w14:paraId="59FE2F53" w14:textId="105BDE7B" w:rsidR="005B2943" w:rsidRPr="006E2063" w:rsidRDefault="005B2943" w:rsidP="005B2943">
      <w:pPr>
        <w:rPr>
          <w:bCs/>
          <w:i/>
          <w:sz w:val="24"/>
          <w:szCs w:val="24"/>
          <w:lang w:val="en-AU"/>
        </w:rPr>
      </w:pPr>
      <w:bookmarkStart w:id="5" w:name="_Toc535002290"/>
      <w:r w:rsidRPr="006E2063">
        <w:rPr>
          <w:bCs/>
          <w:i/>
          <w:sz w:val="24"/>
          <w:szCs w:val="24"/>
          <w:lang w:val="en-AU"/>
        </w:rPr>
        <w:t>Hepatic impairment</w:t>
      </w:r>
      <w:bookmarkEnd w:id="5"/>
    </w:p>
    <w:p w14:paraId="076A6636" w14:textId="2FDDF11D" w:rsidR="005B2943" w:rsidRPr="006E2063" w:rsidRDefault="005B2943" w:rsidP="005B2943">
      <w:pPr>
        <w:rPr>
          <w:sz w:val="24"/>
          <w:szCs w:val="24"/>
          <w:lang w:val="en-AU"/>
        </w:rPr>
      </w:pPr>
      <w:r w:rsidRPr="006E2063">
        <w:rPr>
          <w:sz w:val="24"/>
          <w:szCs w:val="24"/>
          <w:lang w:val="en-AU"/>
        </w:rPr>
        <w:t>No adjustment of the starting dose is required for patients with hepatic impairment. Patients with moderate hepatic impairment may need higher doses of somapacitan but since the dose of somapacitan is individually adjusted according to the need of each patient, no further dose adjustment is required. No information regarding the use of somapacitan in patients with severe hepatic impairment is available. Caution should be exercised if treating these patients with somapacitan</w:t>
      </w:r>
      <w:r w:rsidR="00E740A2" w:rsidRPr="006E2063">
        <w:rPr>
          <w:sz w:val="24"/>
          <w:szCs w:val="24"/>
          <w:lang w:val="en-AU"/>
        </w:rPr>
        <w:t xml:space="preserve"> (see section 5.2 </w:t>
      </w:r>
      <w:r w:rsidR="00E740A2" w:rsidRPr="006E2063">
        <w:rPr>
          <w:iCs/>
          <w:sz w:val="24"/>
          <w:szCs w:val="24"/>
          <w:lang w:val="en-AU"/>
        </w:rPr>
        <w:t>Pharmacokinetic properties)</w:t>
      </w:r>
      <w:r w:rsidR="00E740A2" w:rsidRPr="006E2063">
        <w:rPr>
          <w:sz w:val="24"/>
          <w:szCs w:val="24"/>
          <w:lang w:val="en-AU"/>
        </w:rPr>
        <w:t>.</w:t>
      </w:r>
    </w:p>
    <w:p w14:paraId="0255F6DC" w14:textId="77777777" w:rsidR="005B2943" w:rsidRPr="006E2063" w:rsidRDefault="005B2943" w:rsidP="003421FF">
      <w:pPr>
        <w:pageBreakBefore/>
        <w:rPr>
          <w:bCs/>
          <w:i/>
          <w:iCs/>
          <w:sz w:val="24"/>
          <w:szCs w:val="24"/>
          <w:lang w:val="en-AU"/>
        </w:rPr>
      </w:pPr>
      <w:r w:rsidRPr="006E2063">
        <w:rPr>
          <w:bCs/>
          <w:i/>
          <w:iCs/>
          <w:sz w:val="24"/>
          <w:szCs w:val="24"/>
          <w:lang w:val="en-AU"/>
        </w:rPr>
        <w:lastRenderedPageBreak/>
        <w:t>Paediatric population</w:t>
      </w:r>
    </w:p>
    <w:p w14:paraId="179BE675" w14:textId="06903BEB" w:rsidR="005B2943" w:rsidRPr="006E2063" w:rsidRDefault="005B2943" w:rsidP="00D815BE">
      <w:pPr>
        <w:rPr>
          <w:bCs/>
          <w:iCs/>
          <w:sz w:val="24"/>
          <w:szCs w:val="24"/>
          <w:lang w:val="en-AU"/>
        </w:rPr>
      </w:pPr>
      <w:r w:rsidRPr="006E2063">
        <w:rPr>
          <w:bCs/>
          <w:iCs/>
          <w:sz w:val="24"/>
          <w:szCs w:val="24"/>
          <w:lang w:val="en-AU"/>
        </w:rPr>
        <w:t xml:space="preserve">Safety and efficacy of </w:t>
      </w:r>
      <w:r w:rsidRPr="006E2063">
        <w:rPr>
          <w:sz w:val="24"/>
          <w:szCs w:val="24"/>
          <w:lang w:val="en-AU"/>
        </w:rPr>
        <w:t xml:space="preserve">somapacitan </w:t>
      </w:r>
      <w:r w:rsidRPr="006E2063">
        <w:rPr>
          <w:bCs/>
          <w:iCs/>
          <w:sz w:val="24"/>
          <w:szCs w:val="24"/>
          <w:lang w:val="en-AU"/>
        </w:rPr>
        <w:t>in children and adolescents below 18 years have not yet been established. No data are available.</w:t>
      </w:r>
    </w:p>
    <w:p w14:paraId="2A4B807A" w14:textId="42D95BD8" w:rsidR="005234D4" w:rsidRPr="006E2063" w:rsidRDefault="005234D4" w:rsidP="00F80FDA">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Contraindications</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vault_nd_3ee7441e-8c3d-4512-b189-f1b36bf7faea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101C3061" w14:textId="55F9010E" w:rsidR="00963787" w:rsidRPr="006E2063" w:rsidRDefault="00DE502E" w:rsidP="00B61295">
      <w:pPr>
        <w:pStyle w:val="Normal-TNR"/>
        <w:rPr>
          <w:lang w:val="en-AU"/>
        </w:rPr>
      </w:pPr>
      <w:r w:rsidRPr="006E2063">
        <w:rPr>
          <w:lang w:val="en-AU"/>
        </w:rPr>
        <w:t xml:space="preserve">Sogroya should not be used in patients with </w:t>
      </w:r>
      <w:r w:rsidR="00CF26A3" w:rsidRPr="006E2063">
        <w:rPr>
          <w:lang w:val="en-AU"/>
        </w:rPr>
        <w:t>a k</w:t>
      </w:r>
      <w:r w:rsidR="00392A65" w:rsidRPr="006E2063">
        <w:rPr>
          <w:lang w:val="en-AU"/>
        </w:rPr>
        <w:t>nown h</w:t>
      </w:r>
      <w:r w:rsidR="00963787" w:rsidRPr="006E2063">
        <w:rPr>
          <w:lang w:val="en-AU"/>
        </w:rPr>
        <w:t xml:space="preserve">ypersensitivity to </w:t>
      </w:r>
      <w:r w:rsidR="00850A6F" w:rsidRPr="006E2063">
        <w:rPr>
          <w:lang w:val="en-AU"/>
        </w:rPr>
        <w:t>any of the ingredients</w:t>
      </w:r>
      <w:r w:rsidR="00963787" w:rsidRPr="006E2063">
        <w:rPr>
          <w:lang w:val="en-AU"/>
        </w:rPr>
        <w:t>.</w:t>
      </w:r>
    </w:p>
    <w:p w14:paraId="5B7A9576" w14:textId="0D50165F" w:rsidR="00A07AB5" w:rsidRPr="006E2063" w:rsidRDefault="000E0545" w:rsidP="00B61295">
      <w:pPr>
        <w:pStyle w:val="Normal-TNR"/>
        <w:rPr>
          <w:lang w:val="en-AU"/>
        </w:rPr>
      </w:pPr>
      <w:r w:rsidRPr="006E2063">
        <w:rPr>
          <w:lang w:val="en-AU"/>
        </w:rPr>
        <w:t>Sogroya should</w:t>
      </w:r>
      <w:r w:rsidR="00963787" w:rsidRPr="006E2063">
        <w:rPr>
          <w:lang w:val="en-AU"/>
        </w:rPr>
        <w:t xml:space="preserve"> not be used </w:t>
      </w:r>
      <w:r w:rsidR="00E02505" w:rsidRPr="006E2063">
        <w:rPr>
          <w:lang w:val="en-AU"/>
        </w:rPr>
        <w:t>in patients with</w:t>
      </w:r>
      <w:r w:rsidR="00963787" w:rsidRPr="006E2063">
        <w:rPr>
          <w:lang w:val="en-AU"/>
        </w:rPr>
        <w:t xml:space="preserve"> any evidence of activity of a tumour. Intracranial tumours must be inactive and anti</w:t>
      </w:r>
      <w:r w:rsidR="009B599F" w:rsidRPr="006E2063">
        <w:rPr>
          <w:lang w:val="en-AU"/>
        </w:rPr>
        <w:t>-</w:t>
      </w:r>
      <w:r w:rsidR="00963787" w:rsidRPr="006E2063">
        <w:rPr>
          <w:lang w:val="en-AU"/>
        </w:rPr>
        <w:t xml:space="preserve">tumour therapy must be completed prior to starting </w:t>
      </w:r>
      <w:r w:rsidR="002A536D" w:rsidRPr="006E2063">
        <w:rPr>
          <w:lang w:val="en-AU"/>
        </w:rPr>
        <w:t xml:space="preserve">Sogroya </w:t>
      </w:r>
      <w:r w:rsidR="00963787" w:rsidRPr="006E2063">
        <w:rPr>
          <w:lang w:val="en-AU"/>
        </w:rPr>
        <w:t xml:space="preserve">therapy. Treatment </w:t>
      </w:r>
      <w:r w:rsidR="00A07AB5" w:rsidRPr="006E2063">
        <w:rPr>
          <w:lang w:val="en-AU"/>
        </w:rPr>
        <w:t xml:space="preserve">with Sogroya </w:t>
      </w:r>
      <w:r w:rsidR="00963787" w:rsidRPr="006E2063">
        <w:rPr>
          <w:lang w:val="en-AU"/>
        </w:rPr>
        <w:t>should be discontinued if there is evidence</w:t>
      </w:r>
      <w:r w:rsidR="00C31173" w:rsidRPr="006E2063">
        <w:rPr>
          <w:lang w:val="en-AU"/>
        </w:rPr>
        <w:t xml:space="preserve"> </w:t>
      </w:r>
      <w:r w:rsidR="00963787" w:rsidRPr="006E2063">
        <w:rPr>
          <w:lang w:val="en-AU"/>
        </w:rPr>
        <w:t>of tumour</w:t>
      </w:r>
      <w:r w:rsidR="00132221" w:rsidRPr="006E2063">
        <w:rPr>
          <w:lang w:val="en-AU"/>
        </w:rPr>
        <w:t xml:space="preserve"> </w:t>
      </w:r>
      <w:r w:rsidR="00963787" w:rsidRPr="006E2063">
        <w:rPr>
          <w:lang w:val="en-AU"/>
        </w:rPr>
        <w:t>growt</w:t>
      </w:r>
      <w:r w:rsidR="00837501" w:rsidRPr="006E2063">
        <w:rPr>
          <w:lang w:val="en-AU"/>
        </w:rPr>
        <w:t>h.</w:t>
      </w:r>
    </w:p>
    <w:p w14:paraId="65F26CF0" w14:textId="4350E97E" w:rsidR="00091652" w:rsidRPr="006E2063" w:rsidRDefault="00963787" w:rsidP="007D5BB4">
      <w:pPr>
        <w:pStyle w:val="Normal-TNR"/>
        <w:rPr>
          <w:lang w:val="en-AU"/>
        </w:rPr>
      </w:pPr>
      <w:r w:rsidRPr="006E2063">
        <w:rPr>
          <w:lang w:val="en-AU"/>
        </w:rPr>
        <w:t xml:space="preserve">Patients with acute critical illness suffering from complications following open heart surgery, abdominal surgery, multiple accidental </w:t>
      </w:r>
      <w:proofErr w:type="gramStart"/>
      <w:r w:rsidRPr="006E2063">
        <w:rPr>
          <w:lang w:val="en-AU"/>
        </w:rPr>
        <w:t>trauma</w:t>
      </w:r>
      <w:proofErr w:type="gramEnd"/>
      <w:r w:rsidRPr="006E2063">
        <w:rPr>
          <w:lang w:val="en-AU"/>
        </w:rPr>
        <w:t xml:space="preserve">, acute respiratory failure or similar conditions </w:t>
      </w:r>
      <w:r w:rsidR="00FE3E95" w:rsidRPr="006E2063">
        <w:rPr>
          <w:lang w:val="en-AU"/>
        </w:rPr>
        <w:t>should</w:t>
      </w:r>
      <w:r w:rsidRPr="006E2063">
        <w:rPr>
          <w:lang w:val="en-AU"/>
        </w:rPr>
        <w:t xml:space="preserve"> not be treated with </w:t>
      </w:r>
      <w:r w:rsidR="00FE3E95" w:rsidRPr="006E2063">
        <w:rPr>
          <w:lang w:val="en-AU"/>
        </w:rPr>
        <w:t>Sogroya</w:t>
      </w:r>
      <w:r w:rsidRPr="006E2063">
        <w:rPr>
          <w:lang w:val="en-AU"/>
        </w:rPr>
        <w:t xml:space="preserve"> (</w:t>
      </w:r>
      <w:r w:rsidR="007555E8" w:rsidRPr="006E2063">
        <w:rPr>
          <w:lang w:val="en-AU"/>
        </w:rPr>
        <w:t>for</w:t>
      </w:r>
      <w:r w:rsidRPr="006E2063">
        <w:rPr>
          <w:lang w:val="en-AU"/>
        </w:rPr>
        <w:t xml:space="preserve"> patients undergoing substitution therapy, see </w:t>
      </w:r>
      <w:r w:rsidR="00564ED2" w:rsidRPr="006E2063">
        <w:rPr>
          <w:lang w:val="en-AU"/>
        </w:rPr>
        <w:t>s</w:t>
      </w:r>
      <w:r w:rsidRPr="006E2063">
        <w:rPr>
          <w:lang w:val="en-AU"/>
        </w:rPr>
        <w:t>ection 4.4</w:t>
      </w:r>
      <w:r w:rsidR="00523635" w:rsidRPr="006E2063">
        <w:rPr>
          <w:lang w:val="en-AU"/>
        </w:rPr>
        <w:t xml:space="preserve"> Special </w:t>
      </w:r>
      <w:r w:rsidR="007837AC" w:rsidRPr="006E2063">
        <w:rPr>
          <w:lang w:val="en-AU"/>
        </w:rPr>
        <w:t>w</w:t>
      </w:r>
      <w:r w:rsidR="00523635" w:rsidRPr="006E2063">
        <w:rPr>
          <w:lang w:val="en-AU"/>
        </w:rPr>
        <w:t xml:space="preserve">arnings and </w:t>
      </w:r>
      <w:r w:rsidR="007837AC" w:rsidRPr="006E2063">
        <w:rPr>
          <w:lang w:val="en-AU"/>
        </w:rPr>
        <w:t>p</w:t>
      </w:r>
      <w:r w:rsidR="00523635" w:rsidRPr="006E2063">
        <w:rPr>
          <w:lang w:val="en-AU"/>
        </w:rPr>
        <w:t xml:space="preserve">recautions for </w:t>
      </w:r>
      <w:r w:rsidR="007837AC" w:rsidRPr="006E2063">
        <w:rPr>
          <w:lang w:val="en-AU"/>
        </w:rPr>
        <w:t>u</w:t>
      </w:r>
      <w:r w:rsidR="00523635" w:rsidRPr="006E2063">
        <w:rPr>
          <w:lang w:val="en-AU"/>
        </w:rPr>
        <w:t>se</w:t>
      </w:r>
      <w:r w:rsidRPr="006E2063">
        <w:rPr>
          <w:lang w:val="en-AU"/>
        </w:rPr>
        <w:t>).</w:t>
      </w:r>
    </w:p>
    <w:p w14:paraId="2D8C9CEA" w14:textId="47224617" w:rsidR="005234D4" w:rsidRPr="006E2063" w:rsidRDefault="005234D4" w:rsidP="00F80FDA">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Special warnings and precautions for use</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vault_nd_8ce0daaa-5e4f-44fe-a4de-1f7339dcbef3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06C2B1D2" w14:textId="0896CB6E" w:rsidR="00D86BA2" w:rsidRPr="006E2063" w:rsidRDefault="00D86BA2" w:rsidP="00DB1FBD">
      <w:pPr>
        <w:pStyle w:val="Heading4"/>
        <w:rPr>
          <w:rFonts w:ascii="Times New Roman" w:hAnsi="Times New Roman" w:cs="Times New Roman"/>
          <w:b w:val="0"/>
          <w:bCs w:val="0"/>
          <w:color w:val="auto"/>
          <w:lang w:val="en-AU" w:eastAsia="en-US" w:bidi="ar-SA"/>
        </w:rPr>
      </w:pPr>
      <w:r w:rsidRPr="006E2063">
        <w:rPr>
          <w:rStyle w:val="Heading4Char"/>
          <w:b/>
          <w:bCs/>
          <w:lang w:val="en-AU"/>
        </w:rPr>
        <w:t>Adrenocortical insufficiency</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vault_nd_8e8ec365-169d-4e35-a39e-516e2f0cccb3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19C6ACCA" w14:textId="2E23A8FF" w:rsidR="00F47B2E" w:rsidRPr="006E2063" w:rsidRDefault="00D86BA2" w:rsidP="00D86BA2">
      <w:pPr>
        <w:rPr>
          <w:sz w:val="24"/>
          <w:szCs w:val="24"/>
          <w:lang w:val="en-AU"/>
        </w:rPr>
      </w:pPr>
      <w:r w:rsidRPr="006E2063">
        <w:rPr>
          <w:sz w:val="24"/>
          <w:szCs w:val="24"/>
          <w:lang w:val="en-AU"/>
        </w:rPr>
        <w:t xml:space="preserve">Introduction of growth hormone treatment may result in inhibition of 11βHSD-1 and reduced serum cortisol concentrations. In patients treated with growth hormone, previously undiagnosed central (secondary) hypoadrenalism may be unmasked and glucocorticoid replacement may be required. In addition, patients treated with glucocorticoid replacement for previously diagnosed hypoadrenalism may require an increase in their maintenance or stress doses following initiation of growth hormone treatment. </w:t>
      </w:r>
      <w:r w:rsidR="00B149B6" w:rsidRPr="006E2063">
        <w:rPr>
          <w:sz w:val="24"/>
          <w:szCs w:val="24"/>
          <w:lang w:val="en-AU"/>
        </w:rPr>
        <w:t>Patients</w:t>
      </w:r>
      <w:r w:rsidRPr="006E2063">
        <w:rPr>
          <w:sz w:val="24"/>
          <w:szCs w:val="24"/>
          <w:lang w:val="en-AU"/>
        </w:rPr>
        <w:t xml:space="preserve"> with known hypoadrenalism </w:t>
      </w:r>
      <w:r w:rsidR="00B149B6" w:rsidRPr="006E2063">
        <w:rPr>
          <w:sz w:val="24"/>
          <w:szCs w:val="24"/>
          <w:lang w:val="en-AU"/>
        </w:rPr>
        <w:t xml:space="preserve">should be monitored </w:t>
      </w:r>
      <w:r w:rsidRPr="006E2063">
        <w:rPr>
          <w:sz w:val="24"/>
          <w:szCs w:val="24"/>
          <w:lang w:val="en-AU"/>
        </w:rPr>
        <w:t xml:space="preserve">for reduced serum cortisol levels and/or the need </w:t>
      </w:r>
      <w:r w:rsidR="0026426E" w:rsidRPr="006E2063">
        <w:rPr>
          <w:sz w:val="24"/>
          <w:szCs w:val="24"/>
          <w:lang w:val="en-AU"/>
        </w:rPr>
        <w:t>for</w:t>
      </w:r>
      <w:r w:rsidRPr="006E2063">
        <w:rPr>
          <w:sz w:val="24"/>
          <w:szCs w:val="24"/>
          <w:lang w:val="en-AU"/>
        </w:rPr>
        <w:t xml:space="preserve"> increased doses of glucocorticoid</w:t>
      </w:r>
      <w:r w:rsidR="00820AAC" w:rsidRPr="006E2063">
        <w:rPr>
          <w:sz w:val="24"/>
          <w:szCs w:val="24"/>
          <w:lang w:val="en-AU"/>
        </w:rPr>
        <w:t xml:space="preserve"> (</w:t>
      </w:r>
      <w:r w:rsidRPr="006E2063">
        <w:rPr>
          <w:sz w:val="24"/>
          <w:szCs w:val="24"/>
          <w:lang w:val="en-AU"/>
        </w:rPr>
        <w:t xml:space="preserve">see </w:t>
      </w:r>
      <w:r w:rsidR="008351F1" w:rsidRPr="006E2063">
        <w:rPr>
          <w:sz w:val="24"/>
          <w:szCs w:val="24"/>
          <w:lang w:val="en-AU"/>
        </w:rPr>
        <w:t>s</w:t>
      </w:r>
      <w:r w:rsidRPr="006E2063">
        <w:rPr>
          <w:sz w:val="24"/>
          <w:szCs w:val="24"/>
          <w:lang w:val="en-AU"/>
        </w:rPr>
        <w:t>ection 4.5</w:t>
      </w:r>
      <w:r w:rsidR="00EC5C17" w:rsidRPr="006E2063">
        <w:rPr>
          <w:sz w:val="24"/>
          <w:szCs w:val="24"/>
          <w:lang w:val="en-AU"/>
        </w:rPr>
        <w:t xml:space="preserve"> Interactions with other medicines and other forms of interactions</w:t>
      </w:r>
      <w:r w:rsidR="00820AAC" w:rsidRPr="006E2063">
        <w:rPr>
          <w:sz w:val="24"/>
          <w:szCs w:val="24"/>
          <w:lang w:val="en-AU"/>
        </w:rPr>
        <w:t>)</w:t>
      </w:r>
      <w:r w:rsidRPr="006E2063">
        <w:rPr>
          <w:sz w:val="24"/>
          <w:szCs w:val="24"/>
          <w:lang w:val="en-AU"/>
        </w:rPr>
        <w:t>.</w:t>
      </w:r>
    </w:p>
    <w:p w14:paraId="7F7E7501" w14:textId="1C06ED3E" w:rsidR="00430BDD" w:rsidRPr="006E2063" w:rsidRDefault="00430BDD" w:rsidP="00116421">
      <w:pPr>
        <w:pStyle w:val="Heading4"/>
        <w:rPr>
          <w:rFonts w:ascii="Times New Roman" w:hAnsi="Times New Roman" w:cs="Times New Roman"/>
          <w:color w:val="auto"/>
          <w:lang w:val="en-AU" w:eastAsia="en-US" w:bidi="ar-SA"/>
        </w:rPr>
      </w:pPr>
      <w:r w:rsidRPr="006E2063">
        <w:rPr>
          <w:rFonts w:ascii="Times New Roman" w:hAnsi="Times New Roman" w:cs="Times New Roman"/>
          <w:color w:val="auto"/>
          <w:lang w:val="en-AU" w:eastAsia="en-US" w:bidi="ar-SA"/>
        </w:rPr>
        <w:t>Glucose metabolism impairment</w:t>
      </w:r>
      <w:r w:rsidR="006952C3"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vault_nd_1fe9d70e-8e63-4a80-b4a7-9fa29716944c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1B0E376F" w14:textId="25B81F01" w:rsidR="00326F05" w:rsidRPr="006E2063" w:rsidRDefault="00430BDD" w:rsidP="00430BDD">
      <w:pPr>
        <w:rPr>
          <w:sz w:val="24"/>
          <w:szCs w:val="24"/>
          <w:lang w:val="en-AU"/>
        </w:rPr>
      </w:pPr>
      <w:r w:rsidRPr="006E2063">
        <w:rPr>
          <w:sz w:val="24"/>
          <w:szCs w:val="24"/>
          <w:lang w:val="en-AU"/>
        </w:rPr>
        <w:t>Treatment with growth hormone may decrease insulin sensitivity, particularly at higher doses in susceptible patients</w:t>
      </w:r>
      <w:r w:rsidR="007E3CF4" w:rsidRPr="006E2063">
        <w:rPr>
          <w:sz w:val="24"/>
          <w:szCs w:val="24"/>
          <w:lang w:val="en-AU"/>
        </w:rPr>
        <w:t>,</w:t>
      </w:r>
      <w:r w:rsidRPr="006E2063">
        <w:rPr>
          <w:sz w:val="24"/>
          <w:szCs w:val="24"/>
          <w:lang w:val="en-AU"/>
        </w:rPr>
        <w:t xml:space="preserve"> and consequently hyperglycaemia may occur in subjects with inadequate insulin secretory capacity. As a result, previously undiagnosed impaired glucose tolerance and overt diabetes mellitus may be unmasked during growth hormone treatment. Therefore, glucose levels should be monitored periodically in all patients treated with growth hormone, especially in those with risk factors for diabetes mellitus, such as obesity, or a family history of diabetes mellitus. Patients with pre-existing type 1 or type 2 diabetes mellitus or impaired glucose tolerance should be monitored closely during growth hormone therapy. The doses of antihyperglycaemic medicinal products may require adjustment when growth hormone therapy is instituted in these patients.</w:t>
      </w:r>
    </w:p>
    <w:p w14:paraId="6F4C1095" w14:textId="2677D490" w:rsidR="000F0BB4" w:rsidRPr="006E2063" w:rsidRDefault="000F0BB4"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lastRenderedPageBreak/>
        <w:t>Neoplasms</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vault_nd_aed7ec53-abf6-42e5-a618-2f48d31cf72e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2FA21195" w14:textId="39453EE1" w:rsidR="000F0BB4" w:rsidRPr="006E2063" w:rsidRDefault="000F0BB4" w:rsidP="000F0BB4">
      <w:pPr>
        <w:rPr>
          <w:sz w:val="24"/>
          <w:szCs w:val="24"/>
          <w:lang w:val="en-AU"/>
        </w:rPr>
      </w:pPr>
      <w:r w:rsidRPr="006E2063">
        <w:rPr>
          <w:sz w:val="24"/>
          <w:szCs w:val="24"/>
          <w:lang w:val="en-AU"/>
        </w:rPr>
        <w:t>There is no evidence for increased risk of new primary cancers in adults treated with growth hormone.</w:t>
      </w:r>
    </w:p>
    <w:p w14:paraId="778955A5" w14:textId="77777777" w:rsidR="000F0BB4" w:rsidRPr="006E2063" w:rsidRDefault="000F0BB4" w:rsidP="000F0BB4">
      <w:pPr>
        <w:rPr>
          <w:sz w:val="24"/>
          <w:szCs w:val="24"/>
          <w:lang w:val="en-AU"/>
        </w:rPr>
      </w:pPr>
      <w:r w:rsidRPr="006E2063">
        <w:rPr>
          <w:sz w:val="24"/>
          <w:szCs w:val="24"/>
          <w:lang w:val="en-AU"/>
        </w:rPr>
        <w:t>In patients in complete remission from malignant diseases or who have been treated for benign tumours, growth hormone therapy has not been associated with an increased relapse rate.</w:t>
      </w:r>
    </w:p>
    <w:p w14:paraId="6AA796F2" w14:textId="77777777" w:rsidR="000F0BB4" w:rsidRPr="006E2063" w:rsidRDefault="000F0BB4" w:rsidP="000F0BB4">
      <w:pPr>
        <w:rPr>
          <w:sz w:val="24"/>
          <w:szCs w:val="24"/>
          <w:lang w:val="en-AU"/>
        </w:rPr>
      </w:pPr>
      <w:r w:rsidRPr="006E2063">
        <w:rPr>
          <w:sz w:val="24"/>
          <w:szCs w:val="24"/>
          <w:lang w:val="en-AU"/>
        </w:rPr>
        <w:t xml:space="preserve">Patients who have achieved complete remission of malignant diseases or who have been treated for benign tumours should be followed closely for relapse after commencement of growth hormone therapy. Growth hormone treatment should be interrupted in case of any development or reoccurrence of malignant or benign tumour. </w:t>
      </w:r>
    </w:p>
    <w:p w14:paraId="73787D20" w14:textId="38CD3E9D" w:rsidR="000F0BB4" w:rsidRPr="006E2063" w:rsidRDefault="000F0BB4" w:rsidP="000F0BB4">
      <w:pPr>
        <w:rPr>
          <w:sz w:val="24"/>
          <w:szCs w:val="24"/>
          <w:lang w:val="en-AU"/>
        </w:rPr>
      </w:pPr>
      <w:r w:rsidRPr="006E2063">
        <w:rPr>
          <w:sz w:val="24"/>
          <w:szCs w:val="24"/>
          <w:lang w:val="en-AU"/>
        </w:rPr>
        <w:t>An overall slight increase in second neoplasms has been observed in childhood cancer survivors treated with growth hormone, with the most frequent being intracranial tumours. The dominant risk factor for secondary neoplasms seems to be prior exposure to radiation.</w:t>
      </w:r>
    </w:p>
    <w:p w14:paraId="23A1F635" w14:textId="67DE923B" w:rsidR="00D23E05" w:rsidRPr="006E2063" w:rsidRDefault="00D23E05"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Benign intracranial hypertension</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vault_nd_691f18b5-30e4-4697-ac4e-3b7dc71613e8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34E7DEDC" w14:textId="48A6A7BA" w:rsidR="00D23E05" w:rsidRPr="006E2063" w:rsidRDefault="00D23E05" w:rsidP="00D23E05">
      <w:pPr>
        <w:rPr>
          <w:sz w:val="24"/>
          <w:szCs w:val="24"/>
          <w:lang w:val="en-AU"/>
        </w:rPr>
      </w:pPr>
      <w:r w:rsidRPr="006E2063">
        <w:rPr>
          <w:sz w:val="24"/>
          <w:szCs w:val="24"/>
          <w:lang w:val="en-AU"/>
        </w:rPr>
        <w:t>In the event of severe or recurrent headache, visual symptoms, nausea, and/or vomiting, a fundoscopy for papilloedema is recommended. If papilloedema is confirmed, a diagnosis of benign intracranial hypertension should be considered and if appropriate the growth hormone treatment should be discontinued. At present there is insufficient evidence to guide clinical decision making in patients with resolved intracranial hypertension. If growth hormone treatment is restarted, careful monitoring for symptoms of intracranial hypertension is necessary.</w:t>
      </w:r>
    </w:p>
    <w:p w14:paraId="5449E5B3" w14:textId="791F4EB5" w:rsidR="007C5DD9" w:rsidRPr="006E2063" w:rsidRDefault="007C5DD9"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Thyroid function</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vault_nd_fce24004-fa95-47b9-b00b-ccfa2ad55314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73CAD898" w14:textId="404E3206" w:rsidR="007C5DD9" w:rsidRPr="006E2063" w:rsidRDefault="007C5DD9" w:rsidP="007C5DD9">
      <w:pPr>
        <w:rPr>
          <w:sz w:val="24"/>
          <w:szCs w:val="24"/>
          <w:lang w:val="en-AU"/>
        </w:rPr>
      </w:pPr>
      <w:r w:rsidRPr="006E2063">
        <w:rPr>
          <w:sz w:val="24"/>
          <w:szCs w:val="24"/>
          <w:lang w:val="en-AU"/>
        </w:rPr>
        <w:t xml:space="preserve">Growth hormone increases the extrathyroidal conversion of T4 to T3 and may as such unmask incipient hypothyroidism. As hypothyroidism interferes with the response to growth hormone therapy, patients should have their thyroid function tested regularly and should receive replacement therapy with thyroid hormone when indicated </w:t>
      </w:r>
      <w:r w:rsidR="00F12A00" w:rsidRPr="006E2063">
        <w:rPr>
          <w:sz w:val="24"/>
          <w:szCs w:val="24"/>
          <w:lang w:val="en-AU"/>
        </w:rPr>
        <w:t>(</w:t>
      </w:r>
      <w:r w:rsidRPr="006E2063">
        <w:rPr>
          <w:sz w:val="24"/>
          <w:szCs w:val="24"/>
          <w:lang w:val="en-AU"/>
        </w:rPr>
        <w:t xml:space="preserve">see </w:t>
      </w:r>
      <w:r w:rsidR="00D86127" w:rsidRPr="006E2063">
        <w:rPr>
          <w:sz w:val="24"/>
          <w:szCs w:val="24"/>
          <w:lang w:val="en-AU"/>
        </w:rPr>
        <w:t>s</w:t>
      </w:r>
      <w:r w:rsidRPr="006E2063">
        <w:rPr>
          <w:sz w:val="24"/>
          <w:szCs w:val="24"/>
          <w:lang w:val="en-AU"/>
        </w:rPr>
        <w:t xml:space="preserve">ections 4.5 </w:t>
      </w:r>
      <w:r w:rsidR="00832CB2" w:rsidRPr="006E2063">
        <w:rPr>
          <w:sz w:val="24"/>
          <w:szCs w:val="24"/>
          <w:lang w:val="en-AU"/>
        </w:rPr>
        <w:t xml:space="preserve">Interactions with other medicines and other forms of interactions </w:t>
      </w:r>
      <w:r w:rsidRPr="006E2063">
        <w:rPr>
          <w:sz w:val="24"/>
          <w:szCs w:val="24"/>
          <w:lang w:val="en-AU"/>
        </w:rPr>
        <w:t>and 4.8.</w:t>
      </w:r>
      <w:r w:rsidR="00832CB2" w:rsidRPr="006E2063">
        <w:rPr>
          <w:sz w:val="24"/>
          <w:szCs w:val="24"/>
          <w:lang w:val="en-AU"/>
        </w:rPr>
        <w:t xml:space="preserve"> Adverse effects</w:t>
      </w:r>
      <w:r w:rsidR="00F12A00" w:rsidRPr="006E2063">
        <w:rPr>
          <w:sz w:val="24"/>
          <w:szCs w:val="24"/>
          <w:lang w:val="en-AU"/>
        </w:rPr>
        <w:t>)</w:t>
      </w:r>
      <w:r w:rsidR="00832CB2" w:rsidRPr="006E2063">
        <w:rPr>
          <w:sz w:val="24"/>
          <w:szCs w:val="24"/>
          <w:lang w:val="en-AU"/>
        </w:rPr>
        <w:t>.</w:t>
      </w:r>
    </w:p>
    <w:p w14:paraId="16F24B8F" w14:textId="411B7DD3" w:rsidR="007C5DD9" w:rsidRPr="006E2063" w:rsidRDefault="007C5DD9"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 xml:space="preserve">Use with oral </w:t>
      </w:r>
      <w:r w:rsidR="000B7A10" w:rsidRPr="006E2063">
        <w:rPr>
          <w:rFonts w:ascii="Times New Roman" w:hAnsi="Times New Roman" w:cs="Times New Roman"/>
          <w:color w:val="auto"/>
          <w:lang w:val="en-AU" w:eastAsia="en-US" w:bidi="ar-SA"/>
        </w:rPr>
        <w:t>estrogen</w:t>
      </w:r>
      <w:r w:rsidR="006952C3"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vault_nd_9f81f234-2312-474d-afc7-e98fd67cff57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6241648D" w14:textId="5E4DACAD" w:rsidR="007C5DD9" w:rsidRPr="006E2063" w:rsidRDefault="007C5DD9" w:rsidP="007C5DD9">
      <w:pPr>
        <w:rPr>
          <w:sz w:val="24"/>
          <w:szCs w:val="24"/>
          <w:lang w:val="en-AU"/>
        </w:rPr>
      </w:pPr>
      <w:r w:rsidRPr="006E2063">
        <w:rPr>
          <w:sz w:val="24"/>
          <w:szCs w:val="24"/>
          <w:lang w:val="en-AU"/>
        </w:rPr>
        <w:t xml:space="preserve">Oral </w:t>
      </w:r>
      <w:r w:rsidR="000B7A10" w:rsidRPr="006E2063">
        <w:rPr>
          <w:sz w:val="24"/>
          <w:szCs w:val="24"/>
          <w:lang w:val="en-AU"/>
        </w:rPr>
        <w:t>estrogen</w:t>
      </w:r>
      <w:r w:rsidRPr="006E2063">
        <w:rPr>
          <w:sz w:val="24"/>
          <w:szCs w:val="24"/>
          <w:lang w:val="en-AU"/>
        </w:rPr>
        <w:t xml:space="preserve"> influences the IGF-I response to growth hormone including somapacitan. </w:t>
      </w:r>
    </w:p>
    <w:p w14:paraId="01BB6B2A" w14:textId="74806418" w:rsidR="007C5DD9" w:rsidRPr="006E2063" w:rsidRDefault="007C5DD9" w:rsidP="007C5DD9">
      <w:pPr>
        <w:rPr>
          <w:sz w:val="24"/>
          <w:szCs w:val="24"/>
          <w:lang w:val="en-AU"/>
        </w:rPr>
      </w:pPr>
      <w:r w:rsidRPr="006E2063">
        <w:rPr>
          <w:sz w:val="24"/>
          <w:szCs w:val="24"/>
          <w:lang w:val="en-AU"/>
        </w:rPr>
        <w:t xml:space="preserve">Women taking any form of oral </w:t>
      </w:r>
      <w:r w:rsidR="000B7A10" w:rsidRPr="006E2063">
        <w:rPr>
          <w:sz w:val="24"/>
          <w:szCs w:val="24"/>
          <w:lang w:val="en-AU"/>
        </w:rPr>
        <w:t>estrogen</w:t>
      </w:r>
      <w:r w:rsidRPr="006E2063">
        <w:rPr>
          <w:sz w:val="24"/>
          <w:szCs w:val="24"/>
          <w:lang w:val="en-AU"/>
        </w:rPr>
        <w:t xml:space="preserve"> (hormone therapy or contraception) should consider changing the route of </w:t>
      </w:r>
      <w:r w:rsidR="000B7A10" w:rsidRPr="006E2063">
        <w:rPr>
          <w:sz w:val="24"/>
          <w:szCs w:val="24"/>
          <w:lang w:val="en-AU"/>
        </w:rPr>
        <w:t>estrogen</w:t>
      </w:r>
      <w:r w:rsidRPr="006E2063">
        <w:rPr>
          <w:sz w:val="24"/>
          <w:szCs w:val="24"/>
          <w:lang w:val="en-AU"/>
        </w:rPr>
        <w:t xml:space="preserve"> administration (</w:t>
      </w:r>
      <w:proofErr w:type="gramStart"/>
      <w:r w:rsidRPr="006E2063">
        <w:rPr>
          <w:sz w:val="24"/>
          <w:szCs w:val="24"/>
          <w:lang w:val="en-AU"/>
        </w:rPr>
        <w:t>e.g.</w:t>
      </w:r>
      <w:proofErr w:type="gramEnd"/>
      <w:r w:rsidRPr="006E2063">
        <w:rPr>
          <w:sz w:val="24"/>
          <w:szCs w:val="24"/>
          <w:lang w:val="en-AU"/>
        </w:rPr>
        <w:t xml:space="preserve"> transdermal-, vaginal hormone products) or use another form of contraception. If a woman on oral </w:t>
      </w:r>
      <w:r w:rsidR="000B7A10" w:rsidRPr="006E2063">
        <w:rPr>
          <w:sz w:val="24"/>
          <w:szCs w:val="24"/>
          <w:lang w:val="en-AU"/>
        </w:rPr>
        <w:t>estrogen</w:t>
      </w:r>
      <w:r w:rsidRPr="006E2063">
        <w:rPr>
          <w:sz w:val="24"/>
          <w:szCs w:val="24"/>
          <w:lang w:val="en-AU"/>
        </w:rPr>
        <w:t xml:space="preserve"> is starting somapacitan therapy, higher starting doses and a longer titration period may be required (see </w:t>
      </w:r>
      <w:r w:rsidR="008351F1" w:rsidRPr="006E2063">
        <w:rPr>
          <w:sz w:val="24"/>
          <w:szCs w:val="24"/>
          <w:lang w:val="en-AU"/>
        </w:rPr>
        <w:t>s</w:t>
      </w:r>
      <w:r w:rsidRPr="006E2063">
        <w:rPr>
          <w:sz w:val="24"/>
          <w:szCs w:val="24"/>
          <w:lang w:val="en-AU"/>
        </w:rPr>
        <w:t>ection 4.2</w:t>
      </w:r>
      <w:r w:rsidR="00D90FA7" w:rsidRPr="006E2063">
        <w:rPr>
          <w:sz w:val="24"/>
          <w:szCs w:val="24"/>
          <w:lang w:val="en-AU"/>
        </w:rPr>
        <w:t xml:space="preserve"> Dose and method of administration</w:t>
      </w:r>
      <w:r w:rsidRPr="006E2063">
        <w:rPr>
          <w:sz w:val="24"/>
          <w:szCs w:val="24"/>
          <w:lang w:val="en-AU"/>
        </w:rPr>
        <w:t xml:space="preserve">). </w:t>
      </w:r>
    </w:p>
    <w:p w14:paraId="0E0AD9FE" w14:textId="48275F09" w:rsidR="007C5DD9" w:rsidRPr="006E2063" w:rsidRDefault="007C5DD9" w:rsidP="007C5DD9">
      <w:pPr>
        <w:rPr>
          <w:sz w:val="24"/>
          <w:szCs w:val="24"/>
          <w:lang w:val="en-AU"/>
        </w:rPr>
      </w:pPr>
      <w:r w:rsidRPr="006E2063">
        <w:rPr>
          <w:sz w:val="24"/>
          <w:szCs w:val="24"/>
          <w:lang w:val="en-AU"/>
        </w:rPr>
        <w:t xml:space="preserve">If a woman taking somapacitan begins oral </w:t>
      </w:r>
      <w:r w:rsidR="000B7A10" w:rsidRPr="006E2063">
        <w:rPr>
          <w:sz w:val="24"/>
          <w:szCs w:val="24"/>
          <w:lang w:val="en-AU"/>
        </w:rPr>
        <w:t>estrogen</w:t>
      </w:r>
      <w:r w:rsidRPr="006E2063">
        <w:rPr>
          <w:sz w:val="24"/>
          <w:szCs w:val="24"/>
          <w:lang w:val="en-AU"/>
        </w:rPr>
        <w:t xml:space="preserve"> therapy, the dose of somapacitan may need to be increased to maintain the serum IGF-I levels within the normal age-appropriate range. Conversely, if a woman on somapacitan discontinues oral </w:t>
      </w:r>
      <w:r w:rsidR="000B7A10" w:rsidRPr="006E2063">
        <w:rPr>
          <w:sz w:val="24"/>
          <w:szCs w:val="24"/>
          <w:lang w:val="en-AU"/>
        </w:rPr>
        <w:t>estrogen</w:t>
      </w:r>
      <w:r w:rsidRPr="006E2063">
        <w:rPr>
          <w:sz w:val="24"/>
          <w:szCs w:val="24"/>
          <w:lang w:val="en-AU"/>
        </w:rPr>
        <w:t xml:space="preserve"> therapy, the dose of </w:t>
      </w:r>
      <w:r w:rsidRPr="006E2063">
        <w:rPr>
          <w:sz w:val="24"/>
          <w:szCs w:val="24"/>
          <w:lang w:val="en-AU"/>
        </w:rPr>
        <w:lastRenderedPageBreak/>
        <w:t xml:space="preserve">somapacitan may need to be reduced to avoid excess of somapacitan and/or undesirable effects </w:t>
      </w:r>
      <w:r w:rsidR="00F12A00" w:rsidRPr="006E2063">
        <w:rPr>
          <w:sz w:val="24"/>
          <w:szCs w:val="24"/>
          <w:lang w:val="en-AU"/>
        </w:rPr>
        <w:t>(s</w:t>
      </w:r>
      <w:r w:rsidRPr="006E2063">
        <w:rPr>
          <w:sz w:val="24"/>
          <w:szCs w:val="24"/>
          <w:lang w:val="en-AU"/>
        </w:rPr>
        <w:t xml:space="preserve">ee </w:t>
      </w:r>
      <w:r w:rsidR="007D552D" w:rsidRPr="006E2063">
        <w:rPr>
          <w:sz w:val="24"/>
          <w:szCs w:val="24"/>
          <w:lang w:val="en-AU"/>
        </w:rPr>
        <w:t>s</w:t>
      </w:r>
      <w:r w:rsidRPr="006E2063">
        <w:rPr>
          <w:sz w:val="24"/>
          <w:szCs w:val="24"/>
          <w:lang w:val="en-AU"/>
        </w:rPr>
        <w:t xml:space="preserve">ections 4.2 </w:t>
      </w:r>
      <w:r w:rsidR="00B636B3" w:rsidRPr="006E2063">
        <w:rPr>
          <w:sz w:val="24"/>
          <w:szCs w:val="24"/>
          <w:lang w:val="en-AU"/>
        </w:rPr>
        <w:t xml:space="preserve">Dose and method of administration </w:t>
      </w:r>
      <w:r w:rsidRPr="006E2063">
        <w:rPr>
          <w:sz w:val="24"/>
          <w:szCs w:val="24"/>
          <w:lang w:val="en-AU"/>
        </w:rPr>
        <w:t>and 4.5</w:t>
      </w:r>
      <w:r w:rsidR="00B636B3" w:rsidRPr="006E2063">
        <w:rPr>
          <w:sz w:val="24"/>
          <w:szCs w:val="24"/>
          <w:lang w:val="en-AU"/>
        </w:rPr>
        <w:t xml:space="preserve"> Interactions with other medicines and other forms of interactions</w:t>
      </w:r>
      <w:r w:rsidR="00F12A00" w:rsidRPr="006E2063">
        <w:rPr>
          <w:sz w:val="24"/>
          <w:szCs w:val="24"/>
          <w:lang w:val="en-AU"/>
        </w:rPr>
        <w:t>)</w:t>
      </w:r>
      <w:r w:rsidRPr="006E2063">
        <w:rPr>
          <w:sz w:val="24"/>
          <w:szCs w:val="24"/>
          <w:lang w:val="en-AU"/>
        </w:rPr>
        <w:t>.</w:t>
      </w:r>
    </w:p>
    <w:p w14:paraId="7393D9F3" w14:textId="56B6DC18" w:rsidR="007C5DD9" w:rsidRPr="006E2063" w:rsidRDefault="007C5DD9"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Lipohypertrophy</w:t>
      </w:r>
      <w:r w:rsidR="000B7D2B"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vault_nd_502f17a4-507b-4b83-98b3-b584d0017160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1EF0E53E" w14:textId="62EE485E" w:rsidR="007C5DD9" w:rsidRPr="006E2063" w:rsidRDefault="007C5DD9" w:rsidP="007C5DD9">
      <w:pPr>
        <w:rPr>
          <w:sz w:val="24"/>
          <w:szCs w:val="24"/>
          <w:lang w:val="en-AU"/>
        </w:rPr>
      </w:pPr>
      <w:r w:rsidRPr="006E2063">
        <w:rPr>
          <w:sz w:val="24"/>
          <w:szCs w:val="24"/>
          <w:lang w:val="en-AU"/>
        </w:rPr>
        <w:t xml:space="preserve">When somapacitan is administered at the same site over a long period of time, lipohypertrophy may occur. The injection site should be rotated to reduce the risk, see sections 4.2 </w:t>
      </w:r>
      <w:r w:rsidR="007D552D" w:rsidRPr="006E2063">
        <w:rPr>
          <w:sz w:val="24"/>
          <w:szCs w:val="24"/>
          <w:lang w:val="en-AU"/>
        </w:rPr>
        <w:t xml:space="preserve">Dose and method of administration </w:t>
      </w:r>
      <w:r w:rsidRPr="006E2063">
        <w:rPr>
          <w:sz w:val="24"/>
          <w:szCs w:val="24"/>
          <w:lang w:val="en-AU"/>
        </w:rPr>
        <w:t>and 4.8</w:t>
      </w:r>
      <w:r w:rsidR="007D552D" w:rsidRPr="006E2063">
        <w:rPr>
          <w:sz w:val="24"/>
          <w:szCs w:val="24"/>
          <w:lang w:val="en-AU"/>
        </w:rPr>
        <w:t xml:space="preserve"> Adverse effects</w:t>
      </w:r>
      <w:r w:rsidRPr="006E2063">
        <w:rPr>
          <w:sz w:val="24"/>
          <w:szCs w:val="24"/>
          <w:lang w:val="en-AU"/>
        </w:rPr>
        <w:t xml:space="preserve">. </w:t>
      </w:r>
    </w:p>
    <w:p w14:paraId="38D2980E" w14:textId="402679C2" w:rsidR="007C5DD9" w:rsidRPr="006E2063" w:rsidRDefault="007C5DD9"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Antibodies</w:t>
      </w:r>
      <w:r w:rsidR="007A6EDE"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vault_nd_f1067a8e-4ad5-42b3-9a3c-2e8ba237f7f9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26B13C8E" w14:textId="77777777" w:rsidR="007C5DD9" w:rsidRPr="006E2063" w:rsidRDefault="007C5DD9" w:rsidP="007C5DD9">
      <w:pPr>
        <w:rPr>
          <w:sz w:val="24"/>
          <w:szCs w:val="24"/>
          <w:lang w:val="en-AU"/>
        </w:rPr>
      </w:pPr>
      <w:r w:rsidRPr="006E2063">
        <w:rPr>
          <w:sz w:val="24"/>
          <w:szCs w:val="24"/>
          <w:lang w:val="en-AU"/>
        </w:rPr>
        <w:t>Although no antibodies were observed after treatment with somapacitan, antibodies could be expected as observed with other therapeutic proteins. Testing for presence of anti-somapacitan antibodies should be carried out in patients who fail to respond to therapy.</w:t>
      </w:r>
    </w:p>
    <w:p w14:paraId="05A6B9BC" w14:textId="1F19D6AE" w:rsidR="007C5DD9" w:rsidRPr="006E2063" w:rsidRDefault="007C5DD9"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 xml:space="preserve">Acute critical illness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vault_nd_de5d26fd-1e98-4a25-9ddb-277d6cecbfbc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166ECF0E" w14:textId="459229AC" w:rsidR="007C5DD9" w:rsidRPr="006E2063" w:rsidRDefault="007C5DD9" w:rsidP="007C5DD9">
      <w:pPr>
        <w:rPr>
          <w:sz w:val="24"/>
          <w:szCs w:val="24"/>
          <w:lang w:val="en-AU"/>
        </w:rPr>
      </w:pPr>
      <w:r w:rsidRPr="006E2063">
        <w:rPr>
          <w:sz w:val="24"/>
          <w:szCs w:val="24"/>
          <w:lang w:val="en-AU"/>
        </w:rPr>
        <w:t>The effect of growth hormone on recovery was studied in two placebo</w:t>
      </w:r>
      <w:r w:rsidR="005E0C11" w:rsidRPr="006E2063">
        <w:rPr>
          <w:sz w:val="24"/>
          <w:szCs w:val="24"/>
          <w:lang w:val="en-AU"/>
        </w:rPr>
        <w:t>-</w:t>
      </w:r>
      <w:r w:rsidRPr="006E2063">
        <w:rPr>
          <w:sz w:val="24"/>
          <w:szCs w:val="24"/>
          <w:lang w:val="en-AU"/>
        </w:rPr>
        <w:t>controlled trials involving 522 critical</w:t>
      </w:r>
      <w:r w:rsidR="005E0C11" w:rsidRPr="006E2063">
        <w:rPr>
          <w:sz w:val="24"/>
          <w:szCs w:val="24"/>
          <w:lang w:val="en-AU"/>
        </w:rPr>
        <w:t>ly</w:t>
      </w:r>
      <w:r w:rsidRPr="006E2063">
        <w:rPr>
          <w:sz w:val="24"/>
          <w:szCs w:val="24"/>
          <w:lang w:val="en-AU"/>
        </w:rPr>
        <w:t xml:space="preserve"> ill adult patients suffering from complications following open heart surgery, abdominal surgery, multiple accidental </w:t>
      </w:r>
      <w:proofErr w:type="gramStart"/>
      <w:r w:rsidRPr="006E2063">
        <w:rPr>
          <w:sz w:val="24"/>
          <w:szCs w:val="24"/>
          <w:lang w:val="en-AU"/>
        </w:rPr>
        <w:t>trauma</w:t>
      </w:r>
      <w:proofErr w:type="gramEnd"/>
      <w:r w:rsidRPr="006E2063">
        <w:rPr>
          <w:sz w:val="24"/>
          <w:szCs w:val="24"/>
          <w:lang w:val="en-AU"/>
        </w:rPr>
        <w:t xml:space="preserve"> or acute respiratory failure. Mortality was higher in patients treated with 5.3 or 8 mg growth hormone daily compared to patients receiving placebo, 42% vs 19%. Based on this information, these types of patients should not be treated with somapacitan. As there is no information available on the safety of growth hormone substitution therapy in acutely critical</w:t>
      </w:r>
      <w:r w:rsidR="008351F1" w:rsidRPr="006E2063">
        <w:rPr>
          <w:sz w:val="24"/>
          <w:szCs w:val="24"/>
          <w:lang w:val="en-AU"/>
        </w:rPr>
        <w:t>ly</w:t>
      </w:r>
      <w:r w:rsidRPr="006E2063">
        <w:rPr>
          <w:sz w:val="24"/>
          <w:szCs w:val="24"/>
          <w:lang w:val="en-AU"/>
        </w:rPr>
        <w:t xml:space="preserve"> ill patients, the benefits of continued treatment in this situation should be weighed against the potential risks involved. </w:t>
      </w:r>
    </w:p>
    <w:p w14:paraId="7F89BE60" w14:textId="77777777" w:rsidR="007C5DD9" w:rsidRPr="006E2063" w:rsidRDefault="007C5DD9" w:rsidP="007C5DD9">
      <w:pPr>
        <w:rPr>
          <w:sz w:val="24"/>
          <w:szCs w:val="24"/>
          <w:lang w:val="en-AU"/>
        </w:rPr>
      </w:pPr>
      <w:r w:rsidRPr="006E2063">
        <w:rPr>
          <w:sz w:val="24"/>
          <w:szCs w:val="24"/>
          <w:lang w:val="en-AU"/>
        </w:rPr>
        <w:t xml:space="preserve">Growth hormone deficiency in adults is a lifelong disease and needs to be treated accordingly, however, experience in patients older than 60 years and in patients with more than five years of treatment in adult growth hormone deficiency is still limited. </w:t>
      </w:r>
    </w:p>
    <w:p w14:paraId="47084D57" w14:textId="3D4D8476" w:rsidR="005234D4" w:rsidRPr="006E2063" w:rsidRDefault="005234D4"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Use in the elderly</w:t>
      </w:r>
      <w:r w:rsidR="007742CB"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vault_nd_46886775-8d7d-45a2-8626-71b7c06bbac9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72ED321E" w14:textId="0312B545" w:rsidR="00927ED4" w:rsidRPr="006E2063" w:rsidRDefault="006952C3" w:rsidP="006952C3">
      <w:pPr>
        <w:rPr>
          <w:sz w:val="24"/>
          <w:szCs w:val="24"/>
          <w:lang w:val="en-AU"/>
        </w:rPr>
      </w:pPr>
      <w:r w:rsidRPr="006E2063">
        <w:rPr>
          <w:sz w:val="24"/>
          <w:szCs w:val="24"/>
          <w:lang w:val="en-AU"/>
        </w:rPr>
        <w:t>Generally, lower doses of somapacitan may be necessary in older patients. For further information, see section 5.2 Pharmacokinetic properties.</w:t>
      </w:r>
    </w:p>
    <w:p w14:paraId="248BE583" w14:textId="1A713501" w:rsidR="005234D4" w:rsidRPr="006E2063" w:rsidRDefault="005234D4"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Paediatric use</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vault_nd_f236ebfc-23e6-47c0-bc1b-4d6f4aa108d9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3C447EFB" w14:textId="442B07D7" w:rsidR="00515AD3" w:rsidRPr="006E2063" w:rsidRDefault="00515AD3" w:rsidP="00F72035">
      <w:pPr>
        <w:rPr>
          <w:sz w:val="24"/>
          <w:szCs w:val="24"/>
          <w:lang w:val="en-AU"/>
        </w:rPr>
      </w:pPr>
      <w:r w:rsidRPr="006E2063">
        <w:rPr>
          <w:sz w:val="24"/>
          <w:szCs w:val="24"/>
          <w:lang w:val="en-AU"/>
        </w:rPr>
        <w:t>Somapacitan should not be administered to patients below 18 years since safety and efficacy of somapacitan in children and adolescents below 18 years have not yet been established.</w:t>
      </w:r>
      <w:r w:rsidRPr="006E2063">
        <w:rPr>
          <w:sz w:val="24"/>
          <w:szCs w:val="24"/>
          <w:lang w:val="en-AU"/>
        </w:rPr>
        <w:fldChar w:fldCharType="begin"/>
      </w:r>
      <w:r w:rsidRPr="006E2063">
        <w:rPr>
          <w:sz w:val="24"/>
          <w:szCs w:val="24"/>
          <w:lang w:val="en-AU"/>
        </w:rPr>
        <w:instrText xml:space="preserve"> DOCVARIABLE vault_nd_134064ee-dd63-4853-91db-0986021a0d85 \* MERGEFORMAT </w:instrText>
      </w:r>
      <w:r w:rsidRPr="006E2063">
        <w:rPr>
          <w:sz w:val="24"/>
          <w:szCs w:val="24"/>
          <w:lang w:val="en-AU"/>
        </w:rPr>
        <w:fldChar w:fldCharType="separate"/>
      </w:r>
      <w:r w:rsidRPr="006E2063">
        <w:rPr>
          <w:sz w:val="24"/>
          <w:szCs w:val="24"/>
          <w:lang w:val="en-AU"/>
        </w:rPr>
        <w:t xml:space="preserve"> </w:t>
      </w:r>
      <w:r w:rsidRPr="006E2063">
        <w:rPr>
          <w:sz w:val="24"/>
          <w:szCs w:val="24"/>
          <w:lang w:val="en-AU"/>
        </w:rPr>
        <w:fldChar w:fldCharType="end"/>
      </w:r>
    </w:p>
    <w:p w14:paraId="25F0A370" w14:textId="57246D63" w:rsidR="005234D4" w:rsidRPr="006E2063" w:rsidRDefault="005234D4"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Effects on laboratory tests</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vault_nd_b155791a-e87a-40ff-80d3-027215b88de2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1E0591B5" w14:textId="1A99673A" w:rsidR="007742CB" w:rsidRPr="006E2063" w:rsidRDefault="0055694F" w:rsidP="0055694F">
      <w:pPr>
        <w:rPr>
          <w:sz w:val="24"/>
          <w:szCs w:val="24"/>
          <w:lang w:val="en-AU"/>
        </w:rPr>
      </w:pPr>
      <w:r w:rsidRPr="006E2063">
        <w:rPr>
          <w:sz w:val="24"/>
          <w:szCs w:val="24"/>
          <w:lang w:val="en-AU"/>
        </w:rPr>
        <w:t xml:space="preserve">Serum levels of alkaline phosphatase may increase after </w:t>
      </w:r>
      <w:r w:rsidR="00D208B2" w:rsidRPr="006E2063">
        <w:rPr>
          <w:sz w:val="24"/>
          <w:szCs w:val="24"/>
          <w:lang w:val="en-AU"/>
        </w:rPr>
        <w:t xml:space="preserve">somapacitan </w:t>
      </w:r>
      <w:r w:rsidRPr="006E2063">
        <w:rPr>
          <w:sz w:val="24"/>
          <w:szCs w:val="24"/>
          <w:lang w:val="en-AU"/>
        </w:rPr>
        <w:t>therapy.</w:t>
      </w:r>
    </w:p>
    <w:p w14:paraId="1BBAD928" w14:textId="2B85626E" w:rsidR="005234D4" w:rsidRPr="006E2063" w:rsidRDefault="005234D4" w:rsidP="00F80FDA">
      <w:pPr>
        <w:pStyle w:val="Heading3"/>
        <w:numPr>
          <w:ilvl w:val="1"/>
          <w:numId w:val="8"/>
        </w:numPr>
        <w:spacing w:before="240" w:after="240"/>
        <w:ind w:left="0" w:firstLine="0"/>
        <w:rPr>
          <w:rFonts w:ascii="Times New Roman" w:hAnsi="Times New Roman" w:cs="Times New Roman"/>
          <w:b/>
          <w:bCs/>
          <w:color w:val="auto"/>
          <w:lang w:val="en-AU" w:eastAsia="en-US" w:bidi="ar-SA"/>
        </w:rPr>
      </w:pPr>
      <w:bookmarkStart w:id="6" w:name="_Hlk68837303"/>
      <w:r w:rsidRPr="006E2063">
        <w:rPr>
          <w:rFonts w:ascii="Times New Roman" w:hAnsi="Times New Roman" w:cs="Times New Roman"/>
          <w:b/>
          <w:bCs/>
          <w:color w:val="auto"/>
          <w:lang w:val="en-AU" w:eastAsia="en-US" w:bidi="ar-SA"/>
        </w:rPr>
        <w:lastRenderedPageBreak/>
        <w:t>Interactions with other medicines and other forms of interactions</w:t>
      </w:r>
      <w:bookmarkEnd w:id="6"/>
      <w:r w:rsidR="008D3532"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vault_nd_d9707e38-d924-4853-be07-9b30a3e42fdf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0576A74A" w14:textId="1674BD04" w:rsidR="00A240DB" w:rsidRPr="006E2063" w:rsidRDefault="00A240DB"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Cytochrome P450 metabolised drugs</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vault_nd_23ec7eba-d955-4d0f-883f-48420faf2bdc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00CFE2C1" w14:textId="63960F37" w:rsidR="00A240DB" w:rsidRPr="006E2063" w:rsidRDefault="00A240DB" w:rsidP="00A240DB">
      <w:pPr>
        <w:rPr>
          <w:sz w:val="24"/>
          <w:szCs w:val="24"/>
          <w:lang w:val="en-AU"/>
        </w:rPr>
      </w:pPr>
      <w:r w:rsidRPr="006E2063">
        <w:rPr>
          <w:sz w:val="24"/>
          <w:szCs w:val="24"/>
          <w:lang w:val="en-AU"/>
        </w:rPr>
        <w:t>Data from an interaction study performed in growth hormone deficient adults suggests that growth hormone administration may increase the clearance of compounds known to be metabolised by cytochrome P450 isoenzymes. The clearance of compounds metabolised by cytochrome P450 (</w:t>
      </w:r>
      <w:proofErr w:type="gramStart"/>
      <w:r w:rsidRPr="006E2063">
        <w:rPr>
          <w:sz w:val="24"/>
          <w:szCs w:val="24"/>
          <w:lang w:val="en-AU"/>
        </w:rPr>
        <w:t>e.g.</w:t>
      </w:r>
      <w:proofErr w:type="gramEnd"/>
      <w:r w:rsidRPr="006E2063">
        <w:rPr>
          <w:sz w:val="24"/>
          <w:szCs w:val="24"/>
          <w:lang w:val="en-AU"/>
        </w:rPr>
        <w:t xml:space="preserve"> sex steroids, corticosteroids, anticonvulsants and cyclosporine) may be especially increased resulting in lower plasma levels of these compounds. The clinical significance of this is unknown.</w:t>
      </w:r>
    </w:p>
    <w:p w14:paraId="423AC07C" w14:textId="11E37A2A" w:rsidR="00A240DB" w:rsidRPr="006E2063" w:rsidRDefault="00A240DB"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Glucocorticoids</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vault_nd_e5921e5d-6e78-436c-8d26-f215bfc0ffad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3CEBD8D7" w14:textId="24179176" w:rsidR="00A240DB" w:rsidRPr="006E2063" w:rsidRDefault="00A240DB" w:rsidP="00A240DB">
      <w:pPr>
        <w:rPr>
          <w:sz w:val="24"/>
          <w:szCs w:val="24"/>
          <w:lang w:val="en-AU"/>
        </w:rPr>
      </w:pPr>
      <w:r w:rsidRPr="006E2063">
        <w:rPr>
          <w:sz w:val="24"/>
          <w:szCs w:val="24"/>
          <w:lang w:val="en-AU"/>
        </w:rPr>
        <w:t>Growth hormone decreases the conversion of cortisone to cortisol and may unmask previously undiscovered central hypoadrenalism or render low glucocorticoid replacement doses ineffective, see section 4.4</w:t>
      </w:r>
      <w:r w:rsidR="00F97031" w:rsidRPr="006E2063">
        <w:rPr>
          <w:sz w:val="24"/>
          <w:szCs w:val="24"/>
          <w:lang w:val="en-AU"/>
        </w:rPr>
        <w:t xml:space="preserve"> Special warnings and precautions for use</w:t>
      </w:r>
      <w:r w:rsidRPr="006E2063">
        <w:rPr>
          <w:sz w:val="24"/>
          <w:szCs w:val="24"/>
          <w:lang w:val="en-AU"/>
        </w:rPr>
        <w:t>.</w:t>
      </w:r>
    </w:p>
    <w:p w14:paraId="43344332" w14:textId="20E42159" w:rsidR="00A240DB" w:rsidRPr="006E2063" w:rsidRDefault="00A240DB"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 xml:space="preserve">Oral </w:t>
      </w:r>
      <w:r w:rsidR="000B7A10" w:rsidRPr="006E2063">
        <w:rPr>
          <w:rFonts w:ascii="Times New Roman" w:hAnsi="Times New Roman" w:cs="Times New Roman"/>
          <w:color w:val="auto"/>
          <w:lang w:val="en-AU" w:eastAsia="en-US" w:bidi="ar-SA"/>
        </w:rPr>
        <w:t>estrogen</w:t>
      </w:r>
      <w:r w:rsidRPr="006E2063">
        <w:rPr>
          <w:rFonts w:ascii="Times New Roman" w:hAnsi="Times New Roman" w:cs="Times New Roman"/>
          <w:color w:val="auto"/>
          <w:lang w:val="en-AU" w:eastAsia="en-US" w:bidi="ar-SA"/>
        </w:rPr>
        <w:t>s</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vault_nd_9994c82e-faa1-46e9-9ca4-9daee8611b1d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21472168" w14:textId="3028BC07" w:rsidR="00A240DB" w:rsidRPr="006E2063" w:rsidRDefault="00A240DB" w:rsidP="00A240DB">
      <w:pPr>
        <w:rPr>
          <w:sz w:val="24"/>
          <w:szCs w:val="24"/>
          <w:lang w:val="en-AU"/>
        </w:rPr>
      </w:pPr>
      <w:r w:rsidRPr="006E2063">
        <w:rPr>
          <w:sz w:val="24"/>
          <w:szCs w:val="24"/>
          <w:lang w:val="en-AU"/>
        </w:rPr>
        <w:t xml:space="preserve">In women on oral </w:t>
      </w:r>
      <w:r w:rsidR="000B7A10" w:rsidRPr="006E2063">
        <w:rPr>
          <w:sz w:val="24"/>
          <w:szCs w:val="24"/>
          <w:lang w:val="en-AU"/>
        </w:rPr>
        <w:t>estrogen</w:t>
      </w:r>
      <w:r w:rsidRPr="006E2063">
        <w:rPr>
          <w:sz w:val="24"/>
          <w:szCs w:val="24"/>
          <w:lang w:val="en-AU"/>
        </w:rPr>
        <w:t xml:space="preserve"> therapy, a higher dose of somapacitan may be required to achieve the treatment goal, see sections 4.2 </w:t>
      </w:r>
      <w:r w:rsidR="00F97031" w:rsidRPr="006E2063">
        <w:rPr>
          <w:sz w:val="24"/>
          <w:szCs w:val="24"/>
          <w:lang w:val="en-AU"/>
        </w:rPr>
        <w:t xml:space="preserve">Dose and method of administration </w:t>
      </w:r>
      <w:r w:rsidRPr="006E2063">
        <w:rPr>
          <w:sz w:val="24"/>
          <w:szCs w:val="24"/>
          <w:lang w:val="en-AU"/>
        </w:rPr>
        <w:t>and 4.4</w:t>
      </w:r>
      <w:r w:rsidR="00F97031" w:rsidRPr="006E2063">
        <w:rPr>
          <w:sz w:val="24"/>
          <w:szCs w:val="24"/>
          <w:lang w:val="en-AU"/>
        </w:rPr>
        <w:t xml:space="preserve"> Special warnings and precautions for use</w:t>
      </w:r>
      <w:r w:rsidRPr="006E2063">
        <w:rPr>
          <w:sz w:val="24"/>
          <w:szCs w:val="24"/>
          <w:lang w:val="en-AU"/>
        </w:rPr>
        <w:t>.</w:t>
      </w:r>
    </w:p>
    <w:p w14:paraId="6C157060" w14:textId="7930E749" w:rsidR="00A240DB" w:rsidRPr="006E2063" w:rsidRDefault="00A240DB"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Antihyperglycaemic products</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vault_nd_6f0bf925-e773-4dab-969d-b8a70cdb5a97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451FD940" w14:textId="43246C40" w:rsidR="00A240DB" w:rsidRPr="006E2063" w:rsidRDefault="00A240DB" w:rsidP="00A240DB">
      <w:pPr>
        <w:rPr>
          <w:sz w:val="24"/>
          <w:szCs w:val="24"/>
          <w:lang w:val="en-AU"/>
        </w:rPr>
      </w:pPr>
      <w:r w:rsidRPr="006E2063">
        <w:rPr>
          <w:sz w:val="24"/>
          <w:szCs w:val="24"/>
          <w:lang w:val="en-AU"/>
        </w:rPr>
        <w:t xml:space="preserve">Antihyperglycaemic treatment including insulin may require dose adjustment in case of somapacitan co-administration since somapacitan may decrease insulin sensitivity, see sections 4.4 </w:t>
      </w:r>
      <w:r w:rsidR="00F97031" w:rsidRPr="006E2063">
        <w:rPr>
          <w:sz w:val="24"/>
          <w:szCs w:val="24"/>
          <w:lang w:val="en-AU"/>
        </w:rPr>
        <w:t xml:space="preserve">Special warnings and precautions for use </w:t>
      </w:r>
      <w:r w:rsidRPr="006E2063">
        <w:rPr>
          <w:sz w:val="24"/>
          <w:szCs w:val="24"/>
          <w:lang w:val="en-AU"/>
        </w:rPr>
        <w:t>and 4.8</w:t>
      </w:r>
      <w:r w:rsidR="00F97031" w:rsidRPr="006E2063">
        <w:rPr>
          <w:sz w:val="24"/>
          <w:szCs w:val="24"/>
          <w:lang w:val="en-AU"/>
        </w:rPr>
        <w:t xml:space="preserve"> Adverse effects</w:t>
      </w:r>
      <w:r w:rsidRPr="006E2063">
        <w:rPr>
          <w:sz w:val="24"/>
          <w:szCs w:val="24"/>
          <w:lang w:val="en-AU"/>
        </w:rPr>
        <w:t>.</w:t>
      </w:r>
    </w:p>
    <w:p w14:paraId="71DE524D" w14:textId="4F01D611" w:rsidR="00A240DB" w:rsidRPr="006E2063" w:rsidRDefault="00A240DB"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Other</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vault_nd_52feb692-e1d9-44e2-a6f5-bbdde8ce0a65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5199658A" w14:textId="15381CFD" w:rsidR="00D218F4" w:rsidRPr="006E2063" w:rsidRDefault="00A240DB" w:rsidP="00C23569">
      <w:pPr>
        <w:rPr>
          <w:sz w:val="24"/>
          <w:szCs w:val="24"/>
          <w:lang w:val="en-AU"/>
        </w:rPr>
      </w:pPr>
      <w:r w:rsidRPr="006E2063">
        <w:rPr>
          <w:sz w:val="24"/>
          <w:szCs w:val="24"/>
          <w:lang w:val="en-AU"/>
        </w:rPr>
        <w:t xml:space="preserve">The metabolic effects of somapacitan can also be influenced by concomitant therapy with other hormones, </w:t>
      </w:r>
      <w:proofErr w:type="gramStart"/>
      <w:r w:rsidRPr="006E2063">
        <w:rPr>
          <w:sz w:val="24"/>
          <w:szCs w:val="24"/>
          <w:lang w:val="en-AU"/>
        </w:rPr>
        <w:t>e.g.</w:t>
      </w:r>
      <w:proofErr w:type="gramEnd"/>
      <w:r w:rsidRPr="006E2063">
        <w:rPr>
          <w:sz w:val="24"/>
          <w:szCs w:val="24"/>
          <w:lang w:val="en-AU"/>
        </w:rPr>
        <w:t xml:space="preserve"> testosterone and thyroid hormones, see section 4.4</w:t>
      </w:r>
      <w:r w:rsidR="00F97031" w:rsidRPr="006E2063">
        <w:rPr>
          <w:sz w:val="24"/>
          <w:szCs w:val="24"/>
          <w:lang w:val="en-AU"/>
        </w:rPr>
        <w:t xml:space="preserve"> Special warnings and precautions for use</w:t>
      </w:r>
      <w:r w:rsidRPr="006E2063">
        <w:rPr>
          <w:sz w:val="24"/>
          <w:szCs w:val="24"/>
          <w:lang w:val="en-AU"/>
        </w:rPr>
        <w:t>.</w:t>
      </w:r>
    </w:p>
    <w:p w14:paraId="6A29825C" w14:textId="371DEC47" w:rsidR="005234D4" w:rsidRPr="006E2063" w:rsidRDefault="005234D4" w:rsidP="00F80FDA">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 xml:space="preserve">Fertility, </w:t>
      </w:r>
      <w:proofErr w:type="gramStart"/>
      <w:r w:rsidRPr="006E2063">
        <w:rPr>
          <w:rFonts w:ascii="Times New Roman" w:hAnsi="Times New Roman" w:cs="Times New Roman"/>
          <w:b/>
          <w:bCs/>
          <w:color w:val="auto"/>
          <w:lang w:val="en-AU" w:eastAsia="en-US" w:bidi="ar-SA"/>
        </w:rPr>
        <w:t>pregnancy</w:t>
      </w:r>
      <w:proofErr w:type="gramEnd"/>
      <w:r w:rsidRPr="006E2063">
        <w:rPr>
          <w:rFonts w:ascii="Times New Roman" w:hAnsi="Times New Roman" w:cs="Times New Roman"/>
          <w:b/>
          <w:bCs/>
          <w:color w:val="auto"/>
          <w:lang w:val="en-AU" w:eastAsia="en-US" w:bidi="ar-SA"/>
        </w:rPr>
        <w:t xml:space="preserve"> and lactation </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vault_nd_b10f6080-5437-40d3-ba7f-880d6b6914e7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557AF16A" w14:textId="11FE433A" w:rsidR="005234D4" w:rsidRPr="006E2063" w:rsidRDefault="005234D4"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b w:val="0"/>
          <w:bCs w:val="0"/>
          <w:color w:val="auto"/>
          <w:lang w:val="en-AU" w:eastAsia="en-US" w:bidi="ar-SA"/>
        </w:rPr>
        <w:t>Effects on fertility</w:t>
      </w:r>
      <w:r w:rsidR="00555A09"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b w:val="0"/>
          <w:bCs w:val="0"/>
          <w:color w:val="auto"/>
          <w:lang w:val="en-AU" w:eastAsia="en-US" w:bidi="ar-SA"/>
        </w:rPr>
        <w:instrText xml:space="preserve"> DOCVARIABLE vault_nd_9679a610-cfbd-44a7-b8b0-861c22ac29fe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5FBE9D5F" w14:textId="665E65EF" w:rsidR="00AA5592" w:rsidRPr="006E2063" w:rsidRDefault="00AA5592" w:rsidP="00AA5592">
      <w:pPr>
        <w:rPr>
          <w:sz w:val="24"/>
          <w:szCs w:val="24"/>
          <w:lang w:val="en-AU"/>
        </w:rPr>
      </w:pPr>
      <w:r w:rsidRPr="006E2063">
        <w:rPr>
          <w:sz w:val="24"/>
          <w:szCs w:val="24"/>
          <w:lang w:val="en-AU"/>
        </w:rPr>
        <w:t>There is no clinical experience with somapacitan use and its potential effect on fertility</w:t>
      </w:r>
      <w:r w:rsidR="000D48D5">
        <w:rPr>
          <w:sz w:val="24"/>
          <w:szCs w:val="24"/>
          <w:lang w:val="en-AU"/>
        </w:rPr>
        <w:t xml:space="preserve"> is therefore unknown</w:t>
      </w:r>
      <w:r w:rsidRPr="006E2063">
        <w:rPr>
          <w:sz w:val="24"/>
          <w:szCs w:val="24"/>
          <w:lang w:val="en-AU"/>
        </w:rPr>
        <w:t xml:space="preserve">. </w:t>
      </w:r>
    </w:p>
    <w:p w14:paraId="167D169F" w14:textId="41FD5090" w:rsidR="00AA5592" w:rsidRPr="006E2063" w:rsidRDefault="00283A67" w:rsidP="000D48D5">
      <w:pPr>
        <w:rPr>
          <w:sz w:val="24"/>
          <w:szCs w:val="24"/>
          <w:lang w:val="en-AU"/>
        </w:rPr>
      </w:pPr>
      <w:r w:rsidRPr="006E2063">
        <w:rPr>
          <w:sz w:val="24"/>
          <w:szCs w:val="24"/>
          <w:lang w:val="en-AU"/>
        </w:rPr>
        <w:t xml:space="preserve">No adverse effects were observed on male and female fertility in rats at a </w:t>
      </w:r>
      <w:r w:rsidR="00FA28B0" w:rsidRPr="006E2063">
        <w:rPr>
          <w:sz w:val="24"/>
          <w:szCs w:val="24"/>
          <w:lang w:val="en-AU"/>
        </w:rPr>
        <w:t xml:space="preserve">subcutaneous </w:t>
      </w:r>
      <w:r w:rsidRPr="006E2063">
        <w:rPr>
          <w:sz w:val="24"/>
          <w:szCs w:val="24"/>
          <w:lang w:val="en-AU"/>
        </w:rPr>
        <w:t>dose</w:t>
      </w:r>
      <w:r w:rsidR="000D48D5">
        <w:rPr>
          <w:sz w:val="24"/>
          <w:szCs w:val="24"/>
          <w:lang w:val="en-AU"/>
        </w:rPr>
        <w:t xml:space="preserve"> of 4 mg/week,</w:t>
      </w:r>
      <w:r w:rsidRPr="006E2063">
        <w:rPr>
          <w:sz w:val="24"/>
          <w:szCs w:val="24"/>
          <w:lang w:val="en-AU"/>
        </w:rPr>
        <w:t xml:space="preserve"> resulting in exposure </w:t>
      </w:r>
      <w:r w:rsidR="000D48D5">
        <w:rPr>
          <w:sz w:val="24"/>
          <w:szCs w:val="24"/>
          <w:lang w:val="en-AU"/>
        </w:rPr>
        <w:t>around 30</w:t>
      </w:r>
      <w:r w:rsidR="00E863A4" w:rsidRPr="006E2063">
        <w:rPr>
          <w:sz w:val="24"/>
          <w:szCs w:val="24"/>
          <w:lang w:val="en-AU"/>
        </w:rPr>
        <w:t xml:space="preserve"> </w:t>
      </w:r>
      <w:r w:rsidRPr="006E2063">
        <w:rPr>
          <w:sz w:val="24"/>
          <w:szCs w:val="24"/>
          <w:lang w:val="en-AU"/>
        </w:rPr>
        <w:t>times greater than the expected maximum clinical exposure at 8 mg/week. However, irregular female oestrus cycle was seen at all doses treated</w:t>
      </w:r>
      <w:r w:rsidR="000D48D5">
        <w:rPr>
          <w:sz w:val="24"/>
          <w:szCs w:val="24"/>
          <w:lang w:val="en-AU"/>
        </w:rPr>
        <w:t xml:space="preserve"> </w:t>
      </w:r>
      <w:r w:rsidR="000D48D5" w:rsidRPr="000D48D5">
        <w:rPr>
          <w:sz w:val="24"/>
          <w:szCs w:val="24"/>
          <w:lang w:val="en-AU"/>
        </w:rPr>
        <w:t xml:space="preserve">starting at 1 mg/twice weekly (~3-4-fold the expected exposure at the maximum clinical dose of 8 mg/week). Somapacitan (at exposures </w:t>
      </w:r>
      <w:r w:rsidR="00D6315C">
        <w:rPr>
          <w:sz w:val="24"/>
          <w:szCs w:val="24"/>
          <w:lang w:val="en-AU"/>
        </w:rPr>
        <w:t>30</w:t>
      </w:r>
      <w:r w:rsidR="000D48D5" w:rsidRPr="000D48D5">
        <w:rPr>
          <w:sz w:val="24"/>
          <w:szCs w:val="24"/>
          <w:lang w:val="en-AU"/>
        </w:rPr>
        <w:t xml:space="preserve"> times the MRHD based on AUC), had no effect on mating performance, fertility, litter size mean numbers of implantations, </w:t>
      </w:r>
      <w:proofErr w:type="gramStart"/>
      <w:r w:rsidR="000D48D5" w:rsidRPr="000D48D5">
        <w:rPr>
          <w:sz w:val="24"/>
          <w:szCs w:val="24"/>
          <w:lang w:val="en-AU"/>
        </w:rPr>
        <w:t>resorptions</w:t>
      </w:r>
      <w:proofErr w:type="gramEnd"/>
      <w:r w:rsidR="000D48D5" w:rsidRPr="000D48D5">
        <w:rPr>
          <w:sz w:val="24"/>
          <w:szCs w:val="24"/>
          <w:lang w:val="en-AU"/>
        </w:rPr>
        <w:t xml:space="preserve"> and live embryos in rats</w:t>
      </w:r>
      <w:r w:rsidRPr="006E2063">
        <w:rPr>
          <w:sz w:val="24"/>
          <w:szCs w:val="24"/>
          <w:lang w:val="en-AU"/>
        </w:rPr>
        <w:t>.</w:t>
      </w:r>
    </w:p>
    <w:p w14:paraId="688C6239" w14:textId="6265BCF8" w:rsidR="005234D4" w:rsidRPr="006E2063" w:rsidRDefault="005234D4"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b w:val="0"/>
          <w:bCs w:val="0"/>
          <w:color w:val="auto"/>
          <w:lang w:val="en-AU" w:eastAsia="en-US" w:bidi="ar-SA"/>
        </w:rPr>
        <w:lastRenderedPageBreak/>
        <w:t>Use in pregnancy – Pregnancy Category B1</w:t>
      </w:r>
      <w:r w:rsidR="00FC1742"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b w:val="0"/>
          <w:bCs w:val="0"/>
          <w:color w:val="auto"/>
          <w:lang w:val="en-AU" w:eastAsia="en-US" w:bidi="ar-SA"/>
        </w:rPr>
        <w:instrText xml:space="preserve"> DOCVARIABLE vault_nd_8ab1c4b8-59a9-4829-a506-1a4716a400fb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1C522A2A" w14:textId="77777777" w:rsidR="006B12C8" w:rsidRPr="006E2063" w:rsidRDefault="006B12C8" w:rsidP="006B12C8">
      <w:pPr>
        <w:rPr>
          <w:sz w:val="24"/>
          <w:szCs w:val="24"/>
          <w:lang w:val="en-AU" w:eastAsia="en-US" w:bidi="ar-SA"/>
        </w:rPr>
      </w:pPr>
      <w:r w:rsidRPr="006E2063">
        <w:rPr>
          <w:sz w:val="24"/>
          <w:szCs w:val="24"/>
          <w:lang w:val="en-AU" w:eastAsia="en-US" w:bidi="ar-SA"/>
        </w:rPr>
        <w:t xml:space="preserve">There are no data from the use of somapacitan in pregnant women. </w:t>
      </w:r>
    </w:p>
    <w:p w14:paraId="3E0C9244" w14:textId="5510463D" w:rsidR="0022372E" w:rsidRPr="006E2063" w:rsidRDefault="0022372E" w:rsidP="0022372E">
      <w:pPr>
        <w:rPr>
          <w:sz w:val="24"/>
          <w:szCs w:val="24"/>
          <w:lang w:val="en-AU" w:eastAsia="en-US" w:bidi="ar-SA"/>
        </w:rPr>
      </w:pPr>
      <w:r w:rsidRPr="006E2063">
        <w:rPr>
          <w:sz w:val="24"/>
          <w:szCs w:val="24"/>
          <w:lang w:val="en-AU" w:eastAsia="en-US" w:bidi="ar-SA"/>
        </w:rPr>
        <w:t>No evidence of fetal harm was identified when pregnant rats and rabbits were administered subcutaneous somapacitan during organogenesis at doses leading to exposures well above expected exposure at the maximum clinical dose of 8 mg/week (at least 18</w:t>
      </w:r>
      <w:r w:rsidRPr="006E2063">
        <w:rPr>
          <w:sz w:val="24"/>
          <w:szCs w:val="24"/>
          <w:lang w:val="en-AU" w:eastAsia="en-US" w:bidi="ar-SA"/>
        </w:rPr>
        <w:noBreakHyphen/>
        <w:t xml:space="preserve">fold). At high doses leading to exposure at least </w:t>
      </w:r>
      <w:r w:rsidR="00E863A4" w:rsidRPr="006E2063">
        <w:rPr>
          <w:sz w:val="24"/>
          <w:szCs w:val="24"/>
          <w:lang w:val="en-AU" w:eastAsia="en-US" w:bidi="ar-SA"/>
        </w:rPr>
        <w:t>250</w:t>
      </w:r>
      <w:r w:rsidRPr="006E2063">
        <w:rPr>
          <w:sz w:val="24"/>
          <w:szCs w:val="24"/>
          <w:lang w:val="en-AU" w:eastAsia="en-US" w:bidi="ar-SA"/>
        </w:rPr>
        <w:t xml:space="preserve">-fold above the expected maximum clinical exposure at 8 mg/week, short/bent/thickened long bones were found in pups from female rats receiving somapacitan. Such findings in rats are known to resolve after birth and should be regarded as minor malformations, not permanent abnormalities. </w:t>
      </w:r>
    </w:p>
    <w:p w14:paraId="17285BB6" w14:textId="6C636747" w:rsidR="006B12C8" w:rsidRPr="006E2063" w:rsidRDefault="0022372E" w:rsidP="0022372E">
      <w:pPr>
        <w:rPr>
          <w:sz w:val="24"/>
          <w:szCs w:val="24"/>
          <w:lang w:val="en-AU" w:eastAsia="en-US" w:bidi="ar-SA"/>
        </w:rPr>
      </w:pPr>
      <w:r w:rsidRPr="006E2063">
        <w:rPr>
          <w:sz w:val="24"/>
          <w:szCs w:val="24"/>
          <w:lang w:val="en-AU" w:eastAsia="en-US" w:bidi="ar-SA"/>
        </w:rPr>
        <w:t xml:space="preserve">Fetal growth was reduced when pregnant rabbits were dosed with somapacitan subcutaneously at exposures at least </w:t>
      </w:r>
      <w:r w:rsidR="00E863A4" w:rsidRPr="006E2063">
        <w:rPr>
          <w:sz w:val="24"/>
          <w:szCs w:val="24"/>
          <w:lang w:val="en-AU" w:eastAsia="en-US" w:bidi="ar-SA"/>
        </w:rPr>
        <w:t>130</w:t>
      </w:r>
      <w:r w:rsidRPr="006E2063">
        <w:rPr>
          <w:sz w:val="24"/>
          <w:szCs w:val="24"/>
          <w:lang w:val="en-AU" w:eastAsia="en-US" w:bidi="ar-SA"/>
        </w:rPr>
        <w:t>-fold above the expected exposure at the maximum clinical dose of 8 mg/week.</w:t>
      </w:r>
    </w:p>
    <w:p w14:paraId="6815C5AD" w14:textId="02530F6A" w:rsidR="0084156F" w:rsidRPr="006E2063" w:rsidRDefault="006B12C8" w:rsidP="006B12C8">
      <w:pPr>
        <w:rPr>
          <w:sz w:val="24"/>
          <w:szCs w:val="24"/>
          <w:lang w:val="en-AU" w:eastAsia="en-US" w:bidi="ar-SA"/>
        </w:rPr>
      </w:pPr>
      <w:r w:rsidRPr="006E2063">
        <w:rPr>
          <w:sz w:val="24"/>
          <w:szCs w:val="24"/>
          <w:lang w:val="en-AU" w:eastAsia="en-US" w:bidi="ar-SA"/>
        </w:rPr>
        <w:t xml:space="preserve">Sogroya is not recommended during pregnancy and in women of childbearing potential not using contraception. </w:t>
      </w:r>
    </w:p>
    <w:p w14:paraId="6CA10211" w14:textId="0BD905B9" w:rsidR="005234D4" w:rsidRPr="006E2063" w:rsidRDefault="005234D4"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b w:val="0"/>
          <w:bCs w:val="0"/>
          <w:color w:val="auto"/>
          <w:lang w:val="en-AU" w:eastAsia="en-US" w:bidi="ar-SA"/>
        </w:rPr>
        <w:t>Use in lactation</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b w:val="0"/>
          <w:bCs w:val="0"/>
          <w:color w:val="auto"/>
          <w:lang w:val="en-AU" w:eastAsia="en-US" w:bidi="ar-SA"/>
        </w:rPr>
        <w:instrText xml:space="preserve"> DOCVARIABLE vault_nd_33e70c6c-5ba7-4b4b-9760-ed3ecbf5188a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2DABEC37" w14:textId="77777777" w:rsidR="006A39BD" w:rsidRPr="006E2063" w:rsidRDefault="006A39BD" w:rsidP="006A39BD">
      <w:pPr>
        <w:rPr>
          <w:iCs/>
          <w:sz w:val="24"/>
          <w:szCs w:val="24"/>
          <w:lang w:val="en-AU" w:eastAsia="en-US" w:bidi="ar-SA"/>
        </w:rPr>
      </w:pPr>
      <w:r w:rsidRPr="006E2063">
        <w:rPr>
          <w:iCs/>
          <w:sz w:val="24"/>
          <w:szCs w:val="24"/>
          <w:lang w:val="en-AU" w:eastAsia="en-US" w:bidi="ar-SA"/>
        </w:rPr>
        <w:t>It is unknown whether somapacitan/metabolites are excreted in human milk.</w:t>
      </w:r>
    </w:p>
    <w:p w14:paraId="79324914" w14:textId="77777777" w:rsidR="007A425E" w:rsidRPr="006E2063" w:rsidRDefault="007A425E" w:rsidP="007A425E">
      <w:pPr>
        <w:rPr>
          <w:sz w:val="24"/>
          <w:szCs w:val="24"/>
          <w:lang w:val="en-AU" w:eastAsia="en-US" w:bidi="ar-SA"/>
        </w:rPr>
      </w:pPr>
      <w:r w:rsidRPr="006E2063">
        <w:rPr>
          <w:iCs/>
          <w:sz w:val="24"/>
          <w:szCs w:val="24"/>
          <w:lang w:val="en-AU" w:eastAsia="en-US" w:bidi="ar-SA"/>
        </w:rPr>
        <w:t>In lactating rats, somapacitan related material was secreted into milk but to a lower level than observed in plasma (up to 50% of level in plasma).</w:t>
      </w:r>
    </w:p>
    <w:p w14:paraId="6D41D5F2" w14:textId="77777777" w:rsidR="006A39BD" w:rsidRPr="006E2063" w:rsidRDefault="006A39BD" w:rsidP="006A39BD">
      <w:pPr>
        <w:rPr>
          <w:iCs/>
          <w:sz w:val="24"/>
          <w:szCs w:val="24"/>
          <w:lang w:val="en-AU" w:eastAsia="en-US" w:bidi="ar-SA"/>
        </w:rPr>
      </w:pPr>
      <w:r w:rsidRPr="006E2063">
        <w:rPr>
          <w:iCs/>
          <w:sz w:val="24"/>
          <w:szCs w:val="24"/>
          <w:lang w:val="en-AU" w:eastAsia="en-US" w:bidi="ar-SA"/>
        </w:rPr>
        <w:t xml:space="preserve">A risk to the breastfed newborns/infants cannot be excluded. </w:t>
      </w:r>
    </w:p>
    <w:p w14:paraId="3EEB0A46" w14:textId="29AD6E76" w:rsidR="007A425E" w:rsidRPr="006E2063" w:rsidRDefault="006A39BD" w:rsidP="006A39BD">
      <w:pPr>
        <w:rPr>
          <w:iCs/>
          <w:sz w:val="24"/>
          <w:szCs w:val="24"/>
          <w:lang w:val="en-AU" w:eastAsia="en-US" w:bidi="ar-SA"/>
        </w:rPr>
      </w:pPr>
      <w:r w:rsidRPr="006E2063">
        <w:rPr>
          <w:iCs/>
          <w:sz w:val="24"/>
          <w:szCs w:val="24"/>
          <w:lang w:val="en-AU" w:eastAsia="en-US" w:bidi="ar-SA"/>
        </w:rPr>
        <w:t>A decision must be made whether to discontinue breast-feeding or to discontinue/abstain from Sogroya therapy</w:t>
      </w:r>
      <w:r w:rsidR="00C31086" w:rsidRPr="006E2063">
        <w:rPr>
          <w:iCs/>
          <w:sz w:val="24"/>
          <w:szCs w:val="24"/>
          <w:lang w:val="en-AU" w:eastAsia="en-US" w:bidi="ar-SA"/>
        </w:rPr>
        <w:t>,</w:t>
      </w:r>
      <w:r w:rsidRPr="006E2063">
        <w:rPr>
          <w:iCs/>
          <w:sz w:val="24"/>
          <w:szCs w:val="24"/>
          <w:lang w:val="en-AU" w:eastAsia="en-US" w:bidi="ar-SA"/>
        </w:rPr>
        <w:t xml:space="preserve"> </w:t>
      </w:r>
      <w:proofErr w:type="gramStart"/>
      <w:r w:rsidRPr="006E2063">
        <w:rPr>
          <w:iCs/>
          <w:sz w:val="24"/>
          <w:szCs w:val="24"/>
          <w:lang w:val="en-AU" w:eastAsia="en-US" w:bidi="ar-SA"/>
        </w:rPr>
        <w:t>taking into account</w:t>
      </w:r>
      <w:proofErr w:type="gramEnd"/>
      <w:r w:rsidRPr="006E2063">
        <w:rPr>
          <w:iCs/>
          <w:sz w:val="24"/>
          <w:szCs w:val="24"/>
          <w:lang w:val="en-AU" w:eastAsia="en-US" w:bidi="ar-SA"/>
        </w:rPr>
        <w:t xml:space="preserve"> the benefit of breast-feeding for the child and the benefit of therapy for the woman.</w:t>
      </w:r>
    </w:p>
    <w:p w14:paraId="77D92C73" w14:textId="7E528523" w:rsidR="005234D4" w:rsidRPr="006E2063" w:rsidRDefault="005234D4" w:rsidP="00F80FDA">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Effects on ability to drive and use machines</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vault_nd_7b844a12-2c46-4ac3-b44c-a8c01ee69bf4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618B35BB" w14:textId="3C35B59E" w:rsidR="005234D4" w:rsidRPr="006E2063" w:rsidRDefault="005E600B" w:rsidP="005234D4">
      <w:pPr>
        <w:rPr>
          <w:sz w:val="24"/>
          <w:szCs w:val="24"/>
          <w:lang w:val="en-AU"/>
        </w:rPr>
      </w:pPr>
      <w:r w:rsidRPr="006E2063">
        <w:rPr>
          <w:sz w:val="24"/>
          <w:szCs w:val="24"/>
          <w:lang w:val="en-AU"/>
        </w:rPr>
        <w:t>Sogroya has no or negligible influence on the ability to drive and use machines.</w:t>
      </w:r>
    </w:p>
    <w:p w14:paraId="34992DD0" w14:textId="1FBD3930" w:rsidR="005234D4" w:rsidRPr="006E2063" w:rsidRDefault="005234D4" w:rsidP="00F80FDA">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Adverse effects (Undesirable effects)</w:t>
      </w:r>
      <w:r w:rsidR="009527D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vault_nd_f50c99c6-2ba6-49c1-8cdf-e10f336ffc3a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3D39617D" w14:textId="5546F26F" w:rsidR="005412C1" w:rsidRPr="006E2063" w:rsidRDefault="005412C1" w:rsidP="00116421">
      <w:pPr>
        <w:pStyle w:val="Heading4"/>
        <w:rPr>
          <w:rFonts w:ascii="Times New Roman" w:hAnsi="Times New Roman" w:cs="Times New Roman"/>
          <w:color w:val="auto"/>
          <w:lang w:val="en-AU" w:eastAsia="en-US" w:bidi="ar-SA"/>
        </w:rPr>
      </w:pPr>
      <w:r w:rsidRPr="006E2063">
        <w:rPr>
          <w:rFonts w:ascii="Times New Roman" w:hAnsi="Times New Roman" w:cs="Times New Roman"/>
          <w:color w:val="auto"/>
          <w:lang w:val="en-AU" w:eastAsia="en-US" w:bidi="ar-SA"/>
        </w:rPr>
        <w:t>Summary of safety profile</w:t>
      </w:r>
      <w:r w:rsidR="00C57A87" w:rsidRPr="006E2063">
        <w:rPr>
          <w:rFonts w:ascii="Times New Roman" w:hAnsi="Times New Roman" w:cs="Times New Roman"/>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vault_nd_401fa30d-8eef-47b8-ae7e-cd89ea9188aa \* MERGEFORMAT </w:instrText>
      </w:r>
      <w:r w:rsidR="00C57A87" w:rsidRPr="006E2063">
        <w:rPr>
          <w:rFonts w:ascii="Times New Roman" w:hAnsi="Times New Roman" w:cs="Times New Roman"/>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color w:val="auto"/>
          <w:lang w:val="en-AU" w:eastAsia="en-US" w:bidi="ar-SA"/>
        </w:rPr>
        <w:fldChar w:fldCharType="end"/>
      </w:r>
    </w:p>
    <w:p w14:paraId="3E224870" w14:textId="285BB512" w:rsidR="0096786C" w:rsidRPr="006E2063" w:rsidRDefault="0096786C" w:rsidP="0096786C">
      <w:pPr>
        <w:rPr>
          <w:iCs/>
          <w:sz w:val="24"/>
          <w:szCs w:val="24"/>
          <w:lang w:val="en-AU" w:eastAsia="en-US" w:bidi="ar-SA"/>
        </w:rPr>
      </w:pPr>
      <w:bookmarkStart w:id="7" w:name="_Hlk34989297"/>
      <w:r w:rsidRPr="006E2063">
        <w:rPr>
          <w:iCs/>
          <w:sz w:val="24"/>
          <w:szCs w:val="24"/>
          <w:lang w:val="en-AU" w:eastAsia="en-US" w:bidi="ar-SA"/>
        </w:rPr>
        <w:t xml:space="preserve">The </w:t>
      </w:r>
      <w:r w:rsidR="00AF0AED" w:rsidRPr="006E2063">
        <w:rPr>
          <w:iCs/>
          <w:sz w:val="24"/>
          <w:szCs w:val="24"/>
          <w:lang w:val="en-AU" w:eastAsia="en-US" w:bidi="ar-SA"/>
        </w:rPr>
        <w:t xml:space="preserve">adverse </w:t>
      </w:r>
      <w:r w:rsidR="005B04CA" w:rsidRPr="006E2063">
        <w:rPr>
          <w:iCs/>
          <w:sz w:val="24"/>
          <w:szCs w:val="24"/>
          <w:lang w:val="en-AU" w:eastAsia="en-US" w:bidi="ar-SA"/>
        </w:rPr>
        <w:t>reactions</w:t>
      </w:r>
      <w:r w:rsidR="00AF0AED" w:rsidRPr="006E2063">
        <w:rPr>
          <w:iCs/>
          <w:sz w:val="24"/>
          <w:szCs w:val="24"/>
          <w:lang w:val="en-AU" w:eastAsia="en-US" w:bidi="ar-SA"/>
        </w:rPr>
        <w:t xml:space="preserve"> and </w:t>
      </w:r>
      <w:r w:rsidR="00A60807" w:rsidRPr="006E2063">
        <w:rPr>
          <w:iCs/>
          <w:sz w:val="24"/>
          <w:szCs w:val="24"/>
          <w:lang w:val="en-AU" w:eastAsia="en-US" w:bidi="ar-SA"/>
        </w:rPr>
        <w:t xml:space="preserve">adverse </w:t>
      </w:r>
      <w:r w:rsidR="005B04CA" w:rsidRPr="006E2063">
        <w:rPr>
          <w:iCs/>
          <w:sz w:val="24"/>
          <w:szCs w:val="24"/>
          <w:lang w:val="en-AU" w:eastAsia="en-US" w:bidi="ar-SA"/>
        </w:rPr>
        <w:t xml:space="preserve">events </w:t>
      </w:r>
      <w:r w:rsidRPr="006E2063">
        <w:rPr>
          <w:iCs/>
          <w:sz w:val="24"/>
          <w:szCs w:val="24"/>
          <w:lang w:val="en-AU" w:eastAsia="en-US" w:bidi="ar-SA"/>
        </w:rPr>
        <w:t xml:space="preserve">listed below are based on the compiled safety data from three completed phase 3 trials in patients with AGHD. </w:t>
      </w:r>
    </w:p>
    <w:p w14:paraId="1C762639" w14:textId="26FF5E73" w:rsidR="00DC5375" w:rsidRPr="006E2063" w:rsidRDefault="008919C4" w:rsidP="00DC5375">
      <w:pPr>
        <w:rPr>
          <w:iCs/>
          <w:sz w:val="24"/>
          <w:szCs w:val="24"/>
          <w:lang w:val="en-AU" w:eastAsia="en-US" w:bidi="ar-SA"/>
        </w:rPr>
      </w:pPr>
      <w:r w:rsidRPr="006E2063">
        <w:rPr>
          <w:iCs/>
          <w:sz w:val="24"/>
          <w:szCs w:val="24"/>
          <w:lang w:val="en-AU" w:eastAsia="en-US" w:bidi="ar-SA"/>
        </w:rPr>
        <w:t xml:space="preserve">In </w:t>
      </w:r>
      <w:r w:rsidR="0096786C" w:rsidRPr="006E2063">
        <w:rPr>
          <w:iCs/>
          <w:sz w:val="24"/>
          <w:szCs w:val="24"/>
          <w:lang w:val="en-AU" w:eastAsia="en-US" w:bidi="ar-SA"/>
        </w:rPr>
        <w:t>the</w:t>
      </w:r>
      <w:r w:rsidRPr="006E2063">
        <w:rPr>
          <w:iCs/>
          <w:sz w:val="24"/>
          <w:szCs w:val="24"/>
          <w:lang w:val="en-AU" w:eastAsia="en-US" w:bidi="ar-SA"/>
        </w:rPr>
        <w:t xml:space="preserve"> phase 3 trials, 333 patients were exposed to Sogroya for a </w:t>
      </w:r>
      <w:r w:rsidR="009C3B17" w:rsidRPr="006E2063">
        <w:rPr>
          <w:iCs/>
          <w:sz w:val="24"/>
          <w:szCs w:val="24"/>
          <w:lang w:val="en-AU" w:eastAsia="en-US" w:bidi="ar-SA"/>
        </w:rPr>
        <w:t xml:space="preserve">total of </w:t>
      </w:r>
      <w:r w:rsidR="00DC5375" w:rsidRPr="006E2063">
        <w:rPr>
          <w:iCs/>
          <w:sz w:val="24"/>
          <w:szCs w:val="24"/>
          <w:lang w:val="en-AU" w:eastAsia="en-US" w:bidi="ar-SA"/>
        </w:rPr>
        <w:t xml:space="preserve">377.8 patient years. </w:t>
      </w:r>
    </w:p>
    <w:p w14:paraId="73BF2E43" w14:textId="613E2EF5" w:rsidR="005412C1" w:rsidRPr="006E2063" w:rsidRDefault="00DC5375" w:rsidP="00DC5375">
      <w:pPr>
        <w:rPr>
          <w:iCs/>
          <w:sz w:val="24"/>
          <w:szCs w:val="24"/>
          <w:lang w:val="en-AU" w:eastAsia="en-US" w:bidi="ar-SA"/>
        </w:rPr>
      </w:pPr>
      <w:r w:rsidRPr="006E2063">
        <w:rPr>
          <w:iCs/>
          <w:sz w:val="24"/>
          <w:szCs w:val="24"/>
          <w:lang w:val="en-AU" w:eastAsia="en-US" w:bidi="ar-SA"/>
        </w:rPr>
        <w:t>C</w:t>
      </w:r>
      <w:r w:rsidR="005412C1" w:rsidRPr="006E2063">
        <w:rPr>
          <w:iCs/>
          <w:sz w:val="24"/>
          <w:szCs w:val="24"/>
          <w:lang w:val="en-AU" w:eastAsia="en-US" w:bidi="ar-SA"/>
        </w:rPr>
        <w:t xml:space="preserve">ommonly reported adverse reactions after treatment with somapacitan </w:t>
      </w:r>
      <w:r w:rsidRPr="006E2063">
        <w:rPr>
          <w:iCs/>
          <w:sz w:val="24"/>
          <w:szCs w:val="24"/>
          <w:lang w:val="en-AU" w:eastAsia="en-US" w:bidi="ar-SA"/>
        </w:rPr>
        <w:t>were</w:t>
      </w:r>
      <w:r w:rsidR="005412C1" w:rsidRPr="006E2063">
        <w:rPr>
          <w:iCs/>
          <w:sz w:val="24"/>
          <w:szCs w:val="24"/>
          <w:lang w:val="en-AU" w:eastAsia="en-US" w:bidi="ar-SA"/>
        </w:rPr>
        <w:t xml:space="preserve"> headache (12%), peripheral oedema (4%) and adrenocortical insufficiency (3%).</w:t>
      </w:r>
    </w:p>
    <w:bookmarkEnd w:id="7"/>
    <w:p w14:paraId="05E3546B" w14:textId="3947BC02" w:rsidR="00417D96" w:rsidRPr="006E2063" w:rsidRDefault="00417D96"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lastRenderedPageBreak/>
        <w:t>Tabulated list of adverse reactions</w:t>
      </w:r>
      <w:r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b w:val="0"/>
          <w:bCs w:val="0"/>
          <w:color w:val="auto"/>
          <w:lang w:val="en-AU" w:eastAsia="en-US" w:bidi="ar-SA"/>
        </w:rPr>
        <w:instrText xml:space="preserve"> DOCVARIABLE vault_nd_5c0cb255-a2af-4eb9-9f45-f679dd9cb628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35D535A9" w14:textId="72D0874A" w:rsidR="005B04CA" w:rsidRPr="006E2063" w:rsidRDefault="005B04CA" w:rsidP="009861FB">
      <w:pPr>
        <w:rPr>
          <w:bCs/>
          <w:sz w:val="24"/>
          <w:szCs w:val="24"/>
          <w:lang w:val="en-AU" w:eastAsia="en-US" w:bidi="ar-SA"/>
        </w:rPr>
      </w:pPr>
      <w:r w:rsidRPr="006E2063">
        <w:rPr>
          <w:rFonts w:cstheme="minorHAnsi"/>
          <w:bCs/>
          <w:sz w:val="24"/>
          <w:szCs w:val="24"/>
          <w:lang w:val="en-AU" w:eastAsia="en-US" w:bidi="ar-SA"/>
        </w:rPr>
        <w:t>The adverse reactions below are presented by MedDRA system organ class and frequency category defined as: Very common (≥1/10); common (≥1/100 to &lt;1/10); uncommon (≥1/1,000 to &lt;1/100); rare (≥1/10,000 to &lt;1/1,000); very rare (&lt;1/10,000).</w:t>
      </w:r>
    </w:p>
    <w:p w14:paraId="39C49258" w14:textId="45570C2A" w:rsidR="009861FB" w:rsidRPr="006E2063" w:rsidRDefault="009861FB" w:rsidP="00C93249">
      <w:pPr>
        <w:rPr>
          <w:b/>
          <w:bCs/>
          <w:lang w:val="en-AU" w:eastAsia="en-US" w:bidi="ar-SA"/>
        </w:rPr>
      </w:pPr>
      <w:r w:rsidRPr="006E2063">
        <w:rPr>
          <w:b/>
          <w:bCs/>
          <w:lang w:val="en-AU" w:eastAsia="en-US" w:bidi="ar-SA"/>
        </w:rPr>
        <w:t xml:space="preserve">Table </w:t>
      </w:r>
      <w:r w:rsidR="00C93249" w:rsidRPr="006E2063">
        <w:rPr>
          <w:b/>
          <w:bCs/>
          <w:lang w:val="en-AU" w:eastAsia="en-US" w:bidi="ar-SA"/>
        </w:rPr>
        <w:fldChar w:fldCharType="begin"/>
      </w:r>
      <w:r w:rsidR="00C93249" w:rsidRPr="006E2063">
        <w:rPr>
          <w:b/>
          <w:bCs/>
          <w:lang w:val="en-AU" w:eastAsia="en-US" w:bidi="ar-SA"/>
        </w:rPr>
        <w:instrText xml:space="preserve"> SEQ Table \* ARABIC \s 1 </w:instrText>
      </w:r>
      <w:r w:rsidR="00C93249" w:rsidRPr="006E2063">
        <w:rPr>
          <w:b/>
          <w:bCs/>
          <w:lang w:val="en-AU" w:eastAsia="en-US" w:bidi="ar-SA"/>
        </w:rPr>
        <w:fldChar w:fldCharType="separate"/>
      </w:r>
      <w:r w:rsidR="00C93249" w:rsidRPr="006E2063">
        <w:rPr>
          <w:b/>
          <w:bCs/>
          <w:lang w:val="en-AU" w:eastAsia="en-US" w:bidi="ar-SA"/>
        </w:rPr>
        <w:t>2</w:t>
      </w:r>
      <w:r w:rsidR="00C93249" w:rsidRPr="006E2063">
        <w:rPr>
          <w:b/>
          <w:bCs/>
          <w:lang w:val="en-AU" w:eastAsia="en-US" w:bidi="ar-SA"/>
        </w:rPr>
        <w:fldChar w:fldCharType="end"/>
      </w:r>
      <w:r w:rsidRPr="006E2063">
        <w:rPr>
          <w:b/>
          <w:bCs/>
          <w:lang w:val="en-AU" w:eastAsia="en-US" w:bidi="ar-SA"/>
        </w:rPr>
        <w:t>: Adverse reactions from phase 3 clinical trials</w:t>
      </w:r>
    </w:p>
    <w:tbl>
      <w:tblPr>
        <w:tblStyle w:val="TableGrid"/>
        <w:tblW w:w="8974" w:type="dxa"/>
        <w:tblLook w:val="04A0" w:firstRow="1" w:lastRow="0" w:firstColumn="1" w:lastColumn="0" w:noHBand="0" w:noVBand="1"/>
      </w:tblPr>
      <w:tblGrid>
        <w:gridCol w:w="2972"/>
        <w:gridCol w:w="1830"/>
        <w:gridCol w:w="2329"/>
        <w:gridCol w:w="1843"/>
      </w:tblGrid>
      <w:tr w:rsidR="009861FB" w:rsidRPr="006E2063" w14:paraId="7401875D" w14:textId="77777777" w:rsidTr="00111287">
        <w:trPr>
          <w:cantSplit/>
          <w:trHeight w:val="362"/>
          <w:tblHeader/>
        </w:trPr>
        <w:tc>
          <w:tcPr>
            <w:tcW w:w="2972" w:type="dxa"/>
          </w:tcPr>
          <w:p w14:paraId="452F1FB9" w14:textId="77777777" w:rsidR="009861FB" w:rsidRPr="006E2063" w:rsidRDefault="009861FB" w:rsidP="00417D96">
            <w:pPr>
              <w:spacing w:after="40"/>
              <w:rPr>
                <w:b/>
                <w:sz w:val="20"/>
                <w:szCs w:val="20"/>
                <w:lang w:val="en-AU" w:eastAsia="en-US" w:bidi="ar-SA"/>
              </w:rPr>
            </w:pPr>
            <w:r w:rsidRPr="006E2063">
              <w:rPr>
                <w:b/>
                <w:sz w:val="20"/>
                <w:szCs w:val="20"/>
                <w:lang w:val="en-AU" w:eastAsia="en-US" w:bidi="ar-SA"/>
              </w:rPr>
              <w:t>MedDRA system organ class</w:t>
            </w:r>
          </w:p>
        </w:tc>
        <w:tc>
          <w:tcPr>
            <w:tcW w:w="1830" w:type="dxa"/>
          </w:tcPr>
          <w:p w14:paraId="3BE0C94F" w14:textId="77777777" w:rsidR="009861FB" w:rsidRPr="006E2063" w:rsidRDefault="009861FB" w:rsidP="00417D96">
            <w:pPr>
              <w:spacing w:after="40"/>
              <w:rPr>
                <w:b/>
                <w:sz w:val="20"/>
                <w:szCs w:val="20"/>
                <w:lang w:val="en-AU" w:eastAsia="en-US" w:bidi="ar-SA"/>
              </w:rPr>
            </w:pPr>
            <w:r w:rsidRPr="006E2063">
              <w:rPr>
                <w:b/>
                <w:sz w:val="20"/>
                <w:szCs w:val="20"/>
                <w:lang w:val="en-AU" w:eastAsia="en-US" w:bidi="ar-SA"/>
              </w:rPr>
              <w:t>Very common</w:t>
            </w:r>
          </w:p>
        </w:tc>
        <w:tc>
          <w:tcPr>
            <w:tcW w:w="2329" w:type="dxa"/>
          </w:tcPr>
          <w:p w14:paraId="3997B204" w14:textId="77777777" w:rsidR="009861FB" w:rsidRPr="006E2063" w:rsidRDefault="009861FB" w:rsidP="00417D96">
            <w:pPr>
              <w:spacing w:after="40"/>
              <w:rPr>
                <w:b/>
                <w:sz w:val="20"/>
                <w:szCs w:val="20"/>
                <w:lang w:val="en-AU" w:eastAsia="en-US" w:bidi="ar-SA"/>
              </w:rPr>
            </w:pPr>
            <w:r w:rsidRPr="006E2063">
              <w:rPr>
                <w:b/>
                <w:sz w:val="20"/>
                <w:szCs w:val="20"/>
                <w:lang w:val="en-AU" w:eastAsia="en-US" w:bidi="ar-SA"/>
              </w:rPr>
              <w:t>Common</w:t>
            </w:r>
          </w:p>
        </w:tc>
        <w:tc>
          <w:tcPr>
            <w:tcW w:w="1843" w:type="dxa"/>
          </w:tcPr>
          <w:p w14:paraId="0B9526E3" w14:textId="77777777" w:rsidR="009861FB" w:rsidRPr="006E2063" w:rsidRDefault="009861FB" w:rsidP="00417D96">
            <w:pPr>
              <w:spacing w:after="40"/>
              <w:rPr>
                <w:b/>
                <w:sz w:val="20"/>
                <w:szCs w:val="20"/>
                <w:lang w:val="en-AU" w:eastAsia="en-US" w:bidi="ar-SA"/>
              </w:rPr>
            </w:pPr>
            <w:r w:rsidRPr="006E2063">
              <w:rPr>
                <w:b/>
                <w:sz w:val="20"/>
                <w:szCs w:val="20"/>
                <w:lang w:val="en-AU" w:eastAsia="en-US" w:bidi="ar-SA"/>
              </w:rPr>
              <w:t>Uncommon</w:t>
            </w:r>
          </w:p>
        </w:tc>
      </w:tr>
      <w:tr w:rsidR="009861FB" w:rsidRPr="006E2063" w14:paraId="6D19A26E" w14:textId="77777777" w:rsidTr="00417D96">
        <w:tc>
          <w:tcPr>
            <w:tcW w:w="2972" w:type="dxa"/>
          </w:tcPr>
          <w:p w14:paraId="79B2DDC3" w14:textId="77777777" w:rsidR="009861FB" w:rsidRPr="006E2063" w:rsidRDefault="009861FB" w:rsidP="00417D96">
            <w:pPr>
              <w:spacing w:after="40"/>
              <w:rPr>
                <w:bCs/>
                <w:sz w:val="20"/>
                <w:szCs w:val="20"/>
                <w:lang w:val="en-AU" w:eastAsia="en-US" w:bidi="ar-SA"/>
              </w:rPr>
            </w:pPr>
            <w:r w:rsidRPr="006E2063">
              <w:rPr>
                <w:bCs/>
                <w:sz w:val="20"/>
                <w:szCs w:val="20"/>
                <w:lang w:val="en-AU" w:eastAsia="en-US" w:bidi="ar-SA"/>
              </w:rPr>
              <w:t>Endocrine disorders</w:t>
            </w:r>
          </w:p>
        </w:tc>
        <w:tc>
          <w:tcPr>
            <w:tcW w:w="1830" w:type="dxa"/>
          </w:tcPr>
          <w:p w14:paraId="5DF28018" w14:textId="77777777" w:rsidR="009861FB" w:rsidRPr="006E2063" w:rsidRDefault="009861FB" w:rsidP="00417D96">
            <w:pPr>
              <w:spacing w:after="40"/>
              <w:rPr>
                <w:bCs/>
                <w:sz w:val="20"/>
                <w:szCs w:val="20"/>
                <w:lang w:val="en-AU" w:eastAsia="en-US" w:bidi="ar-SA"/>
              </w:rPr>
            </w:pPr>
          </w:p>
        </w:tc>
        <w:tc>
          <w:tcPr>
            <w:tcW w:w="2329" w:type="dxa"/>
          </w:tcPr>
          <w:p w14:paraId="2597F1AF" w14:textId="77777777" w:rsidR="009861FB" w:rsidRPr="006E2063" w:rsidRDefault="009861FB" w:rsidP="00417D96">
            <w:pPr>
              <w:spacing w:after="40"/>
              <w:rPr>
                <w:bCs/>
                <w:sz w:val="20"/>
                <w:szCs w:val="20"/>
                <w:lang w:val="en-AU" w:eastAsia="en-US" w:bidi="ar-SA"/>
              </w:rPr>
            </w:pPr>
            <w:r w:rsidRPr="006E2063">
              <w:rPr>
                <w:bCs/>
                <w:sz w:val="20"/>
                <w:szCs w:val="20"/>
                <w:lang w:val="en-AU" w:eastAsia="en-US" w:bidi="ar-SA"/>
              </w:rPr>
              <w:t>Adrenocortical insufficiency</w:t>
            </w:r>
          </w:p>
          <w:p w14:paraId="3B28F51B" w14:textId="5FA0EEC1" w:rsidR="00FD2308" w:rsidRPr="006E2063" w:rsidRDefault="00FD2308" w:rsidP="00417D96">
            <w:pPr>
              <w:spacing w:after="40"/>
              <w:rPr>
                <w:bCs/>
                <w:sz w:val="20"/>
                <w:szCs w:val="20"/>
                <w:lang w:val="en-AU" w:eastAsia="en-US" w:bidi="ar-SA"/>
              </w:rPr>
            </w:pPr>
            <w:r w:rsidRPr="006E2063">
              <w:rPr>
                <w:bCs/>
                <w:sz w:val="20"/>
                <w:szCs w:val="20"/>
                <w:lang w:val="en-AU" w:eastAsia="en-US" w:bidi="ar-SA"/>
              </w:rPr>
              <w:t>Hy</w:t>
            </w:r>
            <w:r w:rsidR="00E73B42" w:rsidRPr="006E2063">
              <w:rPr>
                <w:bCs/>
                <w:sz w:val="20"/>
                <w:szCs w:val="20"/>
                <w:lang w:val="en-AU" w:eastAsia="en-US" w:bidi="ar-SA"/>
              </w:rPr>
              <w:t>pothyroidism</w:t>
            </w:r>
          </w:p>
        </w:tc>
        <w:tc>
          <w:tcPr>
            <w:tcW w:w="1843" w:type="dxa"/>
          </w:tcPr>
          <w:p w14:paraId="2D4FE53A" w14:textId="77777777" w:rsidR="009861FB" w:rsidRPr="006E2063" w:rsidRDefault="009861FB" w:rsidP="00417D96">
            <w:pPr>
              <w:spacing w:after="40"/>
              <w:rPr>
                <w:bCs/>
                <w:sz w:val="20"/>
                <w:szCs w:val="20"/>
                <w:lang w:val="en-AU" w:eastAsia="en-US" w:bidi="ar-SA"/>
              </w:rPr>
            </w:pPr>
          </w:p>
        </w:tc>
      </w:tr>
      <w:tr w:rsidR="005B04CA" w:rsidRPr="006E2063" w14:paraId="08145960" w14:textId="77777777" w:rsidTr="00417D96">
        <w:tc>
          <w:tcPr>
            <w:tcW w:w="2972" w:type="dxa"/>
          </w:tcPr>
          <w:p w14:paraId="2C1C795F" w14:textId="75058670" w:rsidR="005B04CA" w:rsidRPr="006E2063" w:rsidRDefault="005B04CA" w:rsidP="00417D96">
            <w:pPr>
              <w:spacing w:after="40"/>
              <w:rPr>
                <w:bCs/>
                <w:sz w:val="20"/>
                <w:szCs w:val="20"/>
                <w:lang w:val="en-AU" w:eastAsia="en-US" w:bidi="ar-SA"/>
              </w:rPr>
            </w:pPr>
            <w:r w:rsidRPr="006E2063">
              <w:rPr>
                <w:bCs/>
                <w:sz w:val="20"/>
                <w:szCs w:val="20"/>
                <w:lang w:val="en-AU" w:eastAsia="en-US" w:bidi="ar-SA"/>
              </w:rPr>
              <w:t>General disorders and administration site conditions</w:t>
            </w:r>
          </w:p>
        </w:tc>
        <w:tc>
          <w:tcPr>
            <w:tcW w:w="1830" w:type="dxa"/>
          </w:tcPr>
          <w:p w14:paraId="5B68FB77" w14:textId="1C8B1FEE" w:rsidR="005B04CA" w:rsidRPr="006E2063" w:rsidRDefault="005B04CA" w:rsidP="00417D96">
            <w:pPr>
              <w:spacing w:after="40"/>
              <w:rPr>
                <w:bCs/>
                <w:sz w:val="20"/>
                <w:szCs w:val="20"/>
                <w:lang w:val="en-AU" w:eastAsia="en-US" w:bidi="ar-SA"/>
              </w:rPr>
            </w:pPr>
          </w:p>
        </w:tc>
        <w:tc>
          <w:tcPr>
            <w:tcW w:w="2329" w:type="dxa"/>
          </w:tcPr>
          <w:p w14:paraId="279C0924" w14:textId="77777777" w:rsidR="005B04CA" w:rsidRPr="00302241" w:rsidRDefault="005B04CA" w:rsidP="00417D96">
            <w:pPr>
              <w:spacing w:after="40"/>
              <w:rPr>
                <w:sz w:val="20"/>
                <w:szCs w:val="20"/>
                <w:lang w:val="fr-FR"/>
              </w:rPr>
            </w:pPr>
            <w:proofErr w:type="spellStart"/>
            <w:r w:rsidRPr="00302241">
              <w:rPr>
                <w:sz w:val="20"/>
                <w:szCs w:val="20"/>
                <w:lang w:val="fr-FR"/>
              </w:rPr>
              <w:t>Peripheral</w:t>
            </w:r>
            <w:proofErr w:type="spellEnd"/>
            <w:r w:rsidRPr="00302241">
              <w:rPr>
                <w:sz w:val="20"/>
                <w:szCs w:val="20"/>
                <w:lang w:val="fr-FR"/>
              </w:rPr>
              <w:t xml:space="preserve"> </w:t>
            </w:r>
            <w:proofErr w:type="spellStart"/>
            <w:r w:rsidRPr="00302241">
              <w:rPr>
                <w:sz w:val="20"/>
                <w:szCs w:val="20"/>
                <w:lang w:val="fr-FR"/>
              </w:rPr>
              <w:t>oedema</w:t>
            </w:r>
            <w:proofErr w:type="spellEnd"/>
          </w:p>
          <w:p w14:paraId="44703A5E" w14:textId="114D0A8C" w:rsidR="00F25CCF" w:rsidRPr="00302241" w:rsidRDefault="00F25CCF" w:rsidP="00417D96">
            <w:pPr>
              <w:spacing w:after="40"/>
              <w:rPr>
                <w:sz w:val="20"/>
                <w:szCs w:val="20"/>
                <w:lang w:val="fr-FR"/>
              </w:rPr>
            </w:pPr>
            <w:r w:rsidRPr="00302241">
              <w:rPr>
                <w:sz w:val="20"/>
                <w:szCs w:val="20"/>
                <w:lang w:val="fr-FR"/>
              </w:rPr>
              <w:t>Injection site</w:t>
            </w:r>
            <w:r w:rsidR="00417D96" w:rsidRPr="00302241">
              <w:rPr>
                <w:sz w:val="20"/>
                <w:szCs w:val="20"/>
                <w:lang w:val="fr-FR"/>
              </w:rPr>
              <w:t xml:space="preserve"> </w:t>
            </w:r>
            <w:proofErr w:type="spellStart"/>
            <w:r w:rsidRPr="00302241">
              <w:rPr>
                <w:sz w:val="20"/>
                <w:szCs w:val="20"/>
                <w:lang w:val="fr-FR"/>
              </w:rPr>
              <w:t>reactions</w:t>
            </w:r>
            <w:proofErr w:type="spellEnd"/>
            <w:r w:rsidR="00C06885" w:rsidRPr="00302241">
              <w:rPr>
                <w:sz w:val="20"/>
                <w:szCs w:val="20"/>
                <w:lang w:val="fr-FR"/>
              </w:rPr>
              <w:t>*</w:t>
            </w:r>
          </w:p>
          <w:p w14:paraId="46049553" w14:textId="77777777" w:rsidR="00762BD2" w:rsidRPr="00302241" w:rsidRDefault="00762BD2" w:rsidP="00417D96">
            <w:pPr>
              <w:spacing w:after="40"/>
              <w:rPr>
                <w:sz w:val="20"/>
                <w:szCs w:val="20"/>
                <w:lang w:val="fr-FR"/>
              </w:rPr>
            </w:pPr>
            <w:r w:rsidRPr="00302241">
              <w:rPr>
                <w:sz w:val="20"/>
                <w:szCs w:val="20"/>
                <w:lang w:val="fr-FR"/>
              </w:rPr>
              <w:t>Fatigue</w:t>
            </w:r>
          </w:p>
          <w:p w14:paraId="6583E8C8" w14:textId="6A821C78" w:rsidR="00762BD2" w:rsidRPr="006E2063" w:rsidRDefault="00762BD2" w:rsidP="00417D96">
            <w:pPr>
              <w:spacing w:after="40"/>
              <w:rPr>
                <w:sz w:val="20"/>
                <w:szCs w:val="20"/>
                <w:lang w:val="en-AU"/>
              </w:rPr>
            </w:pPr>
            <w:r w:rsidRPr="006E2063">
              <w:rPr>
                <w:sz w:val="20"/>
                <w:szCs w:val="20"/>
                <w:lang w:val="en-AU"/>
              </w:rPr>
              <w:t>Asthenia</w:t>
            </w:r>
          </w:p>
        </w:tc>
        <w:tc>
          <w:tcPr>
            <w:tcW w:w="1843" w:type="dxa"/>
          </w:tcPr>
          <w:p w14:paraId="108637B8" w14:textId="77777777" w:rsidR="005B04CA" w:rsidRPr="006E2063" w:rsidRDefault="005B04CA" w:rsidP="00417D96">
            <w:pPr>
              <w:spacing w:after="40"/>
              <w:rPr>
                <w:bCs/>
                <w:sz w:val="20"/>
                <w:szCs w:val="20"/>
                <w:lang w:val="en-AU" w:eastAsia="en-US" w:bidi="ar-SA"/>
              </w:rPr>
            </w:pPr>
          </w:p>
        </w:tc>
      </w:tr>
      <w:tr w:rsidR="009861FB" w:rsidRPr="006E2063" w14:paraId="0453CC02" w14:textId="77777777" w:rsidTr="00417D96">
        <w:tc>
          <w:tcPr>
            <w:tcW w:w="2972" w:type="dxa"/>
          </w:tcPr>
          <w:p w14:paraId="0B79574A" w14:textId="77777777" w:rsidR="009861FB" w:rsidRPr="006E2063" w:rsidRDefault="009861FB" w:rsidP="00417D96">
            <w:pPr>
              <w:spacing w:after="40"/>
              <w:rPr>
                <w:bCs/>
                <w:sz w:val="20"/>
                <w:szCs w:val="20"/>
                <w:lang w:val="en-AU" w:eastAsia="en-US" w:bidi="ar-SA"/>
              </w:rPr>
            </w:pPr>
            <w:r w:rsidRPr="006E2063">
              <w:rPr>
                <w:bCs/>
                <w:sz w:val="20"/>
                <w:szCs w:val="20"/>
                <w:lang w:val="en-AU" w:eastAsia="en-US" w:bidi="ar-SA"/>
              </w:rPr>
              <w:t>Metabolism and nutrition disorders</w:t>
            </w:r>
          </w:p>
        </w:tc>
        <w:tc>
          <w:tcPr>
            <w:tcW w:w="1830" w:type="dxa"/>
          </w:tcPr>
          <w:p w14:paraId="49167924" w14:textId="77777777" w:rsidR="009861FB" w:rsidRPr="006E2063" w:rsidRDefault="009861FB" w:rsidP="00417D96">
            <w:pPr>
              <w:spacing w:after="40"/>
              <w:rPr>
                <w:bCs/>
                <w:sz w:val="20"/>
                <w:szCs w:val="20"/>
                <w:lang w:val="en-AU" w:eastAsia="en-US" w:bidi="ar-SA"/>
              </w:rPr>
            </w:pPr>
          </w:p>
        </w:tc>
        <w:tc>
          <w:tcPr>
            <w:tcW w:w="2329" w:type="dxa"/>
          </w:tcPr>
          <w:p w14:paraId="7E3229F3" w14:textId="20880A3D" w:rsidR="009861FB" w:rsidRPr="006E2063" w:rsidRDefault="009861FB" w:rsidP="00417D96">
            <w:pPr>
              <w:spacing w:after="40"/>
              <w:rPr>
                <w:bCs/>
                <w:sz w:val="20"/>
                <w:szCs w:val="20"/>
                <w:lang w:val="en-AU" w:eastAsia="en-US" w:bidi="ar-SA"/>
              </w:rPr>
            </w:pPr>
            <w:r w:rsidRPr="006E2063">
              <w:rPr>
                <w:bCs/>
                <w:sz w:val="20"/>
                <w:szCs w:val="20"/>
                <w:lang w:val="en-AU" w:eastAsia="en-US" w:bidi="ar-SA"/>
              </w:rPr>
              <w:t>Hyperglycaemia</w:t>
            </w:r>
            <w:r w:rsidR="00C06885">
              <w:rPr>
                <w:bCs/>
                <w:sz w:val="20"/>
                <w:szCs w:val="20"/>
                <w:lang w:val="en-AU" w:eastAsia="en-US" w:bidi="ar-SA"/>
              </w:rPr>
              <w:t>*</w:t>
            </w:r>
          </w:p>
        </w:tc>
        <w:tc>
          <w:tcPr>
            <w:tcW w:w="1843" w:type="dxa"/>
          </w:tcPr>
          <w:p w14:paraId="6580413E" w14:textId="77777777" w:rsidR="009861FB" w:rsidRPr="006E2063" w:rsidRDefault="009861FB" w:rsidP="00417D96">
            <w:pPr>
              <w:spacing w:after="40"/>
              <w:rPr>
                <w:bCs/>
                <w:sz w:val="20"/>
                <w:szCs w:val="20"/>
                <w:lang w:val="en-AU" w:eastAsia="en-US" w:bidi="ar-SA"/>
              </w:rPr>
            </w:pPr>
          </w:p>
        </w:tc>
      </w:tr>
      <w:tr w:rsidR="00F25CCF" w:rsidRPr="006E2063" w14:paraId="3DF2C22D" w14:textId="77777777" w:rsidTr="00417D96">
        <w:tc>
          <w:tcPr>
            <w:tcW w:w="2972" w:type="dxa"/>
          </w:tcPr>
          <w:p w14:paraId="02544B90" w14:textId="77777777" w:rsidR="00F25CCF" w:rsidRPr="006E2063" w:rsidRDefault="00F25CCF" w:rsidP="00417D96">
            <w:pPr>
              <w:spacing w:after="40"/>
              <w:rPr>
                <w:bCs/>
                <w:sz w:val="20"/>
                <w:szCs w:val="20"/>
                <w:lang w:val="en-AU" w:eastAsia="en-US" w:bidi="ar-SA"/>
              </w:rPr>
            </w:pPr>
            <w:r w:rsidRPr="006E2063">
              <w:rPr>
                <w:bCs/>
                <w:sz w:val="20"/>
                <w:szCs w:val="20"/>
                <w:lang w:val="en-AU" w:eastAsia="en-US" w:bidi="ar-SA"/>
              </w:rPr>
              <w:t>Musculo-skeletal and connective tissue disorders</w:t>
            </w:r>
          </w:p>
        </w:tc>
        <w:tc>
          <w:tcPr>
            <w:tcW w:w="1830" w:type="dxa"/>
          </w:tcPr>
          <w:p w14:paraId="76E37F84" w14:textId="77777777" w:rsidR="00F25CCF" w:rsidRPr="006E2063" w:rsidRDefault="00F25CCF" w:rsidP="00417D96">
            <w:pPr>
              <w:spacing w:after="40"/>
              <w:rPr>
                <w:bCs/>
                <w:sz w:val="20"/>
                <w:szCs w:val="20"/>
                <w:lang w:val="en-AU" w:eastAsia="en-US" w:bidi="ar-SA"/>
              </w:rPr>
            </w:pPr>
          </w:p>
        </w:tc>
        <w:tc>
          <w:tcPr>
            <w:tcW w:w="2329" w:type="dxa"/>
          </w:tcPr>
          <w:p w14:paraId="34D11FB2" w14:textId="77777777" w:rsidR="00F25CCF" w:rsidRPr="006E2063" w:rsidRDefault="00F25CCF" w:rsidP="00417D96">
            <w:pPr>
              <w:spacing w:after="40"/>
              <w:rPr>
                <w:bCs/>
                <w:sz w:val="20"/>
                <w:szCs w:val="20"/>
                <w:lang w:val="en-AU" w:eastAsia="en-US" w:bidi="ar-SA"/>
              </w:rPr>
            </w:pPr>
            <w:r w:rsidRPr="006E2063">
              <w:rPr>
                <w:bCs/>
                <w:sz w:val="20"/>
                <w:szCs w:val="20"/>
                <w:lang w:val="en-AU" w:eastAsia="en-US" w:bidi="ar-SA"/>
              </w:rPr>
              <w:t>Arthralgia</w:t>
            </w:r>
          </w:p>
          <w:p w14:paraId="26CEE8A6" w14:textId="77777777" w:rsidR="00316CC7" w:rsidRPr="006E2063" w:rsidRDefault="00316CC7" w:rsidP="00417D96">
            <w:pPr>
              <w:spacing w:after="40"/>
              <w:rPr>
                <w:bCs/>
                <w:sz w:val="20"/>
                <w:szCs w:val="20"/>
                <w:lang w:val="en-AU" w:eastAsia="en-US" w:bidi="ar-SA"/>
              </w:rPr>
            </w:pPr>
            <w:r w:rsidRPr="006E2063">
              <w:rPr>
                <w:bCs/>
                <w:sz w:val="20"/>
                <w:szCs w:val="20"/>
                <w:lang w:val="en-AU" w:eastAsia="en-US" w:bidi="ar-SA"/>
              </w:rPr>
              <w:t xml:space="preserve">Myalgia </w:t>
            </w:r>
          </w:p>
          <w:p w14:paraId="109FF19B" w14:textId="28CE66DE" w:rsidR="00316CC7" w:rsidRPr="006E2063" w:rsidRDefault="00316CC7" w:rsidP="00417D96">
            <w:pPr>
              <w:spacing w:after="40"/>
              <w:rPr>
                <w:bCs/>
                <w:sz w:val="20"/>
                <w:szCs w:val="20"/>
                <w:lang w:val="en-AU" w:eastAsia="en-US" w:bidi="ar-SA"/>
              </w:rPr>
            </w:pPr>
            <w:r w:rsidRPr="006E2063">
              <w:rPr>
                <w:bCs/>
                <w:sz w:val="20"/>
                <w:szCs w:val="20"/>
                <w:lang w:val="en-AU" w:eastAsia="en-US" w:bidi="ar-SA"/>
              </w:rPr>
              <w:t>Muscle stiffness</w:t>
            </w:r>
            <w:r w:rsidR="00C06885">
              <w:rPr>
                <w:bCs/>
                <w:sz w:val="20"/>
                <w:szCs w:val="20"/>
                <w:lang w:val="en-AU" w:eastAsia="en-US" w:bidi="ar-SA"/>
              </w:rPr>
              <w:t>*</w:t>
            </w:r>
          </w:p>
        </w:tc>
        <w:tc>
          <w:tcPr>
            <w:tcW w:w="1843" w:type="dxa"/>
          </w:tcPr>
          <w:p w14:paraId="63047B15" w14:textId="64A86496" w:rsidR="00F25CCF" w:rsidRPr="006E2063" w:rsidRDefault="00316CC7" w:rsidP="00417D96">
            <w:pPr>
              <w:spacing w:after="40"/>
              <w:rPr>
                <w:bCs/>
                <w:sz w:val="20"/>
                <w:szCs w:val="20"/>
                <w:lang w:val="en-AU" w:eastAsia="en-US" w:bidi="ar-SA"/>
              </w:rPr>
            </w:pPr>
            <w:r w:rsidRPr="006E2063">
              <w:rPr>
                <w:bCs/>
                <w:sz w:val="20"/>
                <w:szCs w:val="20"/>
                <w:lang w:val="en-AU" w:eastAsia="en-US" w:bidi="ar-SA"/>
              </w:rPr>
              <w:t>Joint stiffness</w:t>
            </w:r>
          </w:p>
        </w:tc>
      </w:tr>
      <w:tr w:rsidR="009861FB" w:rsidRPr="006E2063" w14:paraId="13D560E5" w14:textId="77777777" w:rsidTr="00417D96">
        <w:tc>
          <w:tcPr>
            <w:tcW w:w="2972" w:type="dxa"/>
          </w:tcPr>
          <w:p w14:paraId="1DC60C18" w14:textId="77777777" w:rsidR="009861FB" w:rsidRPr="006E2063" w:rsidRDefault="009861FB" w:rsidP="00417D96">
            <w:pPr>
              <w:spacing w:after="40"/>
              <w:rPr>
                <w:bCs/>
                <w:sz w:val="20"/>
                <w:szCs w:val="20"/>
                <w:lang w:val="en-AU" w:eastAsia="en-US" w:bidi="ar-SA"/>
              </w:rPr>
            </w:pPr>
            <w:r w:rsidRPr="006E2063">
              <w:rPr>
                <w:bCs/>
                <w:sz w:val="20"/>
                <w:szCs w:val="20"/>
                <w:lang w:val="en-AU" w:eastAsia="en-US" w:bidi="ar-SA"/>
              </w:rPr>
              <w:t>Nervous system disorders</w:t>
            </w:r>
          </w:p>
        </w:tc>
        <w:tc>
          <w:tcPr>
            <w:tcW w:w="1830" w:type="dxa"/>
          </w:tcPr>
          <w:p w14:paraId="51CAC45E" w14:textId="77777777" w:rsidR="009861FB" w:rsidRPr="006E2063" w:rsidRDefault="009861FB" w:rsidP="00417D96">
            <w:pPr>
              <w:spacing w:after="40"/>
              <w:rPr>
                <w:bCs/>
                <w:sz w:val="20"/>
                <w:szCs w:val="20"/>
                <w:lang w:val="en-AU" w:eastAsia="en-US" w:bidi="ar-SA"/>
              </w:rPr>
            </w:pPr>
            <w:r w:rsidRPr="006E2063">
              <w:rPr>
                <w:bCs/>
                <w:sz w:val="20"/>
                <w:szCs w:val="20"/>
                <w:lang w:val="en-AU" w:eastAsia="en-US" w:bidi="ar-SA"/>
              </w:rPr>
              <w:t>Headache</w:t>
            </w:r>
          </w:p>
        </w:tc>
        <w:tc>
          <w:tcPr>
            <w:tcW w:w="2329" w:type="dxa"/>
          </w:tcPr>
          <w:p w14:paraId="6ADC2735" w14:textId="5228F6A1" w:rsidR="009861FB" w:rsidRPr="006E2063" w:rsidRDefault="009861FB" w:rsidP="00417D96">
            <w:pPr>
              <w:spacing w:after="40"/>
              <w:rPr>
                <w:bCs/>
                <w:sz w:val="20"/>
                <w:szCs w:val="20"/>
                <w:lang w:val="en-AU" w:eastAsia="en-US" w:bidi="ar-SA"/>
              </w:rPr>
            </w:pPr>
            <w:r w:rsidRPr="006E2063">
              <w:rPr>
                <w:bCs/>
                <w:sz w:val="20"/>
                <w:szCs w:val="20"/>
                <w:lang w:val="en-AU" w:eastAsia="en-US" w:bidi="ar-SA"/>
              </w:rPr>
              <w:t>Par</w:t>
            </w:r>
            <w:r w:rsidR="004373DF" w:rsidRPr="006E2063">
              <w:rPr>
                <w:bCs/>
                <w:sz w:val="20"/>
                <w:szCs w:val="20"/>
                <w:lang w:val="en-AU" w:eastAsia="en-US" w:bidi="ar-SA"/>
              </w:rPr>
              <w:t>a</w:t>
            </w:r>
            <w:r w:rsidRPr="006E2063">
              <w:rPr>
                <w:bCs/>
                <w:sz w:val="20"/>
                <w:szCs w:val="20"/>
                <w:lang w:val="en-AU" w:eastAsia="en-US" w:bidi="ar-SA"/>
              </w:rPr>
              <w:t>esthesia</w:t>
            </w:r>
          </w:p>
        </w:tc>
        <w:tc>
          <w:tcPr>
            <w:tcW w:w="1843" w:type="dxa"/>
          </w:tcPr>
          <w:p w14:paraId="1AD90D06" w14:textId="77777777" w:rsidR="009861FB" w:rsidRPr="006E2063" w:rsidRDefault="009861FB" w:rsidP="00417D96">
            <w:pPr>
              <w:spacing w:after="40"/>
              <w:rPr>
                <w:bCs/>
                <w:sz w:val="20"/>
                <w:szCs w:val="20"/>
                <w:lang w:val="en-AU" w:eastAsia="en-US" w:bidi="ar-SA"/>
              </w:rPr>
            </w:pPr>
            <w:r w:rsidRPr="006E2063">
              <w:rPr>
                <w:bCs/>
                <w:sz w:val="20"/>
                <w:szCs w:val="20"/>
                <w:lang w:val="en-AU" w:eastAsia="en-US" w:bidi="ar-SA"/>
              </w:rPr>
              <w:t xml:space="preserve">Carpal tunnel syndrome </w:t>
            </w:r>
          </w:p>
        </w:tc>
      </w:tr>
      <w:tr w:rsidR="009861FB" w:rsidRPr="006E2063" w14:paraId="62E8ECA6" w14:textId="77777777" w:rsidTr="00417D96">
        <w:tc>
          <w:tcPr>
            <w:tcW w:w="2972" w:type="dxa"/>
          </w:tcPr>
          <w:p w14:paraId="7BF2F021" w14:textId="77777777" w:rsidR="009861FB" w:rsidRPr="006E2063" w:rsidRDefault="009861FB" w:rsidP="00417D96">
            <w:pPr>
              <w:spacing w:after="40"/>
              <w:rPr>
                <w:bCs/>
                <w:sz w:val="20"/>
                <w:szCs w:val="20"/>
                <w:lang w:val="en-AU" w:eastAsia="en-US" w:bidi="ar-SA"/>
              </w:rPr>
            </w:pPr>
            <w:r w:rsidRPr="006E2063">
              <w:rPr>
                <w:bCs/>
                <w:sz w:val="20"/>
                <w:szCs w:val="20"/>
                <w:lang w:val="en-AU" w:eastAsia="en-US" w:bidi="ar-SA"/>
              </w:rPr>
              <w:t>Skin and subcutaneous tissue disorders</w:t>
            </w:r>
          </w:p>
        </w:tc>
        <w:tc>
          <w:tcPr>
            <w:tcW w:w="1830" w:type="dxa"/>
          </w:tcPr>
          <w:p w14:paraId="31F31202" w14:textId="77777777" w:rsidR="009861FB" w:rsidRPr="006E2063" w:rsidRDefault="009861FB" w:rsidP="00417D96">
            <w:pPr>
              <w:spacing w:after="40"/>
              <w:rPr>
                <w:bCs/>
                <w:sz w:val="20"/>
                <w:szCs w:val="20"/>
                <w:lang w:val="en-AU" w:eastAsia="en-US" w:bidi="ar-SA"/>
              </w:rPr>
            </w:pPr>
          </w:p>
        </w:tc>
        <w:tc>
          <w:tcPr>
            <w:tcW w:w="2329" w:type="dxa"/>
          </w:tcPr>
          <w:p w14:paraId="772817D7" w14:textId="1DFD7EBC" w:rsidR="00360A5D" w:rsidRPr="006E2063" w:rsidRDefault="00360A5D" w:rsidP="00417D96">
            <w:pPr>
              <w:spacing w:after="40"/>
              <w:rPr>
                <w:bCs/>
                <w:sz w:val="20"/>
                <w:szCs w:val="20"/>
                <w:lang w:val="en-AU" w:eastAsia="en-US" w:bidi="ar-SA"/>
              </w:rPr>
            </w:pPr>
            <w:r w:rsidRPr="006E2063">
              <w:rPr>
                <w:bCs/>
                <w:sz w:val="20"/>
                <w:szCs w:val="20"/>
                <w:lang w:val="en-AU" w:eastAsia="en-US" w:bidi="ar-SA"/>
              </w:rPr>
              <w:t>Rash</w:t>
            </w:r>
            <w:r w:rsidR="00C06885">
              <w:rPr>
                <w:bCs/>
                <w:sz w:val="20"/>
                <w:szCs w:val="20"/>
                <w:lang w:val="en-AU" w:eastAsia="en-US" w:bidi="ar-SA"/>
              </w:rPr>
              <w:t>*</w:t>
            </w:r>
            <w:r w:rsidRPr="006E2063">
              <w:rPr>
                <w:bCs/>
                <w:sz w:val="20"/>
                <w:szCs w:val="20"/>
                <w:lang w:val="en-AU" w:eastAsia="en-US" w:bidi="ar-SA"/>
              </w:rPr>
              <w:t xml:space="preserve"> </w:t>
            </w:r>
          </w:p>
          <w:p w14:paraId="55069F7B" w14:textId="20F3AB18" w:rsidR="009861FB" w:rsidRPr="006E2063" w:rsidRDefault="00360A5D" w:rsidP="00417D96">
            <w:pPr>
              <w:spacing w:after="40"/>
              <w:rPr>
                <w:bCs/>
                <w:sz w:val="20"/>
                <w:szCs w:val="20"/>
                <w:lang w:val="en-AU" w:eastAsia="en-US" w:bidi="ar-SA"/>
              </w:rPr>
            </w:pPr>
            <w:r w:rsidRPr="006E2063">
              <w:rPr>
                <w:bCs/>
                <w:sz w:val="20"/>
                <w:szCs w:val="20"/>
                <w:lang w:val="en-AU" w:eastAsia="en-US" w:bidi="ar-SA"/>
              </w:rPr>
              <w:t>Urticaria</w:t>
            </w:r>
            <w:r w:rsidR="00C06885">
              <w:rPr>
                <w:bCs/>
                <w:sz w:val="20"/>
                <w:szCs w:val="20"/>
                <w:lang w:val="en-AU" w:eastAsia="en-US" w:bidi="ar-SA"/>
              </w:rPr>
              <w:t>*</w:t>
            </w:r>
          </w:p>
        </w:tc>
        <w:tc>
          <w:tcPr>
            <w:tcW w:w="1843" w:type="dxa"/>
          </w:tcPr>
          <w:p w14:paraId="43FEAA03" w14:textId="38C64193" w:rsidR="009861FB" w:rsidRPr="006E2063" w:rsidRDefault="009861FB" w:rsidP="00417D96">
            <w:pPr>
              <w:spacing w:after="40"/>
              <w:rPr>
                <w:bCs/>
                <w:sz w:val="20"/>
                <w:szCs w:val="20"/>
                <w:lang w:val="en-AU" w:eastAsia="en-US" w:bidi="ar-SA"/>
              </w:rPr>
            </w:pPr>
            <w:r w:rsidRPr="006E2063">
              <w:rPr>
                <w:bCs/>
                <w:sz w:val="20"/>
                <w:szCs w:val="20"/>
                <w:lang w:val="en-AU" w:eastAsia="en-US" w:bidi="ar-SA"/>
              </w:rPr>
              <w:t>Lipohypertrophy</w:t>
            </w:r>
            <w:r w:rsidR="00C06885">
              <w:rPr>
                <w:bCs/>
                <w:sz w:val="20"/>
                <w:szCs w:val="20"/>
                <w:lang w:val="en-AU" w:eastAsia="en-US" w:bidi="ar-SA"/>
              </w:rPr>
              <w:t>*</w:t>
            </w:r>
          </w:p>
          <w:p w14:paraId="7A2119D5" w14:textId="3EF7856B" w:rsidR="00360A5D" w:rsidRPr="006E2063" w:rsidRDefault="00360A5D" w:rsidP="00417D96">
            <w:pPr>
              <w:spacing w:after="40"/>
              <w:rPr>
                <w:bCs/>
                <w:sz w:val="20"/>
                <w:szCs w:val="20"/>
                <w:lang w:val="en-AU" w:eastAsia="en-US" w:bidi="ar-SA"/>
              </w:rPr>
            </w:pPr>
            <w:r w:rsidRPr="006E2063">
              <w:rPr>
                <w:bCs/>
                <w:sz w:val="20"/>
                <w:szCs w:val="20"/>
                <w:lang w:val="en-AU" w:eastAsia="en-US" w:bidi="ar-SA"/>
              </w:rPr>
              <w:t>Pruritus</w:t>
            </w:r>
            <w:r w:rsidR="00C06885">
              <w:rPr>
                <w:bCs/>
                <w:sz w:val="20"/>
                <w:szCs w:val="20"/>
                <w:lang w:val="en-AU" w:eastAsia="en-US" w:bidi="ar-SA"/>
              </w:rPr>
              <w:t>*</w:t>
            </w:r>
          </w:p>
        </w:tc>
      </w:tr>
    </w:tbl>
    <w:p w14:paraId="245394C4" w14:textId="77777777" w:rsidR="00B13032" w:rsidRPr="006E2063" w:rsidRDefault="00B13032" w:rsidP="00C93249">
      <w:pPr>
        <w:spacing w:after="0" w:line="240" w:lineRule="auto"/>
        <w:rPr>
          <w:iCs/>
          <w:sz w:val="24"/>
          <w:szCs w:val="24"/>
          <w:lang w:val="en-AU" w:eastAsia="en-US" w:bidi="ar-SA"/>
        </w:rPr>
      </w:pPr>
    </w:p>
    <w:p w14:paraId="17D2F572" w14:textId="539A63AA" w:rsidR="009861FB" w:rsidRPr="006E2063" w:rsidRDefault="00C06885" w:rsidP="009861FB">
      <w:pPr>
        <w:rPr>
          <w:lang w:val="en-AU" w:eastAsia="en-US" w:bidi="ar-SA"/>
        </w:rPr>
      </w:pPr>
      <w:r>
        <w:rPr>
          <w:iCs/>
          <w:sz w:val="24"/>
          <w:szCs w:val="24"/>
          <w:lang w:val="en-AU" w:eastAsia="en-US" w:bidi="ar-SA"/>
        </w:rPr>
        <w:t>*</w:t>
      </w:r>
      <w:r w:rsidR="009861FB" w:rsidRPr="006E2063">
        <w:rPr>
          <w:iCs/>
          <w:sz w:val="24"/>
          <w:szCs w:val="24"/>
          <w:lang w:val="en-AU" w:eastAsia="en-US" w:bidi="ar-SA"/>
        </w:rPr>
        <w:t xml:space="preserve">In general, these adverse reactions were non-serious, </w:t>
      </w:r>
      <w:proofErr w:type="gramStart"/>
      <w:r w:rsidR="009861FB" w:rsidRPr="006E2063">
        <w:rPr>
          <w:iCs/>
          <w:sz w:val="24"/>
          <w:szCs w:val="24"/>
          <w:lang w:val="en-AU" w:eastAsia="en-US" w:bidi="ar-SA"/>
        </w:rPr>
        <w:t>mild</w:t>
      </w:r>
      <w:proofErr w:type="gramEnd"/>
      <w:r w:rsidR="009861FB" w:rsidRPr="006E2063">
        <w:rPr>
          <w:iCs/>
          <w:sz w:val="24"/>
          <w:szCs w:val="24"/>
          <w:lang w:val="en-AU" w:eastAsia="en-US" w:bidi="ar-SA"/>
        </w:rPr>
        <w:t xml:space="preserve"> or moderate in severity and transient.</w:t>
      </w:r>
    </w:p>
    <w:p w14:paraId="7B31A205" w14:textId="10045CD7" w:rsidR="004373DF" w:rsidRPr="006E2063" w:rsidRDefault="004373DF"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Tabulated list of adverse events</w:t>
      </w:r>
      <w:r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b w:val="0"/>
          <w:bCs w:val="0"/>
          <w:color w:val="auto"/>
          <w:lang w:val="en-AU" w:eastAsia="en-US" w:bidi="ar-SA"/>
        </w:rPr>
        <w:instrText xml:space="preserve"> DOCVARIABLE vault_nd_ebe9ee3c-32d4-4980-a355-b0345569647b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6EE9DD3F" w14:textId="11461C25" w:rsidR="00417D96" w:rsidRPr="006E2063" w:rsidRDefault="00417D96" w:rsidP="00C93249">
      <w:pPr>
        <w:rPr>
          <w:lang w:val="en-AU" w:eastAsia="en-US" w:bidi="ar-SA"/>
        </w:rPr>
      </w:pPr>
      <w:r w:rsidRPr="006E2063">
        <w:rPr>
          <w:b/>
          <w:bCs/>
          <w:iCs/>
          <w:lang w:val="en-AU" w:eastAsia="en-US" w:bidi="ar-SA"/>
        </w:rPr>
        <w:t xml:space="preserve">Table </w:t>
      </w:r>
      <w:r w:rsidR="00C93249" w:rsidRPr="006E2063">
        <w:rPr>
          <w:b/>
          <w:bCs/>
          <w:iCs/>
          <w:lang w:val="en-AU" w:eastAsia="en-US" w:bidi="ar-SA"/>
        </w:rPr>
        <w:fldChar w:fldCharType="begin"/>
      </w:r>
      <w:r w:rsidR="00C93249" w:rsidRPr="006E2063">
        <w:rPr>
          <w:b/>
          <w:bCs/>
          <w:iCs/>
          <w:lang w:val="en-AU" w:eastAsia="en-US" w:bidi="ar-SA"/>
        </w:rPr>
        <w:instrText xml:space="preserve"> SEQ Table \* ARABIC \s 1 </w:instrText>
      </w:r>
      <w:r w:rsidR="00C93249" w:rsidRPr="006E2063">
        <w:rPr>
          <w:b/>
          <w:bCs/>
          <w:iCs/>
          <w:lang w:val="en-AU" w:eastAsia="en-US" w:bidi="ar-SA"/>
        </w:rPr>
        <w:fldChar w:fldCharType="separate"/>
      </w:r>
      <w:r w:rsidR="00C93249" w:rsidRPr="006E2063">
        <w:rPr>
          <w:b/>
          <w:bCs/>
          <w:iCs/>
          <w:lang w:val="en-AU" w:eastAsia="en-US" w:bidi="ar-SA"/>
        </w:rPr>
        <w:t>3</w:t>
      </w:r>
      <w:r w:rsidR="00C93249" w:rsidRPr="006E2063">
        <w:rPr>
          <w:b/>
          <w:bCs/>
          <w:iCs/>
          <w:lang w:val="en-AU" w:eastAsia="en-US" w:bidi="ar-SA"/>
        </w:rPr>
        <w:fldChar w:fldCharType="end"/>
      </w:r>
      <w:r w:rsidRPr="006E2063">
        <w:rPr>
          <w:b/>
          <w:bCs/>
          <w:iCs/>
          <w:lang w:val="en-AU" w:eastAsia="en-US" w:bidi="ar-SA"/>
        </w:rPr>
        <w:t xml:space="preserve"> Most frequent adverse events (≥5%) by system organ class and preferred term - safety analysis (pooled phase 3 trial data) </w:t>
      </w:r>
    </w:p>
    <w:tbl>
      <w:tblPr>
        <w:tblStyle w:val="TableGrid"/>
        <w:tblW w:w="5066" w:type="pct"/>
        <w:tblLayout w:type="fixed"/>
        <w:tblLook w:val="04A0" w:firstRow="1" w:lastRow="0" w:firstColumn="1" w:lastColumn="0" w:noHBand="0" w:noVBand="1"/>
      </w:tblPr>
      <w:tblGrid>
        <w:gridCol w:w="3966"/>
        <w:gridCol w:w="2128"/>
        <w:gridCol w:w="1357"/>
        <w:gridCol w:w="1684"/>
      </w:tblGrid>
      <w:tr w:rsidR="006F3AED" w:rsidRPr="006E2063" w14:paraId="34A365B6" w14:textId="6556D975" w:rsidTr="006F3AED">
        <w:tc>
          <w:tcPr>
            <w:tcW w:w="2170" w:type="pct"/>
          </w:tcPr>
          <w:p w14:paraId="59094B05" w14:textId="593A37C1" w:rsidR="00382FC4" w:rsidRPr="006E2063" w:rsidRDefault="00382FC4" w:rsidP="00382FC4">
            <w:pPr>
              <w:spacing w:after="20"/>
              <w:rPr>
                <w:b/>
                <w:bCs/>
                <w:iCs/>
                <w:sz w:val="20"/>
                <w:szCs w:val="20"/>
                <w:lang w:val="en-AU" w:eastAsia="en-US" w:bidi="ar-SA"/>
              </w:rPr>
            </w:pPr>
            <w:r w:rsidRPr="006E2063">
              <w:rPr>
                <w:b/>
                <w:bCs/>
                <w:iCs/>
                <w:sz w:val="20"/>
                <w:szCs w:val="20"/>
                <w:lang w:val="en-AU" w:eastAsia="en-US" w:bidi="ar-SA"/>
              </w:rPr>
              <w:t xml:space="preserve">MedDRA System </w:t>
            </w:r>
            <w:r w:rsidR="00B13032" w:rsidRPr="006E2063">
              <w:rPr>
                <w:b/>
                <w:bCs/>
                <w:iCs/>
                <w:sz w:val="20"/>
                <w:szCs w:val="20"/>
                <w:lang w:val="en-AU" w:eastAsia="en-US" w:bidi="ar-SA"/>
              </w:rPr>
              <w:t>o</w:t>
            </w:r>
            <w:r w:rsidRPr="006E2063">
              <w:rPr>
                <w:b/>
                <w:bCs/>
                <w:iCs/>
                <w:sz w:val="20"/>
                <w:szCs w:val="20"/>
                <w:lang w:val="en-AU" w:eastAsia="en-US" w:bidi="ar-SA"/>
              </w:rPr>
              <w:t xml:space="preserve">rgan </w:t>
            </w:r>
            <w:r w:rsidR="00B13032" w:rsidRPr="006E2063">
              <w:rPr>
                <w:b/>
                <w:bCs/>
                <w:iCs/>
                <w:sz w:val="20"/>
                <w:szCs w:val="20"/>
                <w:lang w:val="en-AU" w:eastAsia="en-US" w:bidi="ar-SA"/>
              </w:rPr>
              <w:t>cl</w:t>
            </w:r>
            <w:r w:rsidRPr="006E2063">
              <w:rPr>
                <w:b/>
                <w:bCs/>
                <w:iCs/>
                <w:sz w:val="20"/>
                <w:szCs w:val="20"/>
                <w:lang w:val="en-AU" w:eastAsia="en-US" w:bidi="ar-SA"/>
              </w:rPr>
              <w:t>ass</w:t>
            </w:r>
          </w:p>
          <w:p w14:paraId="2E350A44" w14:textId="2BEAB886" w:rsidR="00382FC4" w:rsidRPr="006E2063" w:rsidRDefault="00382FC4" w:rsidP="00382FC4">
            <w:pPr>
              <w:spacing w:after="20"/>
              <w:ind w:left="720"/>
              <w:rPr>
                <w:b/>
                <w:bCs/>
                <w:iCs/>
                <w:sz w:val="20"/>
                <w:szCs w:val="20"/>
                <w:lang w:val="en-AU" w:eastAsia="en-US" w:bidi="ar-SA"/>
              </w:rPr>
            </w:pPr>
            <w:r w:rsidRPr="006E2063">
              <w:rPr>
                <w:b/>
                <w:bCs/>
                <w:iCs/>
                <w:sz w:val="20"/>
                <w:szCs w:val="20"/>
                <w:lang w:val="en-AU" w:eastAsia="en-US" w:bidi="ar-SA"/>
              </w:rPr>
              <w:t>Preferred term</w:t>
            </w:r>
          </w:p>
        </w:tc>
        <w:tc>
          <w:tcPr>
            <w:tcW w:w="1165" w:type="pct"/>
          </w:tcPr>
          <w:p w14:paraId="02A19FED" w14:textId="6185E7ED" w:rsidR="00382FC4" w:rsidRPr="006E2063" w:rsidRDefault="00382FC4" w:rsidP="00382FC4">
            <w:pPr>
              <w:spacing w:after="20"/>
              <w:jc w:val="center"/>
              <w:rPr>
                <w:b/>
                <w:bCs/>
                <w:iCs/>
                <w:sz w:val="20"/>
                <w:szCs w:val="20"/>
                <w:lang w:val="en-AU" w:eastAsia="en-US" w:bidi="ar-SA"/>
              </w:rPr>
            </w:pPr>
            <w:r w:rsidRPr="006E2063">
              <w:rPr>
                <w:b/>
                <w:bCs/>
                <w:iCs/>
                <w:sz w:val="20"/>
                <w:szCs w:val="20"/>
                <w:lang w:val="en-AU" w:eastAsia="en-US" w:bidi="ar-SA"/>
              </w:rPr>
              <w:t>Somapacitan</w:t>
            </w:r>
          </w:p>
          <w:p w14:paraId="5F22A0D7" w14:textId="70E4A95B" w:rsidR="00382FC4" w:rsidRPr="006E2063" w:rsidRDefault="00382FC4" w:rsidP="00382FC4">
            <w:pPr>
              <w:spacing w:after="20"/>
              <w:jc w:val="center"/>
              <w:rPr>
                <w:b/>
                <w:bCs/>
                <w:iCs/>
                <w:sz w:val="20"/>
                <w:szCs w:val="20"/>
                <w:lang w:val="en-AU" w:eastAsia="en-US" w:bidi="ar-SA"/>
              </w:rPr>
            </w:pPr>
            <w:r w:rsidRPr="006E2063">
              <w:rPr>
                <w:b/>
                <w:bCs/>
                <w:iCs/>
                <w:sz w:val="20"/>
                <w:szCs w:val="20"/>
                <w:lang w:val="en-AU" w:eastAsia="en-US" w:bidi="ar-SA"/>
              </w:rPr>
              <w:t>N (%)</w:t>
            </w:r>
          </w:p>
        </w:tc>
        <w:tc>
          <w:tcPr>
            <w:tcW w:w="743" w:type="pct"/>
          </w:tcPr>
          <w:p w14:paraId="45E378E5" w14:textId="1FAB15E9" w:rsidR="00382FC4" w:rsidRPr="006E2063" w:rsidRDefault="00382FC4" w:rsidP="00382FC4">
            <w:pPr>
              <w:spacing w:after="20"/>
              <w:jc w:val="center"/>
              <w:rPr>
                <w:b/>
                <w:bCs/>
                <w:iCs/>
                <w:sz w:val="20"/>
                <w:szCs w:val="20"/>
                <w:lang w:val="en-AU" w:eastAsia="en-US" w:bidi="ar-SA"/>
              </w:rPr>
            </w:pPr>
            <w:r w:rsidRPr="006E2063">
              <w:rPr>
                <w:b/>
                <w:bCs/>
                <w:iCs/>
                <w:sz w:val="20"/>
                <w:szCs w:val="20"/>
                <w:lang w:val="en-AU" w:eastAsia="en-US" w:bidi="ar-SA"/>
              </w:rPr>
              <w:t>Somatropin</w:t>
            </w:r>
          </w:p>
          <w:p w14:paraId="550611E7" w14:textId="65D9C095" w:rsidR="00382FC4" w:rsidRPr="006E2063" w:rsidRDefault="00382FC4" w:rsidP="00382FC4">
            <w:pPr>
              <w:spacing w:after="20"/>
              <w:jc w:val="center"/>
              <w:rPr>
                <w:b/>
                <w:bCs/>
                <w:iCs/>
                <w:sz w:val="20"/>
                <w:szCs w:val="20"/>
                <w:lang w:val="en-AU" w:eastAsia="en-US" w:bidi="ar-SA"/>
              </w:rPr>
            </w:pPr>
            <w:r w:rsidRPr="006E2063">
              <w:rPr>
                <w:b/>
                <w:bCs/>
                <w:iCs/>
                <w:sz w:val="20"/>
                <w:szCs w:val="20"/>
                <w:lang w:val="en-AU" w:eastAsia="en-US" w:bidi="ar-SA"/>
              </w:rPr>
              <w:t>N (%)</w:t>
            </w:r>
          </w:p>
        </w:tc>
        <w:tc>
          <w:tcPr>
            <w:tcW w:w="923" w:type="pct"/>
          </w:tcPr>
          <w:p w14:paraId="7B6865AE" w14:textId="2FBD226A" w:rsidR="00382FC4" w:rsidRPr="006E2063" w:rsidRDefault="00382FC4" w:rsidP="00382FC4">
            <w:pPr>
              <w:spacing w:after="20"/>
              <w:jc w:val="center"/>
              <w:rPr>
                <w:b/>
                <w:bCs/>
                <w:iCs/>
                <w:sz w:val="20"/>
                <w:szCs w:val="20"/>
                <w:lang w:val="en-AU" w:eastAsia="en-US" w:bidi="ar-SA"/>
              </w:rPr>
            </w:pPr>
            <w:r w:rsidRPr="006E2063">
              <w:rPr>
                <w:b/>
                <w:bCs/>
                <w:iCs/>
                <w:sz w:val="20"/>
                <w:szCs w:val="20"/>
                <w:lang w:val="en-AU" w:eastAsia="en-US" w:bidi="ar-SA"/>
              </w:rPr>
              <w:t>Placebo</w:t>
            </w:r>
          </w:p>
          <w:p w14:paraId="0B7C1A75" w14:textId="30CA8B82" w:rsidR="00382FC4" w:rsidRPr="006E2063" w:rsidRDefault="00382FC4" w:rsidP="00382FC4">
            <w:pPr>
              <w:spacing w:after="20"/>
              <w:jc w:val="center"/>
              <w:rPr>
                <w:b/>
                <w:bCs/>
                <w:iCs/>
                <w:sz w:val="20"/>
                <w:szCs w:val="20"/>
                <w:lang w:val="en-AU" w:eastAsia="en-US" w:bidi="ar-SA"/>
              </w:rPr>
            </w:pPr>
            <w:r w:rsidRPr="006E2063">
              <w:rPr>
                <w:b/>
                <w:bCs/>
                <w:iCs/>
                <w:sz w:val="20"/>
                <w:szCs w:val="20"/>
                <w:lang w:val="en-AU" w:eastAsia="en-US" w:bidi="ar-SA"/>
              </w:rPr>
              <w:t>N (%)</w:t>
            </w:r>
          </w:p>
        </w:tc>
      </w:tr>
      <w:tr w:rsidR="006F3AED" w:rsidRPr="006E2063" w14:paraId="653583FE" w14:textId="01A68BA8" w:rsidTr="006F3AED">
        <w:tc>
          <w:tcPr>
            <w:tcW w:w="2170" w:type="pct"/>
          </w:tcPr>
          <w:p w14:paraId="7B81D1C7" w14:textId="130E635A" w:rsidR="00382FC4" w:rsidRPr="006E2063" w:rsidRDefault="00382FC4" w:rsidP="00382FC4">
            <w:pPr>
              <w:spacing w:after="20"/>
              <w:rPr>
                <w:iCs/>
                <w:sz w:val="20"/>
                <w:szCs w:val="20"/>
                <w:lang w:val="en-AU" w:eastAsia="en-US" w:bidi="ar-SA"/>
              </w:rPr>
            </w:pPr>
            <w:r w:rsidRPr="006E2063">
              <w:rPr>
                <w:iCs/>
                <w:sz w:val="20"/>
                <w:szCs w:val="20"/>
                <w:lang w:val="en-AU" w:eastAsia="en-US" w:bidi="ar-SA"/>
              </w:rPr>
              <w:t>Subjects Exposed</w:t>
            </w:r>
          </w:p>
        </w:tc>
        <w:tc>
          <w:tcPr>
            <w:tcW w:w="1165" w:type="pct"/>
          </w:tcPr>
          <w:p w14:paraId="035C676F" w14:textId="43CB9602"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333 (100)</w:t>
            </w:r>
          </w:p>
        </w:tc>
        <w:tc>
          <w:tcPr>
            <w:tcW w:w="743" w:type="pct"/>
          </w:tcPr>
          <w:p w14:paraId="46FDFA26" w14:textId="426E4026" w:rsidR="00382FC4" w:rsidRPr="006E2063" w:rsidRDefault="00C61226" w:rsidP="00382FC4">
            <w:pPr>
              <w:spacing w:after="20"/>
              <w:jc w:val="center"/>
              <w:rPr>
                <w:iCs/>
                <w:sz w:val="20"/>
                <w:szCs w:val="20"/>
                <w:lang w:val="en-AU" w:eastAsia="en-US" w:bidi="ar-SA"/>
              </w:rPr>
            </w:pPr>
            <w:r w:rsidRPr="006E2063">
              <w:rPr>
                <w:iCs/>
                <w:sz w:val="20"/>
                <w:szCs w:val="20"/>
                <w:lang w:val="en-AU" w:eastAsia="en-US" w:bidi="ar-SA"/>
              </w:rPr>
              <w:t>166</w:t>
            </w:r>
            <w:r w:rsidR="00B13032" w:rsidRPr="006E2063">
              <w:rPr>
                <w:iCs/>
                <w:sz w:val="20"/>
                <w:szCs w:val="20"/>
                <w:lang w:val="en-AU" w:eastAsia="en-US" w:bidi="ar-SA"/>
              </w:rPr>
              <w:t xml:space="preserve"> (100)</w:t>
            </w:r>
          </w:p>
        </w:tc>
        <w:tc>
          <w:tcPr>
            <w:tcW w:w="923" w:type="pct"/>
          </w:tcPr>
          <w:p w14:paraId="62EFF3E6" w14:textId="70157140"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61 (100)</w:t>
            </w:r>
          </w:p>
        </w:tc>
      </w:tr>
      <w:tr w:rsidR="006F3AED" w:rsidRPr="006E2063" w14:paraId="79387689" w14:textId="417B2ABC" w:rsidTr="006F3AED">
        <w:tc>
          <w:tcPr>
            <w:tcW w:w="2170" w:type="pct"/>
          </w:tcPr>
          <w:p w14:paraId="41044627" w14:textId="46D96A4A" w:rsidR="00382FC4" w:rsidRPr="006E2063" w:rsidRDefault="00382FC4" w:rsidP="00382FC4">
            <w:pPr>
              <w:spacing w:after="20"/>
              <w:rPr>
                <w:iCs/>
                <w:sz w:val="20"/>
                <w:szCs w:val="20"/>
                <w:lang w:val="en-AU" w:eastAsia="en-US" w:bidi="ar-SA"/>
              </w:rPr>
            </w:pPr>
            <w:r w:rsidRPr="006E2063">
              <w:rPr>
                <w:iCs/>
                <w:sz w:val="20"/>
                <w:szCs w:val="20"/>
                <w:lang w:val="en-AU" w:eastAsia="en-US" w:bidi="ar-SA"/>
              </w:rPr>
              <w:t>Infections and infestations</w:t>
            </w:r>
          </w:p>
          <w:p w14:paraId="5753D618" w14:textId="3A629587" w:rsidR="00382FC4" w:rsidRPr="006E2063" w:rsidRDefault="00382FC4" w:rsidP="00382FC4">
            <w:pPr>
              <w:spacing w:after="20"/>
              <w:ind w:left="720"/>
              <w:rPr>
                <w:iCs/>
                <w:sz w:val="20"/>
                <w:szCs w:val="20"/>
                <w:lang w:val="en-AU" w:eastAsia="en-US" w:bidi="ar-SA"/>
              </w:rPr>
            </w:pPr>
            <w:r w:rsidRPr="006E2063">
              <w:rPr>
                <w:iCs/>
                <w:sz w:val="20"/>
                <w:szCs w:val="20"/>
                <w:lang w:val="en-AU" w:eastAsia="en-US" w:bidi="ar-SA"/>
              </w:rPr>
              <w:t>Nasopharyngitis</w:t>
            </w:r>
          </w:p>
          <w:p w14:paraId="525B7202" w14:textId="26D87034" w:rsidR="00382FC4" w:rsidRPr="006E2063" w:rsidRDefault="00382FC4" w:rsidP="00382FC4">
            <w:pPr>
              <w:spacing w:after="20"/>
              <w:ind w:left="720"/>
              <w:rPr>
                <w:iCs/>
                <w:sz w:val="20"/>
                <w:szCs w:val="20"/>
                <w:lang w:val="en-AU" w:eastAsia="en-US" w:bidi="ar-SA"/>
              </w:rPr>
            </w:pPr>
            <w:r w:rsidRPr="006E2063">
              <w:rPr>
                <w:iCs/>
                <w:sz w:val="20"/>
                <w:szCs w:val="20"/>
                <w:lang w:val="en-AU" w:eastAsia="en-US" w:bidi="ar-SA"/>
              </w:rPr>
              <w:t>Upper respiratory tract infection</w:t>
            </w:r>
          </w:p>
          <w:p w14:paraId="531023B2" w14:textId="576A979D" w:rsidR="00382FC4" w:rsidRPr="006E2063" w:rsidRDefault="00382FC4" w:rsidP="00382FC4">
            <w:pPr>
              <w:spacing w:after="20"/>
              <w:ind w:left="720"/>
              <w:rPr>
                <w:iCs/>
                <w:sz w:val="20"/>
                <w:szCs w:val="20"/>
                <w:lang w:val="en-AU" w:eastAsia="en-US" w:bidi="ar-SA"/>
              </w:rPr>
            </w:pPr>
            <w:r w:rsidRPr="006E2063">
              <w:rPr>
                <w:iCs/>
                <w:sz w:val="20"/>
                <w:szCs w:val="20"/>
                <w:lang w:val="en-AU" w:eastAsia="en-US" w:bidi="ar-SA"/>
              </w:rPr>
              <w:t>Gastroenteritis</w:t>
            </w:r>
          </w:p>
          <w:p w14:paraId="51159963" w14:textId="59D99D2B" w:rsidR="00382FC4" w:rsidRPr="006E2063" w:rsidRDefault="00382FC4" w:rsidP="00382FC4">
            <w:pPr>
              <w:spacing w:after="20"/>
              <w:ind w:left="720"/>
              <w:rPr>
                <w:iCs/>
                <w:sz w:val="20"/>
                <w:szCs w:val="20"/>
                <w:lang w:val="en-AU" w:eastAsia="en-US" w:bidi="ar-SA"/>
              </w:rPr>
            </w:pPr>
            <w:r w:rsidRPr="006E2063">
              <w:rPr>
                <w:iCs/>
                <w:sz w:val="20"/>
                <w:szCs w:val="20"/>
                <w:lang w:val="en-AU" w:eastAsia="en-US" w:bidi="ar-SA"/>
              </w:rPr>
              <w:t>Influenza</w:t>
            </w:r>
          </w:p>
        </w:tc>
        <w:tc>
          <w:tcPr>
            <w:tcW w:w="1165" w:type="pct"/>
          </w:tcPr>
          <w:p w14:paraId="40E379C7" w14:textId="0C6F5D28" w:rsidR="00382FC4" w:rsidRPr="006E2063" w:rsidRDefault="00382FC4" w:rsidP="00382FC4">
            <w:pPr>
              <w:spacing w:after="20"/>
              <w:jc w:val="center"/>
              <w:rPr>
                <w:iCs/>
                <w:sz w:val="20"/>
                <w:szCs w:val="20"/>
                <w:lang w:val="en-AU" w:eastAsia="en-US" w:bidi="ar-SA"/>
              </w:rPr>
            </w:pPr>
          </w:p>
          <w:p w14:paraId="71C38B7A" w14:textId="148AF6D8"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84 (25.2)</w:t>
            </w:r>
          </w:p>
          <w:p w14:paraId="75CAAC65" w14:textId="6CD553D6"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22 (6.6)</w:t>
            </w:r>
          </w:p>
          <w:p w14:paraId="7B44A03D" w14:textId="060739D7"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17 (5.1)</w:t>
            </w:r>
          </w:p>
          <w:p w14:paraId="79E92930" w14:textId="3CFD66F7"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18 (5.4)</w:t>
            </w:r>
          </w:p>
        </w:tc>
        <w:tc>
          <w:tcPr>
            <w:tcW w:w="743" w:type="pct"/>
          </w:tcPr>
          <w:p w14:paraId="13B3F8F0" w14:textId="6063E9D8" w:rsidR="00382FC4" w:rsidRPr="006E2063" w:rsidRDefault="00382FC4" w:rsidP="00382FC4">
            <w:pPr>
              <w:spacing w:after="20"/>
              <w:jc w:val="center"/>
              <w:rPr>
                <w:iCs/>
                <w:sz w:val="20"/>
                <w:szCs w:val="20"/>
                <w:lang w:val="en-AU" w:eastAsia="en-US" w:bidi="ar-SA"/>
              </w:rPr>
            </w:pPr>
          </w:p>
          <w:p w14:paraId="0C4EC9DF" w14:textId="7CCDC905" w:rsidR="00F66EE7" w:rsidRPr="006E2063" w:rsidRDefault="00F66EE7" w:rsidP="00382FC4">
            <w:pPr>
              <w:spacing w:after="20"/>
              <w:jc w:val="center"/>
              <w:rPr>
                <w:iCs/>
                <w:sz w:val="20"/>
                <w:szCs w:val="20"/>
                <w:lang w:val="en-AU" w:eastAsia="en-US" w:bidi="ar-SA"/>
              </w:rPr>
            </w:pPr>
            <w:r w:rsidRPr="006E2063">
              <w:rPr>
                <w:iCs/>
                <w:sz w:val="20"/>
                <w:szCs w:val="20"/>
                <w:lang w:val="en-AU" w:eastAsia="en-US" w:bidi="ar-SA"/>
              </w:rPr>
              <w:t>38 (22.9)</w:t>
            </w:r>
          </w:p>
          <w:p w14:paraId="1B12D5C1" w14:textId="5881C539" w:rsidR="00F66EE7" w:rsidRPr="006E2063" w:rsidRDefault="00F66EE7" w:rsidP="00382FC4">
            <w:pPr>
              <w:spacing w:after="20"/>
              <w:jc w:val="center"/>
              <w:rPr>
                <w:iCs/>
                <w:sz w:val="20"/>
                <w:szCs w:val="20"/>
                <w:lang w:val="en-AU" w:eastAsia="en-US" w:bidi="ar-SA"/>
              </w:rPr>
            </w:pPr>
            <w:r w:rsidRPr="006E2063">
              <w:rPr>
                <w:iCs/>
                <w:sz w:val="20"/>
                <w:szCs w:val="20"/>
                <w:lang w:val="en-AU" w:eastAsia="en-US" w:bidi="ar-SA"/>
              </w:rPr>
              <w:t>13 (7.8)</w:t>
            </w:r>
          </w:p>
          <w:p w14:paraId="55D818CA" w14:textId="65DA501E" w:rsidR="00F66EE7" w:rsidRPr="006E2063" w:rsidRDefault="00F66EE7" w:rsidP="00382FC4">
            <w:pPr>
              <w:spacing w:after="20"/>
              <w:jc w:val="center"/>
              <w:rPr>
                <w:iCs/>
                <w:sz w:val="20"/>
                <w:szCs w:val="20"/>
                <w:lang w:val="en-AU" w:eastAsia="en-US" w:bidi="ar-SA"/>
              </w:rPr>
            </w:pPr>
            <w:r w:rsidRPr="006E2063">
              <w:rPr>
                <w:iCs/>
                <w:sz w:val="20"/>
                <w:szCs w:val="20"/>
                <w:lang w:val="en-AU" w:eastAsia="en-US" w:bidi="ar-SA"/>
              </w:rPr>
              <w:t>3 (1.8)</w:t>
            </w:r>
          </w:p>
          <w:p w14:paraId="36CC89BE" w14:textId="59C82347" w:rsidR="00F66EE7" w:rsidRPr="006E2063" w:rsidRDefault="00F66EE7" w:rsidP="00382FC4">
            <w:pPr>
              <w:spacing w:after="20"/>
              <w:jc w:val="center"/>
              <w:rPr>
                <w:iCs/>
                <w:sz w:val="20"/>
                <w:szCs w:val="20"/>
                <w:lang w:val="en-AU" w:eastAsia="en-US" w:bidi="ar-SA"/>
              </w:rPr>
            </w:pPr>
            <w:r w:rsidRPr="006E2063">
              <w:rPr>
                <w:iCs/>
                <w:sz w:val="20"/>
                <w:szCs w:val="20"/>
                <w:lang w:val="en-AU" w:eastAsia="en-US" w:bidi="ar-SA"/>
              </w:rPr>
              <w:t>3 (1.8)</w:t>
            </w:r>
          </w:p>
        </w:tc>
        <w:tc>
          <w:tcPr>
            <w:tcW w:w="923" w:type="pct"/>
          </w:tcPr>
          <w:p w14:paraId="48E244BF" w14:textId="6DFE469D" w:rsidR="00382FC4" w:rsidRPr="006E2063" w:rsidRDefault="00382FC4" w:rsidP="00382FC4">
            <w:pPr>
              <w:spacing w:after="20"/>
              <w:jc w:val="center"/>
              <w:rPr>
                <w:iCs/>
                <w:sz w:val="20"/>
                <w:szCs w:val="20"/>
                <w:lang w:val="en-AU" w:eastAsia="en-US" w:bidi="ar-SA"/>
              </w:rPr>
            </w:pPr>
          </w:p>
          <w:p w14:paraId="41959DA8" w14:textId="339B3834"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9 (14.8)</w:t>
            </w:r>
          </w:p>
          <w:p w14:paraId="67E1F122" w14:textId="62DEF5A7"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7 (11.5)</w:t>
            </w:r>
          </w:p>
          <w:p w14:paraId="199D4F35" w14:textId="214B04C9"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2 (3.3)</w:t>
            </w:r>
          </w:p>
          <w:p w14:paraId="6253D584" w14:textId="579D1D55"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2 (3.3)</w:t>
            </w:r>
          </w:p>
        </w:tc>
      </w:tr>
      <w:tr w:rsidR="006F3AED" w:rsidRPr="006E2063" w14:paraId="5B5095B4" w14:textId="3E077DB7" w:rsidTr="006F3AED">
        <w:tc>
          <w:tcPr>
            <w:tcW w:w="2170" w:type="pct"/>
          </w:tcPr>
          <w:p w14:paraId="2D4A85F0" w14:textId="3AA21A45" w:rsidR="00382FC4" w:rsidRPr="006E2063" w:rsidRDefault="00382FC4" w:rsidP="00382FC4">
            <w:pPr>
              <w:spacing w:after="20"/>
              <w:rPr>
                <w:iCs/>
                <w:sz w:val="20"/>
                <w:szCs w:val="20"/>
                <w:lang w:val="en-AU" w:eastAsia="en-US" w:bidi="ar-SA"/>
              </w:rPr>
            </w:pPr>
            <w:r w:rsidRPr="006E2063">
              <w:rPr>
                <w:iCs/>
                <w:sz w:val="20"/>
                <w:szCs w:val="20"/>
                <w:lang w:val="en-AU" w:eastAsia="en-US" w:bidi="ar-SA"/>
              </w:rPr>
              <w:t>Nervous system disorders</w:t>
            </w:r>
          </w:p>
          <w:p w14:paraId="74B2E49A" w14:textId="00F7E72A" w:rsidR="00382FC4" w:rsidRPr="006E2063" w:rsidRDefault="00382FC4" w:rsidP="00382FC4">
            <w:pPr>
              <w:spacing w:after="20"/>
              <w:ind w:left="720"/>
              <w:rPr>
                <w:iCs/>
                <w:sz w:val="20"/>
                <w:szCs w:val="20"/>
                <w:lang w:val="en-AU" w:eastAsia="en-US" w:bidi="ar-SA"/>
              </w:rPr>
            </w:pPr>
            <w:r w:rsidRPr="006E2063">
              <w:rPr>
                <w:iCs/>
                <w:sz w:val="20"/>
                <w:szCs w:val="20"/>
                <w:lang w:val="en-AU" w:eastAsia="en-US" w:bidi="ar-SA"/>
              </w:rPr>
              <w:t>Headache</w:t>
            </w:r>
          </w:p>
          <w:p w14:paraId="06286620" w14:textId="6226B7A9" w:rsidR="00382FC4" w:rsidRPr="006E2063" w:rsidRDefault="00382FC4" w:rsidP="00382FC4">
            <w:pPr>
              <w:spacing w:after="20"/>
              <w:ind w:left="720"/>
              <w:rPr>
                <w:iCs/>
                <w:sz w:val="20"/>
                <w:szCs w:val="20"/>
                <w:lang w:val="en-AU" w:eastAsia="en-US" w:bidi="ar-SA"/>
              </w:rPr>
            </w:pPr>
            <w:r w:rsidRPr="006E2063">
              <w:rPr>
                <w:iCs/>
                <w:sz w:val="20"/>
                <w:szCs w:val="20"/>
                <w:lang w:val="en-AU" w:eastAsia="en-US" w:bidi="ar-SA"/>
              </w:rPr>
              <w:t>Dizziness</w:t>
            </w:r>
          </w:p>
        </w:tc>
        <w:tc>
          <w:tcPr>
            <w:tcW w:w="1165" w:type="pct"/>
          </w:tcPr>
          <w:p w14:paraId="0ED5B1A8" w14:textId="0260BA72" w:rsidR="00382FC4" w:rsidRPr="006E2063" w:rsidRDefault="00382FC4" w:rsidP="00382FC4">
            <w:pPr>
              <w:spacing w:after="20"/>
              <w:jc w:val="center"/>
              <w:rPr>
                <w:iCs/>
                <w:sz w:val="20"/>
                <w:szCs w:val="20"/>
                <w:lang w:val="en-AU" w:eastAsia="en-US" w:bidi="ar-SA"/>
              </w:rPr>
            </w:pPr>
          </w:p>
          <w:p w14:paraId="370D2B7C" w14:textId="00639D0D"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43 (12.9)</w:t>
            </w:r>
          </w:p>
          <w:p w14:paraId="38AC2879" w14:textId="18B402FF"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14 (4.2)</w:t>
            </w:r>
          </w:p>
        </w:tc>
        <w:tc>
          <w:tcPr>
            <w:tcW w:w="743" w:type="pct"/>
          </w:tcPr>
          <w:p w14:paraId="7003393B" w14:textId="4CE3AC0C" w:rsidR="00382FC4" w:rsidRPr="006E2063" w:rsidRDefault="00382FC4" w:rsidP="00382FC4">
            <w:pPr>
              <w:spacing w:after="20"/>
              <w:jc w:val="center"/>
              <w:rPr>
                <w:iCs/>
                <w:sz w:val="20"/>
                <w:szCs w:val="20"/>
                <w:lang w:val="en-AU" w:eastAsia="en-US" w:bidi="ar-SA"/>
              </w:rPr>
            </w:pPr>
          </w:p>
          <w:p w14:paraId="1011074B" w14:textId="62BC37D6" w:rsidR="009C7993" w:rsidRPr="006E2063" w:rsidRDefault="009C7993" w:rsidP="00382FC4">
            <w:pPr>
              <w:spacing w:after="20"/>
              <w:jc w:val="center"/>
              <w:rPr>
                <w:iCs/>
                <w:sz w:val="20"/>
                <w:szCs w:val="20"/>
                <w:lang w:val="en-AU" w:eastAsia="en-US" w:bidi="ar-SA"/>
              </w:rPr>
            </w:pPr>
            <w:r w:rsidRPr="006E2063">
              <w:rPr>
                <w:iCs/>
                <w:sz w:val="20"/>
                <w:szCs w:val="20"/>
                <w:lang w:val="en-AU" w:eastAsia="en-US" w:bidi="ar-SA"/>
              </w:rPr>
              <w:t>22 (13.3)</w:t>
            </w:r>
          </w:p>
          <w:p w14:paraId="3D085FBF" w14:textId="2CA6C68A" w:rsidR="009C7993" w:rsidRPr="006E2063" w:rsidRDefault="009C7993" w:rsidP="00382FC4">
            <w:pPr>
              <w:spacing w:after="20"/>
              <w:jc w:val="center"/>
              <w:rPr>
                <w:iCs/>
                <w:sz w:val="20"/>
                <w:szCs w:val="20"/>
                <w:lang w:val="en-AU" w:eastAsia="en-US" w:bidi="ar-SA"/>
              </w:rPr>
            </w:pPr>
            <w:r w:rsidRPr="006E2063">
              <w:rPr>
                <w:iCs/>
                <w:sz w:val="20"/>
                <w:szCs w:val="20"/>
                <w:lang w:val="en-AU" w:eastAsia="en-US" w:bidi="ar-SA"/>
              </w:rPr>
              <w:t>9 (5.4)</w:t>
            </w:r>
          </w:p>
        </w:tc>
        <w:tc>
          <w:tcPr>
            <w:tcW w:w="923" w:type="pct"/>
          </w:tcPr>
          <w:p w14:paraId="6CB29CBA" w14:textId="151B5E99" w:rsidR="00382FC4" w:rsidRPr="006E2063" w:rsidRDefault="00382FC4" w:rsidP="00382FC4">
            <w:pPr>
              <w:spacing w:after="20"/>
              <w:jc w:val="center"/>
              <w:rPr>
                <w:iCs/>
                <w:sz w:val="20"/>
                <w:szCs w:val="20"/>
                <w:lang w:val="en-AU" w:eastAsia="en-US" w:bidi="ar-SA"/>
              </w:rPr>
            </w:pPr>
          </w:p>
          <w:p w14:paraId="1BE01D8F" w14:textId="2A72F47E"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10 (16.4)</w:t>
            </w:r>
          </w:p>
          <w:p w14:paraId="7A6FEA8A" w14:textId="67D052DB"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1 (1.6)</w:t>
            </w:r>
          </w:p>
        </w:tc>
      </w:tr>
      <w:tr w:rsidR="006F3AED" w:rsidRPr="006E2063" w14:paraId="5A96D6D9" w14:textId="16D18C70" w:rsidTr="006F3AED">
        <w:tc>
          <w:tcPr>
            <w:tcW w:w="2170" w:type="pct"/>
          </w:tcPr>
          <w:p w14:paraId="131402AD" w14:textId="70FDF1D2" w:rsidR="00382FC4" w:rsidRPr="006E2063" w:rsidRDefault="00382FC4" w:rsidP="00382FC4">
            <w:pPr>
              <w:spacing w:after="20"/>
              <w:rPr>
                <w:iCs/>
                <w:sz w:val="20"/>
                <w:szCs w:val="20"/>
                <w:lang w:val="en-AU" w:eastAsia="en-US" w:bidi="ar-SA"/>
              </w:rPr>
            </w:pPr>
            <w:r w:rsidRPr="006E2063">
              <w:rPr>
                <w:iCs/>
                <w:sz w:val="20"/>
                <w:szCs w:val="20"/>
                <w:lang w:val="en-AU" w:eastAsia="en-US" w:bidi="ar-SA"/>
              </w:rPr>
              <w:t>Musculoskeletal and connective tissue disorders</w:t>
            </w:r>
          </w:p>
          <w:p w14:paraId="29EB4BE1" w14:textId="14249302" w:rsidR="00382FC4" w:rsidRPr="006E2063" w:rsidRDefault="00382FC4" w:rsidP="00382FC4">
            <w:pPr>
              <w:spacing w:after="20"/>
              <w:ind w:left="720"/>
              <w:rPr>
                <w:iCs/>
                <w:sz w:val="20"/>
                <w:szCs w:val="20"/>
                <w:lang w:val="en-AU" w:eastAsia="en-US" w:bidi="ar-SA"/>
              </w:rPr>
            </w:pPr>
            <w:r w:rsidRPr="006E2063">
              <w:rPr>
                <w:iCs/>
                <w:sz w:val="20"/>
                <w:szCs w:val="20"/>
                <w:lang w:val="en-AU" w:eastAsia="en-US" w:bidi="ar-SA"/>
              </w:rPr>
              <w:t>Arthralgia</w:t>
            </w:r>
          </w:p>
          <w:p w14:paraId="3D8C10C7" w14:textId="5C341A3E" w:rsidR="00382FC4" w:rsidRPr="006E2063" w:rsidRDefault="00382FC4" w:rsidP="00382FC4">
            <w:pPr>
              <w:spacing w:after="20"/>
              <w:ind w:left="720"/>
              <w:rPr>
                <w:iCs/>
                <w:sz w:val="20"/>
                <w:szCs w:val="20"/>
                <w:lang w:val="en-AU" w:eastAsia="en-US" w:bidi="ar-SA"/>
              </w:rPr>
            </w:pPr>
            <w:r w:rsidRPr="006E2063">
              <w:rPr>
                <w:iCs/>
                <w:sz w:val="20"/>
                <w:szCs w:val="20"/>
                <w:lang w:val="en-AU" w:eastAsia="en-US" w:bidi="ar-SA"/>
              </w:rPr>
              <w:t>Back pain</w:t>
            </w:r>
          </w:p>
        </w:tc>
        <w:tc>
          <w:tcPr>
            <w:tcW w:w="1165" w:type="pct"/>
          </w:tcPr>
          <w:p w14:paraId="265716E6" w14:textId="55DF9370" w:rsidR="00382FC4" w:rsidRPr="006E2063" w:rsidRDefault="00382FC4" w:rsidP="00382FC4">
            <w:pPr>
              <w:spacing w:after="20"/>
              <w:jc w:val="center"/>
              <w:rPr>
                <w:iCs/>
                <w:sz w:val="20"/>
                <w:szCs w:val="20"/>
                <w:lang w:val="en-AU" w:eastAsia="en-US" w:bidi="ar-SA"/>
              </w:rPr>
            </w:pPr>
          </w:p>
          <w:p w14:paraId="46D6A21D" w14:textId="7D28247F" w:rsidR="001E723E" w:rsidRPr="006E2063" w:rsidRDefault="001E723E" w:rsidP="00382FC4">
            <w:pPr>
              <w:spacing w:after="20"/>
              <w:jc w:val="center"/>
              <w:rPr>
                <w:iCs/>
                <w:sz w:val="20"/>
                <w:szCs w:val="20"/>
                <w:lang w:val="en-AU" w:eastAsia="en-US" w:bidi="ar-SA"/>
              </w:rPr>
            </w:pPr>
          </w:p>
          <w:p w14:paraId="761639A9" w14:textId="7B0A9BA8"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23 (6.9)</w:t>
            </w:r>
          </w:p>
          <w:p w14:paraId="346A5283" w14:textId="34F517AF"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21 (6.3)</w:t>
            </w:r>
          </w:p>
        </w:tc>
        <w:tc>
          <w:tcPr>
            <w:tcW w:w="743" w:type="pct"/>
          </w:tcPr>
          <w:p w14:paraId="53D037E9" w14:textId="399A6174" w:rsidR="00382FC4" w:rsidRPr="006E2063" w:rsidRDefault="00382FC4" w:rsidP="00382FC4">
            <w:pPr>
              <w:spacing w:after="20"/>
              <w:jc w:val="center"/>
              <w:rPr>
                <w:iCs/>
                <w:sz w:val="20"/>
                <w:szCs w:val="20"/>
                <w:lang w:val="en-AU" w:eastAsia="en-US" w:bidi="ar-SA"/>
              </w:rPr>
            </w:pPr>
          </w:p>
          <w:p w14:paraId="234BA259" w14:textId="7299608D" w:rsidR="009C7993" w:rsidRPr="006E2063" w:rsidRDefault="009C7993" w:rsidP="00382FC4">
            <w:pPr>
              <w:spacing w:after="20"/>
              <w:jc w:val="center"/>
              <w:rPr>
                <w:iCs/>
                <w:sz w:val="20"/>
                <w:szCs w:val="20"/>
                <w:lang w:val="en-AU" w:eastAsia="en-US" w:bidi="ar-SA"/>
              </w:rPr>
            </w:pPr>
          </w:p>
          <w:p w14:paraId="25AFDB23" w14:textId="5B400097" w:rsidR="009C7993" w:rsidRPr="006E2063" w:rsidRDefault="009C7993" w:rsidP="00382FC4">
            <w:pPr>
              <w:spacing w:after="20"/>
              <w:jc w:val="center"/>
              <w:rPr>
                <w:iCs/>
                <w:sz w:val="20"/>
                <w:szCs w:val="20"/>
                <w:lang w:val="en-AU" w:eastAsia="en-US" w:bidi="ar-SA"/>
              </w:rPr>
            </w:pPr>
            <w:r w:rsidRPr="006E2063">
              <w:rPr>
                <w:iCs/>
                <w:sz w:val="20"/>
                <w:szCs w:val="20"/>
                <w:lang w:val="en-AU" w:eastAsia="en-US" w:bidi="ar-SA"/>
              </w:rPr>
              <w:t>17 (10.2)</w:t>
            </w:r>
          </w:p>
          <w:p w14:paraId="096BD1D8" w14:textId="235AD9CA" w:rsidR="009C7993" w:rsidRPr="006E2063" w:rsidRDefault="009C7993" w:rsidP="00382FC4">
            <w:pPr>
              <w:spacing w:after="20"/>
              <w:jc w:val="center"/>
              <w:rPr>
                <w:iCs/>
                <w:sz w:val="20"/>
                <w:szCs w:val="20"/>
                <w:lang w:val="en-AU" w:eastAsia="en-US" w:bidi="ar-SA"/>
              </w:rPr>
            </w:pPr>
            <w:r w:rsidRPr="006E2063">
              <w:rPr>
                <w:iCs/>
                <w:sz w:val="20"/>
                <w:szCs w:val="20"/>
                <w:lang w:val="en-AU" w:eastAsia="en-US" w:bidi="ar-SA"/>
              </w:rPr>
              <w:t>6 (3.6)</w:t>
            </w:r>
          </w:p>
        </w:tc>
        <w:tc>
          <w:tcPr>
            <w:tcW w:w="923" w:type="pct"/>
          </w:tcPr>
          <w:p w14:paraId="4C5DA79F" w14:textId="6F61E216" w:rsidR="00382FC4" w:rsidRPr="006E2063" w:rsidRDefault="00382FC4" w:rsidP="00382FC4">
            <w:pPr>
              <w:spacing w:after="20"/>
              <w:jc w:val="center"/>
              <w:rPr>
                <w:iCs/>
                <w:sz w:val="20"/>
                <w:szCs w:val="20"/>
                <w:lang w:val="en-AU" w:eastAsia="en-US" w:bidi="ar-SA"/>
              </w:rPr>
            </w:pPr>
          </w:p>
          <w:p w14:paraId="6E2AE476" w14:textId="192B5FAE" w:rsidR="001E723E" w:rsidRPr="006E2063" w:rsidRDefault="001E723E" w:rsidP="00382FC4">
            <w:pPr>
              <w:spacing w:after="20"/>
              <w:jc w:val="center"/>
              <w:rPr>
                <w:iCs/>
                <w:sz w:val="20"/>
                <w:szCs w:val="20"/>
                <w:lang w:val="en-AU" w:eastAsia="en-US" w:bidi="ar-SA"/>
              </w:rPr>
            </w:pPr>
          </w:p>
          <w:p w14:paraId="52E199A5" w14:textId="62BAB7A4"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1 (1.6)</w:t>
            </w:r>
          </w:p>
          <w:p w14:paraId="0343968C" w14:textId="7177AA6A"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2 (3.3)</w:t>
            </w:r>
          </w:p>
        </w:tc>
      </w:tr>
      <w:tr w:rsidR="006F3AED" w:rsidRPr="006E2063" w14:paraId="5C68C3AE" w14:textId="14811D8C" w:rsidTr="006F3AED">
        <w:tc>
          <w:tcPr>
            <w:tcW w:w="2170" w:type="pct"/>
          </w:tcPr>
          <w:p w14:paraId="7ABF64C1" w14:textId="67B81911" w:rsidR="00382FC4" w:rsidRPr="006E2063" w:rsidRDefault="00382FC4" w:rsidP="00382FC4">
            <w:pPr>
              <w:spacing w:after="20"/>
              <w:rPr>
                <w:iCs/>
                <w:sz w:val="20"/>
                <w:szCs w:val="20"/>
                <w:lang w:val="en-AU" w:eastAsia="en-US" w:bidi="ar-SA"/>
              </w:rPr>
            </w:pPr>
            <w:r w:rsidRPr="006E2063">
              <w:rPr>
                <w:iCs/>
                <w:sz w:val="20"/>
                <w:szCs w:val="20"/>
                <w:lang w:val="en-AU" w:eastAsia="en-US" w:bidi="ar-SA"/>
              </w:rPr>
              <w:t>General disorders and administration site conditions</w:t>
            </w:r>
          </w:p>
          <w:p w14:paraId="67BD36BE" w14:textId="3C3CCBCB" w:rsidR="00382FC4" w:rsidRPr="006E2063" w:rsidRDefault="00382FC4" w:rsidP="00382FC4">
            <w:pPr>
              <w:spacing w:after="20"/>
              <w:ind w:left="720"/>
              <w:rPr>
                <w:iCs/>
                <w:sz w:val="20"/>
                <w:szCs w:val="20"/>
                <w:lang w:val="en-AU" w:eastAsia="en-US" w:bidi="ar-SA"/>
              </w:rPr>
            </w:pPr>
            <w:r w:rsidRPr="006E2063">
              <w:rPr>
                <w:iCs/>
                <w:sz w:val="20"/>
                <w:szCs w:val="20"/>
                <w:lang w:val="en-AU" w:eastAsia="en-US" w:bidi="ar-SA"/>
              </w:rPr>
              <w:lastRenderedPageBreak/>
              <w:t>Fatigue</w:t>
            </w:r>
          </w:p>
        </w:tc>
        <w:tc>
          <w:tcPr>
            <w:tcW w:w="1165" w:type="pct"/>
          </w:tcPr>
          <w:p w14:paraId="4F8D7FE2" w14:textId="03630B42" w:rsidR="00382FC4" w:rsidRPr="006E2063" w:rsidRDefault="00382FC4" w:rsidP="00382FC4">
            <w:pPr>
              <w:spacing w:after="20"/>
              <w:jc w:val="center"/>
              <w:rPr>
                <w:iCs/>
                <w:sz w:val="20"/>
                <w:szCs w:val="20"/>
                <w:lang w:val="en-AU" w:eastAsia="en-US" w:bidi="ar-SA"/>
              </w:rPr>
            </w:pPr>
          </w:p>
          <w:p w14:paraId="0FBC9EB0" w14:textId="09B394A8" w:rsidR="00863ADE" w:rsidRPr="006E2063" w:rsidRDefault="00863ADE" w:rsidP="00382FC4">
            <w:pPr>
              <w:spacing w:after="20"/>
              <w:jc w:val="center"/>
              <w:rPr>
                <w:iCs/>
                <w:sz w:val="20"/>
                <w:szCs w:val="20"/>
                <w:lang w:val="en-AU" w:eastAsia="en-US" w:bidi="ar-SA"/>
              </w:rPr>
            </w:pPr>
          </w:p>
          <w:p w14:paraId="4BACA4F1" w14:textId="76AE46FF"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lastRenderedPageBreak/>
              <w:t>19 (5.7)</w:t>
            </w:r>
          </w:p>
        </w:tc>
        <w:tc>
          <w:tcPr>
            <w:tcW w:w="743" w:type="pct"/>
          </w:tcPr>
          <w:p w14:paraId="44E290B7" w14:textId="16E69E8C" w:rsidR="00382FC4" w:rsidRPr="006E2063" w:rsidRDefault="00382FC4" w:rsidP="00382FC4">
            <w:pPr>
              <w:spacing w:after="20"/>
              <w:jc w:val="center"/>
              <w:rPr>
                <w:iCs/>
                <w:sz w:val="20"/>
                <w:szCs w:val="20"/>
                <w:lang w:val="en-AU" w:eastAsia="en-US" w:bidi="ar-SA"/>
              </w:rPr>
            </w:pPr>
          </w:p>
          <w:p w14:paraId="3B1E32CF" w14:textId="285D28B8" w:rsidR="009C7993" w:rsidRPr="006E2063" w:rsidRDefault="009C7993" w:rsidP="00382FC4">
            <w:pPr>
              <w:spacing w:after="20"/>
              <w:jc w:val="center"/>
              <w:rPr>
                <w:iCs/>
                <w:sz w:val="20"/>
                <w:szCs w:val="20"/>
                <w:lang w:val="en-AU" w:eastAsia="en-US" w:bidi="ar-SA"/>
              </w:rPr>
            </w:pPr>
          </w:p>
          <w:p w14:paraId="4916CCC7" w14:textId="43E784A8" w:rsidR="009C7993" w:rsidRPr="006E2063" w:rsidRDefault="009C7993" w:rsidP="00382FC4">
            <w:pPr>
              <w:spacing w:after="20"/>
              <w:jc w:val="center"/>
              <w:rPr>
                <w:iCs/>
                <w:sz w:val="20"/>
                <w:szCs w:val="20"/>
                <w:lang w:val="en-AU" w:eastAsia="en-US" w:bidi="ar-SA"/>
              </w:rPr>
            </w:pPr>
            <w:r w:rsidRPr="006E2063">
              <w:rPr>
                <w:iCs/>
                <w:sz w:val="20"/>
                <w:szCs w:val="20"/>
                <w:lang w:val="en-AU" w:eastAsia="en-US" w:bidi="ar-SA"/>
              </w:rPr>
              <w:lastRenderedPageBreak/>
              <w:t>13 (7.8)</w:t>
            </w:r>
          </w:p>
        </w:tc>
        <w:tc>
          <w:tcPr>
            <w:tcW w:w="923" w:type="pct"/>
          </w:tcPr>
          <w:p w14:paraId="6C799C31" w14:textId="23D9086F" w:rsidR="00382FC4" w:rsidRPr="006E2063" w:rsidRDefault="00382FC4" w:rsidP="00382FC4">
            <w:pPr>
              <w:spacing w:after="20"/>
              <w:jc w:val="center"/>
              <w:rPr>
                <w:iCs/>
                <w:sz w:val="20"/>
                <w:szCs w:val="20"/>
                <w:lang w:val="en-AU" w:eastAsia="en-US" w:bidi="ar-SA"/>
              </w:rPr>
            </w:pPr>
          </w:p>
          <w:p w14:paraId="41439BAC" w14:textId="58255746" w:rsidR="00863ADE" w:rsidRPr="006E2063" w:rsidRDefault="00863ADE" w:rsidP="00382FC4">
            <w:pPr>
              <w:spacing w:after="20"/>
              <w:jc w:val="center"/>
              <w:rPr>
                <w:iCs/>
                <w:sz w:val="20"/>
                <w:szCs w:val="20"/>
                <w:lang w:val="en-AU" w:eastAsia="en-US" w:bidi="ar-SA"/>
              </w:rPr>
            </w:pPr>
          </w:p>
          <w:p w14:paraId="24D40338" w14:textId="1C2A0EA9"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lastRenderedPageBreak/>
              <w:t>2 (3.3)</w:t>
            </w:r>
          </w:p>
        </w:tc>
      </w:tr>
      <w:tr w:rsidR="006F3AED" w:rsidRPr="006E2063" w14:paraId="7ABC236F" w14:textId="69CADDC7" w:rsidTr="006F3AED">
        <w:tc>
          <w:tcPr>
            <w:tcW w:w="2170" w:type="pct"/>
          </w:tcPr>
          <w:p w14:paraId="4EACAC02" w14:textId="075F93FC" w:rsidR="00382FC4" w:rsidRPr="006E2063" w:rsidRDefault="00382FC4" w:rsidP="00382FC4">
            <w:pPr>
              <w:spacing w:after="20"/>
              <w:rPr>
                <w:iCs/>
                <w:sz w:val="20"/>
                <w:szCs w:val="20"/>
                <w:lang w:val="en-AU" w:eastAsia="en-US" w:bidi="ar-SA"/>
              </w:rPr>
            </w:pPr>
            <w:r w:rsidRPr="006E2063">
              <w:rPr>
                <w:iCs/>
                <w:sz w:val="20"/>
                <w:szCs w:val="20"/>
                <w:lang w:val="en-AU" w:eastAsia="en-US" w:bidi="ar-SA"/>
              </w:rPr>
              <w:lastRenderedPageBreak/>
              <w:t>Gastrointestinal disorders</w:t>
            </w:r>
          </w:p>
          <w:p w14:paraId="3A27CAF2" w14:textId="7F622C13" w:rsidR="00382FC4" w:rsidRPr="006E2063" w:rsidRDefault="00382FC4" w:rsidP="00382FC4">
            <w:pPr>
              <w:spacing w:after="20"/>
              <w:ind w:left="720"/>
              <w:rPr>
                <w:iCs/>
                <w:sz w:val="20"/>
                <w:szCs w:val="20"/>
                <w:lang w:val="en-AU" w:eastAsia="en-US" w:bidi="ar-SA"/>
              </w:rPr>
            </w:pPr>
            <w:r w:rsidRPr="006E2063">
              <w:rPr>
                <w:iCs/>
                <w:sz w:val="20"/>
                <w:szCs w:val="20"/>
                <w:lang w:val="en-AU" w:eastAsia="en-US" w:bidi="ar-SA"/>
              </w:rPr>
              <w:t>Diarrhoea</w:t>
            </w:r>
          </w:p>
        </w:tc>
        <w:tc>
          <w:tcPr>
            <w:tcW w:w="1165" w:type="pct"/>
          </w:tcPr>
          <w:p w14:paraId="1768CA26" w14:textId="7441CD9C" w:rsidR="00382FC4" w:rsidRPr="006E2063" w:rsidRDefault="00382FC4" w:rsidP="00382FC4">
            <w:pPr>
              <w:spacing w:after="20"/>
              <w:jc w:val="center"/>
              <w:rPr>
                <w:iCs/>
                <w:sz w:val="20"/>
                <w:szCs w:val="20"/>
                <w:lang w:val="en-AU" w:eastAsia="en-US" w:bidi="ar-SA"/>
              </w:rPr>
            </w:pPr>
          </w:p>
          <w:p w14:paraId="0F249641" w14:textId="2A8050F4"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21 (6.3)</w:t>
            </w:r>
          </w:p>
        </w:tc>
        <w:tc>
          <w:tcPr>
            <w:tcW w:w="743" w:type="pct"/>
          </w:tcPr>
          <w:p w14:paraId="5C93C1F6" w14:textId="17AE729D" w:rsidR="00382FC4" w:rsidRPr="006E2063" w:rsidRDefault="00382FC4" w:rsidP="00382FC4">
            <w:pPr>
              <w:spacing w:after="20"/>
              <w:jc w:val="center"/>
              <w:rPr>
                <w:iCs/>
                <w:sz w:val="20"/>
                <w:szCs w:val="20"/>
                <w:lang w:val="en-AU" w:eastAsia="en-US" w:bidi="ar-SA"/>
              </w:rPr>
            </w:pPr>
          </w:p>
          <w:p w14:paraId="5B34495A" w14:textId="4C2317EE" w:rsidR="006738D2" w:rsidRPr="006E2063" w:rsidRDefault="006738D2" w:rsidP="00382FC4">
            <w:pPr>
              <w:spacing w:after="20"/>
              <w:jc w:val="center"/>
              <w:rPr>
                <w:iCs/>
                <w:sz w:val="20"/>
                <w:szCs w:val="20"/>
                <w:lang w:val="en-AU" w:eastAsia="en-US" w:bidi="ar-SA"/>
              </w:rPr>
            </w:pPr>
            <w:r w:rsidRPr="006E2063">
              <w:rPr>
                <w:iCs/>
                <w:sz w:val="20"/>
                <w:szCs w:val="20"/>
                <w:lang w:val="en-AU" w:eastAsia="en-US" w:bidi="ar-SA"/>
              </w:rPr>
              <w:t>8 (4.8)</w:t>
            </w:r>
          </w:p>
        </w:tc>
        <w:tc>
          <w:tcPr>
            <w:tcW w:w="923" w:type="pct"/>
          </w:tcPr>
          <w:p w14:paraId="7AC9A2D2" w14:textId="7959D2B5" w:rsidR="00382FC4" w:rsidRPr="006E2063" w:rsidRDefault="00382FC4" w:rsidP="00382FC4">
            <w:pPr>
              <w:spacing w:after="20"/>
              <w:jc w:val="center"/>
              <w:rPr>
                <w:iCs/>
                <w:sz w:val="20"/>
                <w:szCs w:val="20"/>
                <w:lang w:val="en-AU" w:eastAsia="en-US" w:bidi="ar-SA"/>
              </w:rPr>
            </w:pPr>
          </w:p>
          <w:p w14:paraId="78875B0B" w14:textId="347E3BDA"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5 (8.2)</w:t>
            </w:r>
          </w:p>
        </w:tc>
      </w:tr>
      <w:tr w:rsidR="006F3AED" w:rsidRPr="006E2063" w14:paraId="5715D8B5" w14:textId="3AD4946B" w:rsidTr="006F3AED">
        <w:tc>
          <w:tcPr>
            <w:tcW w:w="2170" w:type="pct"/>
          </w:tcPr>
          <w:p w14:paraId="04A4507A" w14:textId="0C5EF36B" w:rsidR="00382FC4" w:rsidRPr="006E2063" w:rsidRDefault="00382FC4" w:rsidP="00382FC4">
            <w:pPr>
              <w:spacing w:after="20"/>
              <w:rPr>
                <w:iCs/>
                <w:sz w:val="20"/>
                <w:szCs w:val="20"/>
                <w:lang w:val="en-AU" w:eastAsia="en-US" w:bidi="ar-SA"/>
              </w:rPr>
            </w:pPr>
            <w:r w:rsidRPr="006E2063">
              <w:rPr>
                <w:iCs/>
                <w:sz w:val="20"/>
                <w:szCs w:val="20"/>
                <w:lang w:val="en-AU" w:eastAsia="en-US" w:bidi="ar-SA"/>
              </w:rPr>
              <w:t>Skin and subcutaneous tissue disorders</w:t>
            </w:r>
          </w:p>
          <w:p w14:paraId="1EA84406" w14:textId="543B4C74" w:rsidR="00382FC4" w:rsidRPr="006E2063" w:rsidRDefault="00382FC4" w:rsidP="00382FC4">
            <w:pPr>
              <w:spacing w:after="20"/>
              <w:ind w:left="720"/>
              <w:rPr>
                <w:iCs/>
                <w:sz w:val="20"/>
                <w:szCs w:val="20"/>
                <w:lang w:val="en-AU" w:eastAsia="en-US" w:bidi="ar-SA"/>
              </w:rPr>
            </w:pPr>
            <w:r w:rsidRPr="006E2063">
              <w:rPr>
                <w:iCs/>
                <w:sz w:val="20"/>
                <w:szCs w:val="20"/>
                <w:lang w:val="en-AU" w:eastAsia="en-US" w:bidi="ar-SA"/>
              </w:rPr>
              <w:t>Rash</w:t>
            </w:r>
          </w:p>
        </w:tc>
        <w:tc>
          <w:tcPr>
            <w:tcW w:w="1165" w:type="pct"/>
          </w:tcPr>
          <w:p w14:paraId="227A4352" w14:textId="01F0DE21" w:rsidR="00382FC4" w:rsidRPr="006E2063" w:rsidRDefault="00382FC4" w:rsidP="00382FC4">
            <w:pPr>
              <w:spacing w:after="20"/>
              <w:jc w:val="center"/>
              <w:rPr>
                <w:iCs/>
                <w:sz w:val="20"/>
                <w:szCs w:val="20"/>
                <w:lang w:val="en-AU" w:eastAsia="en-US" w:bidi="ar-SA"/>
              </w:rPr>
            </w:pPr>
          </w:p>
          <w:p w14:paraId="0C5DB75E" w14:textId="09355AFD"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6 (1.8)</w:t>
            </w:r>
          </w:p>
        </w:tc>
        <w:tc>
          <w:tcPr>
            <w:tcW w:w="743" w:type="pct"/>
          </w:tcPr>
          <w:p w14:paraId="7021BAA9" w14:textId="5EF05321" w:rsidR="00382FC4" w:rsidRPr="006E2063" w:rsidRDefault="00382FC4" w:rsidP="00382FC4">
            <w:pPr>
              <w:spacing w:after="20"/>
              <w:jc w:val="center"/>
              <w:rPr>
                <w:iCs/>
                <w:sz w:val="20"/>
                <w:szCs w:val="20"/>
                <w:lang w:val="en-AU" w:eastAsia="en-US" w:bidi="ar-SA"/>
              </w:rPr>
            </w:pPr>
          </w:p>
          <w:p w14:paraId="606915F0" w14:textId="7EBCA722" w:rsidR="006738D2" w:rsidRPr="006E2063" w:rsidRDefault="006738D2" w:rsidP="00382FC4">
            <w:pPr>
              <w:spacing w:after="20"/>
              <w:jc w:val="center"/>
              <w:rPr>
                <w:iCs/>
                <w:sz w:val="20"/>
                <w:szCs w:val="20"/>
                <w:lang w:val="en-AU" w:eastAsia="en-US" w:bidi="ar-SA"/>
              </w:rPr>
            </w:pPr>
            <w:r w:rsidRPr="006E2063">
              <w:rPr>
                <w:iCs/>
                <w:sz w:val="20"/>
                <w:szCs w:val="20"/>
                <w:lang w:val="en-AU" w:eastAsia="en-US" w:bidi="ar-SA"/>
              </w:rPr>
              <w:t>10 (6.0)</w:t>
            </w:r>
          </w:p>
        </w:tc>
        <w:tc>
          <w:tcPr>
            <w:tcW w:w="923" w:type="pct"/>
          </w:tcPr>
          <w:p w14:paraId="6DF9A2CA" w14:textId="2664CAAD" w:rsidR="00382FC4" w:rsidRPr="006E2063" w:rsidRDefault="00382FC4" w:rsidP="00382FC4">
            <w:pPr>
              <w:spacing w:after="20"/>
              <w:jc w:val="center"/>
              <w:rPr>
                <w:iCs/>
                <w:sz w:val="20"/>
                <w:szCs w:val="20"/>
                <w:lang w:val="en-AU" w:eastAsia="en-US" w:bidi="ar-SA"/>
              </w:rPr>
            </w:pPr>
          </w:p>
          <w:p w14:paraId="6C1D2018" w14:textId="786AF8B8" w:rsidR="00382FC4" w:rsidRPr="006E2063" w:rsidRDefault="00382FC4" w:rsidP="00382FC4">
            <w:pPr>
              <w:spacing w:after="20"/>
              <w:jc w:val="center"/>
              <w:rPr>
                <w:iCs/>
                <w:sz w:val="20"/>
                <w:szCs w:val="20"/>
                <w:lang w:val="en-AU" w:eastAsia="en-US" w:bidi="ar-SA"/>
              </w:rPr>
            </w:pPr>
            <w:r w:rsidRPr="006E2063">
              <w:rPr>
                <w:iCs/>
                <w:sz w:val="20"/>
                <w:szCs w:val="20"/>
                <w:lang w:val="en-AU" w:eastAsia="en-US" w:bidi="ar-SA"/>
              </w:rPr>
              <w:t>2 (3.3)</w:t>
            </w:r>
          </w:p>
        </w:tc>
      </w:tr>
    </w:tbl>
    <w:p w14:paraId="55D55634" w14:textId="126A5BDB" w:rsidR="006D47AA" w:rsidRPr="006E2063" w:rsidRDefault="006D47AA"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Description of selected adverse reactions</w:t>
      </w:r>
      <w:r w:rsidR="000F06B8"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b w:val="0"/>
          <w:bCs w:val="0"/>
          <w:color w:val="auto"/>
          <w:lang w:val="en-AU" w:eastAsia="en-US" w:bidi="ar-SA"/>
        </w:rPr>
        <w:instrText xml:space="preserve"> DOCVARIABLE vault_nd_7490e36a-8504-4f2b-9fad-6f0734f669a2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1329B8A6" w14:textId="77777777" w:rsidR="006D47AA" w:rsidRPr="006E2063" w:rsidRDefault="006D47AA" w:rsidP="006D47AA">
      <w:pPr>
        <w:rPr>
          <w:i/>
          <w:iCs/>
          <w:sz w:val="24"/>
          <w:szCs w:val="24"/>
          <w:lang w:val="en-AU" w:eastAsia="en-US" w:bidi="ar-SA"/>
        </w:rPr>
      </w:pPr>
      <w:r w:rsidRPr="006E2063">
        <w:rPr>
          <w:i/>
          <w:iCs/>
          <w:sz w:val="24"/>
          <w:szCs w:val="24"/>
          <w:lang w:val="en-AU" w:eastAsia="en-US" w:bidi="ar-SA"/>
        </w:rPr>
        <w:t xml:space="preserve">Peripheral oedema </w:t>
      </w:r>
    </w:p>
    <w:p w14:paraId="429D75AC" w14:textId="77777777" w:rsidR="006D47AA" w:rsidRPr="006E2063" w:rsidRDefault="006D47AA" w:rsidP="006D47AA">
      <w:pPr>
        <w:rPr>
          <w:iCs/>
          <w:sz w:val="24"/>
          <w:szCs w:val="24"/>
          <w:lang w:val="en-AU" w:eastAsia="en-US" w:bidi="ar-SA"/>
        </w:rPr>
      </w:pPr>
      <w:r w:rsidRPr="006E2063">
        <w:rPr>
          <w:iCs/>
          <w:sz w:val="24"/>
          <w:szCs w:val="24"/>
          <w:lang w:val="en-AU" w:eastAsia="en-US" w:bidi="ar-SA"/>
        </w:rPr>
        <w:t>Peripheral oedema was commonly observed (4%). Growth hormone deficient patients are characterised by extracellular volume deficit. When treatment with growth hormone products is initiated, this deficit is corrected. Fluid retention with peripheral oedema may occur. The symptoms are usually transient, dose dependent and may require transient dose reduction.</w:t>
      </w:r>
    </w:p>
    <w:p w14:paraId="0A876E7A" w14:textId="77777777" w:rsidR="006D47AA" w:rsidRPr="006E2063" w:rsidRDefault="006D47AA" w:rsidP="006D47AA">
      <w:pPr>
        <w:rPr>
          <w:i/>
          <w:iCs/>
          <w:sz w:val="24"/>
          <w:szCs w:val="24"/>
          <w:lang w:val="en-AU" w:eastAsia="en-US" w:bidi="ar-SA"/>
        </w:rPr>
      </w:pPr>
      <w:r w:rsidRPr="006E2063">
        <w:rPr>
          <w:i/>
          <w:iCs/>
          <w:sz w:val="24"/>
          <w:szCs w:val="24"/>
          <w:lang w:val="en-AU" w:eastAsia="en-US" w:bidi="ar-SA"/>
        </w:rPr>
        <w:t>Adrenocortical insufficiency</w:t>
      </w:r>
    </w:p>
    <w:p w14:paraId="08A5F146" w14:textId="3172ADEB" w:rsidR="006D47AA" w:rsidRPr="006E2063" w:rsidRDefault="006D47AA" w:rsidP="006D47AA">
      <w:pPr>
        <w:rPr>
          <w:iCs/>
          <w:sz w:val="24"/>
          <w:szCs w:val="24"/>
          <w:lang w:val="en-AU" w:eastAsia="en-US" w:bidi="ar-SA"/>
        </w:rPr>
      </w:pPr>
      <w:r w:rsidRPr="006E2063">
        <w:rPr>
          <w:iCs/>
          <w:sz w:val="24"/>
          <w:szCs w:val="24"/>
          <w:lang w:val="en-AU" w:eastAsia="en-US" w:bidi="ar-SA"/>
        </w:rPr>
        <w:t>Adrenocortical insufficiency was commonly observed (3%), see section 4.4</w:t>
      </w:r>
      <w:r w:rsidR="00E33834" w:rsidRPr="006E2063">
        <w:rPr>
          <w:iCs/>
          <w:sz w:val="24"/>
          <w:szCs w:val="24"/>
          <w:lang w:val="en-AU" w:eastAsia="en-US" w:bidi="ar-SA"/>
        </w:rPr>
        <w:t xml:space="preserve"> </w:t>
      </w:r>
      <w:r w:rsidR="00E33834" w:rsidRPr="006E2063">
        <w:rPr>
          <w:sz w:val="24"/>
          <w:szCs w:val="24"/>
          <w:lang w:val="en-AU"/>
        </w:rPr>
        <w:t>Special warnings and precautions for use</w:t>
      </w:r>
      <w:r w:rsidRPr="006E2063">
        <w:rPr>
          <w:iCs/>
          <w:sz w:val="24"/>
          <w:szCs w:val="24"/>
          <w:lang w:val="en-AU" w:eastAsia="en-US" w:bidi="ar-SA"/>
        </w:rPr>
        <w:t>.</w:t>
      </w:r>
    </w:p>
    <w:p w14:paraId="737F4719" w14:textId="36BDC647" w:rsidR="005234D4" w:rsidRPr="006E2063" w:rsidRDefault="005234D4" w:rsidP="00116421">
      <w:pPr>
        <w:pStyle w:val="Heading4"/>
        <w:rPr>
          <w:rFonts w:ascii="Times New Roman" w:hAnsi="Times New Roman" w:cs="Times New Roman"/>
          <w:color w:val="auto"/>
          <w:lang w:val="en-AU" w:eastAsia="en-US" w:bidi="ar-SA"/>
        </w:rPr>
      </w:pPr>
      <w:r w:rsidRPr="006E2063">
        <w:rPr>
          <w:rFonts w:ascii="Times New Roman" w:hAnsi="Times New Roman" w:cs="Times New Roman"/>
          <w:color w:val="auto"/>
          <w:lang w:val="en-AU" w:eastAsia="en-US" w:bidi="ar-SA"/>
        </w:rPr>
        <w:t>Reporting suspected adverse effects</w:t>
      </w:r>
      <w:r w:rsidR="00C57A87" w:rsidRPr="006E2063">
        <w:rPr>
          <w:rFonts w:ascii="Times New Roman" w:hAnsi="Times New Roman" w:cs="Times New Roman"/>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vault_nd_72a627dd-fbfe-44c5-b007-16a7a207490e \* MERGEFORMAT </w:instrText>
      </w:r>
      <w:r w:rsidR="00C57A87" w:rsidRPr="006E2063">
        <w:rPr>
          <w:rFonts w:ascii="Times New Roman" w:hAnsi="Times New Roman" w:cs="Times New Roman"/>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color w:val="auto"/>
          <w:lang w:val="en-AU" w:eastAsia="en-US" w:bidi="ar-SA"/>
        </w:rPr>
        <w:fldChar w:fldCharType="end"/>
      </w:r>
    </w:p>
    <w:p w14:paraId="74D76F4F" w14:textId="77777777" w:rsidR="005234D4" w:rsidRPr="006E2063" w:rsidRDefault="005234D4" w:rsidP="005234D4">
      <w:pPr>
        <w:rPr>
          <w:lang w:val="en-AU"/>
        </w:rPr>
      </w:pPr>
      <w:r w:rsidRPr="006E2063">
        <w:rPr>
          <w:sz w:val="24"/>
          <w:szCs w:val="24"/>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6E2063">
          <w:rPr>
            <w:rStyle w:val="Hyperlink"/>
            <w:sz w:val="24"/>
            <w:szCs w:val="24"/>
            <w:lang w:val="en-AU"/>
          </w:rPr>
          <w:t>www.tga.gov.au/reporting-problems</w:t>
        </w:r>
      </w:hyperlink>
      <w:r w:rsidRPr="006E2063">
        <w:rPr>
          <w:lang w:val="en-AU"/>
        </w:rPr>
        <w:t>.</w:t>
      </w:r>
    </w:p>
    <w:p w14:paraId="07D612D4" w14:textId="1552996F" w:rsidR="005234D4" w:rsidRPr="006E2063" w:rsidRDefault="005234D4" w:rsidP="00F80FDA">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Overdose</w:t>
      </w:r>
      <w:r w:rsidR="00B849A0"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vault_nd_07f1e5e1-8618-40b1-977c-a79548eee4ce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7E15B33D" w14:textId="77777777" w:rsidR="0074400C" w:rsidRPr="006E2063" w:rsidRDefault="0074400C" w:rsidP="0074400C">
      <w:pPr>
        <w:rPr>
          <w:sz w:val="24"/>
          <w:szCs w:val="24"/>
          <w:lang w:val="en-AU"/>
        </w:rPr>
      </w:pPr>
      <w:r w:rsidRPr="006E2063">
        <w:rPr>
          <w:sz w:val="24"/>
          <w:szCs w:val="24"/>
          <w:lang w:val="en-AU"/>
        </w:rPr>
        <w:t xml:space="preserve">Treatment with growth hormone can lead to an acute overdose with low blood glucose levels initially, followed by high blood glucose levels. These decreased glucose levels have been detected biochemically, but without clinical signs of hypoglycaemia. </w:t>
      </w:r>
    </w:p>
    <w:p w14:paraId="2AAC86DD" w14:textId="77777777" w:rsidR="0074400C" w:rsidRPr="006E2063" w:rsidRDefault="0074400C" w:rsidP="0074400C">
      <w:pPr>
        <w:rPr>
          <w:sz w:val="24"/>
          <w:szCs w:val="24"/>
          <w:lang w:val="en-AU"/>
        </w:rPr>
      </w:pPr>
      <w:r w:rsidRPr="006E2063">
        <w:rPr>
          <w:sz w:val="24"/>
          <w:szCs w:val="24"/>
          <w:lang w:val="en-AU"/>
        </w:rPr>
        <w:t>Long-term overdosage could result in signs and symptoms consistent with the known effects of human growth hormone excess.</w:t>
      </w:r>
    </w:p>
    <w:p w14:paraId="3A9CFC7F" w14:textId="049D8964" w:rsidR="005234D4" w:rsidRPr="006E2063" w:rsidRDefault="005234D4" w:rsidP="0074400C">
      <w:pPr>
        <w:rPr>
          <w:sz w:val="24"/>
          <w:szCs w:val="24"/>
          <w:lang w:val="en-AU"/>
        </w:rPr>
      </w:pPr>
      <w:r w:rsidRPr="006E2063">
        <w:rPr>
          <w:sz w:val="24"/>
          <w:szCs w:val="24"/>
          <w:lang w:val="en-AU"/>
        </w:rPr>
        <w:t>For information on the management of overdose, contact the Poisons Information Centre on 13 11 26 (Australia).</w:t>
      </w:r>
    </w:p>
    <w:p w14:paraId="338F77CB" w14:textId="445FFA36" w:rsidR="005234D4" w:rsidRPr="006E2063" w:rsidRDefault="005234D4" w:rsidP="00BF2B59">
      <w:pPr>
        <w:pStyle w:val="Heading1-TNR"/>
      </w:pPr>
      <w:r w:rsidRPr="006E2063">
        <w:t>Pharmacological properties</w:t>
      </w:r>
      <w:r w:rsidR="003421FF">
        <w:fldChar w:fldCharType="begin"/>
      </w:r>
      <w:r w:rsidR="003421FF">
        <w:instrText xml:space="preserve"> DOCVARIABLE VAULT_ND_e7b0c26e-e910-4509-bad0-dc20075f5aa8 \* MERGEFORMAT </w:instrText>
      </w:r>
      <w:r w:rsidR="003421FF">
        <w:fldChar w:fldCharType="separate"/>
      </w:r>
      <w:r w:rsidR="00C57A87" w:rsidRPr="006E2063">
        <w:t xml:space="preserve"> </w:t>
      </w:r>
      <w:r w:rsidR="003421FF">
        <w:fldChar w:fldCharType="end"/>
      </w:r>
    </w:p>
    <w:p w14:paraId="21F3708D" w14:textId="3062C47F" w:rsidR="005234D4" w:rsidRPr="006E2063" w:rsidRDefault="005234D4" w:rsidP="00E81F63">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Pharmacodynamic properties</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vault_nd_88eb20f5-9981-4e95-a178-c1d2c38e8d26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69C437B2" w14:textId="01C0591B" w:rsidR="009F5B5D" w:rsidRPr="006E2063" w:rsidRDefault="009F5B5D" w:rsidP="009F5B5D">
      <w:pPr>
        <w:rPr>
          <w:sz w:val="24"/>
          <w:szCs w:val="24"/>
          <w:lang w:val="en-AU"/>
        </w:rPr>
      </w:pPr>
      <w:r w:rsidRPr="006E2063">
        <w:rPr>
          <w:sz w:val="24"/>
          <w:szCs w:val="24"/>
          <w:lang w:val="en-AU"/>
        </w:rPr>
        <w:t>Pharmacotherapeutic group: Pituitary and hypothalamic hormones and analogues, somatropin and somatropin agonists, ATC code: H01AC07</w:t>
      </w:r>
    </w:p>
    <w:p w14:paraId="1331A7D8" w14:textId="1CD4E5A2" w:rsidR="005234D4" w:rsidRPr="006E2063" w:rsidRDefault="005234D4"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Mechanism of action</w:t>
      </w:r>
      <w:r w:rsidR="004462D1"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b w:val="0"/>
          <w:bCs w:val="0"/>
          <w:color w:val="auto"/>
          <w:lang w:val="en-AU" w:eastAsia="en-US" w:bidi="ar-SA"/>
        </w:rPr>
        <w:instrText xml:space="preserve"> DOCVARIABLE vault_nd_ed656913-4da9-4c36-8ab0-6412f0120ca3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1D3FEE6B" w14:textId="77777777" w:rsidR="00A107CF" w:rsidRPr="006E2063" w:rsidRDefault="00A107CF" w:rsidP="00A107CF">
      <w:pPr>
        <w:rPr>
          <w:sz w:val="24"/>
          <w:szCs w:val="24"/>
          <w:lang w:val="en-AU" w:eastAsia="en-US" w:bidi="ar-SA"/>
        </w:rPr>
      </w:pPr>
      <w:r w:rsidRPr="006E2063">
        <w:rPr>
          <w:sz w:val="24"/>
          <w:szCs w:val="24"/>
          <w:lang w:val="en-AU" w:eastAsia="en-US" w:bidi="ar-SA"/>
        </w:rPr>
        <w:t xml:space="preserve">Somapacitan is a long-acting recombinant human growth hormone derivative. It consists of 191 amino acids </w:t>
      </w:r>
      <w:proofErr w:type="gramStart"/>
      <w:r w:rsidRPr="006E2063">
        <w:rPr>
          <w:sz w:val="24"/>
          <w:szCs w:val="24"/>
          <w:lang w:val="en-AU" w:eastAsia="en-US" w:bidi="ar-SA"/>
        </w:rPr>
        <w:t>similar to</w:t>
      </w:r>
      <w:proofErr w:type="gramEnd"/>
      <w:r w:rsidRPr="006E2063">
        <w:rPr>
          <w:sz w:val="24"/>
          <w:szCs w:val="24"/>
          <w:lang w:val="en-AU" w:eastAsia="en-US" w:bidi="ar-SA"/>
        </w:rPr>
        <w:t xml:space="preserve"> endogenous human growth hormone, with a single substitution in the amino acid backbone (L101C) to which an albumin binding moiety has been attached. </w:t>
      </w:r>
      <w:r w:rsidRPr="006E2063">
        <w:rPr>
          <w:sz w:val="24"/>
          <w:szCs w:val="24"/>
          <w:lang w:val="en-AU" w:eastAsia="en-US" w:bidi="ar-SA"/>
        </w:rPr>
        <w:lastRenderedPageBreak/>
        <w:t>The albumin binding moiety (side</w:t>
      </w:r>
      <w:r w:rsidRPr="006E2063">
        <w:rPr>
          <w:sz w:val="24"/>
          <w:szCs w:val="24"/>
          <w:lang w:val="en-AU" w:eastAsia="en-US" w:bidi="ar-SA"/>
        </w:rPr>
        <w:noBreakHyphen/>
        <w:t xml:space="preserve">chain) consists of a fatty acid moiety and a hydrophilic spacer attached to position 101 of the protein. </w:t>
      </w:r>
    </w:p>
    <w:p w14:paraId="38AA3319" w14:textId="77777777" w:rsidR="00A107CF" w:rsidRPr="006E2063" w:rsidRDefault="00A107CF" w:rsidP="00A107CF">
      <w:pPr>
        <w:rPr>
          <w:sz w:val="24"/>
          <w:szCs w:val="24"/>
          <w:lang w:val="en-AU" w:eastAsia="en-US" w:bidi="ar-SA"/>
        </w:rPr>
      </w:pPr>
      <w:r w:rsidRPr="006E2063">
        <w:rPr>
          <w:sz w:val="24"/>
          <w:szCs w:val="24"/>
          <w:lang w:val="en-AU" w:eastAsia="en-US" w:bidi="ar-SA"/>
        </w:rPr>
        <w:t>The mechanism of action of somapacitan is either directly via the GH</w:t>
      </w:r>
      <w:r w:rsidRPr="006E2063">
        <w:rPr>
          <w:sz w:val="24"/>
          <w:szCs w:val="24"/>
          <w:lang w:val="en-AU" w:eastAsia="en-US" w:bidi="ar-SA"/>
        </w:rPr>
        <w:noBreakHyphen/>
        <w:t>receptor and/or indirectly via IGF</w:t>
      </w:r>
      <w:r w:rsidRPr="006E2063">
        <w:rPr>
          <w:sz w:val="24"/>
          <w:szCs w:val="24"/>
          <w:lang w:val="en-AU" w:eastAsia="en-US" w:bidi="ar-SA"/>
        </w:rPr>
        <w:noBreakHyphen/>
        <w:t xml:space="preserve">I produced in tissues throughout the body, but predominantly by the liver. </w:t>
      </w:r>
    </w:p>
    <w:p w14:paraId="0E867060" w14:textId="61135FFD" w:rsidR="00A107CF" w:rsidRPr="006E2063" w:rsidRDefault="00A107CF" w:rsidP="00F22E20">
      <w:pPr>
        <w:rPr>
          <w:sz w:val="24"/>
          <w:szCs w:val="24"/>
          <w:lang w:val="en-AU" w:eastAsia="en-US" w:bidi="ar-SA"/>
        </w:rPr>
      </w:pPr>
      <w:r w:rsidRPr="006E2063">
        <w:rPr>
          <w:sz w:val="24"/>
          <w:szCs w:val="24"/>
          <w:lang w:val="en-AU" w:eastAsia="en-US" w:bidi="ar-SA"/>
        </w:rPr>
        <w:t>When growth hormone deficiency is treated with somapacitan</w:t>
      </w:r>
      <w:r w:rsidR="000D48D5">
        <w:rPr>
          <w:sz w:val="24"/>
          <w:szCs w:val="24"/>
          <w:lang w:val="en-AU" w:eastAsia="en-US" w:bidi="ar-SA"/>
        </w:rPr>
        <w:t>,</w:t>
      </w:r>
      <w:r w:rsidRPr="006E2063">
        <w:rPr>
          <w:sz w:val="24"/>
          <w:szCs w:val="24"/>
          <w:lang w:val="en-AU" w:eastAsia="en-US" w:bidi="ar-SA"/>
        </w:rPr>
        <w:t xml:space="preserve"> a normalisation of body composition (i.e., decreased body fat mass, increased lean body mass) and of metabolic action is achieved. </w:t>
      </w:r>
    </w:p>
    <w:p w14:paraId="11910C78" w14:textId="2E7A3512" w:rsidR="00995BBD" w:rsidRPr="006E2063" w:rsidRDefault="00995BBD">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Pharmacodynamic effects</w:t>
      </w:r>
      <w:r w:rsidR="004E57C7"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b w:val="0"/>
          <w:bCs w:val="0"/>
          <w:color w:val="auto"/>
          <w:lang w:val="en-AU" w:eastAsia="en-US" w:bidi="ar-SA"/>
        </w:rPr>
        <w:instrText xml:space="preserve"> DOCVARIABLE vault_nd_ff85f2fb-dca8-4dd5-b14f-6a3a99c5b333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56C57088" w14:textId="1E890D85" w:rsidR="00995BBD" w:rsidRPr="006E2063" w:rsidRDefault="00995BBD" w:rsidP="00111287">
      <w:pPr>
        <w:keepNext/>
        <w:keepLines/>
        <w:rPr>
          <w:i/>
          <w:iCs/>
          <w:sz w:val="24"/>
          <w:szCs w:val="24"/>
          <w:lang w:val="en-AU" w:eastAsia="en-US" w:bidi="ar-SA"/>
        </w:rPr>
      </w:pPr>
      <w:bookmarkStart w:id="8" w:name="_Hlk55988474"/>
      <w:r w:rsidRPr="006E2063">
        <w:rPr>
          <w:i/>
          <w:iCs/>
          <w:sz w:val="24"/>
          <w:szCs w:val="24"/>
          <w:lang w:val="en-AU" w:eastAsia="en-US" w:bidi="ar-SA"/>
        </w:rPr>
        <w:t>IGF</w:t>
      </w:r>
      <w:r w:rsidRPr="006E2063">
        <w:rPr>
          <w:sz w:val="24"/>
          <w:szCs w:val="24"/>
          <w:lang w:val="en-AU" w:eastAsia="en-US" w:bidi="ar-SA"/>
        </w:rPr>
        <w:noBreakHyphen/>
      </w:r>
      <w:r w:rsidRPr="006E2063">
        <w:rPr>
          <w:i/>
          <w:iCs/>
          <w:sz w:val="24"/>
          <w:szCs w:val="24"/>
          <w:lang w:val="en-AU" w:eastAsia="en-US" w:bidi="ar-SA"/>
        </w:rPr>
        <w:t>I</w:t>
      </w:r>
    </w:p>
    <w:p w14:paraId="6F7AED44" w14:textId="77777777" w:rsidR="00995BBD" w:rsidRPr="006E2063" w:rsidRDefault="00995BBD" w:rsidP="00111287">
      <w:pPr>
        <w:keepNext/>
        <w:keepLines/>
        <w:rPr>
          <w:sz w:val="24"/>
          <w:szCs w:val="24"/>
          <w:lang w:val="en-AU" w:eastAsia="en-US" w:bidi="ar-SA"/>
        </w:rPr>
      </w:pPr>
      <w:r w:rsidRPr="006E2063">
        <w:rPr>
          <w:sz w:val="24"/>
          <w:szCs w:val="24"/>
          <w:lang w:val="en-AU" w:eastAsia="en-US" w:bidi="ar-SA"/>
        </w:rPr>
        <w:t>IGF</w:t>
      </w:r>
      <w:r w:rsidRPr="006E2063">
        <w:rPr>
          <w:sz w:val="24"/>
          <w:szCs w:val="24"/>
          <w:lang w:val="en-AU" w:eastAsia="en-US" w:bidi="ar-SA"/>
        </w:rPr>
        <w:noBreakHyphen/>
        <w:t xml:space="preserve">I </w:t>
      </w:r>
      <w:proofErr w:type="gramStart"/>
      <w:r w:rsidRPr="006E2063">
        <w:rPr>
          <w:sz w:val="24"/>
          <w:szCs w:val="24"/>
          <w:lang w:val="en-AU" w:eastAsia="en-US" w:bidi="ar-SA"/>
        </w:rPr>
        <w:t>is</w:t>
      </w:r>
      <w:proofErr w:type="gramEnd"/>
      <w:r w:rsidRPr="006E2063">
        <w:rPr>
          <w:sz w:val="24"/>
          <w:szCs w:val="24"/>
          <w:lang w:val="en-AU" w:eastAsia="en-US" w:bidi="ar-SA"/>
        </w:rPr>
        <w:t xml:space="preserve"> a generally accepted biomarker for efficacy in AGHD. </w:t>
      </w:r>
    </w:p>
    <w:p w14:paraId="59ED3E11" w14:textId="77777777" w:rsidR="00995BBD" w:rsidRPr="006E2063" w:rsidRDefault="00995BBD" w:rsidP="00995BBD">
      <w:pPr>
        <w:rPr>
          <w:sz w:val="24"/>
          <w:szCs w:val="24"/>
          <w:lang w:val="en-AU" w:eastAsia="en-US" w:bidi="ar-SA"/>
        </w:rPr>
      </w:pPr>
      <w:r w:rsidRPr="006E2063">
        <w:rPr>
          <w:sz w:val="24"/>
          <w:szCs w:val="24"/>
          <w:lang w:val="en-AU" w:eastAsia="en-US" w:bidi="ar-SA"/>
        </w:rPr>
        <w:t xml:space="preserve">A </w:t>
      </w:r>
      <w:proofErr w:type="gramStart"/>
      <w:r w:rsidRPr="006E2063">
        <w:rPr>
          <w:sz w:val="24"/>
          <w:szCs w:val="24"/>
          <w:lang w:val="en-AU" w:eastAsia="en-US" w:bidi="ar-SA"/>
        </w:rPr>
        <w:t>dose-dependent</w:t>
      </w:r>
      <w:proofErr w:type="gramEnd"/>
      <w:r w:rsidRPr="006E2063">
        <w:rPr>
          <w:sz w:val="24"/>
          <w:szCs w:val="24"/>
          <w:lang w:val="en-AU" w:eastAsia="en-US" w:bidi="ar-SA"/>
        </w:rPr>
        <w:t xml:space="preserve"> IGF</w:t>
      </w:r>
      <w:r w:rsidRPr="006E2063">
        <w:rPr>
          <w:sz w:val="24"/>
          <w:szCs w:val="24"/>
          <w:lang w:val="en-AU" w:eastAsia="en-US" w:bidi="ar-SA"/>
        </w:rPr>
        <w:noBreakHyphen/>
        <w:t>I response is induced following somapacitan administration in AGHD patients.</w:t>
      </w:r>
      <w:bookmarkStart w:id="9" w:name="_Hlk60681607"/>
      <w:r w:rsidRPr="006E2063">
        <w:rPr>
          <w:sz w:val="24"/>
          <w:szCs w:val="24"/>
          <w:lang w:val="en-AU" w:eastAsia="en-US" w:bidi="ar-SA"/>
        </w:rPr>
        <w:t xml:space="preserve"> </w:t>
      </w:r>
      <w:r w:rsidRPr="006E2063">
        <w:rPr>
          <w:iCs/>
          <w:sz w:val="24"/>
          <w:szCs w:val="24"/>
          <w:lang w:val="en-AU" w:eastAsia="en-US" w:bidi="ar-SA"/>
        </w:rPr>
        <w:t>A steady state pattern in IGF-I responses is reached after 1-2 weekly doses</w:t>
      </w:r>
      <w:bookmarkEnd w:id="9"/>
      <w:r w:rsidRPr="006E2063">
        <w:rPr>
          <w:iCs/>
          <w:sz w:val="24"/>
          <w:szCs w:val="24"/>
          <w:lang w:val="en-AU" w:eastAsia="en-US" w:bidi="ar-SA"/>
        </w:rPr>
        <w:t>.</w:t>
      </w:r>
    </w:p>
    <w:p w14:paraId="7D72EF75" w14:textId="77777777" w:rsidR="00995BBD" w:rsidRPr="006E2063" w:rsidRDefault="00995BBD" w:rsidP="00995BBD">
      <w:pPr>
        <w:rPr>
          <w:sz w:val="24"/>
          <w:szCs w:val="24"/>
          <w:lang w:val="en-AU" w:eastAsia="en-US" w:bidi="ar-SA"/>
        </w:rPr>
      </w:pPr>
      <w:r w:rsidRPr="006E2063">
        <w:rPr>
          <w:sz w:val="24"/>
          <w:szCs w:val="24"/>
          <w:lang w:val="en-AU" w:eastAsia="en-US" w:bidi="ar-SA"/>
        </w:rPr>
        <w:t>The IGF-I levels fluctuate during the week. The IGF</w:t>
      </w:r>
      <w:r w:rsidRPr="006E2063">
        <w:rPr>
          <w:sz w:val="24"/>
          <w:szCs w:val="24"/>
          <w:lang w:val="en-AU" w:eastAsia="en-US" w:bidi="ar-SA"/>
        </w:rPr>
        <w:noBreakHyphen/>
        <w:t xml:space="preserve">I response is maximal after 2 to 4 days. </w:t>
      </w:r>
      <w:bookmarkStart w:id="10" w:name="_Hlk58335465"/>
      <w:r w:rsidRPr="006E2063">
        <w:rPr>
          <w:sz w:val="24"/>
          <w:szCs w:val="24"/>
          <w:lang w:val="en-AU" w:eastAsia="en-US" w:bidi="ar-SA"/>
        </w:rPr>
        <w:t>Compared with daily GH treatment, the IGF</w:t>
      </w:r>
      <w:r w:rsidRPr="006E2063">
        <w:rPr>
          <w:sz w:val="24"/>
          <w:szCs w:val="24"/>
          <w:lang w:val="en-AU" w:eastAsia="en-US" w:bidi="ar-SA"/>
        </w:rPr>
        <w:noBreakHyphen/>
        <w:t xml:space="preserve">I </w:t>
      </w:r>
      <w:bookmarkStart w:id="11" w:name="_Hlk58335501"/>
      <w:bookmarkEnd w:id="10"/>
      <w:r w:rsidRPr="006E2063">
        <w:rPr>
          <w:sz w:val="24"/>
          <w:szCs w:val="24"/>
          <w:lang w:val="en-AU" w:eastAsia="en-US" w:bidi="ar-SA"/>
        </w:rPr>
        <w:t>profile of somapacitan differs, see Figure 1.</w:t>
      </w:r>
    </w:p>
    <w:bookmarkStart w:id="12" w:name="_1666604820"/>
    <w:bookmarkEnd w:id="8"/>
    <w:bookmarkEnd w:id="12"/>
    <w:bookmarkEnd w:id="11"/>
    <w:p w14:paraId="28F1D6FD" w14:textId="5EF21A0A" w:rsidR="00995BBD" w:rsidRPr="006E2063" w:rsidRDefault="00995BBD" w:rsidP="00995BBD">
      <w:pPr>
        <w:rPr>
          <w:lang w:val="en-AU" w:eastAsia="en-US" w:bidi="ar-SA"/>
        </w:rPr>
      </w:pPr>
      <w:r w:rsidRPr="006E2063">
        <w:rPr>
          <w:lang w:val="en-AU" w:eastAsia="en-US" w:bidi="ar-SA"/>
        </w:rPr>
        <w:object w:dxaOrig="8504" w:dyaOrig="5370" w14:anchorId="3DD43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66.25pt" o:ole="" filled="t">
            <v:imagedata r:id="rId13" o:title=""/>
          </v:shape>
          <o:OLEObject Type="Embed" ProgID="Word.Document.12" ShapeID="_x0000_i1025" DrawAspect="Content" ObjectID="_1727778003" r:id="rId14">
            <o:FieldCodes>\s</o:FieldCodes>
          </o:OLEObject>
        </w:object>
      </w:r>
    </w:p>
    <w:p w14:paraId="5B834CF0" w14:textId="001AA5A8" w:rsidR="00995BBD" w:rsidRPr="006E2063" w:rsidRDefault="00995BBD" w:rsidP="00C93249">
      <w:pPr>
        <w:rPr>
          <w:b/>
          <w:bCs/>
          <w:lang w:val="en-AU" w:eastAsia="en-US" w:bidi="ar-SA"/>
        </w:rPr>
      </w:pPr>
      <w:r w:rsidRPr="006E2063">
        <w:rPr>
          <w:b/>
          <w:bCs/>
          <w:lang w:val="en-AU" w:eastAsia="en-US" w:bidi="ar-SA"/>
        </w:rPr>
        <w:t xml:space="preserve">Figure </w:t>
      </w:r>
      <w:r w:rsidR="00C93249" w:rsidRPr="006E2063">
        <w:rPr>
          <w:b/>
          <w:bCs/>
          <w:lang w:val="en-AU" w:eastAsia="en-US" w:bidi="ar-SA"/>
        </w:rPr>
        <w:fldChar w:fldCharType="begin"/>
      </w:r>
      <w:r w:rsidR="00C93249" w:rsidRPr="006E2063">
        <w:rPr>
          <w:b/>
          <w:bCs/>
          <w:lang w:val="en-AU" w:eastAsia="en-US" w:bidi="ar-SA"/>
        </w:rPr>
        <w:instrText xml:space="preserve"> SEQ Figure \* ARABIC \s 1 </w:instrText>
      </w:r>
      <w:r w:rsidR="00C93249" w:rsidRPr="006E2063">
        <w:rPr>
          <w:b/>
          <w:bCs/>
          <w:lang w:val="en-AU" w:eastAsia="en-US" w:bidi="ar-SA"/>
        </w:rPr>
        <w:fldChar w:fldCharType="separate"/>
      </w:r>
      <w:r w:rsidR="00C93249" w:rsidRPr="006E2063">
        <w:rPr>
          <w:b/>
          <w:bCs/>
          <w:lang w:val="en-AU" w:eastAsia="en-US" w:bidi="ar-SA"/>
        </w:rPr>
        <w:t>1</w:t>
      </w:r>
      <w:r w:rsidR="00C93249" w:rsidRPr="006E2063">
        <w:rPr>
          <w:b/>
          <w:bCs/>
          <w:lang w:val="en-AU" w:eastAsia="en-US" w:bidi="ar-SA"/>
        </w:rPr>
        <w:fldChar w:fldCharType="end"/>
      </w:r>
      <w:r w:rsidRPr="006E2063">
        <w:rPr>
          <w:b/>
          <w:bCs/>
          <w:lang w:val="en-AU" w:eastAsia="en-US" w:bidi="ar-SA"/>
        </w:rPr>
        <w:t>: Model-derived IGF</w:t>
      </w:r>
      <w:r w:rsidRPr="006E2063">
        <w:rPr>
          <w:lang w:val="en-AU" w:eastAsia="en-US" w:bidi="ar-SA"/>
        </w:rPr>
        <w:noBreakHyphen/>
      </w:r>
      <w:r w:rsidRPr="006E2063">
        <w:rPr>
          <w:b/>
          <w:bCs/>
          <w:lang w:val="en-AU" w:eastAsia="en-US" w:bidi="ar-SA"/>
        </w:rPr>
        <w:t xml:space="preserve">I </w:t>
      </w:r>
      <w:proofErr w:type="gramStart"/>
      <w:r w:rsidRPr="006E2063">
        <w:rPr>
          <w:b/>
          <w:bCs/>
          <w:lang w:val="en-AU" w:eastAsia="en-US" w:bidi="ar-SA"/>
        </w:rPr>
        <w:t>profiles</w:t>
      </w:r>
      <w:proofErr w:type="gramEnd"/>
      <w:r w:rsidRPr="006E2063">
        <w:rPr>
          <w:b/>
          <w:bCs/>
          <w:lang w:val="en-AU" w:eastAsia="en-US" w:bidi="ar-SA"/>
        </w:rPr>
        <w:t xml:space="preserve"> during steady state of somapacitan </w:t>
      </w:r>
      <w:r w:rsidR="002F7AAA" w:rsidRPr="006E2063">
        <w:rPr>
          <w:b/>
          <w:bCs/>
          <w:lang w:val="en-AU" w:eastAsia="en-US" w:bidi="ar-SA"/>
        </w:rPr>
        <w:t xml:space="preserve">(weekly) </w:t>
      </w:r>
      <w:r w:rsidRPr="006E2063">
        <w:rPr>
          <w:b/>
          <w:bCs/>
          <w:lang w:val="en-AU" w:eastAsia="en-US" w:bidi="ar-SA"/>
        </w:rPr>
        <w:t xml:space="preserve">and somatropin </w:t>
      </w:r>
      <w:r w:rsidR="002F7AAA" w:rsidRPr="006E2063">
        <w:rPr>
          <w:b/>
          <w:bCs/>
          <w:lang w:val="en-AU" w:eastAsia="en-US" w:bidi="ar-SA"/>
        </w:rPr>
        <w:t>(daily)</w:t>
      </w:r>
    </w:p>
    <w:p w14:paraId="7300BC0B" w14:textId="2152B661" w:rsidR="005234D4" w:rsidRPr="006E2063" w:rsidRDefault="005234D4"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Clinical trials</w:t>
      </w:r>
      <w:r w:rsidR="000369A0"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b w:val="0"/>
          <w:bCs w:val="0"/>
          <w:color w:val="auto"/>
          <w:lang w:val="en-AU" w:eastAsia="en-US" w:bidi="ar-SA"/>
        </w:rPr>
        <w:instrText xml:space="preserve"> DOCVARIABLE vault_nd_6deccc25-d6f0-4d56-9dcf-e7fd1b09291b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7A3E3093" w14:textId="77777777" w:rsidR="003E488B" w:rsidRPr="006E2063" w:rsidRDefault="003E488B" w:rsidP="003E488B">
      <w:pPr>
        <w:rPr>
          <w:sz w:val="24"/>
          <w:szCs w:val="24"/>
          <w:lang w:val="en-AU" w:eastAsia="en-US" w:bidi="ar-SA"/>
        </w:rPr>
      </w:pPr>
      <w:r w:rsidRPr="006E2063">
        <w:rPr>
          <w:sz w:val="24"/>
          <w:szCs w:val="24"/>
          <w:lang w:val="en-AU" w:eastAsia="en-US" w:bidi="ar-SA"/>
        </w:rPr>
        <w:t>In a 34</w:t>
      </w:r>
      <w:r w:rsidRPr="006E2063">
        <w:rPr>
          <w:sz w:val="24"/>
          <w:szCs w:val="24"/>
          <w:lang w:val="en-AU" w:eastAsia="en-US" w:bidi="ar-SA"/>
        </w:rPr>
        <w:noBreakHyphen/>
        <w:t>week placebo</w:t>
      </w:r>
      <w:r w:rsidRPr="006E2063">
        <w:rPr>
          <w:sz w:val="24"/>
          <w:szCs w:val="24"/>
          <w:lang w:val="en-AU" w:eastAsia="en-US" w:bidi="ar-SA"/>
        </w:rPr>
        <w:noBreakHyphen/>
        <w:t>controlled (double-blind) and active</w:t>
      </w:r>
      <w:r w:rsidRPr="006E2063">
        <w:rPr>
          <w:sz w:val="24"/>
          <w:szCs w:val="24"/>
          <w:lang w:val="en-AU" w:eastAsia="en-US" w:bidi="ar-SA"/>
        </w:rPr>
        <w:noBreakHyphen/>
        <w:t xml:space="preserve">controlled (open) trial, 301 </w:t>
      </w:r>
      <w:proofErr w:type="gramStart"/>
      <w:r w:rsidRPr="006E2063">
        <w:rPr>
          <w:sz w:val="24"/>
          <w:szCs w:val="24"/>
          <w:lang w:val="en-AU" w:eastAsia="en-US" w:bidi="ar-SA"/>
        </w:rPr>
        <w:t>treatment</w:t>
      </w:r>
      <w:proofErr w:type="gramEnd"/>
      <w:r w:rsidRPr="006E2063">
        <w:rPr>
          <w:sz w:val="24"/>
          <w:szCs w:val="24"/>
          <w:lang w:val="en-AU" w:eastAsia="en-US" w:bidi="ar-SA"/>
        </w:rPr>
        <w:noBreakHyphen/>
        <w:t>naïve adult patients with GHD were randomised (2:1:2) and exposed to once-weekly somapacitan or to placebo or to daily somatropin</w:t>
      </w:r>
      <w:r w:rsidRPr="006E2063">
        <w:rPr>
          <w:sz w:val="24"/>
          <w:szCs w:val="24"/>
          <w:vertAlign w:val="superscript"/>
          <w:lang w:val="en-AU" w:eastAsia="en-US" w:bidi="ar-SA"/>
        </w:rPr>
        <w:t xml:space="preserve"> </w:t>
      </w:r>
      <w:r w:rsidRPr="006E2063">
        <w:rPr>
          <w:sz w:val="24"/>
          <w:szCs w:val="24"/>
          <w:lang w:val="en-AU" w:eastAsia="en-US" w:bidi="ar-SA"/>
        </w:rPr>
        <w:t>for a 34</w:t>
      </w:r>
      <w:r w:rsidRPr="006E2063">
        <w:rPr>
          <w:sz w:val="24"/>
          <w:szCs w:val="24"/>
          <w:lang w:val="en-AU" w:eastAsia="en-US" w:bidi="ar-SA"/>
        </w:rPr>
        <w:noBreakHyphen/>
        <w:t xml:space="preserve">week treatment period </w:t>
      </w:r>
      <w:r w:rsidRPr="006E2063">
        <w:rPr>
          <w:sz w:val="24"/>
          <w:szCs w:val="24"/>
          <w:lang w:val="en-AU" w:eastAsia="en-US" w:bidi="ar-SA"/>
        </w:rPr>
        <w:lastRenderedPageBreak/>
        <w:t xml:space="preserve">(main phase of the trial). The patient population had a mean age of 45.1 years (range 23-77 years; 41 patients were 65 years or above), 51.7% were females, and 69.7% had adult onset GHD. </w:t>
      </w:r>
    </w:p>
    <w:p w14:paraId="3EDA6E3E" w14:textId="77777777" w:rsidR="003E488B" w:rsidRPr="006E2063" w:rsidRDefault="003E488B" w:rsidP="003E488B">
      <w:pPr>
        <w:rPr>
          <w:sz w:val="24"/>
          <w:szCs w:val="24"/>
          <w:lang w:val="en-AU" w:eastAsia="en-US" w:bidi="ar-SA"/>
        </w:rPr>
      </w:pPr>
      <w:r w:rsidRPr="006E2063">
        <w:rPr>
          <w:sz w:val="24"/>
          <w:szCs w:val="24"/>
          <w:lang w:val="en-AU" w:eastAsia="en-US" w:bidi="ar-SA"/>
        </w:rPr>
        <w:t>A total of 272 AGHD patients who completed the 34</w:t>
      </w:r>
      <w:r w:rsidRPr="006E2063">
        <w:rPr>
          <w:sz w:val="24"/>
          <w:szCs w:val="24"/>
          <w:lang w:val="en-AU" w:eastAsia="en-US" w:bidi="ar-SA"/>
        </w:rPr>
        <w:noBreakHyphen/>
        <w:t>week main phase continued in a 53</w:t>
      </w:r>
      <w:r w:rsidRPr="006E2063">
        <w:rPr>
          <w:sz w:val="24"/>
          <w:szCs w:val="24"/>
          <w:lang w:val="en-AU" w:eastAsia="en-US" w:bidi="ar-SA"/>
        </w:rPr>
        <w:noBreakHyphen/>
        <w:t>week open</w:t>
      </w:r>
      <w:r w:rsidRPr="006E2063">
        <w:rPr>
          <w:sz w:val="24"/>
          <w:szCs w:val="24"/>
          <w:lang w:val="en-AU" w:eastAsia="en-US" w:bidi="ar-SA"/>
        </w:rPr>
        <w:noBreakHyphen/>
        <w:t>label extension period. Subjects on placebo were switched to somapacitan and patients on somatropin were re</w:t>
      </w:r>
      <w:r w:rsidRPr="006E2063">
        <w:rPr>
          <w:sz w:val="24"/>
          <w:szCs w:val="24"/>
          <w:lang w:val="en-AU" w:eastAsia="en-US" w:bidi="ar-SA"/>
        </w:rPr>
        <w:noBreakHyphen/>
        <w:t>randomised (1:1) to either somapacitan or somatropin.</w:t>
      </w:r>
    </w:p>
    <w:p w14:paraId="68628868" w14:textId="44A0DE98" w:rsidR="003E488B" w:rsidRPr="006E2063" w:rsidRDefault="003E488B" w:rsidP="003E488B">
      <w:pPr>
        <w:rPr>
          <w:sz w:val="24"/>
          <w:szCs w:val="24"/>
          <w:lang w:val="en-AU" w:eastAsia="en-US" w:bidi="ar-SA"/>
        </w:rPr>
      </w:pPr>
      <w:r w:rsidRPr="006E2063">
        <w:rPr>
          <w:sz w:val="24"/>
          <w:szCs w:val="24"/>
          <w:lang w:val="en-AU" w:eastAsia="en-US" w:bidi="ar-SA"/>
        </w:rPr>
        <w:t xml:space="preserve">Observed clinical effects for the main endpoints in the main treatment phase (Table </w:t>
      </w:r>
      <w:r w:rsidR="006F3AED" w:rsidRPr="006E2063">
        <w:rPr>
          <w:sz w:val="24"/>
          <w:szCs w:val="24"/>
          <w:lang w:val="en-AU" w:eastAsia="en-US" w:bidi="ar-SA"/>
        </w:rPr>
        <w:t>4</w:t>
      </w:r>
      <w:r w:rsidRPr="006E2063">
        <w:rPr>
          <w:sz w:val="24"/>
          <w:szCs w:val="24"/>
          <w:lang w:val="en-AU" w:eastAsia="en-US" w:bidi="ar-SA"/>
        </w:rPr>
        <w:t xml:space="preserve">) and extension treatment phase (Table </w:t>
      </w:r>
      <w:r w:rsidR="006F3AED" w:rsidRPr="006E2063">
        <w:rPr>
          <w:sz w:val="24"/>
          <w:szCs w:val="24"/>
          <w:lang w:val="en-AU" w:eastAsia="en-US" w:bidi="ar-SA"/>
        </w:rPr>
        <w:t>5</w:t>
      </w:r>
      <w:r w:rsidRPr="006E2063">
        <w:rPr>
          <w:sz w:val="24"/>
          <w:szCs w:val="24"/>
          <w:lang w:val="en-AU" w:eastAsia="en-US" w:bidi="ar-SA"/>
        </w:rPr>
        <w:t>) are presented below.</w:t>
      </w:r>
    </w:p>
    <w:p w14:paraId="5AF6A691" w14:textId="7D2B5B9C" w:rsidR="003E488B" w:rsidRPr="006E2063" w:rsidRDefault="003E488B" w:rsidP="00711020">
      <w:pPr>
        <w:keepNext/>
        <w:keepLines/>
        <w:rPr>
          <w:b/>
          <w:bCs/>
          <w:lang w:val="en-AU" w:eastAsia="en-US" w:bidi="ar-SA"/>
        </w:rPr>
      </w:pPr>
      <w:bookmarkStart w:id="13" w:name="_Hlk35698386"/>
      <w:bookmarkStart w:id="14" w:name="_Hlk54199862"/>
      <w:r w:rsidRPr="006E2063">
        <w:rPr>
          <w:b/>
          <w:bCs/>
          <w:lang w:val="en-AU" w:eastAsia="en-US" w:bidi="ar-SA"/>
        </w:rPr>
        <w:t xml:space="preserve">Table </w:t>
      </w:r>
      <w:r w:rsidR="00C93249" w:rsidRPr="006E2063">
        <w:rPr>
          <w:b/>
          <w:bCs/>
          <w:iCs/>
          <w:lang w:val="en-AU" w:eastAsia="en-US" w:bidi="ar-SA"/>
        </w:rPr>
        <w:fldChar w:fldCharType="begin"/>
      </w:r>
      <w:r w:rsidR="00C93249" w:rsidRPr="006E2063">
        <w:rPr>
          <w:b/>
          <w:bCs/>
          <w:iCs/>
          <w:lang w:val="en-AU" w:eastAsia="en-US" w:bidi="ar-SA"/>
        </w:rPr>
        <w:instrText xml:space="preserve"> SEQ Table \* ARABIC \s 1 </w:instrText>
      </w:r>
      <w:r w:rsidR="00C93249" w:rsidRPr="006E2063">
        <w:rPr>
          <w:b/>
          <w:bCs/>
          <w:iCs/>
          <w:lang w:val="en-AU" w:eastAsia="en-US" w:bidi="ar-SA"/>
        </w:rPr>
        <w:fldChar w:fldCharType="separate"/>
      </w:r>
      <w:r w:rsidR="00C93249" w:rsidRPr="006E2063">
        <w:rPr>
          <w:b/>
          <w:bCs/>
          <w:iCs/>
          <w:lang w:val="en-AU" w:eastAsia="en-US" w:bidi="ar-SA"/>
        </w:rPr>
        <w:t>4</w:t>
      </w:r>
      <w:r w:rsidR="00C93249" w:rsidRPr="006E2063">
        <w:rPr>
          <w:b/>
          <w:bCs/>
          <w:lang w:val="en-AU" w:eastAsia="en-US" w:bidi="ar-SA"/>
        </w:rPr>
        <w:fldChar w:fldCharType="end"/>
      </w:r>
      <w:r w:rsidRPr="006E2063">
        <w:rPr>
          <w:b/>
          <w:bCs/>
          <w:lang w:val="en-AU" w:eastAsia="en-US" w:bidi="ar-SA"/>
        </w:rPr>
        <w:t xml:space="preserve">: </w:t>
      </w:r>
      <w:r w:rsidR="005E57BF" w:rsidRPr="006E2063">
        <w:rPr>
          <w:b/>
          <w:bCs/>
          <w:lang w:val="en-AU" w:eastAsia="en-US" w:bidi="ar-SA"/>
        </w:rPr>
        <w:t>Change from baseline to week 34 in body composition parameters (trial 4054)</w:t>
      </w:r>
      <w:r w:rsidR="00E25B7D" w:rsidRPr="006E2063">
        <w:rPr>
          <w:b/>
          <w:bCs/>
          <w:lang w:val="en-AU" w:eastAsia="en-US" w:bidi="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416"/>
        <w:gridCol w:w="1277"/>
        <w:gridCol w:w="1132"/>
        <w:gridCol w:w="1735"/>
        <w:gridCol w:w="1475"/>
      </w:tblGrid>
      <w:tr w:rsidR="00A26D22" w:rsidRPr="006E2063" w14:paraId="049664DA" w14:textId="77777777" w:rsidTr="00111287">
        <w:trPr>
          <w:cantSplit/>
        </w:trPr>
        <w:tc>
          <w:tcPr>
            <w:tcW w:w="1099" w:type="pct"/>
            <w:vAlign w:val="center"/>
          </w:tcPr>
          <w:p w14:paraId="4360F5D9" w14:textId="77777777" w:rsidR="003E488B" w:rsidRPr="006E2063" w:rsidRDefault="003E488B" w:rsidP="00711020">
            <w:pPr>
              <w:keepNext/>
              <w:keepLines/>
              <w:spacing w:after="40" w:line="240" w:lineRule="auto"/>
              <w:rPr>
                <w:b/>
                <w:sz w:val="20"/>
                <w:szCs w:val="20"/>
                <w:lang w:val="en-AU" w:eastAsia="en-US" w:bidi="ar-SA"/>
              </w:rPr>
            </w:pPr>
            <w:r w:rsidRPr="006E2063">
              <w:rPr>
                <w:b/>
                <w:sz w:val="20"/>
                <w:szCs w:val="20"/>
                <w:lang w:val="en-AU" w:eastAsia="en-US" w:bidi="ar-SA"/>
              </w:rPr>
              <w:t xml:space="preserve">Change from baseline at 34 </w:t>
            </w:r>
            <w:proofErr w:type="spellStart"/>
            <w:r w:rsidRPr="006E2063">
              <w:rPr>
                <w:b/>
                <w:sz w:val="20"/>
                <w:szCs w:val="20"/>
                <w:lang w:val="en-AU" w:eastAsia="en-US" w:bidi="ar-SA"/>
              </w:rPr>
              <w:t>weeks</w:t>
            </w:r>
            <w:r w:rsidRPr="006E2063">
              <w:rPr>
                <w:b/>
                <w:sz w:val="20"/>
                <w:szCs w:val="20"/>
                <w:vertAlign w:val="superscript"/>
                <w:lang w:val="en-AU" w:eastAsia="en-US" w:bidi="ar-SA"/>
              </w:rPr>
              <w:t>a</w:t>
            </w:r>
            <w:proofErr w:type="spellEnd"/>
            <w:r w:rsidRPr="006E2063">
              <w:rPr>
                <w:b/>
                <w:sz w:val="20"/>
                <w:szCs w:val="20"/>
                <w:vertAlign w:val="superscript"/>
                <w:lang w:val="en-AU" w:eastAsia="en-US" w:bidi="ar-SA"/>
              </w:rPr>
              <w:t xml:space="preserve"> </w:t>
            </w:r>
          </w:p>
        </w:tc>
        <w:tc>
          <w:tcPr>
            <w:tcW w:w="785" w:type="pct"/>
            <w:vAlign w:val="center"/>
          </w:tcPr>
          <w:p w14:paraId="79C45241" w14:textId="06D615E5" w:rsidR="003E488B" w:rsidRPr="006E2063" w:rsidRDefault="003E488B" w:rsidP="00711020">
            <w:pPr>
              <w:keepNext/>
              <w:keepLines/>
              <w:spacing w:after="40" w:line="240" w:lineRule="auto"/>
              <w:jc w:val="center"/>
              <w:rPr>
                <w:b/>
                <w:sz w:val="20"/>
                <w:szCs w:val="20"/>
                <w:lang w:val="en-AU" w:eastAsia="en-US" w:bidi="ar-SA"/>
              </w:rPr>
            </w:pPr>
            <w:r w:rsidRPr="006E2063">
              <w:rPr>
                <w:b/>
                <w:sz w:val="20"/>
                <w:szCs w:val="20"/>
                <w:lang w:val="en-AU" w:eastAsia="en-US" w:bidi="ar-SA"/>
              </w:rPr>
              <w:t>somapacitan</w:t>
            </w:r>
          </w:p>
        </w:tc>
        <w:tc>
          <w:tcPr>
            <w:tcW w:w="708" w:type="pct"/>
            <w:vAlign w:val="center"/>
          </w:tcPr>
          <w:p w14:paraId="7B94924D" w14:textId="6B666ED5" w:rsidR="003E488B" w:rsidRPr="006E2063" w:rsidRDefault="003E488B" w:rsidP="00711020">
            <w:pPr>
              <w:keepNext/>
              <w:keepLines/>
              <w:spacing w:after="40" w:line="240" w:lineRule="auto"/>
              <w:jc w:val="center"/>
              <w:rPr>
                <w:b/>
                <w:sz w:val="20"/>
                <w:szCs w:val="20"/>
                <w:lang w:val="en-AU" w:eastAsia="en-US" w:bidi="ar-SA"/>
              </w:rPr>
            </w:pPr>
            <w:r w:rsidRPr="006E2063">
              <w:rPr>
                <w:b/>
                <w:sz w:val="20"/>
                <w:szCs w:val="20"/>
                <w:lang w:val="en-AU" w:eastAsia="en-US" w:bidi="ar-SA"/>
              </w:rPr>
              <w:t>somatropin</w:t>
            </w:r>
          </w:p>
        </w:tc>
        <w:tc>
          <w:tcPr>
            <w:tcW w:w="628" w:type="pct"/>
            <w:vAlign w:val="center"/>
          </w:tcPr>
          <w:p w14:paraId="0DBD9C92" w14:textId="77777777" w:rsidR="003E488B" w:rsidRPr="006E2063" w:rsidRDefault="003E488B" w:rsidP="00711020">
            <w:pPr>
              <w:keepNext/>
              <w:keepLines/>
              <w:spacing w:after="40" w:line="240" w:lineRule="auto"/>
              <w:jc w:val="center"/>
              <w:rPr>
                <w:b/>
                <w:sz w:val="20"/>
                <w:szCs w:val="20"/>
                <w:lang w:val="en-AU" w:eastAsia="en-US" w:bidi="ar-SA"/>
              </w:rPr>
            </w:pPr>
            <w:r w:rsidRPr="006E2063">
              <w:rPr>
                <w:b/>
                <w:sz w:val="20"/>
                <w:szCs w:val="20"/>
                <w:lang w:val="en-AU" w:eastAsia="en-US" w:bidi="ar-SA"/>
              </w:rPr>
              <w:t>placebo</w:t>
            </w:r>
          </w:p>
        </w:tc>
        <w:tc>
          <w:tcPr>
            <w:tcW w:w="962" w:type="pct"/>
            <w:vAlign w:val="center"/>
          </w:tcPr>
          <w:p w14:paraId="3E2C459C" w14:textId="77777777" w:rsidR="003E488B" w:rsidRPr="006E2063" w:rsidRDefault="003E488B" w:rsidP="00711020">
            <w:pPr>
              <w:keepNext/>
              <w:keepLines/>
              <w:spacing w:after="40" w:line="240" w:lineRule="auto"/>
              <w:jc w:val="center"/>
              <w:rPr>
                <w:b/>
                <w:sz w:val="20"/>
                <w:szCs w:val="20"/>
                <w:lang w:val="en-AU" w:eastAsia="en-US" w:bidi="ar-SA"/>
              </w:rPr>
            </w:pPr>
            <w:r w:rsidRPr="006E2063">
              <w:rPr>
                <w:b/>
                <w:sz w:val="20"/>
                <w:szCs w:val="20"/>
                <w:lang w:val="en-AU" w:eastAsia="en-US" w:bidi="ar-SA"/>
              </w:rPr>
              <w:t>Difference</w:t>
            </w:r>
          </w:p>
          <w:p w14:paraId="437750D5" w14:textId="77777777" w:rsidR="003E488B" w:rsidRPr="006E2063" w:rsidRDefault="003E488B" w:rsidP="00711020">
            <w:pPr>
              <w:keepNext/>
              <w:keepLines/>
              <w:spacing w:after="40" w:line="240" w:lineRule="auto"/>
              <w:jc w:val="center"/>
              <w:rPr>
                <w:b/>
                <w:sz w:val="20"/>
                <w:szCs w:val="20"/>
                <w:lang w:val="en-AU" w:eastAsia="en-US" w:bidi="ar-SA"/>
              </w:rPr>
            </w:pPr>
            <w:r w:rsidRPr="006E2063">
              <w:rPr>
                <w:b/>
                <w:sz w:val="20"/>
                <w:szCs w:val="20"/>
                <w:lang w:val="en-AU" w:eastAsia="en-US" w:bidi="ar-SA"/>
              </w:rPr>
              <w:t>somapacitan -placebo</w:t>
            </w:r>
            <w:r w:rsidRPr="006E2063">
              <w:rPr>
                <w:b/>
                <w:sz w:val="20"/>
                <w:szCs w:val="20"/>
                <w:lang w:val="en-AU" w:eastAsia="en-US" w:bidi="ar-SA"/>
              </w:rPr>
              <w:br/>
              <w:t>[95% CI]</w:t>
            </w:r>
          </w:p>
          <w:p w14:paraId="5364C914" w14:textId="5E12A5D1" w:rsidR="003E488B" w:rsidRPr="006E2063" w:rsidRDefault="003E488B" w:rsidP="00711020">
            <w:pPr>
              <w:keepNext/>
              <w:keepLines/>
              <w:spacing w:after="40" w:line="240" w:lineRule="auto"/>
              <w:jc w:val="center"/>
              <w:rPr>
                <w:b/>
                <w:sz w:val="20"/>
                <w:szCs w:val="20"/>
                <w:lang w:val="en-AU" w:eastAsia="en-US" w:bidi="ar-SA"/>
              </w:rPr>
            </w:pPr>
            <w:r w:rsidRPr="006E2063">
              <w:rPr>
                <w:b/>
                <w:sz w:val="20"/>
                <w:szCs w:val="20"/>
                <w:lang w:val="en-AU" w:eastAsia="en-US" w:bidi="ar-SA"/>
              </w:rPr>
              <w:t>p</w:t>
            </w:r>
            <w:r w:rsidRPr="006E2063">
              <w:rPr>
                <w:b/>
                <w:sz w:val="20"/>
                <w:szCs w:val="20"/>
                <w:lang w:val="en-AU" w:eastAsia="en-US" w:bidi="ar-SA"/>
              </w:rPr>
              <w:noBreakHyphen/>
              <w:t>value</w:t>
            </w:r>
          </w:p>
        </w:tc>
        <w:tc>
          <w:tcPr>
            <w:tcW w:w="818" w:type="pct"/>
          </w:tcPr>
          <w:p w14:paraId="5C82EBF7" w14:textId="343AC4E0" w:rsidR="003E488B" w:rsidRPr="006E2063" w:rsidRDefault="003E488B" w:rsidP="00711020">
            <w:pPr>
              <w:keepNext/>
              <w:keepLines/>
              <w:spacing w:after="40" w:line="240" w:lineRule="auto"/>
              <w:jc w:val="center"/>
              <w:rPr>
                <w:sz w:val="20"/>
                <w:szCs w:val="20"/>
                <w:lang w:val="en-AU" w:eastAsia="en-US" w:bidi="ar-SA"/>
              </w:rPr>
            </w:pPr>
            <w:r w:rsidRPr="006E2063">
              <w:rPr>
                <w:b/>
                <w:sz w:val="20"/>
                <w:szCs w:val="20"/>
                <w:lang w:val="en-AU" w:eastAsia="en-US" w:bidi="ar-SA"/>
              </w:rPr>
              <w:t>Difference somapacitan- somatropin</w:t>
            </w:r>
            <w:r w:rsidRPr="006E2063">
              <w:rPr>
                <w:b/>
                <w:sz w:val="20"/>
                <w:szCs w:val="20"/>
                <w:lang w:val="en-AU" w:eastAsia="en-US" w:bidi="ar-SA"/>
              </w:rPr>
              <w:br/>
              <w:t>[95% CI]</w:t>
            </w:r>
          </w:p>
          <w:p w14:paraId="25A34B8F" w14:textId="77777777" w:rsidR="003E488B" w:rsidRPr="006E2063" w:rsidRDefault="003E488B" w:rsidP="00711020">
            <w:pPr>
              <w:keepNext/>
              <w:keepLines/>
              <w:spacing w:after="40" w:line="240" w:lineRule="auto"/>
              <w:jc w:val="center"/>
              <w:rPr>
                <w:b/>
                <w:sz w:val="20"/>
                <w:szCs w:val="20"/>
                <w:lang w:val="en-AU" w:eastAsia="en-US" w:bidi="ar-SA"/>
              </w:rPr>
            </w:pPr>
          </w:p>
        </w:tc>
      </w:tr>
      <w:tr w:rsidR="00A26D22" w:rsidRPr="006E2063" w14:paraId="1D70E417" w14:textId="77777777" w:rsidTr="00111287">
        <w:trPr>
          <w:cantSplit/>
          <w:trHeight w:val="520"/>
        </w:trPr>
        <w:tc>
          <w:tcPr>
            <w:tcW w:w="1099" w:type="pct"/>
            <w:vAlign w:val="center"/>
          </w:tcPr>
          <w:p w14:paraId="18A79FA4" w14:textId="77777777" w:rsidR="003E488B" w:rsidRPr="006E2063" w:rsidRDefault="003E488B" w:rsidP="00711020">
            <w:pPr>
              <w:keepNext/>
              <w:keepLines/>
              <w:spacing w:after="40" w:line="240" w:lineRule="auto"/>
              <w:rPr>
                <w:sz w:val="20"/>
                <w:szCs w:val="20"/>
                <w:lang w:val="en-AU" w:eastAsia="en-US" w:bidi="ar-SA"/>
              </w:rPr>
            </w:pPr>
            <w:r w:rsidRPr="006E2063">
              <w:rPr>
                <w:sz w:val="20"/>
                <w:szCs w:val="20"/>
                <w:lang w:val="en-AU" w:eastAsia="en-US" w:bidi="ar-SA"/>
              </w:rPr>
              <w:t>Number of subjects (N)</w:t>
            </w:r>
          </w:p>
        </w:tc>
        <w:tc>
          <w:tcPr>
            <w:tcW w:w="785" w:type="pct"/>
            <w:vAlign w:val="center"/>
          </w:tcPr>
          <w:p w14:paraId="71A42301" w14:textId="77777777" w:rsidR="003E488B" w:rsidRPr="006E2063" w:rsidRDefault="003E488B" w:rsidP="00711020">
            <w:pPr>
              <w:keepNext/>
              <w:keepLines/>
              <w:spacing w:after="40" w:line="240" w:lineRule="auto"/>
              <w:jc w:val="center"/>
              <w:rPr>
                <w:sz w:val="20"/>
                <w:szCs w:val="20"/>
                <w:lang w:val="en-AU" w:eastAsia="en-US" w:bidi="ar-SA"/>
              </w:rPr>
            </w:pPr>
            <w:r w:rsidRPr="006E2063">
              <w:rPr>
                <w:sz w:val="20"/>
                <w:szCs w:val="20"/>
                <w:lang w:val="en-AU" w:eastAsia="en-US" w:bidi="ar-SA"/>
              </w:rPr>
              <w:t>120</w:t>
            </w:r>
          </w:p>
        </w:tc>
        <w:tc>
          <w:tcPr>
            <w:tcW w:w="708" w:type="pct"/>
            <w:vAlign w:val="center"/>
          </w:tcPr>
          <w:p w14:paraId="40DFC1B1" w14:textId="53B6D8BD" w:rsidR="003E488B" w:rsidRPr="006E2063" w:rsidRDefault="003E488B" w:rsidP="00711020">
            <w:pPr>
              <w:keepNext/>
              <w:keepLines/>
              <w:spacing w:after="40" w:line="240" w:lineRule="auto"/>
              <w:jc w:val="center"/>
              <w:rPr>
                <w:sz w:val="20"/>
                <w:szCs w:val="20"/>
                <w:lang w:val="en-AU" w:eastAsia="en-US" w:bidi="ar-SA"/>
              </w:rPr>
            </w:pPr>
            <w:r w:rsidRPr="006E2063">
              <w:rPr>
                <w:sz w:val="20"/>
                <w:szCs w:val="20"/>
                <w:lang w:val="en-AU" w:eastAsia="en-US" w:bidi="ar-SA"/>
              </w:rPr>
              <w:t>119</w:t>
            </w:r>
          </w:p>
        </w:tc>
        <w:tc>
          <w:tcPr>
            <w:tcW w:w="628" w:type="pct"/>
            <w:vAlign w:val="center"/>
          </w:tcPr>
          <w:p w14:paraId="63168588" w14:textId="77777777" w:rsidR="003E488B" w:rsidRPr="006E2063" w:rsidRDefault="003E488B" w:rsidP="00711020">
            <w:pPr>
              <w:keepNext/>
              <w:keepLines/>
              <w:spacing w:after="40" w:line="240" w:lineRule="auto"/>
              <w:jc w:val="center"/>
              <w:rPr>
                <w:sz w:val="20"/>
                <w:szCs w:val="20"/>
                <w:lang w:val="en-AU" w:eastAsia="en-US" w:bidi="ar-SA"/>
              </w:rPr>
            </w:pPr>
            <w:r w:rsidRPr="006E2063">
              <w:rPr>
                <w:sz w:val="20"/>
                <w:szCs w:val="20"/>
                <w:lang w:val="en-AU" w:eastAsia="en-US" w:bidi="ar-SA"/>
              </w:rPr>
              <w:t>61</w:t>
            </w:r>
          </w:p>
        </w:tc>
        <w:tc>
          <w:tcPr>
            <w:tcW w:w="962" w:type="pct"/>
            <w:vAlign w:val="center"/>
          </w:tcPr>
          <w:p w14:paraId="720D9143" w14:textId="77777777" w:rsidR="003E488B" w:rsidRPr="006E2063" w:rsidRDefault="003E488B" w:rsidP="00711020">
            <w:pPr>
              <w:keepNext/>
              <w:keepLines/>
              <w:spacing w:after="40" w:line="240" w:lineRule="auto"/>
              <w:jc w:val="center"/>
              <w:rPr>
                <w:sz w:val="20"/>
                <w:szCs w:val="20"/>
                <w:lang w:val="en-AU" w:eastAsia="en-US" w:bidi="ar-SA"/>
              </w:rPr>
            </w:pPr>
          </w:p>
        </w:tc>
        <w:tc>
          <w:tcPr>
            <w:tcW w:w="818" w:type="pct"/>
            <w:vAlign w:val="center"/>
          </w:tcPr>
          <w:p w14:paraId="0D8AB5E6" w14:textId="77777777" w:rsidR="003E488B" w:rsidRPr="006E2063" w:rsidRDefault="003E488B" w:rsidP="00711020">
            <w:pPr>
              <w:keepNext/>
              <w:keepLines/>
              <w:spacing w:after="40" w:line="240" w:lineRule="auto"/>
              <w:jc w:val="center"/>
              <w:rPr>
                <w:sz w:val="20"/>
                <w:szCs w:val="20"/>
                <w:lang w:val="en-AU" w:eastAsia="en-US" w:bidi="ar-SA"/>
              </w:rPr>
            </w:pPr>
          </w:p>
        </w:tc>
      </w:tr>
      <w:tr w:rsidR="00A26D22" w:rsidRPr="006E2063" w14:paraId="33BBAA31" w14:textId="77777777" w:rsidTr="00111287">
        <w:trPr>
          <w:cantSplit/>
          <w:trHeight w:val="245"/>
        </w:trPr>
        <w:tc>
          <w:tcPr>
            <w:tcW w:w="1099" w:type="pct"/>
            <w:vAlign w:val="center"/>
          </w:tcPr>
          <w:p w14:paraId="0EEB0E4A" w14:textId="77777777" w:rsidR="003E488B" w:rsidRPr="006E2063" w:rsidRDefault="003E488B" w:rsidP="00885A46">
            <w:pPr>
              <w:spacing w:after="40" w:line="240" w:lineRule="auto"/>
              <w:rPr>
                <w:sz w:val="20"/>
                <w:szCs w:val="20"/>
                <w:lang w:val="en-AU" w:eastAsia="en-US" w:bidi="ar-SA"/>
              </w:rPr>
            </w:pPr>
            <w:r w:rsidRPr="006E2063">
              <w:rPr>
                <w:sz w:val="20"/>
                <w:szCs w:val="20"/>
                <w:lang w:val="en-AU" w:eastAsia="en-US" w:bidi="ar-SA"/>
              </w:rPr>
              <w:t>Truncal fat %</w:t>
            </w:r>
          </w:p>
          <w:p w14:paraId="6A8FEEBE" w14:textId="77777777" w:rsidR="003E488B" w:rsidRPr="006E2063" w:rsidRDefault="003E488B" w:rsidP="00885A46">
            <w:pPr>
              <w:spacing w:after="40" w:line="240" w:lineRule="auto"/>
              <w:rPr>
                <w:sz w:val="20"/>
                <w:szCs w:val="20"/>
                <w:vertAlign w:val="superscript"/>
                <w:lang w:val="en-AU" w:eastAsia="en-US" w:bidi="ar-SA"/>
              </w:rPr>
            </w:pPr>
            <w:r w:rsidRPr="006E2063">
              <w:rPr>
                <w:sz w:val="20"/>
                <w:szCs w:val="20"/>
                <w:lang w:val="en-AU" w:eastAsia="en-US" w:bidi="ar-SA"/>
              </w:rPr>
              <w:t>(Primary endpoint)</w:t>
            </w:r>
          </w:p>
        </w:tc>
        <w:tc>
          <w:tcPr>
            <w:tcW w:w="785" w:type="pct"/>
            <w:vAlign w:val="center"/>
          </w:tcPr>
          <w:p w14:paraId="2EC6E244" w14:textId="77777777"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-1.06</w:t>
            </w:r>
          </w:p>
        </w:tc>
        <w:tc>
          <w:tcPr>
            <w:tcW w:w="708" w:type="pct"/>
            <w:vAlign w:val="center"/>
          </w:tcPr>
          <w:p w14:paraId="1EE30C1E" w14:textId="28A5B223"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-2.23</w:t>
            </w:r>
          </w:p>
        </w:tc>
        <w:tc>
          <w:tcPr>
            <w:tcW w:w="628" w:type="pct"/>
            <w:vAlign w:val="center"/>
          </w:tcPr>
          <w:p w14:paraId="0754A455" w14:textId="77777777"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0.47</w:t>
            </w:r>
          </w:p>
        </w:tc>
        <w:tc>
          <w:tcPr>
            <w:tcW w:w="962" w:type="pct"/>
            <w:vAlign w:val="center"/>
          </w:tcPr>
          <w:p w14:paraId="553104A7" w14:textId="77777777" w:rsidR="003E488B" w:rsidRPr="006E2063" w:rsidRDefault="003E488B" w:rsidP="00A26D22">
            <w:pPr>
              <w:spacing w:after="40" w:line="240" w:lineRule="auto"/>
              <w:jc w:val="center"/>
              <w:rPr>
                <w:sz w:val="20"/>
                <w:szCs w:val="20"/>
                <w:lang w:val="en-AU" w:eastAsia="en-US" w:bidi="ar-SA"/>
              </w:rPr>
            </w:pPr>
            <w:r w:rsidRPr="006E2063">
              <w:rPr>
                <w:sz w:val="20"/>
                <w:szCs w:val="20"/>
                <w:lang w:val="en-AU" w:eastAsia="en-US" w:bidi="ar-SA"/>
              </w:rPr>
              <w:t>-1.53</w:t>
            </w:r>
            <w:r w:rsidRPr="006E2063">
              <w:rPr>
                <w:sz w:val="20"/>
                <w:szCs w:val="20"/>
                <w:lang w:val="en-AU" w:eastAsia="en-US" w:bidi="ar-SA"/>
              </w:rPr>
              <w:br/>
              <w:t>[-2.68; -0.38]</w:t>
            </w:r>
            <w:r w:rsidRPr="006E2063">
              <w:rPr>
                <w:sz w:val="20"/>
                <w:szCs w:val="20"/>
                <w:lang w:val="en-AU" w:eastAsia="en-US" w:bidi="ar-SA"/>
              </w:rPr>
              <w:br/>
              <w:t>0.0090</w:t>
            </w:r>
            <w:r w:rsidRPr="006E2063">
              <w:rPr>
                <w:sz w:val="20"/>
                <w:szCs w:val="20"/>
                <w:vertAlign w:val="superscript"/>
                <w:lang w:val="en-AU" w:eastAsia="en-US" w:bidi="ar-SA"/>
              </w:rPr>
              <w:t>b</w:t>
            </w:r>
          </w:p>
        </w:tc>
        <w:tc>
          <w:tcPr>
            <w:tcW w:w="818" w:type="pct"/>
            <w:vAlign w:val="center"/>
          </w:tcPr>
          <w:p w14:paraId="548C6836" w14:textId="00D3E556" w:rsidR="003E488B" w:rsidRPr="006E2063" w:rsidRDefault="003E488B" w:rsidP="00A26D22">
            <w:pPr>
              <w:spacing w:after="40" w:line="240" w:lineRule="auto"/>
              <w:jc w:val="center"/>
              <w:rPr>
                <w:sz w:val="20"/>
                <w:szCs w:val="20"/>
                <w:lang w:val="en-AU" w:eastAsia="en-US" w:bidi="ar-SA"/>
              </w:rPr>
            </w:pPr>
            <w:r w:rsidRPr="006E2063">
              <w:rPr>
                <w:sz w:val="20"/>
                <w:szCs w:val="20"/>
                <w:lang w:val="en-AU" w:eastAsia="en-US" w:bidi="ar-SA"/>
              </w:rPr>
              <w:t>1.17 [0.23;2.11]</w:t>
            </w:r>
          </w:p>
          <w:p w14:paraId="2986CEE3" w14:textId="77777777" w:rsidR="003E488B" w:rsidRPr="006E2063" w:rsidRDefault="003E488B" w:rsidP="00A26D22">
            <w:pPr>
              <w:spacing w:after="40" w:line="240" w:lineRule="auto"/>
              <w:jc w:val="center"/>
              <w:rPr>
                <w:sz w:val="20"/>
                <w:szCs w:val="20"/>
                <w:lang w:val="en-AU" w:eastAsia="en-US" w:bidi="ar-SA"/>
              </w:rPr>
            </w:pPr>
          </w:p>
        </w:tc>
      </w:tr>
      <w:tr w:rsidR="00A26D22" w:rsidRPr="006E2063" w14:paraId="18022964" w14:textId="77777777" w:rsidTr="00111287">
        <w:trPr>
          <w:cantSplit/>
        </w:trPr>
        <w:tc>
          <w:tcPr>
            <w:tcW w:w="1099" w:type="pct"/>
            <w:vAlign w:val="center"/>
          </w:tcPr>
          <w:p w14:paraId="417CD778" w14:textId="77777777" w:rsidR="003E488B" w:rsidRPr="006E2063" w:rsidRDefault="003E488B" w:rsidP="00885A46">
            <w:pPr>
              <w:spacing w:after="40" w:line="240" w:lineRule="auto"/>
              <w:rPr>
                <w:sz w:val="20"/>
                <w:szCs w:val="20"/>
                <w:lang w:val="en-AU" w:eastAsia="en-US" w:bidi="ar-SA"/>
              </w:rPr>
            </w:pPr>
            <w:r w:rsidRPr="006E2063">
              <w:rPr>
                <w:sz w:val="20"/>
                <w:szCs w:val="20"/>
                <w:lang w:val="en-AU" w:eastAsia="en-US" w:bidi="ar-SA"/>
              </w:rPr>
              <w:t>Visceral adipose tissue (cm</w:t>
            </w:r>
            <w:r w:rsidRPr="006E2063">
              <w:rPr>
                <w:sz w:val="20"/>
                <w:szCs w:val="20"/>
                <w:vertAlign w:val="superscript"/>
                <w:lang w:val="en-AU" w:eastAsia="en-US" w:bidi="ar-SA"/>
              </w:rPr>
              <w:t>2</w:t>
            </w:r>
            <w:r w:rsidRPr="006E2063">
              <w:rPr>
                <w:sz w:val="20"/>
                <w:szCs w:val="20"/>
                <w:lang w:val="en-AU" w:eastAsia="en-US" w:bidi="ar-SA"/>
              </w:rPr>
              <w:t>)</w:t>
            </w:r>
          </w:p>
        </w:tc>
        <w:tc>
          <w:tcPr>
            <w:tcW w:w="785" w:type="pct"/>
            <w:vAlign w:val="center"/>
          </w:tcPr>
          <w:p w14:paraId="6D62DCE0" w14:textId="77777777"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-10</w:t>
            </w:r>
          </w:p>
        </w:tc>
        <w:tc>
          <w:tcPr>
            <w:tcW w:w="708" w:type="pct"/>
            <w:vAlign w:val="center"/>
          </w:tcPr>
          <w:p w14:paraId="04C065C1" w14:textId="77AFBCA2"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-9</w:t>
            </w:r>
          </w:p>
        </w:tc>
        <w:tc>
          <w:tcPr>
            <w:tcW w:w="628" w:type="pct"/>
            <w:vAlign w:val="center"/>
          </w:tcPr>
          <w:p w14:paraId="640C51A3" w14:textId="77777777"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3</w:t>
            </w:r>
          </w:p>
        </w:tc>
        <w:tc>
          <w:tcPr>
            <w:tcW w:w="962" w:type="pct"/>
            <w:vAlign w:val="center"/>
          </w:tcPr>
          <w:p w14:paraId="47A4C0B7" w14:textId="77777777" w:rsidR="003E488B" w:rsidRPr="006E2063" w:rsidRDefault="003E488B" w:rsidP="00A26D22">
            <w:pPr>
              <w:spacing w:after="40" w:line="240" w:lineRule="auto"/>
              <w:jc w:val="center"/>
              <w:rPr>
                <w:b/>
                <w:bCs/>
                <w:sz w:val="20"/>
                <w:szCs w:val="20"/>
                <w:lang w:val="en-AU" w:eastAsia="en-US" w:bidi="ar-SA"/>
              </w:rPr>
            </w:pPr>
            <w:r w:rsidRPr="006E2063">
              <w:rPr>
                <w:sz w:val="20"/>
                <w:szCs w:val="20"/>
                <w:lang w:val="en-AU" w:eastAsia="en-US" w:bidi="ar-SA"/>
              </w:rPr>
              <w:t>-14</w:t>
            </w:r>
            <w:r w:rsidRPr="006E2063">
              <w:rPr>
                <w:sz w:val="20"/>
                <w:szCs w:val="20"/>
                <w:lang w:val="en-AU" w:eastAsia="en-US" w:bidi="ar-SA"/>
              </w:rPr>
              <w:br/>
              <w:t>[-21; -7]</w:t>
            </w:r>
            <w:r w:rsidRPr="006E2063">
              <w:rPr>
                <w:sz w:val="20"/>
                <w:szCs w:val="20"/>
                <w:lang w:val="en-AU" w:eastAsia="en-US" w:bidi="ar-SA"/>
              </w:rPr>
              <w:br/>
            </w:r>
          </w:p>
        </w:tc>
        <w:tc>
          <w:tcPr>
            <w:tcW w:w="818" w:type="pct"/>
            <w:vAlign w:val="center"/>
          </w:tcPr>
          <w:p w14:paraId="168218E8" w14:textId="5C11C4CB" w:rsidR="003E488B" w:rsidRPr="006E2063" w:rsidRDefault="003E488B" w:rsidP="00A26D22">
            <w:pPr>
              <w:spacing w:after="40" w:line="240" w:lineRule="auto"/>
              <w:jc w:val="center"/>
              <w:rPr>
                <w:sz w:val="20"/>
                <w:szCs w:val="20"/>
                <w:lang w:val="en-AU" w:eastAsia="en-US" w:bidi="ar-SA"/>
              </w:rPr>
            </w:pPr>
            <w:r w:rsidRPr="006E2063">
              <w:rPr>
                <w:sz w:val="20"/>
                <w:szCs w:val="20"/>
                <w:lang w:val="en-AU" w:eastAsia="en-US" w:bidi="ar-SA"/>
              </w:rPr>
              <w:t>-1</w:t>
            </w:r>
            <w:r w:rsidRPr="006E2063">
              <w:rPr>
                <w:sz w:val="20"/>
                <w:szCs w:val="20"/>
                <w:lang w:val="en-AU" w:eastAsia="en-US" w:bidi="ar-SA"/>
              </w:rPr>
              <w:br/>
              <w:t>[-7; 4]</w:t>
            </w:r>
            <w:r w:rsidRPr="006E2063">
              <w:rPr>
                <w:sz w:val="20"/>
                <w:szCs w:val="20"/>
                <w:lang w:val="en-AU" w:eastAsia="en-US" w:bidi="ar-SA"/>
              </w:rPr>
              <w:br/>
            </w:r>
          </w:p>
        </w:tc>
      </w:tr>
      <w:tr w:rsidR="00A26D22" w:rsidRPr="006E2063" w14:paraId="05A96BBB" w14:textId="77777777" w:rsidTr="00111287">
        <w:trPr>
          <w:cantSplit/>
        </w:trPr>
        <w:tc>
          <w:tcPr>
            <w:tcW w:w="1099" w:type="pct"/>
            <w:vAlign w:val="center"/>
          </w:tcPr>
          <w:p w14:paraId="25FAA225" w14:textId="77777777" w:rsidR="003E488B" w:rsidRPr="006E2063" w:rsidRDefault="003E488B" w:rsidP="00885A46">
            <w:pPr>
              <w:spacing w:after="40" w:line="240" w:lineRule="auto"/>
              <w:rPr>
                <w:sz w:val="20"/>
                <w:szCs w:val="20"/>
                <w:lang w:val="en-AU" w:eastAsia="en-US" w:bidi="ar-SA"/>
              </w:rPr>
            </w:pPr>
            <w:r w:rsidRPr="006E2063">
              <w:rPr>
                <w:sz w:val="20"/>
                <w:szCs w:val="20"/>
                <w:lang w:val="en-AU" w:eastAsia="en-US" w:bidi="ar-SA"/>
              </w:rPr>
              <w:t>Appendicular skeletal muscle mass (g)</w:t>
            </w:r>
          </w:p>
        </w:tc>
        <w:tc>
          <w:tcPr>
            <w:tcW w:w="785" w:type="pct"/>
            <w:vAlign w:val="center"/>
          </w:tcPr>
          <w:p w14:paraId="1B2B1D7E" w14:textId="77777777"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558</w:t>
            </w:r>
          </w:p>
        </w:tc>
        <w:tc>
          <w:tcPr>
            <w:tcW w:w="708" w:type="pct"/>
            <w:vAlign w:val="center"/>
          </w:tcPr>
          <w:p w14:paraId="60171927" w14:textId="2BE47D7A"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462</w:t>
            </w:r>
          </w:p>
        </w:tc>
        <w:tc>
          <w:tcPr>
            <w:tcW w:w="628" w:type="pct"/>
            <w:vAlign w:val="center"/>
          </w:tcPr>
          <w:p w14:paraId="712CD7B7" w14:textId="77777777"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-121</w:t>
            </w:r>
          </w:p>
        </w:tc>
        <w:tc>
          <w:tcPr>
            <w:tcW w:w="962" w:type="pct"/>
            <w:vAlign w:val="center"/>
          </w:tcPr>
          <w:p w14:paraId="605C6C8F" w14:textId="77777777" w:rsidR="003E488B" w:rsidRPr="006E2063" w:rsidRDefault="003E488B" w:rsidP="00A26D22">
            <w:pPr>
              <w:spacing w:after="40" w:line="240" w:lineRule="auto"/>
              <w:jc w:val="center"/>
              <w:rPr>
                <w:sz w:val="20"/>
                <w:szCs w:val="20"/>
                <w:lang w:val="en-AU" w:eastAsia="en-US" w:bidi="ar-SA"/>
              </w:rPr>
            </w:pPr>
            <w:r w:rsidRPr="006E2063">
              <w:rPr>
                <w:sz w:val="20"/>
                <w:szCs w:val="20"/>
                <w:lang w:val="en-AU" w:eastAsia="en-US" w:bidi="ar-SA"/>
              </w:rPr>
              <w:t>679</w:t>
            </w:r>
            <w:r w:rsidRPr="006E2063">
              <w:rPr>
                <w:sz w:val="20"/>
                <w:szCs w:val="20"/>
                <w:lang w:val="en-AU" w:eastAsia="en-US" w:bidi="ar-SA"/>
              </w:rPr>
              <w:br/>
              <w:t>[340; 1,019]</w:t>
            </w:r>
            <w:r w:rsidRPr="006E2063">
              <w:rPr>
                <w:sz w:val="20"/>
                <w:szCs w:val="20"/>
                <w:lang w:val="en-AU" w:eastAsia="en-US" w:bidi="ar-SA"/>
              </w:rPr>
              <w:br/>
            </w:r>
          </w:p>
        </w:tc>
        <w:tc>
          <w:tcPr>
            <w:tcW w:w="818" w:type="pct"/>
            <w:vAlign w:val="center"/>
          </w:tcPr>
          <w:p w14:paraId="54BD8523" w14:textId="30B79490" w:rsidR="003E488B" w:rsidRPr="006E2063" w:rsidRDefault="003E488B" w:rsidP="00A26D22">
            <w:pPr>
              <w:spacing w:after="40" w:line="240" w:lineRule="auto"/>
              <w:jc w:val="center"/>
              <w:rPr>
                <w:sz w:val="20"/>
                <w:szCs w:val="20"/>
                <w:lang w:val="en-AU" w:eastAsia="en-US" w:bidi="ar-SA"/>
              </w:rPr>
            </w:pPr>
            <w:r w:rsidRPr="006E2063">
              <w:rPr>
                <w:sz w:val="20"/>
                <w:szCs w:val="20"/>
                <w:lang w:val="en-AU" w:eastAsia="en-US" w:bidi="ar-SA"/>
              </w:rPr>
              <w:t>96</w:t>
            </w:r>
            <w:r w:rsidRPr="006E2063">
              <w:rPr>
                <w:sz w:val="20"/>
                <w:szCs w:val="20"/>
                <w:lang w:val="en-AU" w:eastAsia="en-US" w:bidi="ar-SA"/>
              </w:rPr>
              <w:br/>
              <w:t>[-182; 374]</w:t>
            </w:r>
            <w:r w:rsidRPr="006E2063">
              <w:rPr>
                <w:sz w:val="20"/>
                <w:szCs w:val="20"/>
                <w:lang w:val="en-AU" w:eastAsia="en-US" w:bidi="ar-SA"/>
              </w:rPr>
              <w:br/>
            </w:r>
          </w:p>
        </w:tc>
      </w:tr>
      <w:tr w:rsidR="00A26D22" w:rsidRPr="006E2063" w14:paraId="1E321EB3" w14:textId="77777777" w:rsidTr="00111287">
        <w:trPr>
          <w:cantSplit/>
        </w:trPr>
        <w:tc>
          <w:tcPr>
            <w:tcW w:w="1099" w:type="pct"/>
            <w:vAlign w:val="center"/>
          </w:tcPr>
          <w:p w14:paraId="4F969A82" w14:textId="77777777" w:rsidR="003E488B" w:rsidRPr="006E2063" w:rsidRDefault="003E488B" w:rsidP="00885A46">
            <w:pPr>
              <w:spacing w:after="40" w:line="240" w:lineRule="auto"/>
              <w:rPr>
                <w:b/>
                <w:bCs/>
                <w:sz w:val="20"/>
                <w:szCs w:val="20"/>
                <w:lang w:val="en-AU" w:eastAsia="en-US" w:bidi="ar-SA"/>
              </w:rPr>
            </w:pPr>
            <w:r w:rsidRPr="006E2063">
              <w:rPr>
                <w:sz w:val="20"/>
                <w:szCs w:val="20"/>
                <w:lang w:val="en-AU" w:eastAsia="en-US" w:bidi="ar-SA"/>
              </w:rPr>
              <w:t>Lean body mass (g)</w:t>
            </w:r>
          </w:p>
        </w:tc>
        <w:tc>
          <w:tcPr>
            <w:tcW w:w="785" w:type="pct"/>
            <w:vAlign w:val="center"/>
          </w:tcPr>
          <w:p w14:paraId="5FB24232" w14:textId="77777777" w:rsidR="003E488B" w:rsidRPr="006E2063" w:rsidRDefault="003E488B" w:rsidP="00716CE5">
            <w:pPr>
              <w:spacing w:after="40" w:line="240" w:lineRule="auto"/>
              <w:jc w:val="center"/>
              <w:rPr>
                <w:b/>
                <w:bCs/>
                <w:sz w:val="20"/>
                <w:szCs w:val="20"/>
                <w:lang w:val="en-AU" w:eastAsia="en-US" w:bidi="ar-SA"/>
              </w:rPr>
            </w:pPr>
            <w:r w:rsidRPr="006E2063">
              <w:rPr>
                <w:sz w:val="20"/>
                <w:szCs w:val="20"/>
                <w:lang w:val="en-AU" w:eastAsia="en-US" w:bidi="ar-SA"/>
              </w:rPr>
              <w:t>1,394</w:t>
            </w:r>
          </w:p>
        </w:tc>
        <w:tc>
          <w:tcPr>
            <w:tcW w:w="708" w:type="pct"/>
            <w:vAlign w:val="center"/>
          </w:tcPr>
          <w:p w14:paraId="54A25141" w14:textId="77AE7713"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1,345</w:t>
            </w:r>
          </w:p>
        </w:tc>
        <w:tc>
          <w:tcPr>
            <w:tcW w:w="628" w:type="pct"/>
            <w:vAlign w:val="center"/>
          </w:tcPr>
          <w:p w14:paraId="72140353" w14:textId="77777777" w:rsidR="003E488B" w:rsidRPr="006E2063" w:rsidRDefault="003E488B" w:rsidP="00716CE5">
            <w:pPr>
              <w:spacing w:after="40" w:line="240" w:lineRule="auto"/>
              <w:jc w:val="center"/>
              <w:rPr>
                <w:b/>
                <w:bCs/>
                <w:sz w:val="20"/>
                <w:szCs w:val="20"/>
                <w:lang w:val="en-AU" w:eastAsia="en-US" w:bidi="ar-SA"/>
              </w:rPr>
            </w:pPr>
            <w:r w:rsidRPr="006E2063">
              <w:rPr>
                <w:sz w:val="20"/>
                <w:szCs w:val="20"/>
                <w:lang w:val="en-AU" w:eastAsia="en-US" w:bidi="ar-SA"/>
              </w:rPr>
              <w:t>250</w:t>
            </w:r>
          </w:p>
        </w:tc>
        <w:tc>
          <w:tcPr>
            <w:tcW w:w="962" w:type="pct"/>
            <w:vAlign w:val="center"/>
          </w:tcPr>
          <w:p w14:paraId="04D089C2" w14:textId="77777777" w:rsidR="003E488B" w:rsidRPr="006E2063" w:rsidRDefault="003E488B" w:rsidP="00A26D22">
            <w:pPr>
              <w:spacing w:after="40" w:line="240" w:lineRule="auto"/>
              <w:jc w:val="center"/>
              <w:rPr>
                <w:sz w:val="20"/>
                <w:szCs w:val="20"/>
                <w:lang w:val="en-AU" w:eastAsia="en-US" w:bidi="ar-SA"/>
              </w:rPr>
            </w:pPr>
            <w:r w:rsidRPr="006E2063">
              <w:rPr>
                <w:sz w:val="20"/>
                <w:szCs w:val="20"/>
                <w:lang w:val="en-AU" w:eastAsia="en-US" w:bidi="ar-SA"/>
              </w:rPr>
              <w:t>1144</w:t>
            </w:r>
            <w:r w:rsidRPr="006E2063">
              <w:rPr>
                <w:sz w:val="20"/>
                <w:szCs w:val="20"/>
                <w:lang w:val="en-AU" w:eastAsia="en-US" w:bidi="ar-SA"/>
              </w:rPr>
              <w:br/>
              <w:t>[459; 1,829]</w:t>
            </w:r>
            <w:r w:rsidRPr="006E2063">
              <w:rPr>
                <w:sz w:val="20"/>
                <w:szCs w:val="20"/>
                <w:lang w:val="en-AU" w:eastAsia="en-US" w:bidi="ar-SA"/>
              </w:rPr>
              <w:br/>
            </w:r>
          </w:p>
        </w:tc>
        <w:tc>
          <w:tcPr>
            <w:tcW w:w="818" w:type="pct"/>
            <w:vAlign w:val="center"/>
          </w:tcPr>
          <w:p w14:paraId="4F417BAB" w14:textId="0DCB1E13" w:rsidR="003E488B" w:rsidRPr="006E2063" w:rsidRDefault="003E488B" w:rsidP="00A26D22">
            <w:pPr>
              <w:spacing w:after="40" w:line="240" w:lineRule="auto"/>
              <w:jc w:val="center"/>
              <w:rPr>
                <w:sz w:val="20"/>
                <w:szCs w:val="20"/>
                <w:lang w:val="en-AU" w:eastAsia="en-US" w:bidi="ar-SA"/>
              </w:rPr>
            </w:pPr>
            <w:r w:rsidRPr="006E2063">
              <w:rPr>
                <w:sz w:val="20"/>
                <w:szCs w:val="20"/>
                <w:lang w:val="en-AU" w:eastAsia="en-US" w:bidi="ar-SA"/>
              </w:rPr>
              <w:t>49</w:t>
            </w:r>
            <w:r w:rsidRPr="006E2063">
              <w:rPr>
                <w:sz w:val="20"/>
                <w:szCs w:val="20"/>
                <w:lang w:val="en-AU" w:eastAsia="en-US" w:bidi="ar-SA"/>
              </w:rPr>
              <w:br/>
              <w:t>[-513;610]</w:t>
            </w:r>
            <w:r w:rsidRPr="006E2063">
              <w:rPr>
                <w:sz w:val="20"/>
                <w:szCs w:val="20"/>
                <w:lang w:val="en-AU" w:eastAsia="en-US" w:bidi="ar-SA"/>
              </w:rPr>
              <w:br/>
            </w:r>
          </w:p>
        </w:tc>
      </w:tr>
      <w:tr w:rsidR="00A26D22" w:rsidRPr="006E2063" w14:paraId="079A3954" w14:textId="77777777" w:rsidTr="00111287">
        <w:trPr>
          <w:cantSplit/>
        </w:trPr>
        <w:tc>
          <w:tcPr>
            <w:tcW w:w="1099" w:type="pct"/>
            <w:vAlign w:val="center"/>
          </w:tcPr>
          <w:p w14:paraId="03D068C3" w14:textId="77777777" w:rsidR="003E488B" w:rsidRPr="006E2063" w:rsidRDefault="003E488B" w:rsidP="00885A46">
            <w:pPr>
              <w:spacing w:after="40" w:line="240" w:lineRule="auto"/>
              <w:rPr>
                <w:sz w:val="20"/>
                <w:szCs w:val="20"/>
                <w:lang w:val="en-AU" w:eastAsia="en-US" w:bidi="ar-SA"/>
              </w:rPr>
            </w:pPr>
            <w:r w:rsidRPr="006E2063">
              <w:rPr>
                <w:sz w:val="20"/>
                <w:szCs w:val="20"/>
                <w:lang w:val="en-AU" w:eastAsia="en-US" w:bidi="ar-SA"/>
              </w:rPr>
              <w:t xml:space="preserve">IGF-I SDS level </w:t>
            </w:r>
          </w:p>
        </w:tc>
        <w:tc>
          <w:tcPr>
            <w:tcW w:w="785" w:type="pct"/>
            <w:vAlign w:val="center"/>
          </w:tcPr>
          <w:p w14:paraId="6D4FA900" w14:textId="77777777"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2.40</w:t>
            </w:r>
          </w:p>
        </w:tc>
        <w:tc>
          <w:tcPr>
            <w:tcW w:w="708" w:type="pct"/>
            <w:vAlign w:val="center"/>
          </w:tcPr>
          <w:p w14:paraId="24134CA1" w14:textId="7B1B1839"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2.37</w:t>
            </w:r>
          </w:p>
        </w:tc>
        <w:tc>
          <w:tcPr>
            <w:tcW w:w="628" w:type="pct"/>
            <w:vAlign w:val="center"/>
          </w:tcPr>
          <w:p w14:paraId="136F780F" w14:textId="77777777" w:rsidR="003E488B" w:rsidRPr="006E2063" w:rsidRDefault="003E488B" w:rsidP="00716CE5">
            <w:pPr>
              <w:spacing w:after="40" w:line="240" w:lineRule="auto"/>
              <w:jc w:val="center"/>
              <w:rPr>
                <w:sz w:val="20"/>
                <w:szCs w:val="20"/>
                <w:lang w:val="en-AU" w:eastAsia="en-US" w:bidi="ar-SA"/>
              </w:rPr>
            </w:pPr>
            <w:r w:rsidRPr="006E2063">
              <w:rPr>
                <w:sz w:val="20"/>
                <w:szCs w:val="20"/>
                <w:lang w:val="en-AU" w:eastAsia="en-US" w:bidi="ar-SA"/>
              </w:rPr>
              <w:t>-0.01</w:t>
            </w:r>
          </w:p>
        </w:tc>
        <w:tc>
          <w:tcPr>
            <w:tcW w:w="962" w:type="pct"/>
            <w:vAlign w:val="center"/>
          </w:tcPr>
          <w:p w14:paraId="365D9A70" w14:textId="77777777" w:rsidR="003E488B" w:rsidRPr="006E2063" w:rsidRDefault="003E488B" w:rsidP="00A26D22">
            <w:pPr>
              <w:spacing w:after="40" w:line="240" w:lineRule="auto"/>
              <w:jc w:val="center"/>
              <w:rPr>
                <w:sz w:val="20"/>
                <w:szCs w:val="20"/>
                <w:lang w:val="en-AU" w:eastAsia="en-US" w:bidi="ar-SA"/>
              </w:rPr>
            </w:pPr>
            <w:r w:rsidRPr="006E2063">
              <w:rPr>
                <w:sz w:val="20"/>
                <w:szCs w:val="20"/>
                <w:lang w:val="en-AU" w:eastAsia="en-US" w:bidi="ar-SA"/>
              </w:rPr>
              <w:t>2.40</w:t>
            </w:r>
            <w:r w:rsidRPr="006E2063">
              <w:rPr>
                <w:sz w:val="20"/>
                <w:szCs w:val="20"/>
                <w:lang w:val="en-AU" w:eastAsia="en-US" w:bidi="ar-SA"/>
              </w:rPr>
              <w:br/>
              <w:t>[2.09; 2.72]</w:t>
            </w:r>
            <w:r w:rsidRPr="006E2063">
              <w:rPr>
                <w:sz w:val="20"/>
                <w:szCs w:val="20"/>
                <w:lang w:val="en-AU" w:eastAsia="en-US" w:bidi="ar-SA"/>
              </w:rPr>
              <w:br/>
            </w:r>
          </w:p>
        </w:tc>
        <w:tc>
          <w:tcPr>
            <w:tcW w:w="818" w:type="pct"/>
            <w:vAlign w:val="center"/>
          </w:tcPr>
          <w:p w14:paraId="3FFA7D00" w14:textId="444D7680" w:rsidR="003E488B" w:rsidRPr="006E2063" w:rsidRDefault="003E488B" w:rsidP="00A26D22">
            <w:pPr>
              <w:spacing w:after="40" w:line="240" w:lineRule="auto"/>
              <w:jc w:val="center"/>
              <w:rPr>
                <w:sz w:val="20"/>
                <w:szCs w:val="20"/>
                <w:lang w:val="en-AU" w:eastAsia="en-US" w:bidi="ar-SA"/>
              </w:rPr>
            </w:pPr>
            <w:r w:rsidRPr="006E2063">
              <w:rPr>
                <w:sz w:val="20"/>
                <w:szCs w:val="20"/>
                <w:lang w:val="en-AU" w:eastAsia="en-US" w:bidi="ar-SA"/>
              </w:rPr>
              <w:t>0.02</w:t>
            </w:r>
            <w:r w:rsidRPr="006E2063">
              <w:rPr>
                <w:sz w:val="20"/>
                <w:szCs w:val="20"/>
                <w:lang w:val="en-AU" w:eastAsia="en-US" w:bidi="ar-SA"/>
              </w:rPr>
              <w:br/>
              <w:t>[-0.23;0.28]</w:t>
            </w:r>
            <w:r w:rsidRPr="006E2063">
              <w:rPr>
                <w:sz w:val="20"/>
                <w:szCs w:val="20"/>
                <w:lang w:val="en-AU" w:eastAsia="en-US" w:bidi="ar-SA"/>
              </w:rPr>
              <w:br/>
            </w:r>
          </w:p>
        </w:tc>
      </w:tr>
    </w:tbl>
    <w:bookmarkEnd w:id="13"/>
    <w:p w14:paraId="08C1B80D" w14:textId="53199D11" w:rsidR="003E488B" w:rsidRPr="006E2063" w:rsidRDefault="003E488B" w:rsidP="00A3555E">
      <w:pPr>
        <w:ind w:left="142"/>
        <w:rPr>
          <w:iCs/>
          <w:sz w:val="18"/>
          <w:szCs w:val="18"/>
          <w:vertAlign w:val="superscript"/>
          <w:lang w:val="en-AU" w:eastAsia="en-US" w:bidi="ar-SA"/>
        </w:rPr>
      </w:pPr>
      <w:r w:rsidRPr="006E2063">
        <w:rPr>
          <w:b/>
          <w:bCs/>
          <w:sz w:val="18"/>
          <w:szCs w:val="18"/>
          <w:lang w:val="en-AU" w:eastAsia="en-US" w:bidi="ar-SA"/>
        </w:rPr>
        <w:t xml:space="preserve">Abbreviations: </w:t>
      </w:r>
      <w:r w:rsidRPr="006E2063">
        <w:rPr>
          <w:sz w:val="18"/>
          <w:szCs w:val="18"/>
          <w:lang w:val="en-AU" w:eastAsia="en-US" w:bidi="ar-SA"/>
        </w:rPr>
        <w:t>N = Number of subjects in full analysis set</w:t>
      </w:r>
      <w:r w:rsidRPr="006E2063">
        <w:rPr>
          <w:iCs/>
          <w:sz w:val="18"/>
          <w:szCs w:val="18"/>
          <w:lang w:val="en-AU" w:eastAsia="en-US" w:bidi="ar-SA"/>
        </w:rPr>
        <w:t xml:space="preserve">, </w:t>
      </w:r>
      <w:r w:rsidRPr="006E2063">
        <w:rPr>
          <w:sz w:val="18"/>
          <w:szCs w:val="18"/>
          <w:lang w:val="en-AU" w:eastAsia="en-US" w:bidi="ar-SA"/>
        </w:rPr>
        <w:t xml:space="preserve">CI = Confidence interval, DM=Diabetes mellitus. </w:t>
      </w:r>
      <w:r w:rsidRPr="006E2063">
        <w:rPr>
          <w:iCs/>
          <w:sz w:val="18"/>
          <w:szCs w:val="18"/>
          <w:lang w:val="en-AU" w:eastAsia="en-US" w:bidi="ar-SA"/>
        </w:rPr>
        <w:t xml:space="preserve">IGF-I SDS: Insulin-like growth factor-I standard deviation score. </w:t>
      </w:r>
      <w:r w:rsidR="00A3555E" w:rsidRPr="006E2063">
        <w:rPr>
          <w:iCs/>
          <w:sz w:val="18"/>
          <w:szCs w:val="18"/>
          <w:lang w:val="en-AU" w:eastAsia="en-US" w:bidi="ar-SA"/>
        </w:rPr>
        <w:br/>
      </w:r>
      <w:proofErr w:type="gramStart"/>
      <w:r w:rsidRPr="006E2063">
        <w:rPr>
          <w:iCs/>
          <w:sz w:val="18"/>
          <w:szCs w:val="18"/>
          <w:vertAlign w:val="superscript"/>
          <w:lang w:val="en-AU" w:eastAsia="en-US" w:bidi="ar-SA"/>
        </w:rPr>
        <w:t xml:space="preserve">a </w:t>
      </w:r>
      <w:r w:rsidRPr="006E2063">
        <w:rPr>
          <w:iCs/>
          <w:sz w:val="18"/>
          <w:szCs w:val="18"/>
          <w:lang w:val="en-AU" w:eastAsia="en-US" w:bidi="ar-SA"/>
        </w:rPr>
        <w:t>Body composition parameters</w:t>
      </w:r>
      <w:proofErr w:type="gramEnd"/>
      <w:r w:rsidRPr="006E2063">
        <w:rPr>
          <w:iCs/>
          <w:sz w:val="18"/>
          <w:szCs w:val="18"/>
          <w:lang w:val="en-AU" w:eastAsia="en-US" w:bidi="ar-SA"/>
        </w:rPr>
        <w:t xml:space="preserve"> are based on dual-energy X-ray absorptiometry (DXA) scanning.</w:t>
      </w:r>
      <w:r w:rsidR="00A3555E" w:rsidRPr="006E2063">
        <w:rPr>
          <w:iCs/>
          <w:sz w:val="18"/>
          <w:szCs w:val="18"/>
          <w:lang w:val="en-AU" w:eastAsia="en-US" w:bidi="ar-SA"/>
        </w:rPr>
        <w:br/>
      </w:r>
      <w:r w:rsidRPr="006E2063">
        <w:rPr>
          <w:iCs/>
          <w:sz w:val="18"/>
          <w:szCs w:val="18"/>
          <w:vertAlign w:val="superscript"/>
          <w:lang w:val="en-AU" w:eastAsia="en-US" w:bidi="ar-SA"/>
        </w:rPr>
        <w:t>b</w:t>
      </w:r>
      <w:r w:rsidRPr="006E2063">
        <w:rPr>
          <w:iCs/>
          <w:sz w:val="18"/>
          <w:szCs w:val="18"/>
          <w:lang w:val="en-AU" w:eastAsia="en-US" w:bidi="ar-SA"/>
        </w:rPr>
        <w:t xml:space="preserve"> The primary analysis was a comparison of changes from baseline for somapacitan and placebo in truncal fat %. </w:t>
      </w:r>
      <w:r w:rsidRPr="006E2063">
        <w:rPr>
          <w:sz w:val="18"/>
          <w:szCs w:val="18"/>
          <w:lang w:val="en-AU" w:eastAsia="en-US" w:bidi="ar-SA"/>
        </w:rPr>
        <w:t xml:space="preserve">Changes in truncal fat % from baseline to the 34 week’s measurements </w:t>
      </w:r>
      <w:r w:rsidR="00212808" w:rsidRPr="006E2063">
        <w:rPr>
          <w:sz w:val="18"/>
          <w:szCs w:val="18"/>
          <w:lang w:val="en-AU" w:eastAsia="en-US" w:bidi="ar-SA"/>
        </w:rPr>
        <w:t>were</w:t>
      </w:r>
      <w:r w:rsidRPr="006E2063">
        <w:rPr>
          <w:sz w:val="18"/>
          <w:szCs w:val="18"/>
          <w:lang w:val="en-AU" w:eastAsia="en-US" w:bidi="ar-SA"/>
        </w:rPr>
        <w:t xml:space="preserve"> analysed using an analysis of covariance model with treatment, GHD onset type, sex, region, </w:t>
      </w:r>
      <w:proofErr w:type="gramStart"/>
      <w:r w:rsidRPr="006E2063">
        <w:rPr>
          <w:sz w:val="18"/>
          <w:szCs w:val="18"/>
          <w:lang w:val="en-AU" w:eastAsia="en-US" w:bidi="ar-SA"/>
        </w:rPr>
        <w:t>DM</w:t>
      </w:r>
      <w:proofErr w:type="gramEnd"/>
      <w:r w:rsidRPr="006E2063">
        <w:rPr>
          <w:sz w:val="18"/>
          <w:szCs w:val="18"/>
          <w:lang w:val="en-AU" w:eastAsia="en-US" w:bidi="ar-SA"/>
        </w:rPr>
        <w:t xml:space="preserve"> and sex by region by DM interaction as factors and baseline as a covariate incorporating a multiple imputation technique where missing week 34 values were imputed based on data from the placebo group.</w:t>
      </w:r>
      <w:r w:rsidRPr="006E2063">
        <w:rPr>
          <w:iCs/>
          <w:sz w:val="18"/>
          <w:szCs w:val="18"/>
          <w:lang w:val="en-AU" w:eastAsia="en-US" w:bidi="ar-SA"/>
        </w:rPr>
        <w:t xml:space="preserve"> </w:t>
      </w:r>
    </w:p>
    <w:p w14:paraId="4AA888EE" w14:textId="03666E9B" w:rsidR="003E488B" w:rsidRPr="006E2063" w:rsidRDefault="003E488B" w:rsidP="00A8577A">
      <w:pPr>
        <w:jc w:val="both"/>
        <w:rPr>
          <w:sz w:val="24"/>
          <w:szCs w:val="24"/>
          <w:lang w:val="en-AU" w:eastAsia="en-US" w:bidi="ar-SA"/>
        </w:rPr>
      </w:pPr>
      <w:bookmarkStart w:id="15" w:name="_Hlk58335590"/>
      <w:bookmarkEnd w:id="14"/>
      <w:r w:rsidRPr="006E2063">
        <w:rPr>
          <w:i/>
          <w:iCs/>
          <w:sz w:val="24"/>
          <w:szCs w:val="24"/>
          <w:lang w:val="en-AU" w:eastAsia="en-US" w:bidi="ar-SA"/>
        </w:rPr>
        <w:t>Post-hoc</w:t>
      </w:r>
      <w:r w:rsidRPr="006E2063">
        <w:rPr>
          <w:sz w:val="24"/>
          <w:szCs w:val="24"/>
          <w:lang w:val="en-AU" w:eastAsia="en-US" w:bidi="ar-SA"/>
        </w:rPr>
        <w:t xml:space="preserve"> subgroup </w:t>
      </w:r>
      <w:bookmarkStart w:id="16" w:name="_Hlk61210309"/>
      <w:r w:rsidRPr="006E2063">
        <w:rPr>
          <w:sz w:val="24"/>
          <w:szCs w:val="24"/>
          <w:lang w:val="en-AU" w:eastAsia="en-US" w:bidi="ar-SA"/>
        </w:rPr>
        <w:t xml:space="preserve">analysis of changes from baseline in truncal fat percentage (%) compared to placebo at week 34 </w:t>
      </w:r>
      <w:bookmarkEnd w:id="16"/>
      <w:r w:rsidRPr="006E2063">
        <w:rPr>
          <w:sz w:val="24"/>
          <w:szCs w:val="24"/>
          <w:lang w:val="en-AU" w:eastAsia="en-US" w:bidi="ar-SA"/>
        </w:rPr>
        <w:t xml:space="preserve">showed an estimated treatment difference (somapacitan-placebo) of </w:t>
      </w:r>
      <w:r w:rsidR="00A8577A" w:rsidRPr="006E2063">
        <w:rPr>
          <w:sz w:val="24"/>
          <w:szCs w:val="24"/>
          <w:lang w:val="en-AU" w:eastAsia="en-US" w:bidi="ar-SA"/>
        </w:rPr>
        <w:br/>
      </w:r>
      <w:r w:rsidRPr="006E2063">
        <w:rPr>
          <w:sz w:val="24"/>
          <w:szCs w:val="24"/>
          <w:lang w:val="en-AU" w:eastAsia="en-US" w:bidi="ar-SA"/>
        </w:rPr>
        <w:t xml:space="preserve">-2.49% [-4.19; -0.79] in men, -0.80% [-2.99; 1.39] in women not on oral </w:t>
      </w:r>
      <w:r w:rsidR="000B7A10" w:rsidRPr="006E2063">
        <w:rPr>
          <w:sz w:val="24"/>
          <w:szCs w:val="24"/>
          <w:lang w:val="en-AU" w:eastAsia="en-US" w:bidi="ar-SA"/>
        </w:rPr>
        <w:t>estrogen</w:t>
      </w:r>
      <w:r w:rsidRPr="006E2063">
        <w:rPr>
          <w:sz w:val="24"/>
          <w:szCs w:val="24"/>
          <w:lang w:val="en-AU" w:eastAsia="en-US" w:bidi="ar-SA"/>
        </w:rPr>
        <w:t xml:space="preserve">, -1.44% </w:t>
      </w:r>
      <w:r w:rsidR="00A8577A" w:rsidRPr="006E2063">
        <w:rPr>
          <w:sz w:val="24"/>
          <w:szCs w:val="24"/>
          <w:lang w:val="en-AU" w:eastAsia="en-US" w:bidi="ar-SA"/>
        </w:rPr>
        <w:br/>
      </w:r>
      <w:r w:rsidRPr="006E2063">
        <w:rPr>
          <w:sz w:val="24"/>
          <w:szCs w:val="24"/>
          <w:lang w:val="en-AU" w:eastAsia="en-US" w:bidi="ar-SA"/>
        </w:rPr>
        <w:t xml:space="preserve">[-3.97; 1.09] in women on oral </w:t>
      </w:r>
      <w:r w:rsidR="000B7A10" w:rsidRPr="006E2063">
        <w:rPr>
          <w:sz w:val="24"/>
          <w:szCs w:val="24"/>
          <w:lang w:val="en-AU" w:eastAsia="en-US" w:bidi="ar-SA"/>
        </w:rPr>
        <w:t>estrogen</w:t>
      </w:r>
      <w:r w:rsidRPr="006E2063">
        <w:rPr>
          <w:sz w:val="24"/>
          <w:szCs w:val="24"/>
          <w:lang w:val="en-AU" w:eastAsia="en-US" w:bidi="ar-SA"/>
        </w:rPr>
        <w:t>.</w:t>
      </w:r>
      <w:bookmarkStart w:id="17" w:name="_Hlk35699543"/>
      <w:bookmarkEnd w:id="15"/>
      <w:r w:rsidR="0062579E" w:rsidRPr="006E2063">
        <w:rPr>
          <w:sz w:val="24"/>
          <w:szCs w:val="24"/>
          <w:lang w:val="en-AU" w:eastAsia="en-US" w:bidi="ar-SA"/>
        </w:rPr>
        <w:t xml:space="preserve"> </w:t>
      </w:r>
    </w:p>
    <w:p w14:paraId="31F138CF" w14:textId="27537B5A" w:rsidR="003E488B" w:rsidRPr="006E2063" w:rsidRDefault="003E488B" w:rsidP="003421FF">
      <w:pPr>
        <w:pageBreakBefore/>
        <w:rPr>
          <w:b/>
          <w:bCs/>
          <w:lang w:val="en-AU" w:eastAsia="en-US" w:bidi="ar-SA"/>
        </w:rPr>
      </w:pPr>
      <w:r w:rsidRPr="006E2063">
        <w:rPr>
          <w:b/>
          <w:bCs/>
          <w:lang w:val="en-AU" w:eastAsia="en-US" w:bidi="ar-SA"/>
        </w:rPr>
        <w:lastRenderedPageBreak/>
        <w:t xml:space="preserve">Table </w:t>
      </w:r>
      <w:r w:rsidR="00C93249" w:rsidRPr="006E2063">
        <w:rPr>
          <w:b/>
          <w:bCs/>
          <w:iCs/>
          <w:lang w:val="en-AU" w:eastAsia="en-US" w:bidi="ar-SA"/>
        </w:rPr>
        <w:fldChar w:fldCharType="begin"/>
      </w:r>
      <w:r w:rsidR="00C93249" w:rsidRPr="006E2063">
        <w:rPr>
          <w:b/>
          <w:bCs/>
          <w:iCs/>
          <w:lang w:val="en-AU" w:eastAsia="en-US" w:bidi="ar-SA"/>
        </w:rPr>
        <w:instrText xml:space="preserve"> SEQ Table \* ARABIC \s 1 </w:instrText>
      </w:r>
      <w:r w:rsidR="00C93249" w:rsidRPr="006E2063">
        <w:rPr>
          <w:b/>
          <w:bCs/>
          <w:iCs/>
          <w:lang w:val="en-AU" w:eastAsia="en-US" w:bidi="ar-SA"/>
        </w:rPr>
        <w:fldChar w:fldCharType="separate"/>
      </w:r>
      <w:r w:rsidR="00C93249" w:rsidRPr="006E2063">
        <w:rPr>
          <w:b/>
          <w:bCs/>
          <w:iCs/>
          <w:lang w:val="en-AU" w:eastAsia="en-US" w:bidi="ar-SA"/>
        </w:rPr>
        <w:t>5</w:t>
      </w:r>
      <w:r w:rsidR="00C93249" w:rsidRPr="006E2063">
        <w:rPr>
          <w:b/>
          <w:bCs/>
          <w:lang w:val="en-AU" w:eastAsia="en-US" w:bidi="ar-SA"/>
        </w:rPr>
        <w:fldChar w:fldCharType="end"/>
      </w:r>
      <w:r w:rsidRPr="006E2063">
        <w:rPr>
          <w:b/>
          <w:bCs/>
          <w:lang w:val="en-AU" w:eastAsia="en-US" w:bidi="ar-SA"/>
        </w:rPr>
        <w:t xml:space="preserve">: </w:t>
      </w:r>
      <w:r w:rsidR="005E57BF" w:rsidRPr="006E2063">
        <w:rPr>
          <w:b/>
          <w:bCs/>
          <w:lang w:val="en-AU" w:eastAsia="en-US" w:bidi="ar-SA"/>
        </w:rPr>
        <w:t>Change from baseline to week 87 in body composition parameters (trial 4054)</w:t>
      </w:r>
      <w:r w:rsidR="002C7C63" w:rsidRPr="006E2063">
        <w:rPr>
          <w:b/>
          <w:bCs/>
          <w:lang w:val="en-AU" w:eastAsia="en-US" w:bidi="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0"/>
        <w:gridCol w:w="1339"/>
        <w:gridCol w:w="1388"/>
        <w:gridCol w:w="1388"/>
        <w:gridCol w:w="1883"/>
      </w:tblGrid>
      <w:tr w:rsidR="00724760" w:rsidRPr="006E2063" w14:paraId="66E93DFE" w14:textId="77777777" w:rsidTr="00A36F2F">
        <w:tc>
          <w:tcPr>
            <w:tcW w:w="941" w:type="pct"/>
            <w:vAlign w:val="center"/>
          </w:tcPr>
          <w:p w14:paraId="0E1D3551" w14:textId="77777777" w:rsidR="003E488B" w:rsidRPr="006E2063" w:rsidRDefault="003E488B" w:rsidP="000E0616">
            <w:pPr>
              <w:spacing w:after="40" w:line="240" w:lineRule="auto"/>
              <w:rPr>
                <w:b/>
                <w:sz w:val="20"/>
                <w:szCs w:val="20"/>
                <w:lang w:val="en-AU" w:eastAsia="en-US" w:bidi="ar-SA"/>
              </w:rPr>
            </w:pPr>
            <w:r w:rsidRPr="006E2063">
              <w:rPr>
                <w:b/>
                <w:sz w:val="20"/>
                <w:szCs w:val="20"/>
                <w:lang w:val="en-AU" w:eastAsia="en-US" w:bidi="ar-SA"/>
              </w:rPr>
              <w:t xml:space="preserve">Change from baseline at 87 </w:t>
            </w:r>
            <w:proofErr w:type="spellStart"/>
            <w:r w:rsidRPr="006E2063">
              <w:rPr>
                <w:b/>
                <w:sz w:val="20"/>
                <w:szCs w:val="20"/>
                <w:lang w:val="en-AU" w:eastAsia="en-US" w:bidi="ar-SA"/>
              </w:rPr>
              <w:t>weeks</w:t>
            </w:r>
            <w:r w:rsidRPr="006E2063">
              <w:rPr>
                <w:b/>
                <w:sz w:val="20"/>
                <w:szCs w:val="20"/>
                <w:vertAlign w:val="superscript"/>
                <w:lang w:val="en-AU" w:eastAsia="en-US" w:bidi="ar-SA"/>
              </w:rPr>
              <w:t>a</w:t>
            </w:r>
            <w:proofErr w:type="spellEnd"/>
            <w:r w:rsidRPr="006E2063">
              <w:rPr>
                <w:b/>
                <w:sz w:val="20"/>
                <w:szCs w:val="20"/>
                <w:lang w:val="en-AU" w:eastAsia="en-US" w:bidi="ar-SA"/>
              </w:rPr>
              <w:t xml:space="preserve"> </w:t>
            </w:r>
          </w:p>
        </w:tc>
        <w:tc>
          <w:tcPr>
            <w:tcW w:w="671" w:type="pct"/>
            <w:vAlign w:val="center"/>
          </w:tcPr>
          <w:p w14:paraId="11932F48" w14:textId="4EF1BB25" w:rsidR="003E488B" w:rsidRPr="006E2063" w:rsidRDefault="003E488B" w:rsidP="000E0616">
            <w:pPr>
              <w:spacing w:after="40" w:line="240" w:lineRule="auto"/>
              <w:jc w:val="center"/>
              <w:rPr>
                <w:b/>
                <w:sz w:val="20"/>
                <w:szCs w:val="20"/>
                <w:lang w:val="en-AU" w:eastAsia="en-US" w:bidi="ar-SA"/>
              </w:rPr>
            </w:pPr>
            <w:r w:rsidRPr="006E2063">
              <w:rPr>
                <w:b/>
                <w:sz w:val="20"/>
                <w:szCs w:val="20"/>
                <w:lang w:val="en-AU" w:eastAsia="en-US" w:bidi="ar-SA"/>
              </w:rPr>
              <w:t>somapacitan/</w:t>
            </w:r>
            <w:r w:rsidRPr="006E2063">
              <w:rPr>
                <w:b/>
                <w:sz w:val="20"/>
                <w:szCs w:val="20"/>
                <w:lang w:val="en-AU" w:eastAsia="en-US" w:bidi="ar-SA"/>
              </w:rPr>
              <w:br/>
              <w:t>somapacitan</w:t>
            </w:r>
          </w:p>
        </w:tc>
        <w:tc>
          <w:tcPr>
            <w:tcW w:w="758" w:type="pct"/>
            <w:vAlign w:val="center"/>
          </w:tcPr>
          <w:p w14:paraId="5689A23D" w14:textId="6AC7DDCB" w:rsidR="003E488B" w:rsidRPr="006E2063" w:rsidRDefault="003E488B" w:rsidP="000E0616">
            <w:pPr>
              <w:spacing w:after="40" w:line="240" w:lineRule="auto"/>
              <w:jc w:val="center"/>
              <w:rPr>
                <w:b/>
                <w:sz w:val="20"/>
                <w:szCs w:val="20"/>
                <w:lang w:val="en-AU" w:eastAsia="en-US" w:bidi="ar-SA"/>
              </w:rPr>
            </w:pPr>
            <w:r w:rsidRPr="006E2063">
              <w:rPr>
                <w:b/>
                <w:sz w:val="20"/>
                <w:szCs w:val="20"/>
                <w:lang w:val="en-AU" w:eastAsia="en-US" w:bidi="ar-SA"/>
              </w:rPr>
              <w:t>somatropin/</w:t>
            </w:r>
            <w:r w:rsidRPr="006E2063">
              <w:rPr>
                <w:b/>
                <w:sz w:val="20"/>
                <w:szCs w:val="20"/>
                <w:lang w:val="en-AU" w:eastAsia="en-US" w:bidi="ar-SA"/>
              </w:rPr>
              <w:br/>
              <w:t>somatropin</w:t>
            </w:r>
          </w:p>
        </w:tc>
        <w:tc>
          <w:tcPr>
            <w:tcW w:w="785" w:type="pct"/>
            <w:vAlign w:val="center"/>
          </w:tcPr>
          <w:p w14:paraId="7921EA21" w14:textId="77777777" w:rsidR="003E488B" w:rsidRPr="006E2063" w:rsidRDefault="003E488B" w:rsidP="000E0616">
            <w:pPr>
              <w:spacing w:after="40" w:line="240" w:lineRule="auto"/>
              <w:jc w:val="center"/>
              <w:rPr>
                <w:b/>
                <w:sz w:val="20"/>
                <w:szCs w:val="20"/>
                <w:lang w:val="en-AU" w:eastAsia="en-US" w:bidi="ar-SA"/>
              </w:rPr>
            </w:pPr>
            <w:r w:rsidRPr="006E2063">
              <w:rPr>
                <w:b/>
                <w:sz w:val="20"/>
                <w:szCs w:val="20"/>
                <w:lang w:val="en-AU" w:eastAsia="en-US" w:bidi="ar-SA"/>
              </w:rPr>
              <w:t>placebo/</w:t>
            </w:r>
            <w:r w:rsidRPr="006E2063">
              <w:rPr>
                <w:b/>
                <w:sz w:val="20"/>
                <w:szCs w:val="20"/>
                <w:lang w:val="en-AU" w:eastAsia="en-US" w:bidi="ar-SA"/>
              </w:rPr>
              <w:br/>
              <w:t>somapacitan</w:t>
            </w:r>
          </w:p>
        </w:tc>
        <w:tc>
          <w:tcPr>
            <w:tcW w:w="785" w:type="pct"/>
            <w:vAlign w:val="center"/>
          </w:tcPr>
          <w:p w14:paraId="251FEA60" w14:textId="77777777" w:rsidR="003E488B" w:rsidRPr="006E2063" w:rsidRDefault="003E488B" w:rsidP="000E0616">
            <w:pPr>
              <w:spacing w:after="40" w:line="240" w:lineRule="auto"/>
              <w:jc w:val="center"/>
              <w:rPr>
                <w:b/>
                <w:sz w:val="20"/>
                <w:szCs w:val="20"/>
                <w:lang w:val="en-AU" w:eastAsia="en-US" w:bidi="ar-SA"/>
              </w:rPr>
            </w:pPr>
            <w:r w:rsidRPr="006E2063">
              <w:rPr>
                <w:b/>
                <w:sz w:val="20"/>
                <w:szCs w:val="20"/>
                <w:lang w:val="en-AU" w:eastAsia="en-US" w:bidi="ar-SA"/>
              </w:rPr>
              <w:t>somatropin/</w:t>
            </w:r>
            <w:r w:rsidRPr="006E2063">
              <w:rPr>
                <w:b/>
                <w:sz w:val="20"/>
                <w:szCs w:val="20"/>
                <w:lang w:val="en-AU" w:eastAsia="en-US" w:bidi="ar-SA"/>
              </w:rPr>
              <w:br/>
              <w:t>somapacitan</w:t>
            </w:r>
          </w:p>
        </w:tc>
        <w:tc>
          <w:tcPr>
            <w:tcW w:w="1060" w:type="pct"/>
            <w:vAlign w:val="center"/>
          </w:tcPr>
          <w:p w14:paraId="4ABA44AB" w14:textId="748EBC9B" w:rsidR="003E488B" w:rsidRPr="006E2063" w:rsidRDefault="003E488B" w:rsidP="000E0616">
            <w:pPr>
              <w:spacing w:after="40" w:line="240" w:lineRule="auto"/>
              <w:jc w:val="center"/>
              <w:rPr>
                <w:sz w:val="20"/>
                <w:szCs w:val="20"/>
                <w:lang w:val="en-AU" w:eastAsia="en-US" w:bidi="ar-SA"/>
              </w:rPr>
            </w:pPr>
            <w:r w:rsidRPr="006E2063">
              <w:rPr>
                <w:b/>
                <w:sz w:val="20"/>
                <w:szCs w:val="20"/>
                <w:lang w:val="en-AU" w:eastAsia="en-US" w:bidi="ar-SA"/>
              </w:rPr>
              <w:t>Difference somapacitan/</w:t>
            </w:r>
            <w:r w:rsidRPr="006E2063">
              <w:rPr>
                <w:b/>
                <w:sz w:val="20"/>
                <w:szCs w:val="20"/>
                <w:lang w:val="en-AU" w:eastAsia="en-US" w:bidi="ar-SA"/>
              </w:rPr>
              <w:br/>
              <w:t>somapacitan vs somatropin/</w:t>
            </w:r>
            <w:r w:rsidR="00724760" w:rsidRPr="006E2063">
              <w:rPr>
                <w:b/>
                <w:sz w:val="20"/>
                <w:szCs w:val="20"/>
                <w:lang w:val="en-AU" w:eastAsia="en-US" w:bidi="ar-SA"/>
              </w:rPr>
              <w:br/>
            </w:r>
            <w:r w:rsidRPr="006E2063">
              <w:rPr>
                <w:b/>
                <w:sz w:val="20"/>
                <w:szCs w:val="20"/>
                <w:lang w:val="en-AU" w:eastAsia="en-US" w:bidi="ar-SA"/>
              </w:rPr>
              <w:t xml:space="preserve">somatropin  </w:t>
            </w:r>
            <w:r w:rsidRPr="006E2063">
              <w:rPr>
                <w:b/>
                <w:sz w:val="20"/>
                <w:szCs w:val="20"/>
                <w:lang w:val="en-AU" w:eastAsia="en-US" w:bidi="ar-SA"/>
              </w:rPr>
              <w:br/>
              <w:t>[95% CI]</w:t>
            </w:r>
          </w:p>
        </w:tc>
      </w:tr>
      <w:tr w:rsidR="00724760" w:rsidRPr="006E2063" w14:paraId="605A6A21" w14:textId="77777777" w:rsidTr="00A36F2F">
        <w:trPr>
          <w:trHeight w:val="245"/>
        </w:trPr>
        <w:tc>
          <w:tcPr>
            <w:tcW w:w="941" w:type="pct"/>
            <w:vAlign w:val="center"/>
          </w:tcPr>
          <w:p w14:paraId="1CFC2C5E" w14:textId="77777777" w:rsidR="003E488B" w:rsidRPr="006E2063" w:rsidRDefault="003E488B" w:rsidP="000E0616">
            <w:pPr>
              <w:spacing w:after="40" w:line="240" w:lineRule="auto"/>
              <w:rPr>
                <w:sz w:val="20"/>
                <w:szCs w:val="20"/>
                <w:lang w:val="en-AU" w:eastAsia="en-US" w:bidi="ar-SA"/>
              </w:rPr>
            </w:pPr>
            <w:r w:rsidRPr="006E2063">
              <w:rPr>
                <w:sz w:val="20"/>
                <w:szCs w:val="20"/>
                <w:lang w:val="en-AU" w:eastAsia="en-US" w:bidi="ar-SA"/>
              </w:rPr>
              <w:t>Number of subjects (N)</w:t>
            </w:r>
          </w:p>
        </w:tc>
        <w:tc>
          <w:tcPr>
            <w:tcW w:w="671" w:type="pct"/>
            <w:shd w:val="clear" w:color="auto" w:fill="auto"/>
            <w:vAlign w:val="center"/>
          </w:tcPr>
          <w:p w14:paraId="113EC5A1"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114</w:t>
            </w:r>
          </w:p>
        </w:tc>
        <w:tc>
          <w:tcPr>
            <w:tcW w:w="758" w:type="pct"/>
            <w:vAlign w:val="center"/>
          </w:tcPr>
          <w:p w14:paraId="30305CCC" w14:textId="1094B806"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52</w:t>
            </w:r>
          </w:p>
        </w:tc>
        <w:tc>
          <w:tcPr>
            <w:tcW w:w="785" w:type="pct"/>
            <w:vAlign w:val="center"/>
          </w:tcPr>
          <w:p w14:paraId="4A64D780"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54</w:t>
            </w:r>
          </w:p>
        </w:tc>
        <w:tc>
          <w:tcPr>
            <w:tcW w:w="785" w:type="pct"/>
            <w:vAlign w:val="center"/>
          </w:tcPr>
          <w:p w14:paraId="19AC17BA"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51</w:t>
            </w:r>
          </w:p>
        </w:tc>
        <w:tc>
          <w:tcPr>
            <w:tcW w:w="1060" w:type="pct"/>
            <w:vAlign w:val="center"/>
          </w:tcPr>
          <w:p w14:paraId="7A170652" w14:textId="77777777" w:rsidR="003E488B" w:rsidRPr="006E2063" w:rsidRDefault="003E488B" w:rsidP="000E0616">
            <w:pPr>
              <w:spacing w:after="40" w:line="240" w:lineRule="auto"/>
              <w:jc w:val="center"/>
              <w:rPr>
                <w:sz w:val="20"/>
                <w:szCs w:val="20"/>
                <w:lang w:val="en-AU" w:eastAsia="en-US" w:bidi="ar-SA"/>
              </w:rPr>
            </w:pPr>
          </w:p>
        </w:tc>
      </w:tr>
      <w:tr w:rsidR="00724760" w:rsidRPr="006E2063" w14:paraId="1138F0C8" w14:textId="77777777" w:rsidTr="00A36F2F">
        <w:trPr>
          <w:trHeight w:val="245"/>
        </w:trPr>
        <w:tc>
          <w:tcPr>
            <w:tcW w:w="941" w:type="pct"/>
            <w:vAlign w:val="center"/>
          </w:tcPr>
          <w:p w14:paraId="07A65506" w14:textId="77777777" w:rsidR="003E488B" w:rsidRPr="006E2063" w:rsidRDefault="003E488B" w:rsidP="000E0616">
            <w:pPr>
              <w:spacing w:after="40" w:line="240" w:lineRule="auto"/>
              <w:rPr>
                <w:sz w:val="20"/>
                <w:szCs w:val="20"/>
                <w:lang w:val="en-AU" w:eastAsia="en-US" w:bidi="ar-SA"/>
              </w:rPr>
            </w:pPr>
            <w:r w:rsidRPr="006E2063">
              <w:rPr>
                <w:sz w:val="20"/>
                <w:szCs w:val="20"/>
                <w:lang w:val="en-AU" w:eastAsia="en-US" w:bidi="ar-SA"/>
              </w:rPr>
              <w:t>Truncal fat %</w:t>
            </w:r>
          </w:p>
        </w:tc>
        <w:tc>
          <w:tcPr>
            <w:tcW w:w="671" w:type="pct"/>
            <w:vAlign w:val="center"/>
          </w:tcPr>
          <w:p w14:paraId="13188346"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-1.51</w:t>
            </w:r>
          </w:p>
        </w:tc>
        <w:tc>
          <w:tcPr>
            <w:tcW w:w="758" w:type="pct"/>
            <w:vAlign w:val="center"/>
          </w:tcPr>
          <w:p w14:paraId="2E70E1D5" w14:textId="34647AA6"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-2.67</w:t>
            </w:r>
          </w:p>
        </w:tc>
        <w:tc>
          <w:tcPr>
            <w:tcW w:w="785" w:type="pct"/>
            <w:vAlign w:val="center"/>
          </w:tcPr>
          <w:p w14:paraId="3B947435"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-2.28</w:t>
            </w:r>
          </w:p>
        </w:tc>
        <w:tc>
          <w:tcPr>
            <w:tcW w:w="785" w:type="pct"/>
            <w:vAlign w:val="center"/>
          </w:tcPr>
          <w:p w14:paraId="493AE833"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-1.35</w:t>
            </w:r>
          </w:p>
        </w:tc>
        <w:tc>
          <w:tcPr>
            <w:tcW w:w="1060" w:type="pct"/>
            <w:vAlign w:val="center"/>
          </w:tcPr>
          <w:p w14:paraId="73EAC949" w14:textId="22E67940"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1.15</w:t>
            </w:r>
            <w:r w:rsidRPr="006E2063">
              <w:rPr>
                <w:sz w:val="20"/>
                <w:szCs w:val="20"/>
                <w:lang w:val="en-AU" w:eastAsia="en-US" w:bidi="ar-SA"/>
              </w:rPr>
              <w:br/>
              <w:t>[-0.10; 2.40]</w:t>
            </w:r>
          </w:p>
        </w:tc>
      </w:tr>
      <w:tr w:rsidR="00724760" w:rsidRPr="006E2063" w14:paraId="3391BB5A" w14:textId="77777777" w:rsidTr="00A36F2F">
        <w:tc>
          <w:tcPr>
            <w:tcW w:w="941" w:type="pct"/>
            <w:vAlign w:val="center"/>
          </w:tcPr>
          <w:p w14:paraId="5079D47D" w14:textId="77777777" w:rsidR="003E488B" w:rsidRPr="006E2063" w:rsidRDefault="003E488B" w:rsidP="000E0616">
            <w:pPr>
              <w:spacing w:after="40" w:line="240" w:lineRule="auto"/>
              <w:rPr>
                <w:sz w:val="20"/>
                <w:szCs w:val="20"/>
                <w:lang w:val="en-AU" w:eastAsia="en-US" w:bidi="ar-SA"/>
              </w:rPr>
            </w:pPr>
            <w:r w:rsidRPr="006E2063">
              <w:rPr>
                <w:sz w:val="20"/>
                <w:szCs w:val="20"/>
                <w:lang w:val="en-AU" w:eastAsia="en-US" w:bidi="ar-SA"/>
              </w:rPr>
              <w:t>Visceral adipose tissue (cm</w:t>
            </w:r>
            <w:r w:rsidRPr="006E2063">
              <w:rPr>
                <w:sz w:val="20"/>
                <w:szCs w:val="20"/>
                <w:vertAlign w:val="superscript"/>
                <w:lang w:val="en-AU" w:eastAsia="en-US" w:bidi="ar-SA"/>
              </w:rPr>
              <w:t>2</w:t>
            </w:r>
            <w:r w:rsidRPr="006E2063">
              <w:rPr>
                <w:sz w:val="20"/>
                <w:szCs w:val="20"/>
                <w:lang w:val="en-AU" w:eastAsia="en-US" w:bidi="ar-SA"/>
              </w:rPr>
              <w:t>)</w:t>
            </w:r>
          </w:p>
        </w:tc>
        <w:tc>
          <w:tcPr>
            <w:tcW w:w="671" w:type="pct"/>
            <w:vAlign w:val="center"/>
          </w:tcPr>
          <w:p w14:paraId="6CD9A336"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-6.64</w:t>
            </w:r>
          </w:p>
        </w:tc>
        <w:tc>
          <w:tcPr>
            <w:tcW w:w="758" w:type="pct"/>
            <w:vAlign w:val="center"/>
          </w:tcPr>
          <w:p w14:paraId="74574CB8" w14:textId="0DC1FC30"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-6.85</w:t>
            </w:r>
          </w:p>
        </w:tc>
        <w:tc>
          <w:tcPr>
            <w:tcW w:w="785" w:type="pct"/>
            <w:vAlign w:val="center"/>
          </w:tcPr>
          <w:p w14:paraId="542723A8"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-10.21</w:t>
            </w:r>
          </w:p>
        </w:tc>
        <w:tc>
          <w:tcPr>
            <w:tcW w:w="785" w:type="pct"/>
            <w:vAlign w:val="center"/>
          </w:tcPr>
          <w:p w14:paraId="7C8FC4C3"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-8.77</w:t>
            </w:r>
          </w:p>
        </w:tc>
        <w:tc>
          <w:tcPr>
            <w:tcW w:w="1060" w:type="pct"/>
            <w:vAlign w:val="center"/>
          </w:tcPr>
          <w:p w14:paraId="678D520D" w14:textId="34869434"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0.22</w:t>
            </w:r>
            <w:r w:rsidR="000E0616" w:rsidRPr="006E2063">
              <w:rPr>
                <w:sz w:val="20"/>
                <w:szCs w:val="20"/>
                <w:lang w:val="en-AU" w:eastAsia="en-US" w:bidi="ar-SA"/>
              </w:rPr>
              <w:br/>
            </w:r>
            <w:r w:rsidRPr="006E2063">
              <w:rPr>
                <w:sz w:val="20"/>
                <w:szCs w:val="20"/>
                <w:lang w:val="en-AU" w:eastAsia="en-US" w:bidi="ar-SA"/>
              </w:rPr>
              <w:t>[-10; 10]</w:t>
            </w:r>
          </w:p>
        </w:tc>
      </w:tr>
      <w:tr w:rsidR="00724760" w:rsidRPr="006E2063" w14:paraId="54B4F0AA" w14:textId="77777777" w:rsidTr="00A36F2F">
        <w:tc>
          <w:tcPr>
            <w:tcW w:w="941" w:type="pct"/>
            <w:vAlign w:val="center"/>
          </w:tcPr>
          <w:p w14:paraId="78CD447B" w14:textId="77777777" w:rsidR="003E488B" w:rsidRPr="006E2063" w:rsidRDefault="003E488B" w:rsidP="000E0616">
            <w:pPr>
              <w:spacing w:after="40" w:line="240" w:lineRule="auto"/>
              <w:rPr>
                <w:sz w:val="20"/>
                <w:szCs w:val="20"/>
                <w:lang w:val="en-AU" w:eastAsia="en-US" w:bidi="ar-SA"/>
              </w:rPr>
            </w:pPr>
            <w:r w:rsidRPr="006E2063">
              <w:rPr>
                <w:sz w:val="20"/>
                <w:szCs w:val="20"/>
                <w:lang w:val="en-AU" w:eastAsia="en-US" w:bidi="ar-SA"/>
              </w:rPr>
              <w:t>Appendicular skeletal muscle mass (g)</w:t>
            </w:r>
          </w:p>
        </w:tc>
        <w:tc>
          <w:tcPr>
            <w:tcW w:w="671" w:type="pct"/>
            <w:vAlign w:val="center"/>
          </w:tcPr>
          <w:p w14:paraId="75C92C40"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546.11</w:t>
            </w:r>
          </w:p>
        </w:tc>
        <w:tc>
          <w:tcPr>
            <w:tcW w:w="758" w:type="pct"/>
            <w:vAlign w:val="center"/>
          </w:tcPr>
          <w:p w14:paraId="41B37FF9" w14:textId="65F474A8"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449.09</w:t>
            </w:r>
          </w:p>
        </w:tc>
        <w:tc>
          <w:tcPr>
            <w:tcW w:w="785" w:type="pct"/>
            <w:vAlign w:val="center"/>
          </w:tcPr>
          <w:p w14:paraId="1E413C84"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411.05</w:t>
            </w:r>
          </w:p>
        </w:tc>
        <w:tc>
          <w:tcPr>
            <w:tcW w:w="785" w:type="pct"/>
            <w:vAlign w:val="center"/>
          </w:tcPr>
          <w:p w14:paraId="47BB4B40"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575.80</w:t>
            </w:r>
          </w:p>
        </w:tc>
        <w:tc>
          <w:tcPr>
            <w:tcW w:w="1060" w:type="pct"/>
            <w:vAlign w:val="center"/>
          </w:tcPr>
          <w:p w14:paraId="7742B209" w14:textId="29F04C7C"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97.02</w:t>
            </w:r>
            <w:r w:rsidRPr="006E2063">
              <w:rPr>
                <w:sz w:val="20"/>
                <w:szCs w:val="20"/>
                <w:lang w:val="en-AU" w:eastAsia="en-US" w:bidi="ar-SA"/>
              </w:rPr>
              <w:br/>
              <w:t>[-362; 556]</w:t>
            </w:r>
          </w:p>
        </w:tc>
      </w:tr>
      <w:tr w:rsidR="00724760" w:rsidRPr="006E2063" w14:paraId="2DFD41A2" w14:textId="77777777" w:rsidTr="00A36F2F">
        <w:tc>
          <w:tcPr>
            <w:tcW w:w="941" w:type="pct"/>
            <w:vAlign w:val="center"/>
          </w:tcPr>
          <w:p w14:paraId="3C818B17" w14:textId="77777777" w:rsidR="003E488B" w:rsidRPr="006E2063" w:rsidRDefault="003E488B" w:rsidP="000E0616">
            <w:pPr>
              <w:spacing w:after="40" w:line="240" w:lineRule="auto"/>
              <w:rPr>
                <w:b/>
                <w:bCs/>
                <w:sz w:val="20"/>
                <w:szCs w:val="20"/>
                <w:lang w:val="en-AU" w:eastAsia="en-US" w:bidi="ar-SA"/>
              </w:rPr>
            </w:pPr>
            <w:r w:rsidRPr="006E2063">
              <w:rPr>
                <w:sz w:val="20"/>
                <w:szCs w:val="20"/>
                <w:lang w:val="en-AU" w:eastAsia="en-US" w:bidi="ar-SA"/>
              </w:rPr>
              <w:t>Lean body mass (g)</w:t>
            </w:r>
          </w:p>
        </w:tc>
        <w:tc>
          <w:tcPr>
            <w:tcW w:w="671" w:type="pct"/>
            <w:vAlign w:val="center"/>
          </w:tcPr>
          <w:p w14:paraId="50C1C952"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1,739.05</w:t>
            </w:r>
          </w:p>
        </w:tc>
        <w:tc>
          <w:tcPr>
            <w:tcW w:w="758" w:type="pct"/>
            <w:vAlign w:val="center"/>
          </w:tcPr>
          <w:p w14:paraId="35553212" w14:textId="6E2C4C36"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1,305.73</w:t>
            </w:r>
          </w:p>
        </w:tc>
        <w:tc>
          <w:tcPr>
            <w:tcW w:w="785" w:type="pct"/>
            <w:vAlign w:val="center"/>
          </w:tcPr>
          <w:p w14:paraId="206EA9DE"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1,660.56</w:t>
            </w:r>
          </w:p>
        </w:tc>
        <w:tc>
          <w:tcPr>
            <w:tcW w:w="785" w:type="pct"/>
            <w:vAlign w:val="center"/>
          </w:tcPr>
          <w:p w14:paraId="50776E82" w14:textId="77777777"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1,707.82</w:t>
            </w:r>
          </w:p>
        </w:tc>
        <w:tc>
          <w:tcPr>
            <w:tcW w:w="1060" w:type="pct"/>
            <w:vAlign w:val="center"/>
          </w:tcPr>
          <w:p w14:paraId="10D7484C" w14:textId="02B2F05E" w:rsidR="003E488B" w:rsidRPr="006E2063" w:rsidRDefault="003E488B" w:rsidP="000E0616">
            <w:pPr>
              <w:spacing w:after="40" w:line="240" w:lineRule="auto"/>
              <w:jc w:val="center"/>
              <w:rPr>
                <w:sz w:val="20"/>
                <w:szCs w:val="20"/>
                <w:lang w:val="en-AU" w:eastAsia="en-US" w:bidi="ar-SA"/>
              </w:rPr>
            </w:pPr>
            <w:r w:rsidRPr="006E2063">
              <w:rPr>
                <w:sz w:val="20"/>
                <w:szCs w:val="20"/>
                <w:lang w:val="en-AU" w:eastAsia="en-US" w:bidi="ar-SA"/>
              </w:rPr>
              <w:t>433.32</w:t>
            </w:r>
            <w:r w:rsidRPr="006E2063">
              <w:rPr>
                <w:sz w:val="20"/>
                <w:szCs w:val="20"/>
                <w:lang w:val="en-AU" w:eastAsia="en-US" w:bidi="ar-SA"/>
              </w:rPr>
              <w:br/>
              <w:t>[-404; 1271]</w:t>
            </w:r>
          </w:p>
        </w:tc>
      </w:tr>
    </w:tbl>
    <w:p w14:paraId="67CBBC44" w14:textId="77777777" w:rsidR="003E488B" w:rsidRPr="006E2063" w:rsidRDefault="003E488B" w:rsidP="00E024A3">
      <w:pPr>
        <w:ind w:left="142"/>
        <w:rPr>
          <w:sz w:val="18"/>
          <w:szCs w:val="18"/>
          <w:lang w:val="en-AU" w:eastAsia="en-US" w:bidi="ar-SA"/>
        </w:rPr>
      </w:pPr>
      <w:proofErr w:type="gramStart"/>
      <w:r w:rsidRPr="006E2063">
        <w:rPr>
          <w:iCs/>
          <w:sz w:val="18"/>
          <w:szCs w:val="18"/>
          <w:vertAlign w:val="superscript"/>
          <w:lang w:val="en-AU" w:eastAsia="en-US" w:bidi="ar-SA"/>
        </w:rPr>
        <w:t>a</w:t>
      </w:r>
      <w:r w:rsidRPr="006E2063">
        <w:rPr>
          <w:iCs/>
          <w:sz w:val="18"/>
          <w:szCs w:val="18"/>
          <w:lang w:val="en-AU" w:eastAsia="en-US" w:bidi="ar-SA"/>
        </w:rPr>
        <w:t xml:space="preserve"> Body composition parameters</w:t>
      </w:r>
      <w:proofErr w:type="gramEnd"/>
      <w:r w:rsidRPr="006E2063">
        <w:rPr>
          <w:iCs/>
          <w:sz w:val="18"/>
          <w:szCs w:val="18"/>
          <w:lang w:val="en-AU" w:eastAsia="en-US" w:bidi="ar-SA"/>
        </w:rPr>
        <w:t xml:space="preserve"> are based on DXA scanning.</w:t>
      </w:r>
    </w:p>
    <w:bookmarkEnd w:id="17"/>
    <w:p w14:paraId="0CAD4DED" w14:textId="3C6414B3" w:rsidR="003E488B" w:rsidRPr="006E2063" w:rsidRDefault="003E488B" w:rsidP="003E488B">
      <w:pPr>
        <w:rPr>
          <w:iCs/>
          <w:sz w:val="24"/>
          <w:szCs w:val="24"/>
          <w:lang w:val="en-AU" w:eastAsia="en-US" w:bidi="ar-SA"/>
        </w:rPr>
      </w:pPr>
      <w:r w:rsidRPr="006E2063">
        <w:rPr>
          <w:i/>
          <w:iCs/>
          <w:sz w:val="24"/>
          <w:szCs w:val="24"/>
          <w:lang w:val="en-AU" w:eastAsia="en-US" w:bidi="ar-SA"/>
        </w:rPr>
        <w:t>Observed and simulated IGF-I SDS levels in the clinical study</w:t>
      </w:r>
      <w:r w:rsidR="00954EE9" w:rsidRPr="006E2063">
        <w:rPr>
          <w:i/>
          <w:iCs/>
          <w:sz w:val="24"/>
          <w:szCs w:val="24"/>
          <w:lang w:val="en-AU" w:eastAsia="en-US" w:bidi="ar-SA"/>
        </w:rPr>
        <w:t xml:space="preserve"> </w:t>
      </w:r>
    </w:p>
    <w:p w14:paraId="24A84804" w14:textId="294FF533" w:rsidR="00A36F2F" w:rsidRPr="006E2063" w:rsidRDefault="003E488B" w:rsidP="00A36F2F">
      <w:pPr>
        <w:rPr>
          <w:sz w:val="24"/>
          <w:szCs w:val="24"/>
          <w:lang w:val="en-AU" w:eastAsia="en-US" w:bidi="ar-SA"/>
        </w:rPr>
      </w:pPr>
      <w:r w:rsidRPr="006E2063">
        <w:rPr>
          <w:sz w:val="24"/>
          <w:szCs w:val="24"/>
          <w:lang w:val="en-AU" w:eastAsia="en-US" w:bidi="ar-SA"/>
        </w:rPr>
        <w:t xml:space="preserve">In the main phase of the clinical study IGF-I SDS values of 0 and above were overall achieved in 53% of somapacitan-treated AGHD study patients after an 8-week dose titration period. This proportion was however lower </w:t>
      </w:r>
      <w:proofErr w:type="gramStart"/>
      <w:r w:rsidRPr="006E2063">
        <w:rPr>
          <w:sz w:val="24"/>
          <w:szCs w:val="24"/>
          <w:lang w:val="en-AU" w:eastAsia="en-US" w:bidi="ar-SA"/>
        </w:rPr>
        <w:t>in particular subgroups</w:t>
      </w:r>
      <w:proofErr w:type="gramEnd"/>
      <w:r w:rsidRPr="006E2063">
        <w:rPr>
          <w:sz w:val="24"/>
          <w:szCs w:val="24"/>
          <w:lang w:val="en-AU" w:eastAsia="en-US" w:bidi="ar-SA"/>
        </w:rPr>
        <w:t xml:space="preserve"> such as women on oral </w:t>
      </w:r>
      <w:r w:rsidR="000B7A10" w:rsidRPr="006E2063">
        <w:rPr>
          <w:sz w:val="24"/>
          <w:szCs w:val="24"/>
          <w:lang w:val="en-AU" w:eastAsia="en-US" w:bidi="ar-SA"/>
        </w:rPr>
        <w:t>estrogen</w:t>
      </w:r>
      <w:r w:rsidRPr="006E2063">
        <w:rPr>
          <w:sz w:val="24"/>
          <w:szCs w:val="24"/>
          <w:lang w:val="en-AU" w:eastAsia="en-US" w:bidi="ar-SA"/>
        </w:rPr>
        <w:t xml:space="preserve"> (32%) and patients with childhood-onset (39%) (Table </w:t>
      </w:r>
      <w:r w:rsidR="006F3AED" w:rsidRPr="006E2063">
        <w:rPr>
          <w:sz w:val="24"/>
          <w:szCs w:val="24"/>
          <w:lang w:val="en-AU" w:eastAsia="en-US" w:bidi="ar-SA"/>
        </w:rPr>
        <w:t>6</w:t>
      </w:r>
      <w:r w:rsidRPr="006E2063">
        <w:rPr>
          <w:sz w:val="24"/>
          <w:szCs w:val="24"/>
          <w:lang w:val="en-AU" w:eastAsia="en-US" w:bidi="ar-SA"/>
        </w:rPr>
        <w:t xml:space="preserve">). </w:t>
      </w:r>
      <w:r w:rsidRPr="006E2063">
        <w:rPr>
          <w:i/>
          <w:iCs/>
          <w:sz w:val="24"/>
          <w:szCs w:val="24"/>
          <w:lang w:val="en-AU" w:eastAsia="en-US" w:bidi="ar-SA"/>
        </w:rPr>
        <w:t>Post-hoc</w:t>
      </w:r>
      <w:r w:rsidRPr="006E2063">
        <w:rPr>
          <w:sz w:val="24"/>
          <w:szCs w:val="24"/>
          <w:lang w:val="en-AU" w:eastAsia="en-US" w:bidi="ar-SA"/>
        </w:rPr>
        <w:t xml:space="preserve"> simulation analyses indicated that the proportions of AGHD patients achieving IGF-I SDS levels above 0 are expected to be higher in case somapacitan dose titration beyond 8 weeks would be allowed. In this simulation analysis, it was assumed that somapacitan dose titration was well-tolerated in all patients until the IGF-I SDS target range or a somapacitan dose of 8 mg per week would be achieved. </w:t>
      </w:r>
    </w:p>
    <w:p w14:paraId="13FF96A6" w14:textId="2FA64EA6" w:rsidR="003E488B" w:rsidRPr="006E2063" w:rsidRDefault="003E488B" w:rsidP="00C93249">
      <w:pPr>
        <w:rPr>
          <w:b/>
          <w:bCs/>
          <w:lang w:val="en-AU" w:eastAsia="en-US" w:bidi="ar-SA"/>
        </w:rPr>
      </w:pPr>
      <w:r w:rsidRPr="006E2063">
        <w:rPr>
          <w:b/>
          <w:bCs/>
          <w:lang w:val="en-AU" w:eastAsia="en-US" w:bidi="ar-SA"/>
        </w:rPr>
        <w:t xml:space="preserve">Table </w:t>
      </w:r>
      <w:r w:rsidR="00C93249" w:rsidRPr="006E2063">
        <w:rPr>
          <w:b/>
          <w:bCs/>
          <w:iCs/>
          <w:lang w:val="en-AU" w:eastAsia="en-US" w:bidi="ar-SA"/>
        </w:rPr>
        <w:fldChar w:fldCharType="begin"/>
      </w:r>
      <w:r w:rsidR="00C93249" w:rsidRPr="006E2063">
        <w:rPr>
          <w:b/>
          <w:bCs/>
          <w:iCs/>
          <w:lang w:val="en-AU" w:eastAsia="en-US" w:bidi="ar-SA"/>
        </w:rPr>
        <w:instrText xml:space="preserve"> SEQ Table \* ARABIC \s 1 </w:instrText>
      </w:r>
      <w:r w:rsidR="00C93249" w:rsidRPr="006E2063">
        <w:rPr>
          <w:b/>
          <w:bCs/>
          <w:iCs/>
          <w:lang w:val="en-AU" w:eastAsia="en-US" w:bidi="ar-SA"/>
        </w:rPr>
        <w:fldChar w:fldCharType="separate"/>
      </w:r>
      <w:r w:rsidR="00C93249" w:rsidRPr="006E2063">
        <w:rPr>
          <w:b/>
          <w:bCs/>
          <w:iCs/>
          <w:lang w:val="en-AU" w:eastAsia="en-US" w:bidi="ar-SA"/>
        </w:rPr>
        <w:t>6</w:t>
      </w:r>
      <w:r w:rsidR="00C93249" w:rsidRPr="006E2063">
        <w:rPr>
          <w:b/>
          <w:bCs/>
          <w:lang w:val="en-AU" w:eastAsia="en-US" w:bidi="ar-SA"/>
        </w:rPr>
        <w:fldChar w:fldCharType="end"/>
      </w:r>
      <w:r w:rsidRPr="006E2063">
        <w:rPr>
          <w:b/>
          <w:bCs/>
          <w:lang w:val="en-AU" w:eastAsia="en-US" w:bidi="ar-SA"/>
        </w:rPr>
        <w:t xml:space="preserve"> Proportions of somapacitan-treated AGHD patients with IGF-I SDS levels above 0</w:t>
      </w:r>
    </w:p>
    <w:tbl>
      <w:tblPr>
        <w:tblStyle w:val="TableGrid"/>
        <w:tblW w:w="5000" w:type="pct"/>
        <w:tblLook w:val="04A0" w:firstRow="1" w:lastRow="0" w:firstColumn="1" w:lastColumn="0" w:noHBand="0" w:noVBand="1"/>
      </w:tblPr>
      <w:tblGrid>
        <w:gridCol w:w="1575"/>
        <w:gridCol w:w="1032"/>
        <w:gridCol w:w="1370"/>
        <w:gridCol w:w="1370"/>
        <w:gridCol w:w="1558"/>
        <w:gridCol w:w="1134"/>
        <w:gridCol w:w="977"/>
      </w:tblGrid>
      <w:tr w:rsidR="003E488B" w:rsidRPr="006E2063" w14:paraId="2D0284AA" w14:textId="77777777" w:rsidTr="007545EB">
        <w:tc>
          <w:tcPr>
            <w:tcW w:w="873" w:type="pct"/>
            <w:vAlign w:val="center"/>
          </w:tcPr>
          <w:p w14:paraId="4F431BAC" w14:textId="77777777" w:rsidR="003E488B" w:rsidRPr="006E2063" w:rsidRDefault="003E488B" w:rsidP="007545EB">
            <w:pPr>
              <w:spacing w:after="40"/>
              <w:rPr>
                <w:b/>
                <w:bCs/>
                <w:sz w:val="20"/>
                <w:szCs w:val="20"/>
                <w:u w:val="single"/>
                <w:lang w:val="en-AU" w:eastAsia="en-US" w:bidi="ar-SA"/>
              </w:rPr>
            </w:pPr>
            <w:r w:rsidRPr="006E2063">
              <w:rPr>
                <w:b/>
                <w:bCs/>
                <w:sz w:val="20"/>
                <w:szCs w:val="20"/>
                <w:u w:val="single"/>
                <w:lang w:val="en-AU" w:eastAsia="en-US" w:bidi="ar-SA"/>
              </w:rPr>
              <w:t>Subgroups</w:t>
            </w:r>
          </w:p>
        </w:tc>
        <w:tc>
          <w:tcPr>
            <w:tcW w:w="572" w:type="pct"/>
            <w:vAlign w:val="center"/>
          </w:tcPr>
          <w:p w14:paraId="5C896641" w14:textId="77777777" w:rsidR="003E488B" w:rsidRPr="006E2063" w:rsidRDefault="003E488B" w:rsidP="007545EB">
            <w:pPr>
              <w:spacing w:after="40"/>
              <w:jc w:val="center"/>
              <w:rPr>
                <w:b/>
                <w:bCs/>
                <w:sz w:val="20"/>
                <w:szCs w:val="20"/>
                <w:lang w:val="en-AU" w:eastAsia="en-US" w:bidi="ar-SA"/>
              </w:rPr>
            </w:pPr>
            <w:r w:rsidRPr="006E2063">
              <w:rPr>
                <w:b/>
                <w:bCs/>
                <w:sz w:val="20"/>
                <w:szCs w:val="20"/>
                <w:lang w:val="en-AU" w:eastAsia="en-US" w:bidi="ar-SA"/>
              </w:rPr>
              <w:t>Men</w:t>
            </w:r>
          </w:p>
        </w:tc>
        <w:tc>
          <w:tcPr>
            <w:tcW w:w="760" w:type="pct"/>
            <w:vAlign w:val="center"/>
          </w:tcPr>
          <w:p w14:paraId="1E24C47A" w14:textId="63021D72" w:rsidR="003E488B" w:rsidRPr="006E2063" w:rsidRDefault="003E488B" w:rsidP="007545EB">
            <w:pPr>
              <w:spacing w:after="40"/>
              <w:jc w:val="center"/>
              <w:rPr>
                <w:b/>
                <w:bCs/>
                <w:sz w:val="20"/>
                <w:szCs w:val="20"/>
                <w:lang w:val="en-AU" w:eastAsia="en-US" w:bidi="ar-SA"/>
              </w:rPr>
            </w:pPr>
            <w:r w:rsidRPr="006E2063">
              <w:rPr>
                <w:b/>
                <w:bCs/>
                <w:sz w:val="20"/>
                <w:szCs w:val="20"/>
                <w:lang w:val="en-AU" w:eastAsia="en-US" w:bidi="ar-SA"/>
              </w:rPr>
              <w:t xml:space="preserve">Women not on oral </w:t>
            </w:r>
            <w:r w:rsidR="000B7A10" w:rsidRPr="006E2063">
              <w:rPr>
                <w:b/>
                <w:bCs/>
                <w:sz w:val="20"/>
                <w:szCs w:val="20"/>
                <w:lang w:val="en-AU" w:eastAsia="en-US" w:bidi="ar-SA"/>
              </w:rPr>
              <w:t>estrogen</w:t>
            </w:r>
          </w:p>
        </w:tc>
        <w:tc>
          <w:tcPr>
            <w:tcW w:w="760" w:type="pct"/>
            <w:vAlign w:val="center"/>
          </w:tcPr>
          <w:p w14:paraId="03922F47" w14:textId="55E3E2E3" w:rsidR="003E488B" w:rsidRPr="006E2063" w:rsidRDefault="003E488B" w:rsidP="007545EB">
            <w:pPr>
              <w:spacing w:after="40"/>
              <w:jc w:val="center"/>
              <w:rPr>
                <w:b/>
                <w:bCs/>
                <w:sz w:val="20"/>
                <w:szCs w:val="20"/>
                <w:lang w:val="en-AU" w:eastAsia="en-US" w:bidi="ar-SA"/>
              </w:rPr>
            </w:pPr>
            <w:r w:rsidRPr="006E2063">
              <w:rPr>
                <w:b/>
                <w:bCs/>
                <w:sz w:val="20"/>
                <w:szCs w:val="20"/>
                <w:lang w:val="en-AU" w:eastAsia="en-US" w:bidi="ar-SA"/>
              </w:rPr>
              <w:t xml:space="preserve">Women on oral </w:t>
            </w:r>
            <w:r w:rsidR="000B7A10" w:rsidRPr="006E2063">
              <w:rPr>
                <w:b/>
                <w:bCs/>
                <w:sz w:val="20"/>
                <w:szCs w:val="20"/>
                <w:lang w:val="en-AU" w:eastAsia="en-US" w:bidi="ar-SA"/>
              </w:rPr>
              <w:t>estrogen</w:t>
            </w:r>
          </w:p>
        </w:tc>
        <w:tc>
          <w:tcPr>
            <w:tcW w:w="864" w:type="pct"/>
            <w:vAlign w:val="center"/>
          </w:tcPr>
          <w:p w14:paraId="1A2C57B0" w14:textId="77777777" w:rsidR="003E488B" w:rsidRPr="006E2063" w:rsidRDefault="003E488B" w:rsidP="007545EB">
            <w:pPr>
              <w:spacing w:after="40"/>
              <w:jc w:val="center"/>
              <w:rPr>
                <w:b/>
                <w:bCs/>
                <w:sz w:val="20"/>
                <w:szCs w:val="20"/>
                <w:lang w:val="en-AU" w:eastAsia="en-US" w:bidi="ar-SA"/>
              </w:rPr>
            </w:pPr>
            <w:r w:rsidRPr="006E2063">
              <w:rPr>
                <w:b/>
                <w:bCs/>
                <w:sz w:val="20"/>
                <w:szCs w:val="20"/>
                <w:lang w:val="en-AU" w:eastAsia="en-US" w:bidi="ar-SA"/>
              </w:rPr>
              <w:t>Childhood-onset AGHD</w:t>
            </w:r>
          </w:p>
        </w:tc>
        <w:tc>
          <w:tcPr>
            <w:tcW w:w="629" w:type="pct"/>
            <w:vAlign w:val="center"/>
          </w:tcPr>
          <w:p w14:paraId="322CCAD0" w14:textId="77777777" w:rsidR="003E488B" w:rsidRPr="006E2063" w:rsidRDefault="003E488B" w:rsidP="007545EB">
            <w:pPr>
              <w:spacing w:after="40"/>
              <w:jc w:val="center"/>
              <w:rPr>
                <w:b/>
                <w:bCs/>
                <w:sz w:val="20"/>
                <w:szCs w:val="20"/>
                <w:lang w:val="en-AU" w:eastAsia="en-US" w:bidi="ar-SA"/>
              </w:rPr>
            </w:pPr>
            <w:r w:rsidRPr="006E2063">
              <w:rPr>
                <w:b/>
                <w:bCs/>
                <w:sz w:val="20"/>
                <w:szCs w:val="20"/>
                <w:lang w:val="en-AU" w:eastAsia="en-US" w:bidi="ar-SA"/>
              </w:rPr>
              <w:t>Adult-onset AGHD</w:t>
            </w:r>
          </w:p>
        </w:tc>
        <w:tc>
          <w:tcPr>
            <w:tcW w:w="542" w:type="pct"/>
            <w:vAlign w:val="center"/>
          </w:tcPr>
          <w:p w14:paraId="7B6D5929" w14:textId="77777777" w:rsidR="003E488B" w:rsidRPr="006E2063" w:rsidRDefault="003E488B" w:rsidP="007545EB">
            <w:pPr>
              <w:spacing w:after="40"/>
              <w:jc w:val="center"/>
              <w:rPr>
                <w:b/>
                <w:bCs/>
                <w:sz w:val="20"/>
                <w:szCs w:val="20"/>
                <w:lang w:val="en-AU" w:eastAsia="en-US" w:bidi="ar-SA"/>
              </w:rPr>
            </w:pPr>
            <w:r w:rsidRPr="006E2063">
              <w:rPr>
                <w:b/>
                <w:bCs/>
                <w:sz w:val="20"/>
                <w:szCs w:val="20"/>
                <w:lang w:val="en-AU" w:eastAsia="en-US" w:bidi="ar-SA"/>
              </w:rPr>
              <w:t>All</w:t>
            </w:r>
          </w:p>
        </w:tc>
      </w:tr>
      <w:tr w:rsidR="003E488B" w:rsidRPr="006E2063" w14:paraId="387A37A4" w14:textId="77777777" w:rsidTr="007545EB">
        <w:tc>
          <w:tcPr>
            <w:tcW w:w="873" w:type="pct"/>
            <w:vAlign w:val="center"/>
          </w:tcPr>
          <w:p w14:paraId="54A83085" w14:textId="77777777" w:rsidR="003E488B" w:rsidRPr="006E2063" w:rsidRDefault="003E488B" w:rsidP="007545EB">
            <w:pPr>
              <w:spacing w:after="40"/>
              <w:rPr>
                <w:sz w:val="20"/>
                <w:szCs w:val="20"/>
                <w:lang w:val="en-AU" w:eastAsia="en-US" w:bidi="ar-SA"/>
              </w:rPr>
            </w:pPr>
            <w:proofErr w:type="spellStart"/>
            <w:r w:rsidRPr="006E2063">
              <w:rPr>
                <w:sz w:val="20"/>
                <w:szCs w:val="20"/>
                <w:lang w:val="en-AU" w:eastAsia="en-US" w:bidi="ar-SA"/>
              </w:rPr>
              <w:t>Observed</w:t>
            </w:r>
            <w:r w:rsidRPr="006E2063">
              <w:rPr>
                <w:sz w:val="20"/>
                <w:szCs w:val="20"/>
                <w:vertAlign w:val="superscript"/>
                <w:lang w:val="en-AU" w:eastAsia="en-US" w:bidi="ar-SA"/>
              </w:rPr>
              <w:t>a</w:t>
            </w:r>
            <w:proofErr w:type="spellEnd"/>
            <w:r w:rsidRPr="006E2063">
              <w:rPr>
                <w:sz w:val="20"/>
                <w:szCs w:val="20"/>
                <w:lang w:val="en-AU" w:eastAsia="en-US" w:bidi="ar-SA"/>
              </w:rPr>
              <w:t xml:space="preserve"> </w:t>
            </w:r>
          </w:p>
        </w:tc>
        <w:tc>
          <w:tcPr>
            <w:tcW w:w="572" w:type="pct"/>
            <w:vAlign w:val="center"/>
          </w:tcPr>
          <w:p w14:paraId="535A3216"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71%</w:t>
            </w:r>
          </w:p>
        </w:tc>
        <w:tc>
          <w:tcPr>
            <w:tcW w:w="760" w:type="pct"/>
            <w:vAlign w:val="center"/>
          </w:tcPr>
          <w:p w14:paraId="464052AE"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46%</w:t>
            </w:r>
          </w:p>
        </w:tc>
        <w:tc>
          <w:tcPr>
            <w:tcW w:w="760" w:type="pct"/>
            <w:vAlign w:val="center"/>
          </w:tcPr>
          <w:p w14:paraId="2CB0AB23"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32%</w:t>
            </w:r>
          </w:p>
        </w:tc>
        <w:tc>
          <w:tcPr>
            <w:tcW w:w="864" w:type="pct"/>
            <w:vAlign w:val="center"/>
          </w:tcPr>
          <w:p w14:paraId="10A233F6"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39%</w:t>
            </w:r>
          </w:p>
        </w:tc>
        <w:tc>
          <w:tcPr>
            <w:tcW w:w="629" w:type="pct"/>
            <w:vAlign w:val="center"/>
          </w:tcPr>
          <w:p w14:paraId="39B01A77"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60%</w:t>
            </w:r>
          </w:p>
        </w:tc>
        <w:tc>
          <w:tcPr>
            <w:tcW w:w="542" w:type="pct"/>
            <w:vAlign w:val="center"/>
          </w:tcPr>
          <w:p w14:paraId="33F4269E"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53%</w:t>
            </w:r>
          </w:p>
        </w:tc>
      </w:tr>
      <w:tr w:rsidR="003E488B" w:rsidRPr="006E2063" w14:paraId="18C445A6" w14:textId="77777777" w:rsidTr="007545EB">
        <w:tc>
          <w:tcPr>
            <w:tcW w:w="873" w:type="pct"/>
            <w:vAlign w:val="center"/>
          </w:tcPr>
          <w:p w14:paraId="43B569EA" w14:textId="77777777" w:rsidR="003E488B" w:rsidRPr="006E2063" w:rsidRDefault="003E488B" w:rsidP="007545EB">
            <w:pPr>
              <w:spacing w:after="40"/>
              <w:rPr>
                <w:sz w:val="20"/>
                <w:szCs w:val="20"/>
                <w:lang w:val="en-AU" w:eastAsia="en-US" w:bidi="ar-SA"/>
              </w:rPr>
            </w:pPr>
            <w:r w:rsidRPr="006E2063">
              <w:rPr>
                <w:i/>
                <w:iCs/>
                <w:sz w:val="20"/>
                <w:szCs w:val="20"/>
                <w:lang w:val="en-AU" w:eastAsia="en-US" w:bidi="ar-SA"/>
              </w:rPr>
              <w:t>Post-hoc</w:t>
            </w:r>
            <w:r w:rsidRPr="006E2063">
              <w:rPr>
                <w:sz w:val="20"/>
                <w:szCs w:val="20"/>
                <w:lang w:val="en-AU" w:eastAsia="en-US" w:bidi="ar-SA"/>
              </w:rPr>
              <w:t xml:space="preserve"> simulations </w:t>
            </w:r>
          </w:p>
        </w:tc>
        <w:tc>
          <w:tcPr>
            <w:tcW w:w="572" w:type="pct"/>
            <w:vAlign w:val="center"/>
          </w:tcPr>
          <w:p w14:paraId="21AD1FF5"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100%</w:t>
            </w:r>
          </w:p>
        </w:tc>
        <w:tc>
          <w:tcPr>
            <w:tcW w:w="760" w:type="pct"/>
            <w:vAlign w:val="center"/>
          </w:tcPr>
          <w:p w14:paraId="09AFCDB4"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96%</w:t>
            </w:r>
          </w:p>
        </w:tc>
        <w:tc>
          <w:tcPr>
            <w:tcW w:w="760" w:type="pct"/>
            <w:vAlign w:val="center"/>
          </w:tcPr>
          <w:p w14:paraId="387321BF"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70%</w:t>
            </w:r>
          </w:p>
        </w:tc>
        <w:tc>
          <w:tcPr>
            <w:tcW w:w="864" w:type="pct"/>
            <w:vAlign w:val="center"/>
          </w:tcPr>
          <w:p w14:paraId="33E26E6F"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84%</w:t>
            </w:r>
          </w:p>
        </w:tc>
        <w:tc>
          <w:tcPr>
            <w:tcW w:w="629" w:type="pct"/>
            <w:vAlign w:val="center"/>
          </w:tcPr>
          <w:p w14:paraId="10B36E32"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92%</w:t>
            </w:r>
          </w:p>
        </w:tc>
        <w:tc>
          <w:tcPr>
            <w:tcW w:w="542" w:type="pct"/>
            <w:vAlign w:val="center"/>
          </w:tcPr>
          <w:p w14:paraId="4E972DC9" w14:textId="77777777" w:rsidR="003E488B" w:rsidRPr="006E2063" w:rsidRDefault="003E488B" w:rsidP="007545EB">
            <w:pPr>
              <w:spacing w:after="40"/>
              <w:jc w:val="center"/>
              <w:rPr>
                <w:sz w:val="20"/>
                <w:szCs w:val="20"/>
                <w:lang w:val="en-AU" w:eastAsia="en-US" w:bidi="ar-SA"/>
              </w:rPr>
            </w:pPr>
            <w:r w:rsidRPr="006E2063">
              <w:rPr>
                <w:sz w:val="20"/>
                <w:szCs w:val="20"/>
                <w:lang w:val="en-AU" w:eastAsia="en-US" w:bidi="ar-SA"/>
              </w:rPr>
              <w:t>90%</w:t>
            </w:r>
          </w:p>
        </w:tc>
      </w:tr>
    </w:tbl>
    <w:p w14:paraId="3CB0ABAD" w14:textId="77777777" w:rsidR="003E488B" w:rsidRPr="006E2063" w:rsidRDefault="003E488B" w:rsidP="007545EB">
      <w:pPr>
        <w:ind w:left="142"/>
        <w:rPr>
          <w:sz w:val="18"/>
          <w:szCs w:val="18"/>
          <w:lang w:val="en-AU" w:eastAsia="en-US" w:bidi="ar-SA"/>
        </w:rPr>
      </w:pPr>
      <w:proofErr w:type="spellStart"/>
      <w:r w:rsidRPr="006E2063">
        <w:rPr>
          <w:sz w:val="18"/>
          <w:szCs w:val="18"/>
          <w:vertAlign w:val="superscript"/>
          <w:lang w:val="en-AU" w:eastAsia="en-US" w:bidi="ar-SA"/>
        </w:rPr>
        <w:t>a</w:t>
      </w:r>
      <w:proofErr w:type="spellEnd"/>
      <w:r w:rsidRPr="006E2063">
        <w:rPr>
          <w:sz w:val="18"/>
          <w:szCs w:val="18"/>
          <w:lang w:val="en-AU" w:eastAsia="en-US" w:bidi="ar-SA"/>
        </w:rPr>
        <w:t xml:space="preserve"> </w:t>
      </w:r>
      <w:proofErr w:type="gramStart"/>
      <w:r w:rsidRPr="006E2063">
        <w:rPr>
          <w:sz w:val="18"/>
          <w:szCs w:val="18"/>
          <w:lang w:val="en-AU" w:eastAsia="en-US" w:bidi="ar-SA"/>
        </w:rPr>
        <w:t>The</w:t>
      </w:r>
      <w:proofErr w:type="gramEnd"/>
      <w:r w:rsidRPr="006E2063">
        <w:rPr>
          <w:sz w:val="18"/>
          <w:szCs w:val="18"/>
          <w:lang w:val="en-AU" w:eastAsia="en-US" w:bidi="ar-SA"/>
        </w:rPr>
        <w:t xml:space="preserve"> trial was designed to titrate towards a IGF-I SDS level above -0.5</w:t>
      </w:r>
    </w:p>
    <w:p w14:paraId="60B3A3D8" w14:textId="126C495F" w:rsidR="003E488B" w:rsidRPr="006E2063" w:rsidRDefault="003E488B">
      <w:pPr>
        <w:rPr>
          <w:i/>
          <w:iCs/>
          <w:sz w:val="24"/>
          <w:szCs w:val="24"/>
          <w:lang w:val="en-AU" w:eastAsia="en-US" w:bidi="ar-SA"/>
        </w:rPr>
      </w:pPr>
      <w:r w:rsidRPr="006E2063">
        <w:rPr>
          <w:i/>
          <w:iCs/>
          <w:sz w:val="24"/>
          <w:szCs w:val="24"/>
          <w:lang w:val="en-AU" w:eastAsia="en-US" w:bidi="ar-SA"/>
        </w:rPr>
        <w:t>Maintenance dose</w:t>
      </w:r>
      <w:r w:rsidR="002F52BF" w:rsidRPr="006E2063">
        <w:rPr>
          <w:i/>
          <w:iCs/>
          <w:sz w:val="24"/>
          <w:szCs w:val="24"/>
          <w:lang w:val="en-AU" w:eastAsia="en-US" w:bidi="ar-SA"/>
        </w:rPr>
        <w:t xml:space="preserve"> </w:t>
      </w:r>
    </w:p>
    <w:p w14:paraId="66A18629" w14:textId="77777777" w:rsidR="003E488B" w:rsidRPr="006E2063" w:rsidRDefault="003E488B" w:rsidP="003E488B">
      <w:pPr>
        <w:rPr>
          <w:sz w:val="24"/>
          <w:szCs w:val="24"/>
          <w:lang w:val="en-AU" w:eastAsia="en-US" w:bidi="ar-SA"/>
        </w:rPr>
      </w:pPr>
      <w:r w:rsidRPr="006E2063">
        <w:rPr>
          <w:sz w:val="24"/>
          <w:szCs w:val="24"/>
          <w:lang w:val="en-AU" w:eastAsia="en-US" w:bidi="ar-SA"/>
        </w:rPr>
        <w:t>Maintenance dose varies from person to person and between male and female patients. The average somapacitan maintenance dose observed in the phase 3 clinical trials was 2.4 mg/week.</w:t>
      </w:r>
    </w:p>
    <w:p w14:paraId="7E3AE322" w14:textId="5F4778CF" w:rsidR="005234D4" w:rsidRPr="006E2063" w:rsidRDefault="005234D4" w:rsidP="00E81F63">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lastRenderedPageBreak/>
        <w:t xml:space="preserve">Pharmacokinetic properties </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vault_nd_d0d7cea6-067f-4d90-94b5-76041f348756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39DC443B" w14:textId="77777777" w:rsidR="008A5B5E" w:rsidRPr="006E2063" w:rsidRDefault="008A5B5E" w:rsidP="008A5B5E">
      <w:pPr>
        <w:rPr>
          <w:sz w:val="24"/>
          <w:szCs w:val="24"/>
          <w:lang w:val="en-AU" w:eastAsia="en-US" w:bidi="ar-SA"/>
        </w:rPr>
      </w:pPr>
      <w:r w:rsidRPr="006E2063">
        <w:rPr>
          <w:sz w:val="24"/>
          <w:szCs w:val="24"/>
          <w:lang w:val="en-AU" w:eastAsia="en-US" w:bidi="ar-SA"/>
        </w:rPr>
        <w:t xml:space="preserve">Somapacitan has pharmacokinetic properties compatible with once weekly administration. The reversible binding to endogenous albumin delays elimination of somapacitan and thereby prolongs the </w:t>
      </w:r>
      <w:r w:rsidRPr="006E2063">
        <w:rPr>
          <w:i/>
          <w:iCs/>
          <w:sz w:val="24"/>
          <w:szCs w:val="24"/>
          <w:lang w:val="en-AU" w:eastAsia="en-US" w:bidi="ar-SA"/>
        </w:rPr>
        <w:t>in vivo</w:t>
      </w:r>
      <w:r w:rsidRPr="006E2063">
        <w:rPr>
          <w:sz w:val="24"/>
          <w:szCs w:val="24"/>
          <w:lang w:val="en-AU" w:eastAsia="en-US" w:bidi="ar-SA"/>
        </w:rPr>
        <w:t xml:space="preserve"> </w:t>
      </w:r>
      <w:bookmarkStart w:id="18" w:name="_Hlk14708071"/>
      <w:r w:rsidRPr="006E2063">
        <w:rPr>
          <w:sz w:val="24"/>
          <w:szCs w:val="24"/>
          <w:lang w:val="en-AU" w:eastAsia="en-US" w:bidi="ar-SA"/>
        </w:rPr>
        <w:t>half</w:t>
      </w:r>
      <w:r w:rsidRPr="006E2063">
        <w:rPr>
          <w:sz w:val="24"/>
          <w:szCs w:val="24"/>
          <w:lang w:val="en-AU" w:eastAsia="en-US" w:bidi="ar-SA"/>
        </w:rPr>
        <w:noBreakHyphen/>
        <w:t>life</w:t>
      </w:r>
      <w:bookmarkEnd w:id="18"/>
      <w:r w:rsidRPr="006E2063">
        <w:rPr>
          <w:sz w:val="24"/>
          <w:szCs w:val="24"/>
          <w:lang w:val="en-AU" w:eastAsia="en-US" w:bidi="ar-SA"/>
        </w:rPr>
        <w:t xml:space="preserve"> and duration of action. </w:t>
      </w:r>
    </w:p>
    <w:p w14:paraId="7338B687" w14:textId="77777777" w:rsidR="008A5B5E" w:rsidRPr="006E2063" w:rsidRDefault="008A5B5E" w:rsidP="008A5B5E">
      <w:pPr>
        <w:rPr>
          <w:sz w:val="24"/>
          <w:szCs w:val="24"/>
          <w:lang w:val="en-AU" w:eastAsia="en-US" w:bidi="ar-SA"/>
        </w:rPr>
      </w:pPr>
      <w:r w:rsidRPr="006E2063">
        <w:rPr>
          <w:sz w:val="24"/>
          <w:szCs w:val="24"/>
          <w:lang w:val="en-AU" w:eastAsia="en-US" w:bidi="ar-SA"/>
        </w:rPr>
        <w:t>The pharmacokinetics of somapacitan following subcutaneous administration have been investigated at dose levels from 0.01 to 0.32 mg/kg in healthy adults, and in doses up to 0.12 mg/kg in adults with GHD.</w:t>
      </w:r>
    </w:p>
    <w:p w14:paraId="0509150D" w14:textId="6E3F1669" w:rsidR="008A5B5E" w:rsidRPr="006E2063" w:rsidRDefault="008A5B5E" w:rsidP="00853377">
      <w:pPr>
        <w:rPr>
          <w:sz w:val="24"/>
          <w:szCs w:val="24"/>
          <w:lang w:val="en-AU" w:eastAsia="en-US" w:bidi="ar-SA"/>
        </w:rPr>
      </w:pPr>
      <w:bookmarkStart w:id="19" w:name="_Hlk5193545"/>
      <w:r w:rsidRPr="006E2063">
        <w:rPr>
          <w:sz w:val="24"/>
          <w:szCs w:val="24"/>
          <w:lang w:val="en-AU" w:eastAsia="en-US" w:bidi="ar-SA"/>
        </w:rPr>
        <w:t>Overall, somapacitan displays non-linear pharmacokinetics, but in the clinically relevant dose range of somapacitan in adults with GHD, somapacitan pharmacokinetics are approximately linear</w:t>
      </w:r>
      <w:bookmarkEnd w:id="19"/>
      <w:r w:rsidRPr="006E2063">
        <w:rPr>
          <w:sz w:val="24"/>
          <w:szCs w:val="24"/>
          <w:lang w:val="en-AU" w:eastAsia="en-US" w:bidi="ar-SA"/>
        </w:rPr>
        <w:t>.</w:t>
      </w:r>
    </w:p>
    <w:p w14:paraId="48794806" w14:textId="4041B662" w:rsidR="008A5B5E" w:rsidRPr="006E2063" w:rsidRDefault="008A5B5E" w:rsidP="00116421">
      <w:pPr>
        <w:pStyle w:val="Heading4"/>
        <w:rPr>
          <w:rFonts w:ascii="Times New Roman" w:hAnsi="Times New Roman" w:cs="Times New Roman"/>
          <w:color w:val="auto"/>
          <w:lang w:val="en-AU" w:eastAsia="en-US" w:bidi="ar-SA"/>
        </w:rPr>
      </w:pPr>
      <w:r w:rsidRPr="006E2063">
        <w:rPr>
          <w:rFonts w:ascii="Times New Roman" w:hAnsi="Times New Roman" w:cs="Times New Roman"/>
          <w:color w:val="auto"/>
          <w:lang w:val="en-AU" w:eastAsia="en-US" w:bidi="ar-SA"/>
        </w:rPr>
        <w:t>Absorption</w:t>
      </w:r>
      <w:r w:rsidR="00C57A87" w:rsidRPr="006E2063">
        <w:rPr>
          <w:rFonts w:ascii="Times New Roman" w:hAnsi="Times New Roman" w:cs="Times New Roman"/>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vault_nd_cee76dbd-6d7f-4d87-89a0-7a8d03fd33af \* MERGEFORMAT </w:instrText>
      </w:r>
      <w:r w:rsidR="00C57A87" w:rsidRPr="006E2063">
        <w:rPr>
          <w:rFonts w:ascii="Times New Roman" w:hAnsi="Times New Roman" w:cs="Times New Roman"/>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color w:val="auto"/>
          <w:lang w:val="en-AU" w:eastAsia="en-US" w:bidi="ar-SA"/>
        </w:rPr>
        <w:fldChar w:fldCharType="end"/>
      </w:r>
    </w:p>
    <w:p w14:paraId="21B1A7B7" w14:textId="13C2959A" w:rsidR="008A5B5E" w:rsidRPr="006E2063" w:rsidRDefault="008A5B5E" w:rsidP="008A5B5E">
      <w:pPr>
        <w:rPr>
          <w:sz w:val="24"/>
          <w:szCs w:val="24"/>
          <w:lang w:val="en-AU" w:eastAsia="en-US" w:bidi="ar-SA"/>
        </w:rPr>
      </w:pPr>
      <w:r w:rsidRPr="006E2063">
        <w:rPr>
          <w:sz w:val="24"/>
          <w:szCs w:val="24"/>
          <w:lang w:val="en-AU" w:eastAsia="en-US" w:bidi="ar-SA"/>
        </w:rPr>
        <w:t>In adult patients with GHD median t</w:t>
      </w:r>
      <w:r w:rsidRPr="006E2063">
        <w:rPr>
          <w:sz w:val="24"/>
          <w:szCs w:val="24"/>
          <w:vertAlign w:val="subscript"/>
          <w:lang w:val="en-AU" w:eastAsia="en-US" w:bidi="ar-SA"/>
        </w:rPr>
        <w:t>max</w:t>
      </w:r>
      <w:r w:rsidRPr="006E2063">
        <w:rPr>
          <w:sz w:val="24"/>
          <w:szCs w:val="24"/>
          <w:lang w:val="en-AU" w:eastAsia="en-US" w:bidi="ar-SA"/>
        </w:rPr>
        <w:t xml:space="preserve"> ranged from 4 to 24 hours at doses from</w:t>
      </w:r>
      <w:r w:rsidR="00710DAB" w:rsidRPr="006E2063">
        <w:rPr>
          <w:sz w:val="24"/>
          <w:szCs w:val="24"/>
          <w:lang w:val="en-AU" w:eastAsia="en-US" w:bidi="ar-SA"/>
        </w:rPr>
        <w:t xml:space="preserve"> </w:t>
      </w:r>
      <w:r w:rsidRPr="006E2063">
        <w:rPr>
          <w:sz w:val="24"/>
          <w:szCs w:val="24"/>
          <w:lang w:val="en-AU" w:eastAsia="en-US" w:bidi="ar-SA"/>
        </w:rPr>
        <w:t xml:space="preserve">0.02 mg/kg/week to 0.12 mg/kg/week. </w:t>
      </w:r>
    </w:p>
    <w:p w14:paraId="377BE9D4" w14:textId="77777777" w:rsidR="008A5B5E" w:rsidRPr="006E2063" w:rsidRDefault="008A5B5E" w:rsidP="008A5B5E">
      <w:pPr>
        <w:rPr>
          <w:sz w:val="24"/>
          <w:szCs w:val="24"/>
          <w:lang w:val="en-AU" w:eastAsia="en-US" w:bidi="ar-SA"/>
        </w:rPr>
      </w:pPr>
      <w:r w:rsidRPr="006E2063">
        <w:rPr>
          <w:sz w:val="24"/>
          <w:szCs w:val="24"/>
          <w:lang w:val="en-AU" w:eastAsia="en-US" w:bidi="ar-SA"/>
        </w:rPr>
        <w:t>Steady state exposure was achieved following 1</w:t>
      </w:r>
      <w:r w:rsidRPr="006E2063">
        <w:rPr>
          <w:sz w:val="24"/>
          <w:szCs w:val="24"/>
          <w:lang w:val="en-AU" w:eastAsia="en-US" w:bidi="ar-SA"/>
        </w:rPr>
        <w:noBreakHyphen/>
        <w:t>2 weekly administration.</w:t>
      </w:r>
    </w:p>
    <w:p w14:paraId="27C63565" w14:textId="77777777" w:rsidR="008A5B5E" w:rsidRPr="006E2063" w:rsidRDefault="008A5B5E" w:rsidP="008A5B5E">
      <w:pPr>
        <w:rPr>
          <w:sz w:val="24"/>
          <w:szCs w:val="24"/>
          <w:lang w:val="en-AU" w:eastAsia="en-US" w:bidi="ar-SA"/>
        </w:rPr>
      </w:pPr>
      <w:r w:rsidRPr="006E2063">
        <w:rPr>
          <w:sz w:val="24"/>
          <w:szCs w:val="24"/>
          <w:lang w:val="en-AU" w:eastAsia="en-US" w:bidi="ar-SA"/>
        </w:rPr>
        <w:t>Absolute bioavailability of somapacitan in humans has not been investigated.</w:t>
      </w:r>
    </w:p>
    <w:p w14:paraId="34E7ADED" w14:textId="0E6B6C45" w:rsidR="008A5B5E" w:rsidRPr="006E2063" w:rsidRDefault="008A5B5E" w:rsidP="00116421">
      <w:pPr>
        <w:pStyle w:val="Heading4"/>
        <w:rPr>
          <w:rFonts w:ascii="Times New Roman" w:hAnsi="Times New Roman" w:cs="Times New Roman"/>
          <w:color w:val="auto"/>
          <w:lang w:val="en-AU" w:eastAsia="en-US" w:bidi="ar-SA"/>
        </w:rPr>
      </w:pPr>
      <w:r w:rsidRPr="006E2063">
        <w:rPr>
          <w:rFonts w:ascii="Times New Roman" w:hAnsi="Times New Roman" w:cs="Times New Roman"/>
          <w:color w:val="auto"/>
          <w:lang w:val="en-AU" w:eastAsia="en-US" w:bidi="ar-SA"/>
        </w:rPr>
        <w:t>Distribution</w:t>
      </w:r>
      <w:r w:rsidR="00C57A87" w:rsidRPr="006E2063">
        <w:rPr>
          <w:rFonts w:ascii="Times New Roman" w:hAnsi="Times New Roman" w:cs="Times New Roman"/>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vault_nd_a484f178-21ae-4632-9605-76bae6286cf7 \* MERGEFORMAT </w:instrText>
      </w:r>
      <w:r w:rsidR="00C57A87" w:rsidRPr="006E2063">
        <w:rPr>
          <w:rFonts w:ascii="Times New Roman" w:hAnsi="Times New Roman" w:cs="Times New Roman"/>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color w:val="auto"/>
          <w:lang w:val="en-AU" w:eastAsia="en-US" w:bidi="ar-SA"/>
        </w:rPr>
        <w:fldChar w:fldCharType="end"/>
      </w:r>
    </w:p>
    <w:p w14:paraId="501C7346" w14:textId="77777777" w:rsidR="008A5B5E" w:rsidRPr="006E2063" w:rsidRDefault="008A5B5E" w:rsidP="008A5B5E">
      <w:pPr>
        <w:rPr>
          <w:sz w:val="24"/>
          <w:szCs w:val="24"/>
          <w:lang w:val="en-AU" w:eastAsia="en-US" w:bidi="ar-SA"/>
        </w:rPr>
      </w:pPr>
      <w:r w:rsidRPr="006E2063">
        <w:rPr>
          <w:sz w:val="24"/>
          <w:szCs w:val="24"/>
          <w:lang w:val="en-AU" w:eastAsia="en-US" w:bidi="ar-SA"/>
        </w:rPr>
        <w:t>Somapacitan is extensively bound (&gt;99%) to plasma proteins and is expected to be distributed like albumin. Based on population PK analyses, the estimated volume of distribution (V/F) was 14.6 L.</w:t>
      </w:r>
    </w:p>
    <w:p w14:paraId="06589ED8" w14:textId="24FADF83" w:rsidR="00CF0A1E" w:rsidRPr="006E2063" w:rsidRDefault="00CF0A1E" w:rsidP="00116421">
      <w:pPr>
        <w:pStyle w:val="Heading4"/>
        <w:rPr>
          <w:rFonts w:ascii="Times New Roman" w:hAnsi="Times New Roman" w:cs="Times New Roman"/>
          <w:color w:val="auto"/>
          <w:lang w:val="en-AU" w:eastAsia="en-US" w:bidi="ar-SA"/>
        </w:rPr>
      </w:pPr>
      <w:r w:rsidRPr="006E2063">
        <w:rPr>
          <w:rFonts w:ascii="Times New Roman" w:hAnsi="Times New Roman" w:cs="Times New Roman"/>
          <w:color w:val="auto"/>
          <w:lang w:val="en-AU" w:eastAsia="en-US" w:bidi="ar-SA"/>
        </w:rPr>
        <w:t>Metabolism</w:t>
      </w:r>
      <w:r w:rsidR="00C57A87" w:rsidRPr="006E2063">
        <w:rPr>
          <w:rFonts w:ascii="Times New Roman" w:hAnsi="Times New Roman" w:cs="Times New Roman"/>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vault_nd_b872d124-00e9-4a95-9a60-e5cd5b2a1ee6 \* MERGEFORMAT </w:instrText>
      </w:r>
      <w:r w:rsidR="00C57A87" w:rsidRPr="006E2063">
        <w:rPr>
          <w:rFonts w:ascii="Times New Roman" w:hAnsi="Times New Roman" w:cs="Times New Roman"/>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color w:val="auto"/>
          <w:lang w:val="en-AU" w:eastAsia="en-US" w:bidi="ar-SA"/>
        </w:rPr>
        <w:fldChar w:fldCharType="end"/>
      </w:r>
    </w:p>
    <w:p w14:paraId="10D283A3" w14:textId="77777777" w:rsidR="00CF0A1E" w:rsidRPr="006E2063" w:rsidRDefault="00CF0A1E" w:rsidP="00CF0A1E">
      <w:pPr>
        <w:rPr>
          <w:sz w:val="24"/>
          <w:szCs w:val="24"/>
          <w:lang w:val="en-AU" w:eastAsia="en-US" w:bidi="ar-SA"/>
        </w:rPr>
      </w:pPr>
      <w:r w:rsidRPr="006E2063">
        <w:rPr>
          <w:sz w:val="24"/>
          <w:szCs w:val="24"/>
          <w:lang w:val="en-AU" w:eastAsia="en-US" w:bidi="ar-SA"/>
        </w:rPr>
        <w:t>Somapacitan is extensively metabolised by proteolytic degradation and cleavage of the linker sequence between the peptide and albumin binder.</w:t>
      </w:r>
    </w:p>
    <w:p w14:paraId="7710BC68" w14:textId="77777777" w:rsidR="00CF0A1E" w:rsidRPr="006E2063" w:rsidRDefault="00CF0A1E" w:rsidP="00CF0A1E">
      <w:pPr>
        <w:rPr>
          <w:sz w:val="24"/>
          <w:szCs w:val="24"/>
          <w:lang w:val="en-AU" w:eastAsia="en-US" w:bidi="ar-SA"/>
        </w:rPr>
      </w:pPr>
      <w:r w:rsidRPr="006E2063">
        <w:rPr>
          <w:sz w:val="24"/>
          <w:szCs w:val="24"/>
          <w:lang w:val="en-AU" w:eastAsia="en-US" w:bidi="ar-SA"/>
        </w:rPr>
        <w:t>Somapacitan was extensively metabolised before excretion and no intact somapacitan was found neither in urine, which was the main excretion route (81%), nor in faeces where 13% of somapacitan related material was found, indicating full biotransformation before excretion.</w:t>
      </w:r>
    </w:p>
    <w:p w14:paraId="1F73BAD3" w14:textId="505392BD" w:rsidR="008A5B5E" w:rsidRPr="006E2063" w:rsidRDefault="008A5B5E" w:rsidP="00116421">
      <w:pPr>
        <w:pStyle w:val="Heading4"/>
        <w:rPr>
          <w:rFonts w:ascii="Times New Roman" w:hAnsi="Times New Roman" w:cs="Times New Roman"/>
          <w:color w:val="auto"/>
          <w:lang w:val="en-AU" w:eastAsia="en-US" w:bidi="ar-SA"/>
        </w:rPr>
      </w:pPr>
      <w:r w:rsidRPr="006E2063">
        <w:rPr>
          <w:rFonts w:ascii="Times New Roman" w:hAnsi="Times New Roman" w:cs="Times New Roman"/>
          <w:color w:val="auto"/>
          <w:lang w:val="en-AU" w:eastAsia="en-US" w:bidi="ar-SA"/>
        </w:rPr>
        <w:t>Elimination</w:t>
      </w:r>
      <w:r w:rsidR="00C57A87" w:rsidRPr="006E2063">
        <w:rPr>
          <w:rFonts w:ascii="Times New Roman" w:hAnsi="Times New Roman" w:cs="Times New Roman"/>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vault_nd_10bcb0ec-fdd8-4c9b-8b84-3080dd2e8b05 \* MERGEFORMAT </w:instrText>
      </w:r>
      <w:r w:rsidR="00C57A87" w:rsidRPr="006E2063">
        <w:rPr>
          <w:rFonts w:ascii="Times New Roman" w:hAnsi="Times New Roman" w:cs="Times New Roman"/>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color w:val="auto"/>
          <w:lang w:val="en-AU" w:eastAsia="en-US" w:bidi="ar-SA"/>
        </w:rPr>
        <w:fldChar w:fldCharType="end"/>
      </w:r>
    </w:p>
    <w:p w14:paraId="7915FA2C" w14:textId="77777777" w:rsidR="008A5B5E" w:rsidRPr="006E2063" w:rsidRDefault="008A5B5E" w:rsidP="008A5B5E">
      <w:pPr>
        <w:rPr>
          <w:sz w:val="24"/>
          <w:szCs w:val="24"/>
          <w:lang w:val="en-AU" w:eastAsia="en-US" w:bidi="ar-SA"/>
        </w:rPr>
      </w:pPr>
      <w:r w:rsidRPr="006E2063">
        <w:rPr>
          <w:sz w:val="24"/>
          <w:szCs w:val="24"/>
          <w:lang w:val="en-AU" w:eastAsia="en-US" w:bidi="ar-SA"/>
        </w:rPr>
        <w:t>The terminal half</w:t>
      </w:r>
      <w:r w:rsidRPr="006E2063">
        <w:rPr>
          <w:sz w:val="24"/>
          <w:szCs w:val="24"/>
          <w:lang w:val="en-AU" w:eastAsia="en-US" w:bidi="ar-SA"/>
        </w:rPr>
        <w:noBreakHyphen/>
        <w:t xml:space="preserve">life was estimated with geometric means ranging from approximately 2 to 3 days at steady state in AGHD patients (doses: 0.02 to 0.12 mg/kg). </w:t>
      </w:r>
    </w:p>
    <w:p w14:paraId="5AD97D8A" w14:textId="00AB4871" w:rsidR="008A5B5E" w:rsidRPr="006E2063" w:rsidRDefault="008A5B5E" w:rsidP="005B36C8">
      <w:pPr>
        <w:rPr>
          <w:sz w:val="24"/>
          <w:szCs w:val="24"/>
          <w:lang w:val="en-AU" w:eastAsia="en-US" w:bidi="ar-SA"/>
        </w:rPr>
      </w:pPr>
      <w:r w:rsidRPr="006E2063">
        <w:rPr>
          <w:sz w:val="24"/>
          <w:szCs w:val="24"/>
          <w:lang w:val="en-AU" w:eastAsia="en-US" w:bidi="ar-SA"/>
        </w:rPr>
        <w:t>Somapacitan will be present in circulation for approximately 2 weeks after the last dose. Little to no accumulation (mean accumulation ratio: 1</w:t>
      </w:r>
      <w:r w:rsidRPr="006E2063">
        <w:rPr>
          <w:sz w:val="24"/>
          <w:szCs w:val="24"/>
          <w:lang w:val="en-AU" w:eastAsia="en-US" w:bidi="ar-SA"/>
        </w:rPr>
        <w:noBreakHyphen/>
        <w:t xml:space="preserve">2) of somapacitan following multiple dosing has been observed in AGHD patients. </w:t>
      </w:r>
    </w:p>
    <w:p w14:paraId="64B1F910" w14:textId="2BD4B125" w:rsidR="008A5B5E" w:rsidRPr="006E2063" w:rsidRDefault="008A5B5E" w:rsidP="003421FF">
      <w:pPr>
        <w:pStyle w:val="Heading4"/>
        <w:pageBreakBefore/>
        <w:rPr>
          <w:rFonts w:ascii="Times New Roman" w:hAnsi="Times New Roman" w:cs="Times New Roman"/>
          <w:color w:val="auto"/>
          <w:lang w:val="en-AU" w:eastAsia="en-US" w:bidi="ar-SA"/>
        </w:rPr>
      </w:pPr>
      <w:bookmarkStart w:id="20" w:name="_Toc535002320"/>
      <w:bookmarkStart w:id="21" w:name="_Hlk5195583"/>
      <w:r w:rsidRPr="006E2063">
        <w:rPr>
          <w:rFonts w:ascii="Times New Roman" w:hAnsi="Times New Roman" w:cs="Times New Roman"/>
          <w:color w:val="auto"/>
          <w:lang w:val="en-AU" w:eastAsia="en-US" w:bidi="ar-SA"/>
        </w:rPr>
        <w:lastRenderedPageBreak/>
        <w:t>Special population</w:t>
      </w:r>
      <w:bookmarkEnd w:id="20"/>
      <w:r w:rsidRPr="006E2063">
        <w:rPr>
          <w:rFonts w:ascii="Times New Roman" w:hAnsi="Times New Roman" w:cs="Times New Roman"/>
          <w:color w:val="auto"/>
          <w:lang w:val="en-AU" w:eastAsia="en-US" w:bidi="ar-SA"/>
        </w:rPr>
        <w:t>s</w:t>
      </w:r>
      <w:r w:rsidR="00C57A87" w:rsidRPr="006E2063">
        <w:rPr>
          <w:rFonts w:ascii="Times New Roman" w:hAnsi="Times New Roman" w:cs="Times New Roman"/>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vault_nd_38e46da1-6b8d-471b-8897-8810165072c2 \* MERGEFORMAT </w:instrText>
      </w:r>
      <w:r w:rsidR="00C57A87" w:rsidRPr="006E2063">
        <w:rPr>
          <w:rFonts w:ascii="Times New Roman" w:hAnsi="Times New Roman" w:cs="Times New Roman"/>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color w:val="auto"/>
          <w:lang w:val="en-AU" w:eastAsia="en-US" w:bidi="ar-SA"/>
        </w:rPr>
        <w:fldChar w:fldCharType="end"/>
      </w:r>
    </w:p>
    <w:bookmarkEnd w:id="21"/>
    <w:p w14:paraId="70EE4191" w14:textId="77777777" w:rsidR="008A5B5E" w:rsidRPr="006E2063" w:rsidRDefault="008A5B5E" w:rsidP="008A5B5E">
      <w:pPr>
        <w:rPr>
          <w:i/>
          <w:sz w:val="24"/>
          <w:szCs w:val="24"/>
          <w:lang w:val="en-AU" w:eastAsia="en-US" w:bidi="ar-SA"/>
        </w:rPr>
      </w:pPr>
      <w:r w:rsidRPr="006E2063">
        <w:rPr>
          <w:i/>
          <w:sz w:val="24"/>
          <w:szCs w:val="24"/>
          <w:lang w:val="en-AU" w:eastAsia="en-US" w:bidi="ar-SA"/>
        </w:rPr>
        <w:t>Age</w:t>
      </w:r>
    </w:p>
    <w:p w14:paraId="7F564E5C" w14:textId="572DFC2D" w:rsidR="008A5B5E" w:rsidRPr="006E2063" w:rsidRDefault="008A5B5E" w:rsidP="008A5B5E">
      <w:pPr>
        <w:rPr>
          <w:sz w:val="24"/>
          <w:szCs w:val="24"/>
          <w:lang w:val="en-AU" w:eastAsia="en-US" w:bidi="ar-SA"/>
        </w:rPr>
      </w:pPr>
      <w:r w:rsidRPr="006E2063">
        <w:rPr>
          <w:sz w:val="24"/>
          <w:szCs w:val="24"/>
          <w:lang w:val="en-AU" w:eastAsia="en-US" w:bidi="ar-SA"/>
        </w:rPr>
        <w:t xml:space="preserve">Subjects older than 60 years have higher exposure (29%) than younger subjects at the same somapacitan dose. A lower starting dose for subjects above 60 years is described in section </w:t>
      </w:r>
      <w:r w:rsidR="00306185" w:rsidRPr="006E2063">
        <w:rPr>
          <w:sz w:val="24"/>
          <w:szCs w:val="24"/>
          <w:lang w:val="en-AU" w:eastAsia="en-US" w:bidi="ar-SA"/>
        </w:rPr>
        <w:t>4.2 Dose and method of administration</w:t>
      </w:r>
      <w:r w:rsidRPr="006E2063">
        <w:rPr>
          <w:sz w:val="24"/>
          <w:szCs w:val="24"/>
          <w:lang w:val="en-AU" w:eastAsia="en-US" w:bidi="ar-SA"/>
        </w:rPr>
        <w:t>.</w:t>
      </w:r>
    </w:p>
    <w:p w14:paraId="5071217E" w14:textId="77777777" w:rsidR="008A5B5E" w:rsidRPr="006E2063" w:rsidRDefault="008A5B5E" w:rsidP="008A5B5E">
      <w:pPr>
        <w:rPr>
          <w:i/>
          <w:sz w:val="24"/>
          <w:szCs w:val="24"/>
          <w:lang w:val="en-AU" w:eastAsia="en-US" w:bidi="ar-SA"/>
        </w:rPr>
      </w:pPr>
      <w:bookmarkStart w:id="22" w:name="_Toc535002322"/>
      <w:r w:rsidRPr="006E2063">
        <w:rPr>
          <w:i/>
          <w:sz w:val="24"/>
          <w:szCs w:val="24"/>
          <w:lang w:val="en-AU" w:eastAsia="en-US" w:bidi="ar-SA"/>
        </w:rPr>
        <w:t xml:space="preserve">Gender </w:t>
      </w:r>
    </w:p>
    <w:p w14:paraId="1F1ED11E" w14:textId="57C5FB47" w:rsidR="008A5B5E" w:rsidRPr="006E2063" w:rsidRDefault="008A5B5E" w:rsidP="008A5B5E">
      <w:pPr>
        <w:rPr>
          <w:sz w:val="24"/>
          <w:szCs w:val="24"/>
          <w:lang w:val="en-AU" w:eastAsia="en-US" w:bidi="ar-SA"/>
        </w:rPr>
      </w:pPr>
      <w:bookmarkStart w:id="23" w:name="_Hlk70079962"/>
      <w:r w:rsidRPr="006E2063">
        <w:rPr>
          <w:sz w:val="24"/>
          <w:szCs w:val="24"/>
          <w:lang w:val="en-AU" w:eastAsia="en-US" w:bidi="ar-SA"/>
        </w:rPr>
        <w:t xml:space="preserve">Female subjects and in particular female subjects on oral </w:t>
      </w:r>
      <w:r w:rsidR="000B7A10" w:rsidRPr="006E2063">
        <w:rPr>
          <w:sz w:val="24"/>
          <w:szCs w:val="24"/>
          <w:lang w:val="en-AU" w:eastAsia="en-US" w:bidi="ar-SA"/>
        </w:rPr>
        <w:t>estrogen</w:t>
      </w:r>
      <w:r w:rsidRPr="006E2063">
        <w:rPr>
          <w:sz w:val="24"/>
          <w:szCs w:val="24"/>
          <w:lang w:val="en-AU" w:eastAsia="en-US" w:bidi="ar-SA"/>
        </w:rPr>
        <w:t xml:space="preserve">, have lower exposure (53% for females on oral </w:t>
      </w:r>
      <w:r w:rsidR="000B7A10" w:rsidRPr="006E2063">
        <w:rPr>
          <w:sz w:val="24"/>
          <w:szCs w:val="24"/>
          <w:lang w:val="en-AU" w:eastAsia="en-US" w:bidi="ar-SA"/>
        </w:rPr>
        <w:t>estrogen</w:t>
      </w:r>
      <w:r w:rsidRPr="006E2063">
        <w:rPr>
          <w:sz w:val="24"/>
          <w:szCs w:val="24"/>
          <w:lang w:val="en-AU" w:eastAsia="en-US" w:bidi="ar-SA"/>
        </w:rPr>
        <w:t xml:space="preserve"> and 30% for females not on oral </w:t>
      </w:r>
      <w:r w:rsidR="000B7A10" w:rsidRPr="006E2063">
        <w:rPr>
          <w:sz w:val="24"/>
          <w:szCs w:val="24"/>
          <w:lang w:val="en-AU" w:eastAsia="en-US" w:bidi="ar-SA"/>
        </w:rPr>
        <w:t>estrogen</w:t>
      </w:r>
      <w:r w:rsidRPr="006E2063">
        <w:rPr>
          <w:sz w:val="24"/>
          <w:szCs w:val="24"/>
          <w:lang w:val="en-AU" w:eastAsia="en-US" w:bidi="ar-SA"/>
        </w:rPr>
        <w:t xml:space="preserve">) than male subjects at the same somapacitan dose. </w:t>
      </w:r>
      <w:bookmarkEnd w:id="23"/>
      <w:r w:rsidRPr="006E2063">
        <w:rPr>
          <w:sz w:val="24"/>
          <w:szCs w:val="24"/>
          <w:lang w:val="en-AU" w:eastAsia="en-US" w:bidi="ar-SA"/>
        </w:rPr>
        <w:t xml:space="preserve">A higher starting dose for females on oral </w:t>
      </w:r>
      <w:r w:rsidR="000B7A10" w:rsidRPr="006E2063">
        <w:rPr>
          <w:sz w:val="24"/>
          <w:szCs w:val="24"/>
          <w:lang w:val="en-AU" w:eastAsia="en-US" w:bidi="ar-SA"/>
        </w:rPr>
        <w:t>estrogen</w:t>
      </w:r>
      <w:r w:rsidRPr="006E2063">
        <w:rPr>
          <w:sz w:val="24"/>
          <w:szCs w:val="24"/>
          <w:lang w:val="en-AU" w:eastAsia="en-US" w:bidi="ar-SA"/>
        </w:rPr>
        <w:t xml:space="preserve"> is described in section </w:t>
      </w:r>
      <w:r w:rsidR="00306185" w:rsidRPr="006E2063">
        <w:rPr>
          <w:sz w:val="24"/>
          <w:szCs w:val="24"/>
          <w:lang w:val="en-AU" w:eastAsia="en-US" w:bidi="ar-SA"/>
        </w:rPr>
        <w:t>4.2 Dose and method of administration</w:t>
      </w:r>
      <w:r w:rsidRPr="006E2063">
        <w:rPr>
          <w:sz w:val="24"/>
          <w:szCs w:val="24"/>
          <w:lang w:val="en-AU" w:eastAsia="en-US" w:bidi="ar-SA"/>
        </w:rPr>
        <w:t>.</w:t>
      </w:r>
    </w:p>
    <w:p w14:paraId="1D53AB65" w14:textId="77777777" w:rsidR="008A5B5E" w:rsidRPr="006E2063" w:rsidRDefault="008A5B5E" w:rsidP="008A5B5E">
      <w:pPr>
        <w:rPr>
          <w:i/>
          <w:sz w:val="24"/>
          <w:szCs w:val="24"/>
          <w:lang w:val="en-AU" w:eastAsia="en-US" w:bidi="ar-SA"/>
        </w:rPr>
      </w:pPr>
      <w:r w:rsidRPr="006E2063">
        <w:rPr>
          <w:i/>
          <w:sz w:val="24"/>
          <w:szCs w:val="24"/>
          <w:lang w:val="en-AU" w:eastAsia="en-US" w:bidi="ar-SA"/>
        </w:rPr>
        <w:t xml:space="preserve">Race </w:t>
      </w:r>
    </w:p>
    <w:p w14:paraId="2DE2F0F9" w14:textId="684E398C" w:rsidR="008A5B5E" w:rsidRPr="006E2063" w:rsidRDefault="008A5B5E" w:rsidP="008A5B5E">
      <w:pPr>
        <w:rPr>
          <w:sz w:val="24"/>
          <w:szCs w:val="24"/>
          <w:lang w:val="en-AU" w:eastAsia="en-US" w:bidi="ar-SA"/>
        </w:rPr>
      </w:pPr>
      <w:bookmarkStart w:id="24" w:name="_Hlk7127742"/>
      <w:r w:rsidRPr="006E2063">
        <w:rPr>
          <w:sz w:val="24"/>
          <w:szCs w:val="24"/>
          <w:lang w:val="en-AU" w:eastAsia="en-US" w:bidi="ar-SA"/>
        </w:rPr>
        <w:t>There was no difference in somapacitan exposure and IGF</w:t>
      </w:r>
      <w:r w:rsidRPr="006E2063">
        <w:rPr>
          <w:sz w:val="24"/>
          <w:szCs w:val="24"/>
          <w:lang w:val="en-AU" w:eastAsia="en-US" w:bidi="ar-SA"/>
        </w:rPr>
        <w:noBreakHyphen/>
        <w:t xml:space="preserve">I response between Japanese and White subjects. Despite a higher exposure in Asian Non-Japanese compared to White at the same somapacitan dose, White, Japanese and Asian Non-Japanese </w:t>
      </w:r>
      <w:r w:rsidR="00205C25" w:rsidRPr="006E2063">
        <w:rPr>
          <w:sz w:val="24"/>
          <w:szCs w:val="24"/>
          <w:lang w:val="en-AU" w:eastAsia="en-US" w:bidi="ar-SA"/>
        </w:rPr>
        <w:t xml:space="preserve">subjects </w:t>
      </w:r>
      <w:r w:rsidRPr="006E2063">
        <w:rPr>
          <w:sz w:val="24"/>
          <w:szCs w:val="24"/>
          <w:lang w:val="en-AU" w:eastAsia="en-US" w:bidi="ar-SA"/>
        </w:rPr>
        <w:t>needed the same doses to reach similar IGF</w:t>
      </w:r>
      <w:r w:rsidRPr="006E2063">
        <w:rPr>
          <w:sz w:val="24"/>
          <w:szCs w:val="24"/>
          <w:lang w:val="en-AU" w:eastAsia="en-US" w:bidi="ar-SA"/>
        </w:rPr>
        <w:noBreakHyphen/>
        <w:t xml:space="preserve">I </w:t>
      </w:r>
      <w:proofErr w:type="gramStart"/>
      <w:r w:rsidRPr="006E2063">
        <w:rPr>
          <w:sz w:val="24"/>
          <w:szCs w:val="24"/>
          <w:lang w:val="en-AU" w:eastAsia="en-US" w:bidi="ar-SA"/>
        </w:rPr>
        <w:t>levels</w:t>
      </w:r>
      <w:proofErr w:type="gramEnd"/>
      <w:r w:rsidRPr="006E2063">
        <w:rPr>
          <w:sz w:val="24"/>
          <w:szCs w:val="24"/>
          <w:lang w:val="en-AU" w:eastAsia="en-US" w:bidi="ar-SA"/>
        </w:rPr>
        <w:t xml:space="preserve">. Therefore, there is no dose adjustment recommendation based on race. </w:t>
      </w:r>
      <w:bookmarkEnd w:id="24"/>
    </w:p>
    <w:p w14:paraId="0EB5A0C3" w14:textId="77777777" w:rsidR="008A5B5E" w:rsidRPr="006E2063" w:rsidRDefault="008A5B5E" w:rsidP="008A5B5E">
      <w:pPr>
        <w:rPr>
          <w:i/>
          <w:sz w:val="24"/>
          <w:szCs w:val="24"/>
          <w:lang w:val="en-AU" w:eastAsia="en-US" w:bidi="ar-SA"/>
        </w:rPr>
      </w:pPr>
      <w:r w:rsidRPr="006E2063">
        <w:rPr>
          <w:i/>
          <w:sz w:val="24"/>
          <w:szCs w:val="24"/>
          <w:lang w:val="en-AU" w:eastAsia="en-US" w:bidi="ar-SA"/>
        </w:rPr>
        <w:t>Ethnicity</w:t>
      </w:r>
      <w:bookmarkEnd w:id="22"/>
    </w:p>
    <w:p w14:paraId="68E51228" w14:textId="77777777" w:rsidR="008A5B5E" w:rsidRPr="006E2063" w:rsidRDefault="008A5B5E" w:rsidP="008A5B5E">
      <w:pPr>
        <w:rPr>
          <w:sz w:val="24"/>
          <w:szCs w:val="24"/>
          <w:lang w:val="en-AU" w:eastAsia="en-US" w:bidi="ar-SA"/>
        </w:rPr>
      </w:pPr>
      <w:r w:rsidRPr="006E2063">
        <w:rPr>
          <w:sz w:val="24"/>
          <w:szCs w:val="24"/>
          <w:lang w:val="en-AU" w:eastAsia="en-US" w:bidi="ar-SA"/>
        </w:rPr>
        <w:t>Ethnicity (Hispanic or Latino 4.5% (15 subjects received somapacitan)) was not investigated due to small sample size in the development programme.</w:t>
      </w:r>
    </w:p>
    <w:p w14:paraId="2AA648F2" w14:textId="77777777" w:rsidR="008A5B5E" w:rsidRPr="006E2063" w:rsidRDefault="008A5B5E" w:rsidP="008A5B5E">
      <w:pPr>
        <w:rPr>
          <w:i/>
          <w:iCs/>
          <w:sz w:val="24"/>
          <w:szCs w:val="24"/>
          <w:lang w:val="en-AU" w:eastAsia="en-US" w:bidi="ar-SA"/>
        </w:rPr>
      </w:pPr>
      <w:bookmarkStart w:id="25" w:name="_Toc535002323"/>
      <w:r w:rsidRPr="006E2063">
        <w:rPr>
          <w:i/>
          <w:sz w:val="24"/>
          <w:szCs w:val="24"/>
          <w:lang w:val="en-AU" w:eastAsia="en-US" w:bidi="ar-SA"/>
        </w:rPr>
        <w:t>Body weight</w:t>
      </w:r>
      <w:bookmarkEnd w:id="25"/>
    </w:p>
    <w:p w14:paraId="484930FF" w14:textId="77777777" w:rsidR="008A5B5E" w:rsidRPr="006E2063" w:rsidRDefault="008A5B5E" w:rsidP="008A5B5E">
      <w:pPr>
        <w:rPr>
          <w:sz w:val="24"/>
          <w:szCs w:val="24"/>
          <w:lang w:val="en-AU" w:eastAsia="en-US" w:bidi="ar-SA"/>
        </w:rPr>
      </w:pPr>
      <w:bookmarkStart w:id="26" w:name="_Hlk7127797"/>
      <w:r w:rsidRPr="006E2063">
        <w:rPr>
          <w:sz w:val="24"/>
          <w:szCs w:val="24"/>
          <w:lang w:val="en-AU" w:eastAsia="en-US" w:bidi="ar-SA"/>
        </w:rPr>
        <w:t>Despite a higher exposure in subjects with low body weight as compared to subjects with high body weight at the same somapacitan dose, subjects needed the same doses to reach similar IGF</w:t>
      </w:r>
      <w:r w:rsidRPr="006E2063">
        <w:rPr>
          <w:sz w:val="24"/>
          <w:szCs w:val="24"/>
          <w:lang w:val="en-AU" w:eastAsia="en-US" w:bidi="ar-SA"/>
        </w:rPr>
        <w:noBreakHyphen/>
        <w:t xml:space="preserve">I </w:t>
      </w:r>
      <w:proofErr w:type="gramStart"/>
      <w:r w:rsidRPr="006E2063">
        <w:rPr>
          <w:sz w:val="24"/>
          <w:szCs w:val="24"/>
          <w:lang w:val="en-AU" w:eastAsia="en-US" w:bidi="ar-SA"/>
        </w:rPr>
        <w:t>levels</w:t>
      </w:r>
      <w:proofErr w:type="gramEnd"/>
      <w:r w:rsidRPr="006E2063">
        <w:rPr>
          <w:sz w:val="24"/>
          <w:szCs w:val="24"/>
          <w:lang w:val="en-AU" w:eastAsia="en-US" w:bidi="ar-SA"/>
        </w:rPr>
        <w:t xml:space="preserve"> across the body weight range 35 kg to 150 kg. Therefore, there is no dose adjustment recommendation based on body weight.</w:t>
      </w:r>
    </w:p>
    <w:p w14:paraId="2DAA3AB2" w14:textId="77777777" w:rsidR="008A5B5E" w:rsidRPr="006E2063" w:rsidRDefault="008A5B5E" w:rsidP="008A5B5E">
      <w:pPr>
        <w:rPr>
          <w:i/>
          <w:sz w:val="24"/>
          <w:szCs w:val="24"/>
          <w:lang w:val="en-AU" w:eastAsia="en-US" w:bidi="ar-SA"/>
        </w:rPr>
      </w:pPr>
      <w:bookmarkStart w:id="27" w:name="_Toc535002325"/>
      <w:bookmarkEnd w:id="26"/>
      <w:r w:rsidRPr="006E2063">
        <w:rPr>
          <w:i/>
          <w:sz w:val="24"/>
          <w:szCs w:val="24"/>
          <w:lang w:val="en-AU" w:eastAsia="en-US" w:bidi="ar-SA"/>
        </w:rPr>
        <w:t>Renal impairment</w:t>
      </w:r>
      <w:bookmarkEnd w:id="27"/>
    </w:p>
    <w:p w14:paraId="769A9833" w14:textId="77777777" w:rsidR="008A5B5E" w:rsidRPr="006E2063" w:rsidRDefault="008A5B5E" w:rsidP="008A5B5E">
      <w:pPr>
        <w:rPr>
          <w:sz w:val="24"/>
          <w:szCs w:val="24"/>
          <w:lang w:val="en-AU" w:eastAsia="en-US" w:bidi="ar-SA"/>
        </w:rPr>
      </w:pPr>
      <w:r w:rsidRPr="006E2063">
        <w:rPr>
          <w:sz w:val="24"/>
          <w:szCs w:val="24"/>
          <w:lang w:val="en-AU" w:eastAsia="en-US" w:bidi="ar-SA"/>
        </w:rPr>
        <w:t>A somapacitan dose of 0.08 mg/kg at steady state resulted in higher exposures in subjects with renal impairment, most pronounced in subjects with severe renal impairment and in subjects requiring haemodialysis, where AUC </w:t>
      </w:r>
      <w:r w:rsidRPr="006E2063">
        <w:rPr>
          <w:sz w:val="24"/>
          <w:szCs w:val="24"/>
          <w:vertAlign w:val="subscript"/>
          <w:lang w:val="en-AU" w:eastAsia="en-US" w:bidi="ar-SA"/>
        </w:rPr>
        <w:t>0-168h</w:t>
      </w:r>
      <w:r w:rsidRPr="006E2063">
        <w:rPr>
          <w:sz w:val="24"/>
          <w:szCs w:val="24"/>
          <w:lang w:val="en-AU" w:eastAsia="en-US" w:bidi="ar-SA"/>
        </w:rPr>
        <w:t xml:space="preserve"> ratios to normal renal function were 1.75 and 1.63, respectively. In general, somapacitan exposure tended to increase with decreasing GFR.</w:t>
      </w:r>
    </w:p>
    <w:p w14:paraId="23CDDF0E" w14:textId="77777777" w:rsidR="008A5B5E" w:rsidRPr="006E2063" w:rsidRDefault="008A5B5E" w:rsidP="008A5B5E">
      <w:pPr>
        <w:rPr>
          <w:sz w:val="24"/>
          <w:szCs w:val="24"/>
          <w:lang w:val="en-AU" w:eastAsia="en-US" w:bidi="ar-SA"/>
        </w:rPr>
      </w:pPr>
      <w:bookmarkStart w:id="28" w:name="_Hlk16855577"/>
      <w:r w:rsidRPr="006E2063">
        <w:rPr>
          <w:sz w:val="24"/>
          <w:szCs w:val="24"/>
          <w:lang w:val="en-AU" w:eastAsia="en-US" w:bidi="ar-SA"/>
        </w:rPr>
        <w:t>Higher IGF</w:t>
      </w:r>
      <w:r w:rsidRPr="006E2063">
        <w:rPr>
          <w:sz w:val="24"/>
          <w:szCs w:val="24"/>
          <w:lang w:val="en-AU" w:eastAsia="en-US" w:bidi="ar-SA"/>
        </w:rPr>
        <w:noBreakHyphen/>
        <w:t>I </w:t>
      </w:r>
      <w:r w:rsidRPr="006E2063">
        <w:rPr>
          <w:sz w:val="24"/>
          <w:szCs w:val="24"/>
          <w:vertAlign w:val="subscript"/>
          <w:lang w:val="en-AU" w:eastAsia="en-US" w:bidi="ar-SA"/>
        </w:rPr>
        <w:t>AUC0-168h</w:t>
      </w:r>
      <w:r w:rsidRPr="006E2063">
        <w:rPr>
          <w:sz w:val="24"/>
          <w:szCs w:val="24"/>
          <w:lang w:val="en-AU" w:eastAsia="en-US" w:bidi="ar-SA"/>
        </w:rPr>
        <w:t xml:space="preserve"> levels </w:t>
      </w:r>
      <w:bookmarkEnd w:id="28"/>
      <w:r w:rsidRPr="006E2063">
        <w:rPr>
          <w:sz w:val="24"/>
          <w:szCs w:val="24"/>
          <w:lang w:val="en-AU" w:eastAsia="en-US" w:bidi="ar-SA"/>
        </w:rPr>
        <w:t xml:space="preserve">were observed in subjects with moderate and severe renal impairment and subjects requiring haemodialysis, with ratios to normal renal function of 1.35, 1.40 and 1.24 respectively. </w:t>
      </w:r>
    </w:p>
    <w:p w14:paraId="2BF2DFBF" w14:textId="77777777" w:rsidR="008A5B5E" w:rsidRPr="006E2063" w:rsidRDefault="008A5B5E" w:rsidP="008A5B5E">
      <w:pPr>
        <w:rPr>
          <w:sz w:val="24"/>
          <w:szCs w:val="24"/>
          <w:lang w:val="en-AU" w:eastAsia="en-US" w:bidi="ar-SA"/>
        </w:rPr>
      </w:pPr>
      <w:r w:rsidRPr="006E2063">
        <w:rPr>
          <w:sz w:val="24"/>
          <w:szCs w:val="24"/>
          <w:lang w:val="en-AU" w:eastAsia="en-US" w:bidi="ar-SA"/>
        </w:rPr>
        <w:t>Due to the modest increase observed in IGF</w:t>
      </w:r>
      <w:r w:rsidRPr="006E2063">
        <w:rPr>
          <w:sz w:val="24"/>
          <w:szCs w:val="24"/>
          <w:lang w:val="en-AU" w:eastAsia="en-US" w:bidi="ar-SA"/>
        </w:rPr>
        <w:noBreakHyphen/>
        <w:t xml:space="preserve">I combined with the low recommended starting doses and the individual dose titration of somapacitan, </w:t>
      </w:r>
      <w:bookmarkStart w:id="29" w:name="_Hlk2009031"/>
      <w:r w:rsidRPr="006E2063">
        <w:rPr>
          <w:sz w:val="24"/>
          <w:szCs w:val="24"/>
          <w:lang w:val="en-AU" w:eastAsia="en-US" w:bidi="ar-SA"/>
        </w:rPr>
        <w:t>there is no dose adjustment recommendation in patients with renal impairment</w:t>
      </w:r>
      <w:bookmarkEnd w:id="29"/>
      <w:r w:rsidRPr="006E2063">
        <w:rPr>
          <w:sz w:val="24"/>
          <w:szCs w:val="24"/>
          <w:lang w:val="en-AU" w:eastAsia="en-US" w:bidi="ar-SA"/>
        </w:rPr>
        <w:t>.</w:t>
      </w:r>
    </w:p>
    <w:p w14:paraId="52902D52" w14:textId="77777777" w:rsidR="008A5B5E" w:rsidRPr="006E2063" w:rsidRDefault="008A5B5E" w:rsidP="008A5B5E">
      <w:pPr>
        <w:rPr>
          <w:i/>
          <w:iCs/>
          <w:sz w:val="24"/>
          <w:szCs w:val="24"/>
          <w:lang w:val="en-AU" w:eastAsia="en-US" w:bidi="ar-SA"/>
        </w:rPr>
      </w:pPr>
      <w:bookmarkStart w:id="30" w:name="_Toc535002324"/>
      <w:r w:rsidRPr="006E2063">
        <w:rPr>
          <w:i/>
          <w:sz w:val="24"/>
          <w:szCs w:val="24"/>
          <w:lang w:val="en-AU" w:eastAsia="en-US" w:bidi="ar-SA"/>
        </w:rPr>
        <w:lastRenderedPageBreak/>
        <w:t>Hepatic impairment</w:t>
      </w:r>
      <w:bookmarkEnd w:id="30"/>
    </w:p>
    <w:p w14:paraId="00277537" w14:textId="77777777" w:rsidR="008A5B5E" w:rsidRPr="006E2063" w:rsidRDefault="008A5B5E" w:rsidP="008A5B5E">
      <w:pPr>
        <w:rPr>
          <w:sz w:val="24"/>
          <w:szCs w:val="24"/>
          <w:lang w:val="en-AU" w:eastAsia="en-US" w:bidi="ar-SA"/>
        </w:rPr>
      </w:pPr>
      <w:bookmarkStart w:id="31" w:name="_Hlk7127849"/>
      <w:r w:rsidRPr="006E2063">
        <w:rPr>
          <w:sz w:val="24"/>
          <w:szCs w:val="24"/>
          <w:lang w:val="en-AU" w:eastAsia="en-US" w:bidi="ar-SA"/>
        </w:rPr>
        <w:t>A somapacitan dose of 0.08 mg/kg at steady state resulted in higher exposure in subjects with moderate hepatic impairment with ratios to normal hepatic function of 4.69 for AUC</w:t>
      </w:r>
      <w:r w:rsidRPr="006E2063">
        <w:rPr>
          <w:sz w:val="24"/>
          <w:szCs w:val="24"/>
          <w:vertAlign w:val="subscript"/>
          <w:lang w:val="en-AU" w:eastAsia="en-US" w:bidi="ar-SA"/>
        </w:rPr>
        <w:t>0-168h</w:t>
      </w:r>
      <w:r w:rsidRPr="006E2063">
        <w:rPr>
          <w:sz w:val="24"/>
          <w:szCs w:val="24"/>
          <w:lang w:val="en-AU" w:eastAsia="en-US" w:bidi="ar-SA"/>
        </w:rPr>
        <w:t xml:space="preserve"> and 3.52 for C</w:t>
      </w:r>
      <w:r w:rsidRPr="006E2063">
        <w:rPr>
          <w:sz w:val="24"/>
          <w:szCs w:val="24"/>
          <w:vertAlign w:val="subscript"/>
          <w:lang w:val="en-AU" w:eastAsia="en-US" w:bidi="ar-SA"/>
        </w:rPr>
        <w:t>max</w:t>
      </w:r>
      <w:r w:rsidRPr="006E2063">
        <w:rPr>
          <w:sz w:val="24"/>
          <w:szCs w:val="24"/>
          <w:lang w:val="en-AU" w:eastAsia="en-US" w:bidi="ar-SA"/>
        </w:rPr>
        <w:t>.</w:t>
      </w:r>
    </w:p>
    <w:p w14:paraId="04C86AF8" w14:textId="77777777" w:rsidR="008A5B5E" w:rsidRPr="006E2063" w:rsidRDefault="008A5B5E" w:rsidP="008A5B5E">
      <w:pPr>
        <w:rPr>
          <w:sz w:val="24"/>
          <w:szCs w:val="24"/>
          <w:lang w:val="en-AU" w:eastAsia="en-US" w:bidi="ar-SA"/>
        </w:rPr>
      </w:pPr>
      <w:r w:rsidRPr="006E2063">
        <w:rPr>
          <w:sz w:val="24"/>
          <w:szCs w:val="24"/>
          <w:lang w:val="en-AU" w:eastAsia="en-US" w:bidi="ar-SA"/>
        </w:rPr>
        <w:t>Lower somapacitan stimulated IGF</w:t>
      </w:r>
      <w:r w:rsidRPr="006E2063">
        <w:rPr>
          <w:sz w:val="24"/>
          <w:szCs w:val="24"/>
          <w:lang w:val="en-AU" w:eastAsia="en-US" w:bidi="ar-SA"/>
        </w:rPr>
        <w:noBreakHyphen/>
        <w:t xml:space="preserve">I levels were observed in subjects with mild and moderate hepatic impairment compared to subjects with normal hepatic function (ratio to normal was 0.85 for mild and 0.75 for moderate). </w:t>
      </w:r>
    </w:p>
    <w:p w14:paraId="2EF8F45D" w14:textId="7098BD22" w:rsidR="008A5B5E" w:rsidRPr="006E2063" w:rsidRDefault="008A5B5E" w:rsidP="00666AD2">
      <w:pPr>
        <w:rPr>
          <w:lang w:val="en-AU" w:eastAsia="en-US" w:bidi="ar-SA"/>
        </w:rPr>
      </w:pPr>
      <w:r w:rsidRPr="006E2063">
        <w:rPr>
          <w:sz w:val="24"/>
          <w:szCs w:val="24"/>
          <w:lang w:val="en-AU" w:eastAsia="en-US" w:bidi="ar-SA"/>
        </w:rPr>
        <w:t>Due to the modest decrease observed in IGF</w:t>
      </w:r>
      <w:r w:rsidRPr="006E2063">
        <w:rPr>
          <w:sz w:val="24"/>
          <w:szCs w:val="24"/>
          <w:lang w:val="en-AU" w:eastAsia="en-US" w:bidi="ar-SA"/>
        </w:rPr>
        <w:noBreakHyphen/>
        <w:t>I combined with the individual dose titration of somapacitan, there is no dose adjustment recommendation in patients with hepatic impairment.</w:t>
      </w:r>
      <w:bookmarkEnd w:id="31"/>
    </w:p>
    <w:p w14:paraId="4DB918F7" w14:textId="373C7B8A" w:rsidR="005234D4" w:rsidRPr="006E2063" w:rsidRDefault="005234D4" w:rsidP="00E81F63">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Preclinical safety data</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vault_nd_b937d586-26fd-4c17-bac1-e1e7c29bb8b0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50FF9D5C" w14:textId="53F278FC" w:rsidR="005234D4" w:rsidRPr="006E2063" w:rsidRDefault="005234D4" w:rsidP="00116421">
      <w:pPr>
        <w:pStyle w:val="Heading4"/>
        <w:rPr>
          <w:rFonts w:ascii="Times New Roman" w:hAnsi="Times New Roman" w:cs="Times New Roman"/>
          <w:b w:val="0"/>
          <w:bCs w:val="0"/>
          <w:color w:val="auto"/>
          <w:lang w:val="en-AU" w:eastAsia="en-US" w:bidi="ar-SA"/>
        </w:rPr>
      </w:pPr>
      <w:r w:rsidRPr="006E2063">
        <w:rPr>
          <w:rFonts w:ascii="Times New Roman" w:hAnsi="Times New Roman" w:cs="Times New Roman"/>
          <w:color w:val="auto"/>
          <w:lang w:val="en-AU" w:eastAsia="en-US" w:bidi="ar-SA"/>
        </w:rPr>
        <w:t>Genotoxicity</w:t>
      </w:r>
      <w:r w:rsidR="00983922"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begin"/>
      </w:r>
      <w:r w:rsidR="00C57A87" w:rsidRPr="006E2063">
        <w:rPr>
          <w:rFonts w:ascii="Times New Roman" w:hAnsi="Times New Roman" w:cs="Times New Roman"/>
          <w:b w:val="0"/>
          <w:bCs w:val="0"/>
          <w:color w:val="auto"/>
          <w:lang w:val="en-AU" w:eastAsia="en-US" w:bidi="ar-SA"/>
        </w:rPr>
        <w:instrText xml:space="preserve"> DOCVARIABLE vault_nd_c8972f31-b494-4abc-b0bf-a792b672fea8 \* MERGEFORMAT </w:instrText>
      </w:r>
      <w:r w:rsidR="00C57A87" w:rsidRPr="006E2063">
        <w:rPr>
          <w:rFonts w:ascii="Times New Roman" w:hAnsi="Times New Roman" w:cs="Times New Roman"/>
          <w:b w:val="0"/>
          <w:bCs w:val="0"/>
          <w:color w:val="auto"/>
          <w:lang w:val="en-AU" w:eastAsia="en-US" w:bidi="ar-SA"/>
        </w:rPr>
        <w:fldChar w:fldCharType="separate"/>
      </w:r>
      <w:r w:rsidR="00C57A87" w:rsidRPr="006E2063">
        <w:rPr>
          <w:rFonts w:ascii="Times New Roman" w:hAnsi="Times New Roman" w:cs="Times New Roman"/>
          <w:b w:val="0"/>
          <w:bCs w:val="0"/>
          <w:color w:val="auto"/>
          <w:lang w:val="en-AU" w:eastAsia="en-US" w:bidi="ar-SA"/>
        </w:rPr>
        <w:t xml:space="preserve"> </w:t>
      </w:r>
      <w:r w:rsidR="00C57A87" w:rsidRPr="006E2063">
        <w:rPr>
          <w:rFonts w:ascii="Times New Roman" w:hAnsi="Times New Roman" w:cs="Times New Roman"/>
          <w:b w:val="0"/>
          <w:bCs w:val="0"/>
          <w:color w:val="auto"/>
          <w:lang w:val="en-AU" w:eastAsia="en-US" w:bidi="ar-SA"/>
        </w:rPr>
        <w:fldChar w:fldCharType="end"/>
      </w:r>
    </w:p>
    <w:p w14:paraId="102075FB" w14:textId="1BE2BBAD" w:rsidR="007B7B59" w:rsidRPr="006E2063" w:rsidRDefault="007B7B59" w:rsidP="007B7B59">
      <w:pPr>
        <w:rPr>
          <w:iCs/>
          <w:sz w:val="24"/>
          <w:szCs w:val="24"/>
          <w:lang w:val="en-AU" w:eastAsia="en-US" w:bidi="ar-SA"/>
        </w:rPr>
      </w:pPr>
      <w:r w:rsidRPr="006E2063">
        <w:rPr>
          <w:iCs/>
          <w:sz w:val="24"/>
          <w:szCs w:val="24"/>
          <w:lang w:val="en-AU" w:eastAsia="en-US" w:bidi="ar-SA"/>
        </w:rPr>
        <w:t>Somapacitan was not mutagenic or clastogenic in a standard battery of genotoxicity tests (bacterial mutagenicity (Ames), human lymphocyte chromosome</w:t>
      </w:r>
      <w:r w:rsidR="003826D5" w:rsidRPr="006E2063">
        <w:rPr>
          <w:iCs/>
          <w:sz w:val="24"/>
          <w:szCs w:val="24"/>
          <w:lang w:val="en-AU" w:eastAsia="en-US" w:bidi="ar-SA"/>
        </w:rPr>
        <w:t xml:space="preserve"> </w:t>
      </w:r>
      <w:r w:rsidRPr="006E2063">
        <w:rPr>
          <w:iCs/>
          <w:sz w:val="24"/>
          <w:szCs w:val="24"/>
          <w:lang w:val="en-AU" w:eastAsia="en-US" w:bidi="ar-SA"/>
        </w:rPr>
        <w:t>aberration, rat bone marrow micronucleus).</w:t>
      </w:r>
    </w:p>
    <w:p w14:paraId="7944C642" w14:textId="1724EBBD" w:rsidR="005234D4" w:rsidRPr="006E2063" w:rsidRDefault="005234D4" w:rsidP="00116421">
      <w:pPr>
        <w:pStyle w:val="Heading4"/>
        <w:rPr>
          <w:rFonts w:ascii="Times New Roman" w:hAnsi="Times New Roman" w:cs="Times New Roman"/>
          <w:color w:val="auto"/>
          <w:lang w:val="en-AU" w:eastAsia="en-US" w:bidi="ar-SA"/>
        </w:rPr>
      </w:pPr>
      <w:r w:rsidRPr="006E2063">
        <w:rPr>
          <w:rFonts w:ascii="Times New Roman" w:hAnsi="Times New Roman" w:cs="Times New Roman"/>
          <w:color w:val="auto"/>
          <w:lang w:val="en-AU" w:eastAsia="en-US" w:bidi="ar-SA"/>
        </w:rPr>
        <w:t>Carcinogenicity</w:t>
      </w:r>
      <w:r w:rsidR="00C57A87" w:rsidRPr="006E2063">
        <w:rPr>
          <w:rFonts w:ascii="Times New Roman" w:hAnsi="Times New Roman" w:cs="Times New Roman"/>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vault_nd_7b624489-2287-4cd0-b475-f6431a88ec09 \* MERGEFORMAT </w:instrText>
      </w:r>
      <w:r w:rsidR="00C57A87" w:rsidRPr="006E2063">
        <w:rPr>
          <w:rFonts w:ascii="Times New Roman" w:hAnsi="Times New Roman" w:cs="Times New Roman"/>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color w:val="auto"/>
          <w:lang w:val="en-AU" w:eastAsia="en-US" w:bidi="ar-SA"/>
        </w:rPr>
        <w:fldChar w:fldCharType="end"/>
      </w:r>
    </w:p>
    <w:p w14:paraId="137CD76D" w14:textId="31680CA4" w:rsidR="00FA0640" w:rsidRPr="006E2063" w:rsidRDefault="00FA0640" w:rsidP="00FA0640">
      <w:pPr>
        <w:rPr>
          <w:iCs/>
          <w:sz w:val="24"/>
          <w:szCs w:val="24"/>
          <w:lang w:val="en-AU" w:eastAsia="en-US" w:bidi="ar-SA"/>
        </w:rPr>
      </w:pPr>
      <w:r w:rsidRPr="006E2063">
        <w:rPr>
          <w:iCs/>
          <w:sz w:val="24"/>
          <w:szCs w:val="24"/>
          <w:lang w:val="en-AU" w:eastAsia="en-US" w:bidi="ar-SA"/>
        </w:rPr>
        <w:t xml:space="preserve">No carcinogenicity studies have been performed with somapacitan. </w:t>
      </w:r>
      <w:r w:rsidR="000D48D5" w:rsidRPr="000D48D5">
        <w:rPr>
          <w:iCs/>
          <w:sz w:val="24"/>
          <w:szCs w:val="24"/>
          <w:lang w:val="en-AU" w:eastAsia="en-US" w:bidi="ar-SA"/>
        </w:rPr>
        <w:t>Somapacitan raises serum levels of IGF-1. Associations between elevated serum IGF-1 concentrations and risks of certain cancers have been reported in epidemiological studies. Causality has not been demonstrated. The clinical significance of these associations, especially for subjects treated with somapacitan who do not have growth hormone deficiency and who are treated for prolonged periods, is not known.</w:t>
      </w:r>
    </w:p>
    <w:p w14:paraId="5E76CB22" w14:textId="6E1542B6" w:rsidR="005234D4" w:rsidRPr="006E2063" w:rsidRDefault="005234D4" w:rsidP="00BF2B59">
      <w:pPr>
        <w:pStyle w:val="Heading1-TNR"/>
      </w:pPr>
      <w:r w:rsidRPr="006E2063">
        <w:t>Pharmaceutical particulars</w:t>
      </w:r>
      <w:r w:rsidR="003421FF">
        <w:fldChar w:fldCharType="begin"/>
      </w:r>
      <w:r w:rsidR="003421FF">
        <w:instrText xml:space="preserve"> DOCVARIABLE VAULT_ND_09061f3a-a928-4f5d-8f7e-34c049a716ff \* MERGEFORMAT </w:instrText>
      </w:r>
      <w:r w:rsidR="003421FF">
        <w:fldChar w:fldCharType="separate"/>
      </w:r>
      <w:r w:rsidR="00C57A87" w:rsidRPr="006E2063">
        <w:t xml:space="preserve"> </w:t>
      </w:r>
      <w:r w:rsidR="003421FF">
        <w:fldChar w:fldCharType="end"/>
      </w:r>
    </w:p>
    <w:p w14:paraId="0E5BCC9E" w14:textId="181848F2" w:rsidR="005234D4" w:rsidRPr="006E2063" w:rsidRDefault="005234D4" w:rsidP="00E81F63">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List of excipients</w:t>
      </w:r>
      <w:r w:rsidR="007D74D2"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vault_nd_72c98eaf-02e2-4540-bae1-c1f0c4aa5d04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665FA666" w14:textId="77777777" w:rsidR="00EB3C96" w:rsidRPr="006E2063" w:rsidRDefault="00EB3C96" w:rsidP="00C93249">
      <w:pPr>
        <w:spacing w:after="0" w:line="240" w:lineRule="auto"/>
        <w:rPr>
          <w:sz w:val="24"/>
          <w:szCs w:val="24"/>
          <w:lang w:val="en-AU"/>
        </w:rPr>
      </w:pPr>
      <w:r w:rsidRPr="006E2063">
        <w:rPr>
          <w:sz w:val="24"/>
          <w:szCs w:val="24"/>
          <w:lang w:val="en-AU"/>
        </w:rPr>
        <w:t>Histidine</w:t>
      </w:r>
    </w:p>
    <w:p w14:paraId="7E7F85DF" w14:textId="77777777" w:rsidR="00EB3C96" w:rsidRPr="006E2063" w:rsidRDefault="00EB3C96" w:rsidP="00C93249">
      <w:pPr>
        <w:spacing w:after="0" w:line="240" w:lineRule="auto"/>
        <w:rPr>
          <w:sz w:val="24"/>
          <w:szCs w:val="24"/>
          <w:lang w:val="en-AU"/>
        </w:rPr>
      </w:pPr>
      <w:r w:rsidRPr="006E2063">
        <w:rPr>
          <w:sz w:val="24"/>
          <w:szCs w:val="24"/>
          <w:lang w:val="en-AU"/>
        </w:rPr>
        <w:t>Mannitol</w:t>
      </w:r>
    </w:p>
    <w:p w14:paraId="7D3FAEA6" w14:textId="10BE2E54" w:rsidR="00EB3C96" w:rsidRPr="006E2063" w:rsidRDefault="00EB3C96" w:rsidP="00C93249">
      <w:pPr>
        <w:spacing w:after="0" w:line="240" w:lineRule="auto"/>
        <w:rPr>
          <w:sz w:val="24"/>
          <w:szCs w:val="24"/>
          <w:lang w:val="en-AU"/>
        </w:rPr>
      </w:pPr>
      <w:r w:rsidRPr="006E2063">
        <w:rPr>
          <w:sz w:val="24"/>
          <w:szCs w:val="24"/>
          <w:lang w:val="en-AU"/>
        </w:rPr>
        <w:t>Poloxamer</w:t>
      </w:r>
    </w:p>
    <w:p w14:paraId="0F1C1337" w14:textId="77777777" w:rsidR="00EB3C96" w:rsidRPr="006E2063" w:rsidRDefault="00EB3C96" w:rsidP="00C93249">
      <w:pPr>
        <w:spacing w:after="0" w:line="240" w:lineRule="auto"/>
        <w:rPr>
          <w:sz w:val="24"/>
          <w:szCs w:val="24"/>
          <w:lang w:val="en-AU"/>
        </w:rPr>
      </w:pPr>
      <w:r w:rsidRPr="006E2063">
        <w:rPr>
          <w:sz w:val="24"/>
          <w:szCs w:val="24"/>
          <w:lang w:val="en-AU"/>
        </w:rPr>
        <w:t>Phenol</w:t>
      </w:r>
    </w:p>
    <w:p w14:paraId="5066DFA0" w14:textId="77777777" w:rsidR="00EB3C96" w:rsidRPr="006E2063" w:rsidRDefault="00EB3C96" w:rsidP="00C93249">
      <w:pPr>
        <w:spacing w:after="0" w:line="240" w:lineRule="auto"/>
        <w:rPr>
          <w:sz w:val="24"/>
          <w:szCs w:val="24"/>
          <w:lang w:val="en-AU"/>
        </w:rPr>
      </w:pPr>
      <w:r w:rsidRPr="006E2063">
        <w:rPr>
          <w:sz w:val="24"/>
          <w:szCs w:val="24"/>
          <w:lang w:val="en-AU"/>
        </w:rPr>
        <w:t>Hydrochloric acid (for pH adjustment)</w:t>
      </w:r>
    </w:p>
    <w:p w14:paraId="72C58723" w14:textId="287123B8" w:rsidR="005234D4" w:rsidRPr="006E2063" w:rsidRDefault="00EB3C96" w:rsidP="00C93249">
      <w:pPr>
        <w:spacing w:after="0" w:line="240" w:lineRule="auto"/>
        <w:rPr>
          <w:sz w:val="24"/>
          <w:szCs w:val="24"/>
          <w:lang w:val="en-AU"/>
        </w:rPr>
      </w:pPr>
      <w:r w:rsidRPr="006E2063">
        <w:rPr>
          <w:sz w:val="24"/>
          <w:szCs w:val="24"/>
          <w:lang w:val="en-AU"/>
        </w:rPr>
        <w:t>Sodium hydroxide (for pH adjustment)</w:t>
      </w:r>
    </w:p>
    <w:p w14:paraId="5856DE1F" w14:textId="77777777" w:rsidR="00410097" w:rsidRPr="006E2063" w:rsidRDefault="00410097" w:rsidP="00C93249">
      <w:pPr>
        <w:spacing w:after="0" w:line="240" w:lineRule="auto"/>
        <w:rPr>
          <w:sz w:val="24"/>
          <w:szCs w:val="24"/>
          <w:lang w:val="en-AU"/>
        </w:rPr>
      </w:pPr>
      <w:r w:rsidRPr="006E2063">
        <w:rPr>
          <w:sz w:val="24"/>
          <w:szCs w:val="24"/>
          <w:lang w:val="en-AU"/>
        </w:rPr>
        <w:t>Water for injections</w:t>
      </w:r>
    </w:p>
    <w:p w14:paraId="1EDE3D55" w14:textId="47CA3343" w:rsidR="005234D4" w:rsidRPr="006E2063" w:rsidRDefault="005234D4" w:rsidP="00E81F63">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Incompatibilities</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vault_nd_ad4394a6-e8e2-43ca-baac-68974cda93db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4EE3A3D8" w14:textId="411B1A64" w:rsidR="005234D4" w:rsidRPr="006E2063" w:rsidRDefault="006E78AC" w:rsidP="006E78AC">
      <w:pPr>
        <w:rPr>
          <w:sz w:val="24"/>
          <w:szCs w:val="24"/>
          <w:lang w:val="en-AU"/>
        </w:rPr>
      </w:pPr>
      <w:r w:rsidRPr="006E2063">
        <w:rPr>
          <w:sz w:val="24"/>
          <w:szCs w:val="24"/>
          <w:lang w:val="en-AU"/>
        </w:rPr>
        <w:t>In the absence of compatibility studies, this medicinal product must not be mixed with other medicinal products.</w:t>
      </w:r>
      <w:r w:rsidR="005234D4" w:rsidRPr="006E2063">
        <w:rPr>
          <w:sz w:val="24"/>
          <w:szCs w:val="24"/>
          <w:lang w:val="en-AU"/>
        </w:rPr>
        <w:t xml:space="preserve"> </w:t>
      </w:r>
    </w:p>
    <w:p w14:paraId="0E1177A1" w14:textId="76B326E1" w:rsidR="005234D4" w:rsidRPr="006E2063" w:rsidRDefault="005234D4" w:rsidP="00E81F63">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lastRenderedPageBreak/>
        <w:t>Shelf life</w:t>
      </w:r>
      <w:r w:rsidR="00BA5E46"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vault_nd_dd106836-b90d-494c-9cd0-a83a286c974c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1ECE7988" w14:textId="7C65DE36" w:rsidR="00864DB9" w:rsidRPr="006E2063" w:rsidRDefault="005234D4" w:rsidP="00201FD3">
      <w:pPr>
        <w:rPr>
          <w:sz w:val="24"/>
          <w:szCs w:val="24"/>
          <w:lang w:val="en-AU"/>
        </w:rPr>
      </w:pPr>
      <w:r w:rsidRPr="006E2063">
        <w:rPr>
          <w:sz w:val="24"/>
          <w:szCs w:val="24"/>
          <w:lang w:val="en-AU"/>
        </w:rPr>
        <w:t>In Australia, information on the shelf life can be found on the public summary of the Australian Register of Therapeutic Goods (ARTG). The expiry date can be found on the packaging</w:t>
      </w:r>
      <w:r w:rsidR="00201FD3" w:rsidRPr="006E2063">
        <w:rPr>
          <w:sz w:val="24"/>
          <w:szCs w:val="24"/>
          <w:lang w:val="en-AU"/>
        </w:rPr>
        <w:t>.</w:t>
      </w:r>
    </w:p>
    <w:p w14:paraId="1C0089F7" w14:textId="77777777" w:rsidR="00BA0547" w:rsidRPr="006E2063" w:rsidRDefault="00BA0547" w:rsidP="00BA0547">
      <w:pPr>
        <w:rPr>
          <w:sz w:val="24"/>
          <w:szCs w:val="24"/>
          <w:lang w:val="en-AU"/>
        </w:rPr>
      </w:pPr>
      <w:r w:rsidRPr="006E2063">
        <w:rPr>
          <w:i/>
          <w:iCs/>
          <w:sz w:val="24"/>
          <w:szCs w:val="24"/>
          <w:lang w:val="en-AU"/>
        </w:rPr>
        <w:t>After first opening</w:t>
      </w:r>
      <w:r w:rsidRPr="006E2063">
        <w:rPr>
          <w:sz w:val="24"/>
          <w:szCs w:val="24"/>
          <w:lang w:val="en-AU"/>
        </w:rPr>
        <w:t xml:space="preserve"> </w:t>
      </w:r>
    </w:p>
    <w:p w14:paraId="5BB97CCE" w14:textId="117509C2" w:rsidR="00BA0547" w:rsidRPr="006E2063" w:rsidRDefault="00BA0547" w:rsidP="00BA0547">
      <w:pPr>
        <w:rPr>
          <w:sz w:val="24"/>
          <w:szCs w:val="24"/>
          <w:lang w:val="en-AU"/>
        </w:rPr>
      </w:pPr>
      <w:r w:rsidRPr="006E2063">
        <w:rPr>
          <w:sz w:val="24"/>
          <w:szCs w:val="24"/>
          <w:lang w:val="en-AU"/>
        </w:rPr>
        <w:t>6 weeks. Store in a refrigerator (2°C - 8°C).</w:t>
      </w:r>
    </w:p>
    <w:p w14:paraId="75F5CDE3" w14:textId="77777777" w:rsidR="00BA0547" w:rsidRPr="006E2063" w:rsidRDefault="00BA0547" w:rsidP="00BA0547">
      <w:pPr>
        <w:rPr>
          <w:sz w:val="24"/>
          <w:szCs w:val="24"/>
          <w:lang w:val="en-AU"/>
        </w:rPr>
      </w:pPr>
      <w:r w:rsidRPr="006E2063">
        <w:rPr>
          <w:sz w:val="24"/>
          <w:szCs w:val="24"/>
          <w:lang w:val="en-AU"/>
        </w:rPr>
        <w:t>Do not freeze. Keep away from the freezing element.</w:t>
      </w:r>
    </w:p>
    <w:p w14:paraId="71E8829C" w14:textId="77777777" w:rsidR="00BA0547" w:rsidRPr="006E2063" w:rsidRDefault="00BA0547" w:rsidP="00BA0547">
      <w:pPr>
        <w:rPr>
          <w:sz w:val="24"/>
          <w:szCs w:val="24"/>
          <w:lang w:val="en-AU"/>
        </w:rPr>
      </w:pPr>
      <w:r w:rsidRPr="006E2063">
        <w:rPr>
          <w:sz w:val="24"/>
          <w:szCs w:val="24"/>
          <w:lang w:val="en-AU"/>
        </w:rPr>
        <w:t>Keep Sogroya in the outer carton with the pen cap on to protect from light.</w:t>
      </w:r>
    </w:p>
    <w:p w14:paraId="71E5A3DD" w14:textId="77777777" w:rsidR="00BA0547" w:rsidRPr="006E2063" w:rsidRDefault="00BA0547" w:rsidP="00BA0547">
      <w:pPr>
        <w:rPr>
          <w:i/>
          <w:iCs/>
          <w:sz w:val="24"/>
          <w:szCs w:val="24"/>
          <w:lang w:val="en-AU"/>
        </w:rPr>
      </w:pPr>
      <w:r w:rsidRPr="006E2063">
        <w:rPr>
          <w:i/>
          <w:iCs/>
          <w:sz w:val="24"/>
          <w:szCs w:val="24"/>
          <w:lang w:val="en-AU"/>
        </w:rPr>
        <w:t>Before and after first opening</w:t>
      </w:r>
    </w:p>
    <w:p w14:paraId="502D13AD" w14:textId="1BB12660" w:rsidR="00864DB9" w:rsidRPr="006E2063" w:rsidRDefault="00BA0547" w:rsidP="00BA0547">
      <w:pPr>
        <w:rPr>
          <w:sz w:val="24"/>
          <w:szCs w:val="24"/>
          <w:lang w:val="en-AU"/>
        </w:rPr>
      </w:pPr>
      <w:r w:rsidRPr="006E2063">
        <w:rPr>
          <w:sz w:val="24"/>
          <w:szCs w:val="24"/>
          <w:lang w:val="en-AU"/>
        </w:rPr>
        <w:t>If refrigeration is not possible (</w:t>
      </w:r>
      <w:proofErr w:type="gramStart"/>
      <w:r w:rsidRPr="006E2063">
        <w:rPr>
          <w:sz w:val="24"/>
          <w:szCs w:val="24"/>
          <w:lang w:val="en-AU"/>
        </w:rPr>
        <w:t>e.g.</w:t>
      </w:r>
      <w:proofErr w:type="gramEnd"/>
      <w:r w:rsidRPr="006E2063">
        <w:rPr>
          <w:sz w:val="24"/>
          <w:szCs w:val="24"/>
          <w:lang w:val="en-AU"/>
        </w:rPr>
        <w:t xml:space="preserve"> during travelling), Sogroya may be kept temporarily at temperatures up to 30°C for up to a total of 72 hours (3 days). Return Sogroya to the refrigerator again after storage at this temperature. If stored out of refrigeration and then returned to refrigeration, the total combined time out of refrigeration should not exceed 3 days, monitor this carefully. The Sogroya pen should be discarded if it has been kept up to 30°C for more than 72 hours (3 days) or for any </w:t>
      </w:r>
      <w:proofErr w:type="gramStart"/>
      <w:r w:rsidRPr="006E2063">
        <w:rPr>
          <w:sz w:val="24"/>
          <w:szCs w:val="24"/>
          <w:lang w:val="en-AU"/>
        </w:rPr>
        <w:t>period of time</w:t>
      </w:r>
      <w:proofErr w:type="gramEnd"/>
      <w:r w:rsidRPr="006E2063">
        <w:rPr>
          <w:sz w:val="24"/>
          <w:szCs w:val="24"/>
          <w:lang w:val="en-AU"/>
        </w:rPr>
        <w:t xml:space="preserve"> kept above 30°C.</w:t>
      </w:r>
    </w:p>
    <w:p w14:paraId="282B2EC4" w14:textId="51E78411" w:rsidR="005234D4" w:rsidRPr="006E2063" w:rsidRDefault="005234D4" w:rsidP="00354847">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Special precautions for storage</w:t>
      </w:r>
      <w:r w:rsidR="00BA5E46"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vertAlign w:val="superscript"/>
          <w:lang w:val="en-AU" w:eastAsia="en-US" w:bidi="ar-SA"/>
        </w:rPr>
        <w:fldChar w:fldCharType="begin"/>
      </w:r>
      <w:r w:rsidR="00C57A87" w:rsidRPr="006E2063">
        <w:rPr>
          <w:rFonts w:ascii="Times New Roman" w:hAnsi="Times New Roman" w:cs="Times New Roman"/>
          <w:b/>
          <w:bCs/>
          <w:color w:val="auto"/>
          <w:vertAlign w:val="superscript"/>
          <w:lang w:val="en-AU" w:eastAsia="en-US" w:bidi="ar-SA"/>
        </w:rPr>
        <w:instrText xml:space="preserve"> DOCVARIABLE vault_nd_24af5226-b739-43fa-9178-868a718f0a1f \* MERGEFORMAT </w:instrText>
      </w:r>
      <w:r w:rsidR="00C57A87" w:rsidRPr="006E2063">
        <w:rPr>
          <w:rFonts w:ascii="Times New Roman" w:hAnsi="Times New Roman" w:cs="Times New Roman"/>
          <w:b/>
          <w:bCs/>
          <w:color w:val="auto"/>
          <w:vertAlign w:val="superscript"/>
          <w:lang w:val="en-AU" w:eastAsia="en-US" w:bidi="ar-SA"/>
        </w:rPr>
        <w:fldChar w:fldCharType="separate"/>
      </w:r>
      <w:r w:rsidR="00C57A87" w:rsidRPr="006E2063">
        <w:rPr>
          <w:rFonts w:ascii="Times New Roman" w:hAnsi="Times New Roman" w:cs="Times New Roman"/>
          <w:b/>
          <w:bCs/>
          <w:color w:val="auto"/>
          <w:vertAlign w:val="superscript"/>
          <w:lang w:val="en-AU" w:eastAsia="en-US" w:bidi="ar-SA"/>
        </w:rPr>
        <w:t xml:space="preserve"> </w:t>
      </w:r>
      <w:r w:rsidR="00C57A87" w:rsidRPr="006E2063">
        <w:rPr>
          <w:rFonts w:ascii="Times New Roman" w:hAnsi="Times New Roman" w:cs="Times New Roman"/>
          <w:b/>
          <w:bCs/>
          <w:color w:val="auto"/>
          <w:vertAlign w:val="superscript"/>
          <w:lang w:val="en-AU" w:eastAsia="en-US" w:bidi="ar-SA"/>
        </w:rPr>
        <w:fldChar w:fldCharType="end"/>
      </w:r>
    </w:p>
    <w:p w14:paraId="33D12C23" w14:textId="77777777" w:rsidR="00927416" w:rsidRPr="006E2063" w:rsidRDefault="00927416" w:rsidP="00927416">
      <w:pPr>
        <w:rPr>
          <w:sz w:val="24"/>
          <w:szCs w:val="24"/>
          <w:lang w:val="en-AU"/>
        </w:rPr>
      </w:pPr>
      <w:r w:rsidRPr="006E2063">
        <w:rPr>
          <w:sz w:val="24"/>
          <w:szCs w:val="24"/>
          <w:lang w:val="en-AU"/>
        </w:rPr>
        <w:t xml:space="preserve">Store in a refrigerator (2°C - 8°C). Do not freeze. Keep away from the freezing element. </w:t>
      </w:r>
    </w:p>
    <w:p w14:paraId="0D19CA02" w14:textId="7D6857AC" w:rsidR="00927416" w:rsidRPr="006E2063" w:rsidRDefault="00927416" w:rsidP="00927416">
      <w:pPr>
        <w:rPr>
          <w:sz w:val="24"/>
          <w:szCs w:val="24"/>
          <w:lang w:val="en-AU"/>
        </w:rPr>
      </w:pPr>
      <w:r w:rsidRPr="006E2063">
        <w:rPr>
          <w:sz w:val="24"/>
          <w:szCs w:val="24"/>
          <w:lang w:val="en-AU"/>
        </w:rPr>
        <w:t xml:space="preserve">Keep Sogroya in the outer carton with the pen cap on to protect from light. </w:t>
      </w:r>
    </w:p>
    <w:p w14:paraId="2121B630" w14:textId="77777777" w:rsidR="00A03989" w:rsidRPr="006E2063" w:rsidRDefault="00A03989" w:rsidP="00A03989">
      <w:pPr>
        <w:rPr>
          <w:sz w:val="24"/>
          <w:szCs w:val="24"/>
          <w:lang w:val="en-AU"/>
        </w:rPr>
      </w:pPr>
      <w:r w:rsidRPr="006E2063">
        <w:rPr>
          <w:sz w:val="24"/>
          <w:szCs w:val="24"/>
          <w:lang w:val="en-AU"/>
        </w:rPr>
        <w:t>A needle must always be attached before use. Needles must not be re-used. The injection needle should be removed after each injection and the pen should be stored without a needle attached. This may prevent blocked needles, contamination, infection, leakage of solution and inaccurate dosing.</w:t>
      </w:r>
    </w:p>
    <w:p w14:paraId="25571247" w14:textId="416BD126" w:rsidR="00A03989" w:rsidRPr="006E2063" w:rsidRDefault="00A03989" w:rsidP="00A03989">
      <w:pPr>
        <w:rPr>
          <w:sz w:val="24"/>
          <w:szCs w:val="24"/>
          <w:lang w:val="en-AU"/>
        </w:rPr>
      </w:pPr>
      <w:r w:rsidRPr="006E2063">
        <w:rPr>
          <w:sz w:val="24"/>
          <w:szCs w:val="24"/>
          <w:lang w:val="en-AU"/>
        </w:rPr>
        <w:t xml:space="preserve">In the event of blocked needles, patients must follow the instructions described in the instructions for use accompanying the </w:t>
      </w:r>
      <w:r w:rsidR="006C2F52" w:rsidRPr="006E2063">
        <w:rPr>
          <w:sz w:val="24"/>
          <w:szCs w:val="24"/>
          <w:lang w:val="en-AU"/>
        </w:rPr>
        <w:t>consumer medicine information</w:t>
      </w:r>
      <w:r w:rsidRPr="006E2063">
        <w:rPr>
          <w:sz w:val="24"/>
          <w:szCs w:val="24"/>
          <w:lang w:val="en-AU"/>
        </w:rPr>
        <w:t>.</w:t>
      </w:r>
    </w:p>
    <w:p w14:paraId="1864E22C" w14:textId="597CCC53" w:rsidR="00A03989" w:rsidRPr="006E2063" w:rsidRDefault="00A03989" w:rsidP="008E2F28">
      <w:pPr>
        <w:rPr>
          <w:sz w:val="24"/>
          <w:szCs w:val="24"/>
          <w:lang w:val="en-AU"/>
        </w:rPr>
      </w:pPr>
      <w:r w:rsidRPr="006E2063">
        <w:rPr>
          <w:sz w:val="24"/>
          <w:szCs w:val="24"/>
          <w:lang w:val="en-AU"/>
        </w:rPr>
        <w:t>Needles are not included. Sogroya pre-filled pen has been tested with 31G</w:t>
      </w:r>
      <w:r w:rsidR="000D3958" w:rsidRPr="006E2063">
        <w:rPr>
          <w:sz w:val="24"/>
          <w:szCs w:val="24"/>
          <w:lang w:val="en-AU"/>
        </w:rPr>
        <w:t xml:space="preserve"> </w:t>
      </w:r>
      <w:r w:rsidRPr="006E2063">
        <w:rPr>
          <w:sz w:val="24"/>
          <w:szCs w:val="24"/>
          <w:lang w:val="en-AU"/>
        </w:rPr>
        <w:t>x</w:t>
      </w:r>
      <w:r w:rsidR="000D3958" w:rsidRPr="006E2063">
        <w:rPr>
          <w:sz w:val="24"/>
          <w:szCs w:val="24"/>
          <w:lang w:val="en-AU"/>
        </w:rPr>
        <w:t xml:space="preserve"> </w:t>
      </w:r>
      <w:r w:rsidRPr="006E2063">
        <w:rPr>
          <w:sz w:val="24"/>
          <w:szCs w:val="24"/>
          <w:lang w:val="en-AU"/>
        </w:rPr>
        <w:t>6 mm and 32G</w:t>
      </w:r>
      <w:r w:rsidR="000D3958" w:rsidRPr="006E2063">
        <w:rPr>
          <w:sz w:val="24"/>
          <w:szCs w:val="24"/>
          <w:lang w:val="en-AU"/>
        </w:rPr>
        <w:t xml:space="preserve"> </w:t>
      </w:r>
      <w:r w:rsidRPr="006E2063">
        <w:rPr>
          <w:sz w:val="24"/>
          <w:szCs w:val="24"/>
          <w:lang w:val="en-AU"/>
        </w:rPr>
        <w:t>x</w:t>
      </w:r>
      <w:r w:rsidR="000D3958" w:rsidRPr="006E2063">
        <w:rPr>
          <w:sz w:val="24"/>
          <w:szCs w:val="24"/>
          <w:lang w:val="en-AU"/>
        </w:rPr>
        <w:t xml:space="preserve"> </w:t>
      </w:r>
      <w:r w:rsidRPr="006E2063">
        <w:rPr>
          <w:sz w:val="24"/>
          <w:szCs w:val="24"/>
          <w:lang w:val="en-AU"/>
        </w:rPr>
        <w:t xml:space="preserve">5 mm disposable needles. </w:t>
      </w:r>
      <w:r w:rsidR="005738B9" w:rsidRPr="006E2063">
        <w:rPr>
          <w:sz w:val="24"/>
          <w:szCs w:val="24"/>
          <w:lang w:val="en-AU"/>
        </w:rPr>
        <w:t>The</w:t>
      </w:r>
      <w:r w:rsidRPr="006E2063">
        <w:rPr>
          <w:sz w:val="24"/>
          <w:szCs w:val="24"/>
          <w:lang w:val="en-AU"/>
        </w:rPr>
        <w:t xml:space="preserve"> </w:t>
      </w:r>
      <w:r w:rsidR="008E2F28" w:rsidRPr="006E2063">
        <w:rPr>
          <w:sz w:val="24"/>
          <w:szCs w:val="24"/>
          <w:lang w:val="en-AU"/>
        </w:rPr>
        <w:t>pen is designed to be used with NovoFine</w:t>
      </w:r>
      <w:r w:rsidR="000D3958" w:rsidRPr="006E2063">
        <w:rPr>
          <w:sz w:val="24"/>
          <w:szCs w:val="24"/>
          <w:vertAlign w:val="superscript"/>
          <w:lang w:val="en-AU"/>
        </w:rPr>
        <w:t>®</w:t>
      </w:r>
      <w:r w:rsidR="008E2F28" w:rsidRPr="006E2063">
        <w:rPr>
          <w:sz w:val="24"/>
          <w:szCs w:val="24"/>
          <w:lang w:val="en-AU"/>
        </w:rPr>
        <w:t xml:space="preserve"> disposable needles </w:t>
      </w:r>
      <w:r w:rsidRPr="006E2063">
        <w:rPr>
          <w:sz w:val="24"/>
          <w:szCs w:val="24"/>
          <w:lang w:val="en-AU"/>
        </w:rPr>
        <w:t>up to a length of 8 mm and as thin as 32 G.</w:t>
      </w:r>
    </w:p>
    <w:p w14:paraId="605097DE" w14:textId="64833F61" w:rsidR="00927416" w:rsidRPr="006E2063" w:rsidRDefault="00927416" w:rsidP="00927416">
      <w:pPr>
        <w:rPr>
          <w:sz w:val="24"/>
          <w:szCs w:val="24"/>
          <w:lang w:val="en-AU"/>
        </w:rPr>
      </w:pPr>
      <w:r w:rsidRPr="006E2063">
        <w:rPr>
          <w:sz w:val="24"/>
          <w:szCs w:val="24"/>
          <w:lang w:val="en-AU"/>
        </w:rPr>
        <w:t>For storage conditions after first opening of the medicinal product, see section 6.3</w:t>
      </w:r>
      <w:r w:rsidR="003C2264" w:rsidRPr="006E2063">
        <w:rPr>
          <w:sz w:val="24"/>
          <w:szCs w:val="24"/>
          <w:lang w:val="en-AU"/>
        </w:rPr>
        <w:t xml:space="preserve"> Shelf-life</w:t>
      </w:r>
      <w:r w:rsidRPr="006E2063">
        <w:rPr>
          <w:sz w:val="24"/>
          <w:szCs w:val="24"/>
          <w:lang w:val="en-AU"/>
        </w:rPr>
        <w:t>.</w:t>
      </w:r>
    </w:p>
    <w:p w14:paraId="1BADE6A7" w14:textId="39C2639B" w:rsidR="005234D4" w:rsidRPr="006E2063" w:rsidRDefault="005234D4" w:rsidP="00354847">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Nature and contents of container</w:t>
      </w:r>
      <w:r w:rsidR="00BA5E46"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vertAlign w:val="superscript"/>
          <w:lang w:val="en-AU" w:eastAsia="en-US" w:bidi="ar-SA"/>
        </w:rPr>
        <w:fldChar w:fldCharType="begin"/>
      </w:r>
      <w:r w:rsidR="00C57A87" w:rsidRPr="006E2063">
        <w:rPr>
          <w:rFonts w:ascii="Times New Roman" w:hAnsi="Times New Roman" w:cs="Times New Roman"/>
          <w:b/>
          <w:bCs/>
          <w:color w:val="auto"/>
          <w:vertAlign w:val="superscript"/>
          <w:lang w:val="en-AU" w:eastAsia="en-US" w:bidi="ar-SA"/>
        </w:rPr>
        <w:instrText xml:space="preserve"> DOCVARIABLE vault_nd_9ad86f04-6329-4785-ace5-a766a37f6b91 \* MERGEFORMAT </w:instrText>
      </w:r>
      <w:r w:rsidR="00C57A87" w:rsidRPr="006E2063">
        <w:rPr>
          <w:rFonts w:ascii="Times New Roman" w:hAnsi="Times New Roman" w:cs="Times New Roman"/>
          <w:b/>
          <w:bCs/>
          <w:color w:val="auto"/>
          <w:vertAlign w:val="superscript"/>
          <w:lang w:val="en-AU" w:eastAsia="en-US" w:bidi="ar-SA"/>
        </w:rPr>
        <w:fldChar w:fldCharType="separate"/>
      </w:r>
      <w:r w:rsidR="00C57A87" w:rsidRPr="006E2063">
        <w:rPr>
          <w:rFonts w:ascii="Times New Roman" w:hAnsi="Times New Roman" w:cs="Times New Roman"/>
          <w:b/>
          <w:bCs/>
          <w:color w:val="auto"/>
          <w:vertAlign w:val="superscript"/>
          <w:lang w:val="en-AU" w:eastAsia="en-US" w:bidi="ar-SA"/>
        </w:rPr>
        <w:t xml:space="preserve"> </w:t>
      </w:r>
      <w:r w:rsidR="00C57A87" w:rsidRPr="006E2063">
        <w:rPr>
          <w:rFonts w:ascii="Times New Roman" w:hAnsi="Times New Roman" w:cs="Times New Roman"/>
          <w:b/>
          <w:bCs/>
          <w:color w:val="auto"/>
          <w:vertAlign w:val="superscript"/>
          <w:lang w:val="en-AU" w:eastAsia="en-US" w:bidi="ar-SA"/>
        </w:rPr>
        <w:fldChar w:fldCharType="end"/>
      </w:r>
    </w:p>
    <w:p w14:paraId="05C87298" w14:textId="77777777" w:rsidR="00E0684A" w:rsidRPr="006E2063" w:rsidRDefault="00E0684A" w:rsidP="00E0684A">
      <w:pPr>
        <w:rPr>
          <w:sz w:val="24"/>
          <w:szCs w:val="24"/>
          <w:lang w:val="en-AU"/>
        </w:rPr>
      </w:pPr>
      <w:bookmarkStart w:id="32" w:name="_Hlk5282436"/>
      <w:r w:rsidRPr="006E2063">
        <w:rPr>
          <w:sz w:val="24"/>
          <w:szCs w:val="24"/>
          <w:lang w:val="en-AU"/>
        </w:rPr>
        <w:t xml:space="preserve">1.5 mL solution in a glass cartridge (Type I colourless glass) with a plunger made of </w:t>
      </w:r>
      <w:proofErr w:type="spellStart"/>
      <w:r w:rsidRPr="006E2063">
        <w:rPr>
          <w:sz w:val="24"/>
          <w:szCs w:val="24"/>
          <w:lang w:val="en-AU"/>
        </w:rPr>
        <w:t>chlorobutyl</w:t>
      </w:r>
      <w:proofErr w:type="spellEnd"/>
      <w:r w:rsidRPr="006E2063">
        <w:rPr>
          <w:sz w:val="24"/>
          <w:szCs w:val="24"/>
          <w:lang w:val="en-AU"/>
        </w:rPr>
        <w:t xml:space="preserve"> rubber and a stopper made of </w:t>
      </w:r>
      <w:proofErr w:type="spellStart"/>
      <w:r w:rsidRPr="006E2063">
        <w:rPr>
          <w:sz w:val="24"/>
          <w:szCs w:val="24"/>
          <w:lang w:val="en-AU"/>
        </w:rPr>
        <w:t>bromobutyl</w:t>
      </w:r>
      <w:proofErr w:type="spellEnd"/>
      <w:r w:rsidRPr="006E2063">
        <w:rPr>
          <w:sz w:val="24"/>
          <w:szCs w:val="24"/>
          <w:lang w:val="en-AU"/>
        </w:rPr>
        <w:t xml:space="preserve">/isoprene rubber sealed with an aluminium cap. </w:t>
      </w:r>
    </w:p>
    <w:p w14:paraId="4D06311D" w14:textId="77777777" w:rsidR="00E0684A" w:rsidRPr="006E2063" w:rsidRDefault="00E0684A" w:rsidP="00E0684A">
      <w:pPr>
        <w:rPr>
          <w:sz w:val="24"/>
          <w:szCs w:val="24"/>
          <w:lang w:val="en-AU"/>
        </w:rPr>
      </w:pPr>
      <w:r w:rsidRPr="006E2063">
        <w:rPr>
          <w:sz w:val="24"/>
          <w:szCs w:val="24"/>
          <w:lang w:val="en-AU"/>
        </w:rPr>
        <w:t xml:space="preserve">The cartridge is contained in a multidose disposable pen made of polypropylene, polyacetal, polycarbonate and acrylonitrile butadiene styrene and in addition two metal springs. </w:t>
      </w:r>
    </w:p>
    <w:p w14:paraId="019714A8" w14:textId="77777777" w:rsidR="00E0684A" w:rsidRPr="006E2063" w:rsidRDefault="00E0684A" w:rsidP="00E0684A">
      <w:pPr>
        <w:rPr>
          <w:sz w:val="24"/>
          <w:szCs w:val="24"/>
          <w:lang w:val="en-AU"/>
        </w:rPr>
      </w:pPr>
      <w:r w:rsidRPr="006E2063">
        <w:rPr>
          <w:sz w:val="24"/>
          <w:szCs w:val="24"/>
          <w:lang w:val="en-AU"/>
        </w:rPr>
        <w:lastRenderedPageBreak/>
        <w:t>The cartridge is permanently sealed in a pen</w:t>
      </w:r>
      <w:r w:rsidRPr="006E2063">
        <w:rPr>
          <w:sz w:val="24"/>
          <w:szCs w:val="24"/>
          <w:lang w:val="en-AU"/>
        </w:rPr>
        <w:noBreakHyphen/>
        <w:t>injector.</w:t>
      </w:r>
    </w:p>
    <w:p w14:paraId="4EAA6833" w14:textId="77777777" w:rsidR="00E0684A" w:rsidRPr="006E2063" w:rsidRDefault="00E0684A" w:rsidP="00E0684A">
      <w:pPr>
        <w:rPr>
          <w:sz w:val="24"/>
          <w:szCs w:val="24"/>
          <w:lang w:val="en-AU"/>
        </w:rPr>
      </w:pPr>
      <w:r w:rsidRPr="006E2063">
        <w:rPr>
          <w:sz w:val="24"/>
          <w:szCs w:val="24"/>
          <w:lang w:val="en-AU"/>
        </w:rPr>
        <w:t xml:space="preserve">Pack sizes of </w:t>
      </w:r>
      <w:bookmarkEnd w:id="32"/>
      <w:r w:rsidRPr="006E2063">
        <w:rPr>
          <w:sz w:val="24"/>
          <w:szCs w:val="24"/>
          <w:lang w:val="en-AU"/>
        </w:rPr>
        <w:t>1 pre-filled pen and multipack of 5 (5 packs of 1) pre-filled pen.</w:t>
      </w:r>
    </w:p>
    <w:p w14:paraId="43176B3F" w14:textId="75243BE1" w:rsidR="00E0684A" w:rsidRPr="006E2063" w:rsidRDefault="00E0684A" w:rsidP="00E0684A">
      <w:pPr>
        <w:rPr>
          <w:sz w:val="24"/>
          <w:szCs w:val="24"/>
          <w:lang w:val="en-AU"/>
        </w:rPr>
      </w:pPr>
      <w:r w:rsidRPr="006E2063">
        <w:rPr>
          <w:sz w:val="24"/>
          <w:szCs w:val="24"/>
          <w:lang w:val="en-AU"/>
        </w:rPr>
        <w:t>Not all pack sizes may be marketed</w:t>
      </w:r>
      <w:r w:rsidR="006B3127" w:rsidRPr="006E2063">
        <w:rPr>
          <w:sz w:val="24"/>
          <w:szCs w:val="24"/>
          <w:lang w:val="en-AU"/>
        </w:rPr>
        <w:t>.</w:t>
      </w:r>
    </w:p>
    <w:p w14:paraId="79765926" w14:textId="36ABF0F8" w:rsidR="005234D4" w:rsidRPr="006E2063" w:rsidRDefault="005234D4" w:rsidP="000B2A38">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Special precautions for disposal</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vault_nd_80d71019-9161-4d8c-a82e-577e9a9cc85c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4250F7EF" w14:textId="77777777" w:rsidR="00A3093C" w:rsidRPr="006E2063" w:rsidRDefault="00A3093C" w:rsidP="00A3093C">
      <w:pPr>
        <w:rPr>
          <w:sz w:val="24"/>
          <w:szCs w:val="24"/>
          <w:lang w:val="en-AU"/>
        </w:rPr>
      </w:pPr>
      <w:r w:rsidRPr="006E2063">
        <w:rPr>
          <w:sz w:val="24"/>
          <w:szCs w:val="24"/>
          <w:lang w:val="en-AU"/>
        </w:rPr>
        <w:t>The pen is for use by one person only.</w:t>
      </w:r>
    </w:p>
    <w:p w14:paraId="587B1FB8" w14:textId="77777777" w:rsidR="00A3093C" w:rsidRPr="006E2063" w:rsidRDefault="00A3093C" w:rsidP="00A3093C">
      <w:pPr>
        <w:rPr>
          <w:sz w:val="24"/>
          <w:szCs w:val="24"/>
          <w:lang w:val="en-AU"/>
        </w:rPr>
      </w:pPr>
      <w:r w:rsidRPr="006E2063">
        <w:rPr>
          <w:sz w:val="24"/>
          <w:szCs w:val="24"/>
          <w:lang w:val="en-AU"/>
        </w:rPr>
        <w:t>Sogroya should not be used if the solution does not appear clear to slightly opalescent, colourless to slightly yellow and free from visible particles.</w:t>
      </w:r>
    </w:p>
    <w:p w14:paraId="793B94EE" w14:textId="77777777" w:rsidR="00A3093C" w:rsidRPr="006E2063" w:rsidRDefault="00A3093C" w:rsidP="00A3093C">
      <w:pPr>
        <w:rPr>
          <w:sz w:val="24"/>
          <w:szCs w:val="24"/>
          <w:lang w:val="en-AU"/>
        </w:rPr>
      </w:pPr>
      <w:r w:rsidRPr="006E2063">
        <w:rPr>
          <w:sz w:val="24"/>
          <w:szCs w:val="24"/>
          <w:lang w:val="en-AU"/>
        </w:rPr>
        <w:t xml:space="preserve">Sogroya must not be used if it has been frozen. </w:t>
      </w:r>
    </w:p>
    <w:p w14:paraId="4E90F0B1" w14:textId="77777777" w:rsidR="00A3093C" w:rsidRPr="006E2063" w:rsidRDefault="00A3093C" w:rsidP="00A3093C">
      <w:pPr>
        <w:rPr>
          <w:sz w:val="24"/>
          <w:szCs w:val="24"/>
          <w:lang w:val="en-AU"/>
        </w:rPr>
      </w:pPr>
      <w:r w:rsidRPr="006E2063">
        <w:rPr>
          <w:sz w:val="24"/>
          <w:szCs w:val="24"/>
          <w:lang w:val="en-AU"/>
        </w:rPr>
        <w:t xml:space="preserve">The cartridge must not be taken out of the pre-filled pen and refilled. </w:t>
      </w:r>
    </w:p>
    <w:p w14:paraId="2241A576" w14:textId="77777777" w:rsidR="00490010" w:rsidRPr="006E2063" w:rsidRDefault="00490010" w:rsidP="00490010">
      <w:pPr>
        <w:rPr>
          <w:sz w:val="24"/>
          <w:szCs w:val="24"/>
          <w:lang w:val="en-AU"/>
        </w:rPr>
      </w:pPr>
      <w:bookmarkStart w:id="33" w:name="_Hlk54193095"/>
      <w:r w:rsidRPr="006E2063">
        <w:rPr>
          <w:sz w:val="24"/>
          <w:szCs w:val="24"/>
          <w:lang w:val="en-AU"/>
        </w:rPr>
        <w:t>The patient should be advised to remove the injection needle after each injection, dispose of the needle in accordance with local requirements, and store the pen without a needle attached.</w:t>
      </w:r>
      <w:bookmarkEnd w:id="33"/>
    </w:p>
    <w:p w14:paraId="5C01682E" w14:textId="2C8C103E" w:rsidR="005234D4" w:rsidRPr="006E2063" w:rsidRDefault="005234D4" w:rsidP="005234D4">
      <w:pPr>
        <w:rPr>
          <w:sz w:val="24"/>
          <w:szCs w:val="24"/>
          <w:lang w:val="en-AU"/>
        </w:rPr>
      </w:pPr>
      <w:r w:rsidRPr="006E2063">
        <w:rPr>
          <w:sz w:val="24"/>
          <w:szCs w:val="24"/>
          <w:lang w:val="en-AU"/>
        </w:rPr>
        <w:t>In Australia, any unused medicine or waste material should be disposed of in accordance with local requirements</w:t>
      </w:r>
      <w:r w:rsidR="00D87841" w:rsidRPr="006E2063">
        <w:rPr>
          <w:sz w:val="24"/>
          <w:szCs w:val="24"/>
          <w:lang w:val="en-AU"/>
        </w:rPr>
        <w:t>.</w:t>
      </w:r>
    </w:p>
    <w:p w14:paraId="3D068A39" w14:textId="0C132006" w:rsidR="005234D4" w:rsidRPr="006E2063" w:rsidRDefault="005234D4" w:rsidP="00D251AD">
      <w:pPr>
        <w:pStyle w:val="Heading3"/>
        <w:numPr>
          <w:ilvl w:val="1"/>
          <w:numId w:val="8"/>
        </w:numPr>
        <w:spacing w:before="240" w:after="240"/>
        <w:ind w:left="0" w:firstLine="0"/>
        <w:rPr>
          <w:rFonts w:ascii="Times New Roman" w:hAnsi="Times New Roman" w:cs="Times New Roman"/>
          <w:b/>
          <w:bCs/>
          <w:color w:val="auto"/>
          <w:lang w:val="en-AU" w:eastAsia="en-US" w:bidi="ar-SA"/>
        </w:rPr>
      </w:pPr>
      <w:r w:rsidRPr="006E2063">
        <w:rPr>
          <w:rFonts w:ascii="Times New Roman" w:hAnsi="Times New Roman" w:cs="Times New Roman"/>
          <w:b/>
          <w:bCs/>
          <w:color w:val="auto"/>
          <w:lang w:val="en-AU" w:eastAsia="en-US" w:bidi="ar-SA"/>
        </w:rPr>
        <w:t>Physicochemical properties</w:t>
      </w:r>
      <w:r w:rsidR="00C57A87" w:rsidRPr="006E2063">
        <w:rPr>
          <w:rFonts w:ascii="Times New Roman" w:hAnsi="Times New Roman" w:cs="Times New Roman"/>
          <w:b/>
          <w:bCs/>
          <w:color w:val="auto"/>
          <w:lang w:val="en-AU" w:eastAsia="en-US" w:bidi="ar-SA"/>
        </w:rPr>
        <w:fldChar w:fldCharType="begin"/>
      </w:r>
      <w:r w:rsidR="00C57A87" w:rsidRPr="006E2063">
        <w:rPr>
          <w:rFonts w:ascii="Times New Roman" w:hAnsi="Times New Roman" w:cs="Times New Roman"/>
          <w:b/>
          <w:bCs/>
          <w:color w:val="auto"/>
          <w:lang w:val="en-AU" w:eastAsia="en-US" w:bidi="ar-SA"/>
        </w:rPr>
        <w:instrText xml:space="preserve"> DOCVARIABLE vault_nd_405c4502-a6cb-402d-8947-79c816a1b96b \* MERGEFORMAT </w:instrText>
      </w:r>
      <w:r w:rsidR="00C57A87" w:rsidRPr="006E2063">
        <w:rPr>
          <w:rFonts w:ascii="Times New Roman" w:hAnsi="Times New Roman" w:cs="Times New Roman"/>
          <w:b/>
          <w:bCs/>
          <w:color w:val="auto"/>
          <w:lang w:val="en-AU" w:eastAsia="en-US" w:bidi="ar-SA"/>
        </w:rPr>
        <w:fldChar w:fldCharType="separate"/>
      </w:r>
      <w:r w:rsidR="00C57A87" w:rsidRPr="006E2063">
        <w:rPr>
          <w:rFonts w:ascii="Times New Roman" w:hAnsi="Times New Roman" w:cs="Times New Roman"/>
          <w:b/>
          <w:bCs/>
          <w:color w:val="auto"/>
          <w:lang w:val="en-AU" w:eastAsia="en-US" w:bidi="ar-SA"/>
        </w:rPr>
        <w:t xml:space="preserve"> </w:t>
      </w:r>
      <w:r w:rsidR="00C57A87" w:rsidRPr="006E2063">
        <w:rPr>
          <w:rFonts w:ascii="Times New Roman" w:hAnsi="Times New Roman" w:cs="Times New Roman"/>
          <w:b/>
          <w:bCs/>
          <w:color w:val="auto"/>
          <w:lang w:val="en-AU" w:eastAsia="en-US" w:bidi="ar-SA"/>
        </w:rPr>
        <w:fldChar w:fldCharType="end"/>
      </w:r>
    </w:p>
    <w:p w14:paraId="3EF17A8F" w14:textId="2BDF22CC" w:rsidR="005234D4" w:rsidRPr="006E2063" w:rsidRDefault="005234D4" w:rsidP="00116421">
      <w:pPr>
        <w:pStyle w:val="Heading4"/>
        <w:rPr>
          <w:rFonts w:ascii="Times New Roman" w:hAnsi="Times New Roman" w:cs="Times New Roman"/>
          <w:color w:val="auto"/>
          <w:lang w:val="en-AU" w:eastAsia="en-US" w:bidi="ar-SA"/>
        </w:rPr>
      </w:pPr>
      <w:r w:rsidRPr="006E2063">
        <w:rPr>
          <w:rFonts w:ascii="Times New Roman" w:hAnsi="Times New Roman" w:cs="Times New Roman"/>
          <w:color w:val="auto"/>
          <w:lang w:val="en-AU" w:eastAsia="en-US" w:bidi="ar-SA"/>
        </w:rPr>
        <w:t>Chemical structure</w:t>
      </w:r>
      <w:r w:rsidR="00C57A87" w:rsidRPr="006E2063">
        <w:rPr>
          <w:rFonts w:ascii="Times New Roman" w:hAnsi="Times New Roman" w:cs="Times New Roman"/>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vault_nd_09a190aa-0685-44c4-9cfc-6b9f2e38f3ee \* MERGEFORMAT </w:instrText>
      </w:r>
      <w:r w:rsidR="00C57A87" w:rsidRPr="006E2063">
        <w:rPr>
          <w:rFonts w:ascii="Times New Roman" w:hAnsi="Times New Roman" w:cs="Times New Roman"/>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color w:val="auto"/>
          <w:lang w:val="en-AU" w:eastAsia="en-US" w:bidi="ar-SA"/>
        </w:rPr>
        <w:fldChar w:fldCharType="end"/>
      </w:r>
    </w:p>
    <w:p w14:paraId="13E68192" w14:textId="77777777" w:rsidR="002D39DA" w:rsidRPr="006E2063" w:rsidRDefault="002D39DA" w:rsidP="002D39DA">
      <w:pPr>
        <w:rPr>
          <w:sz w:val="24"/>
          <w:szCs w:val="24"/>
          <w:lang w:val="en-AU"/>
        </w:rPr>
      </w:pPr>
      <w:bookmarkStart w:id="34" w:name="_Hlk4741765"/>
      <w:r w:rsidRPr="006E2063">
        <w:rPr>
          <w:sz w:val="24"/>
          <w:szCs w:val="24"/>
          <w:lang w:val="en-AU"/>
        </w:rPr>
        <w:t>Structural formula:</w:t>
      </w:r>
      <w:bookmarkEnd w:id="34"/>
    </w:p>
    <w:p w14:paraId="6BA257DD" w14:textId="625F6BC0" w:rsidR="002D39DA" w:rsidRPr="006E2063" w:rsidRDefault="002D39DA" w:rsidP="002D39DA">
      <w:pPr>
        <w:rPr>
          <w:sz w:val="24"/>
          <w:szCs w:val="24"/>
          <w:lang w:val="en-AU"/>
        </w:rPr>
      </w:pPr>
      <w:r w:rsidRPr="006E2063">
        <w:rPr>
          <w:sz w:val="24"/>
          <w:szCs w:val="24"/>
          <w:lang w:val="en-AU"/>
        </w:rPr>
        <w:t>[101-{S-[(8S,22S,27S)-8,22,27-tricarboxy-2,10,19,24,29,38,42,42,44-nonaoxo-59-(1H-tetrazol-5-yl)-12,15,31,34-tetraoxa-42λ6-thia3,9,18,23,28,37,43-heptaazanonapentacontan-1-yl]-L cysteine}]</w:t>
      </w:r>
      <w:r w:rsidR="00637AAC">
        <w:rPr>
          <w:sz w:val="24"/>
          <w:szCs w:val="24"/>
          <w:lang w:val="en-AU"/>
        </w:rPr>
        <w:t xml:space="preserve"> </w:t>
      </w:r>
      <w:r w:rsidRPr="006E2063">
        <w:rPr>
          <w:sz w:val="24"/>
          <w:szCs w:val="24"/>
          <w:lang w:val="en-AU"/>
        </w:rPr>
        <w:t>human somatropin</w:t>
      </w:r>
    </w:p>
    <w:bookmarkStart w:id="35" w:name="_Hlk54193620"/>
    <w:bookmarkStart w:id="36" w:name="_MON_1623484328"/>
    <w:bookmarkEnd w:id="36"/>
    <w:p w14:paraId="4FBBFD52" w14:textId="03DC7DB6" w:rsidR="00B33FDB" w:rsidRPr="006E2063" w:rsidRDefault="00B33FDB" w:rsidP="00BF2B59">
      <w:pPr>
        <w:pStyle w:val="Heading3-TNR"/>
        <w:rPr>
          <w:rStyle w:val="PageNumber"/>
          <w:sz w:val="22"/>
          <w:szCs w:val="22"/>
        </w:rPr>
      </w:pPr>
      <w:r w:rsidRPr="006E2063">
        <w:rPr>
          <w:rStyle w:val="PageNumber"/>
          <w:sz w:val="22"/>
          <w:szCs w:val="22"/>
        </w:rPr>
        <w:object w:dxaOrig="6810" w:dyaOrig="4933" w14:anchorId="79F20B5A">
          <v:shape id="_x0000_i1026" type="#_x0000_t75" style="width:338.25pt;height:244.5pt" o:ole="" filled="t">
            <v:imagedata r:id="rId15" o:title=""/>
          </v:shape>
          <o:OLEObject Type="Embed" ProgID="Word.Document.12" ShapeID="_x0000_i1026" DrawAspect="Content" ObjectID="_1727778004" r:id="rId16">
            <o:FieldCodes>\s</o:FieldCodes>
          </o:OLEObject>
        </w:object>
      </w:r>
      <w:bookmarkEnd w:id="35"/>
    </w:p>
    <w:p w14:paraId="37134C5D" w14:textId="1E42ACB3" w:rsidR="009B5CB4" w:rsidRPr="00302241" w:rsidRDefault="009B5CB4" w:rsidP="009B5CB4">
      <w:pPr>
        <w:rPr>
          <w:sz w:val="24"/>
          <w:szCs w:val="24"/>
          <w:lang w:val="pt-BR"/>
        </w:rPr>
      </w:pPr>
      <w:bookmarkStart w:id="37" w:name="_Hlk54193702"/>
      <w:r w:rsidRPr="00302241">
        <w:rPr>
          <w:sz w:val="24"/>
          <w:szCs w:val="24"/>
          <w:lang w:val="pt-BR"/>
        </w:rPr>
        <w:lastRenderedPageBreak/>
        <w:t xml:space="preserve">Molecular formula: </w:t>
      </w:r>
      <w:r w:rsidR="00A14479" w:rsidRPr="00302241">
        <w:rPr>
          <w:rFonts w:asciiTheme="majorBidi" w:eastAsia="TimesNewRoman" w:hAnsiTheme="majorBidi" w:cstheme="majorBidi"/>
          <w:sz w:val="24"/>
          <w:szCs w:val="24"/>
          <w:lang w:val="pt-BR"/>
        </w:rPr>
        <w:t>C</w:t>
      </w:r>
      <w:r w:rsidR="00A14479" w:rsidRPr="00302241">
        <w:rPr>
          <w:rFonts w:asciiTheme="majorBidi" w:eastAsia="TimesNewRoman" w:hAnsiTheme="majorBidi" w:cstheme="majorBidi"/>
          <w:sz w:val="16"/>
          <w:szCs w:val="16"/>
          <w:lang w:val="pt-BR"/>
        </w:rPr>
        <w:t>1038</w:t>
      </w:r>
      <w:r w:rsidR="00A14479" w:rsidRPr="00302241">
        <w:rPr>
          <w:rFonts w:asciiTheme="majorBidi" w:eastAsia="TimesNewRoman" w:hAnsiTheme="majorBidi" w:cstheme="majorBidi"/>
          <w:sz w:val="24"/>
          <w:szCs w:val="24"/>
          <w:lang w:val="pt-BR"/>
        </w:rPr>
        <w:t>H</w:t>
      </w:r>
      <w:r w:rsidR="00A14479" w:rsidRPr="00302241">
        <w:rPr>
          <w:rFonts w:asciiTheme="majorBidi" w:eastAsia="TimesNewRoman" w:hAnsiTheme="majorBidi" w:cstheme="majorBidi"/>
          <w:sz w:val="16"/>
          <w:szCs w:val="16"/>
          <w:lang w:val="pt-BR"/>
        </w:rPr>
        <w:t>1609</w:t>
      </w:r>
      <w:r w:rsidR="00A14479" w:rsidRPr="00302241">
        <w:rPr>
          <w:rFonts w:asciiTheme="majorBidi" w:eastAsia="TimesNewRoman" w:hAnsiTheme="majorBidi" w:cstheme="majorBidi"/>
          <w:sz w:val="24"/>
          <w:szCs w:val="24"/>
          <w:lang w:val="pt-BR"/>
        </w:rPr>
        <w:t>N</w:t>
      </w:r>
      <w:r w:rsidR="00A14479" w:rsidRPr="00302241">
        <w:rPr>
          <w:rFonts w:asciiTheme="majorBidi" w:eastAsia="TimesNewRoman" w:hAnsiTheme="majorBidi" w:cstheme="majorBidi"/>
          <w:sz w:val="16"/>
          <w:szCs w:val="16"/>
          <w:lang w:val="pt-BR"/>
        </w:rPr>
        <w:t>273</w:t>
      </w:r>
      <w:r w:rsidR="00A14479" w:rsidRPr="00302241">
        <w:rPr>
          <w:rFonts w:asciiTheme="majorBidi" w:eastAsia="TimesNewRoman" w:hAnsiTheme="majorBidi" w:cstheme="majorBidi"/>
          <w:sz w:val="24"/>
          <w:szCs w:val="24"/>
          <w:lang w:val="pt-BR"/>
        </w:rPr>
        <w:t>O</w:t>
      </w:r>
      <w:r w:rsidR="00A14479" w:rsidRPr="00302241">
        <w:rPr>
          <w:rFonts w:asciiTheme="majorBidi" w:eastAsia="TimesNewRoman" w:hAnsiTheme="majorBidi" w:cstheme="majorBidi"/>
          <w:sz w:val="16"/>
          <w:szCs w:val="16"/>
          <w:lang w:val="pt-BR"/>
        </w:rPr>
        <w:t>319</w:t>
      </w:r>
      <w:r w:rsidR="00A14479" w:rsidRPr="00302241">
        <w:rPr>
          <w:rFonts w:asciiTheme="majorBidi" w:eastAsia="TimesNewRoman" w:hAnsiTheme="majorBidi" w:cstheme="majorBidi"/>
          <w:sz w:val="24"/>
          <w:szCs w:val="24"/>
          <w:lang w:val="pt-BR"/>
        </w:rPr>
        <w:t>S</w:t>
      </w:r>
      <w:r w:rsidR="00A14479" w:rsidRPr="00302241">
        <w:rPr>
          <w:rFonts w:asciiTheme="majorBidi" w:eastAsia="TimesNewRoman" w:hAnsiTheme="majorBidi" w:cstheme="majorBidi"/>
          <w:sz w:val="16"/>
          <w:szCs w:val="16"/>
          <w:lang w:val="pt-BR"/>
        </w:rPr>
        <w:t>9</w:t>
      </w:r>
    </w:p>
    <w:p w14:paraId="3CCF62F8" w14:textId="1C1B5D41" w:rsidR="009B5CB4" w:rsidRPr="00302241" w:rsidRDefault="009B5CB4" w:rsidP="009B5CB4">
      <w:pPr>
        <w:rPr>
          <w:sz w:val="24"/>
          <w:szCs w:val="24"/>
          <w:lang w:val="pt-BR"/>
        </w:rPr>
      </w:pPr>
      <w:r w:rsidRPr="00302241">
        <w:rPr>
          <w:sz w:val="24"/>
          <w:szCs w:val="24"/>
          <w:lang w:val="pt-BR"/>
        </w:rPr>
        <w:t xml:space="preserve">Molar mass: 23305.10 g/mol </w:t>
      </w:r>
      <w:bookmarkEnd w:id="37"/>
    </w:p>
    <w:p w14:paraId="50F78F39" w14:textId="67EE32DA" w:rsidR="005234D4" w:rsidRPr="006E2063" w:rsidRDefault="005234D4" w:rsidP="00116421">
      <w:pPr>
        <w:pStyle w:val="Heading4"/>
        <w:rPr>
          <w:rFonts w:ascii="Times New Roman" w:hAnsi="Times New Roman" w:cs="Times New Roman"/>
          <w:color w:val="auto"/>
          <w:lang w:val="en-AU" w:eastAsia="en-US" w:bidi="ar-SA"/>
        </w:rPr>
      </w:pPr>
      <w:r w:rsidRPr="006E2063">
        <w:rPr>
          <w:rFonts w:ascii="Times New Roman" w:hAnsi="Times New Roman" w:cs="Times New Roman"/>
          <w:color w:val="auto"/>
          <w:lang w:val="en-AU" w:eastAsia="en-US" w:bidi="ar-SA"/>
        </w:rPr>
        <w:t>CAS number</w:t>
      </w:r>
      <w:r w:rsidR="00C57A87" w:rsidRPr="006E2063">
        <w:rPr>
          <w:rFonts w:ascii="Times New Roman" w:hAnsi="Times New Roman" w:cs="Times New Roman"/>
          <w:color w:val="auto"/>
          <w:lang w:val="en-AU" w:eastAsia="en-US" w:bidi="ar-SA"/>
        </w:rPr>
        <w:fldChar w:fldCharType="begin"/>
      </w:r>
      <w:r w:rsidR="00C57A87" w:rsidRPr="006E2063">
        <w:rPr>
          <w:rFonts w:ascii="Times New Roman" w:hAnsi="Times New Roman" w:cs="Times New Roman"/>
          <w:color w:val="auto"/>
          <w:lang w:val="en-AU" w:eastAsia="en-US" w:bidi="ar-SA"/>
        </w:rPr>
        <w:instrText xml:space="preserve"> DOCVARIABLE vault_nd_8e871a7f-aa9f-4033-a1a3-25af986fb812 \* MERGEFORMAT </w:instrText>
      </w:r>
      <w:r w:rsidR="00C57A87" w:rsidRPr="006E2063">
        <w:rPr>
          <w:rFonts w:ascii="Times New Roman" w:hAnsi="Times New Roman" w:cs="Times New Roman"/>
          <w:color w:val="auto"/>
          <w:lang w:val="en-AU" w:eastAsia="en-US" w:bidi="ar-SA"/>
        </w:rPr>
        <w:fldChar w:fldCharType="separate"/>
      </w:r>
      <w:r w:rsidR="00C57A87" w:rsidRPr="006E2063">
        <w:rPr>
          <w:rFonts w:ascii="Times New Roman" w:hAnsi="Times New Roman" w:cs="Times New Roman"/>
          <w:color w:val="auto"/>
          <w:lang w:val="en-AU" w:eastAsia="en-US" w:bidi="ar-SA"/>
        </w:rPr>
        <w:t xml:space="preserve"> </w:t>
      </w:r>
      <w:r w:rsidR="00C57A87" w:rsidRPr="006E2063">
        <w:rPr>
          <w:rFonts w:ascii="Times New Roman" w:hAnsi="Times New Roman" w:cs="Times New Roman"/>
          <w:color w:val="auto"/>
          <w:lang w:val="en-AU" w:eastAsia="en-US" w:bidi="ar-SA"/>
        </w:rPr>
        <w:fldChar w:fldCharType="end"/>
      </w:r>
    </w:p>
    <w:p w14:paraId="459C746F" w14:textId="680268F1" w:rsidR="00CE34DA" w:rsidRPr="006E2063" w:rsidRDefault="00CE34DA" w:rsidP="000F7DAB">
      <w:pPr>
        <w:rPr>
          <w:sz w:val="24"/>
          <w:szCs w:val="24"/>
          <w:lang w:val="en-AU"/>
        </w:rPr>
      </w:pPr>
      <w:bookmarkStart w:id="38" w:name="_Hlk54193753"/>
      <w:r w:rsidRPr="006E2063">
        <w:rPr>
          <w:sz w:val="24"/>
          <w:szCs w:val="24"/>
          <w:lang w:val="en-AU"/>
        </w:rPr>
        <w:t>1338578-34-9</w:t>
      </w:r>
      <w:bookmarkEnd w:id="38"/>
    </w:p>
    <w:p w14:paraId="443E5E4A" w14:textId="270DE27B" w:rsidR="005234D4" w:rsidRPr="006E2063" w:rsidRDefault="005234D4" w:rsidP="00BF2B59">
      <w:pPr>
        <w:pStyle w:val="Heading1-TNR"/>
      </w:pPr>
      <w:r w:rsidRPr="006E2063">
        <w:t>Medicine schedule (Poisons Standard)</w:t>
      </w:r>
      <w:r w:rsidR="003421FF">
        <w:fldChar w:fldCharType="begin"/>
      </w:r>
      <w:r w:rsidR="003421FF">
        <w:instrText xml:space="preserve"> DOCVARIABLE VAULT_ND_3d6d91a7-c98d-4fc2-b7a5-e91aa2e4b346 \* MERGEFORMAT </w:instrText>
      </w:r>
      <w:r w:rsidR="003421FF">
        <w:fldChar w:fldCharType="separate"/>
      </w:r>
      <w:r w:rsidR="00C57A87" w:rsidRPr="006E2063">
        <w:t xml:space="preserve"> </w:t>
      </w:r>
      <w:r w:rsidR="003421FF">
        <w:fldChar w:fldCharType="end"/>
      </w:r>
    </w:p>
    <w:p w14:paraId="10739702" w14:textId="6744CCE4" w:rsidR="000F7DAB" w:rsidRPr="006E2063" w:rsidRDefault="000F7DAB" w:rsidP="000F7DAB">
      <w:pPr>
        <w:rPr>
          <w:sz w:val="24"/>
          <w:szCs w:val="24"/>
          <w:lang w:val="en-AU"/>
        </w:rPr>
      </w:pPr>
      <w:r w:rsidRPr="006E2063">
        <w:rPr>
          <w:sz w:val="24"/>
          <w:szCs w:val="24"/>
          <w:lang w:val="en-AU"/>
        </w:rPr>
        <w:t>S4</w:t>
      </w:r>
    </w:p>
    <w:p w14:paraId="27B41BE5" w14:textId="6BB06193" w:rsidR="005234D4" w:rsidRPr="006E2063" w:rsidRDefault="005234D4" w:rsidP="00BF2B59">
      <w:pPr>
        <w:pStyle w:val="Heading1-TNR"/>
      </w:pPr>
      <w:r w:rsidRPr="006E2063">
        <w:t>Sponsor</w:t>
      </w:r>
      <w:r w:rsidR="003421FF">
        <w:fldChar w:fldCharType="begin"/>
      </w:r>
      <w:r w:rsidR="003421FF">
        <w:instrText xml:space="preserve"> DOCVARIABLE VAULT_ND_fcbecf44-732e-421f-9f51-174b19d20701 \* MERGEFORMAT </w:instrText>
      </w:r>
      <w:r w:rsidR="003421FF">
        <w:fldChar w:fldCharType="separate"/>
      </w:r>
      <w:r w:rsidR="00C57A87" w:rsidRPr="006E2063">
        <w:t xml:space="preserve"> </w:t>
      </w:r>
      <w:r w:rsidR="003421FF">
        <w:fldChar w:fldCharType="end"/>
      </w:r>
    </w:p>
    <w:p w14:paraId="3ABC0BD7" w14:textId="77777777" w:rsidR="00C847AB" w:rsidRPr="00C847AB" w:rsidRDefault="00C847AB" w:rsidP="00C847AB">
      <w:pPr>
        <w:spacing w:after="0" w:line="240" w:lineRule="auto"/>
        <w:rPr>
          <w:sz w:val="24"/>
          <w:szCs w:val="24"/>
          <w:lang w:val="en-AU"/>
        </w:rPr>
      </w:pPr>
      <w:r w:rsidRPr="00C847AB">
        <w:rPr>
          <w:sz w:val="24"/>
          <w:szCs w:val="24"/>
          <w:lang w:val="en-AU"/>
        </w:rPr>
        <w:t>Novo Nordisk Pharmaceuticals Pty Limited</w:t>
      </w:r>
    </w:p>
    <w:p w14:paraId="5B1F1A9C" w14:textId="77777777" w:rsidR="00C847AB" w:rsidRPr="00C847AB" w:rsidRDefault="00C847AB" w:rsidP="00C847AB">
      <w:pPr>
        <w:spacing w:after="0" w:line="240" w:lineRule="auto"/>
        <w:rPr>
          <w:sz w:val="24"/>
          <w:szCs w:val="24"/>
          <w:lang w:val="en-AU"/>
        </w:rPr>
      </w:pPr>
      <w:r w:rsidRPr="00C847AB">
        <w:rPr>
          <w:sz w:val="24"/>
          <w:szCs w:val="24"/>
          <w:lang w:val="en-AU"/>
        </w:rPr>
        <w:t>Level 10, 118 Mount Street,</w:t>
      </w:r>
    </w:p>
    <w:p w14:paraId="534CB4E7" w14:textId="77777777" w:rsidR="00C847AB" w:rsidRPr="00C847AB" w:rsidRDefault="00C847AB" w:rsidP="00C847AB">
      <w:pPr>
        <w:spacing w:after="0" w:line="240" w:lineRule="auto"/>
        <w:rPr>
          <w:sz w:val="24"/>
          <w:szCs w:val="24"/>
          <w:lang w:val="en-AU"/>
        </w:rPr>
      </w:pPr>
      <w:r w:rsidRPr="00C847AB">
        <w:rPr>
          <w:sz w:val="24"/>
          <w:szCs w:val="24"/>
          <w:lang w:val="en-AU"/>
        </w:rPr>
        <w:t>North Sydney, NSW 2060,</w:t>
      </w:r>
    </w:p>
    <w:p w14:paraId="47F36383" w14:textId="7C67B7F9" w:rsidR="00BB2A7D" w:rsidRPr="006E2063" w:rsidRDefault="00C847AB" w:rsidP="00C847AB">
      <w:pPr>
        <w:spacing w:after="0" w:line="240" w:lineRule="auto"/>
        <w:rPr>
          <w:sz w:val="24"/>
          <w:szCs w:val="24"/>
          <w:lang w:val="en-AU"/>
        </w:rPr>
      </w:pPr>
      <w:r w:rsidRPr="00C847AB">
        <w:rPr>
          <w:sz w:val="24"/>
          <w:szCs w:val="24"/>
          <w:lang w:val="en-AU"/>
        </w:rPr>
        <w:t>Australia.</w:t>
      </w:r>
    </w:p>
    <w:p w14:paraId="6F98F937" w14:textId="5F3D8370" w:rsidR="00BB2A7D" w:rsidRPr="006E2063" w:rsidRDefault="00BB2A7D" w:rsidP="00BB2A7D">
      <w:pPr>
        <w:rPr>
          <w:sz w:val="24"/>
          <w:szCs w:val="24"/>
          <w:lang w:val="en-AU"/>
        </w:rPr>
      </w:pPr>
      <w:r w:rsidRPr="006E2063">
        <w:rPr>
          <w:sz w:val="24"/>
          <w:szCs w:val="24"/>
          <w:lang w:val="en-AU"/>
        </w:rPr>
        <w:t>www.novonordisk.com.au</w:t>
      </w:r>
    </w:p>
    <w:p w14:paraId="439EDFF5" w14:textId="1534E9C1" w:rsidR="005234D4" w:rsidRPr="006E2063" w:rsidRDefault="005234D4" w:rsidP="00BF2B59">
      <w:pPr>
        <w:pStyle w:val="Heading1-TNR"/>
      </w:pPr>
      <w:r w:rsidRPr="006E2063">
        <w:t xml:space="preserve">Date of first approval </w:t>
      </w:r>
      <w:r w:rsidR="003421FF">
        <w:fldChar w:fldCharType="begin"/>
      </w:r>
      <w:r w:rsidR="003421FF">
        <w:instrText xml:space="preserve"> DOCVARIABLE VAULT_ND_8b3b1e8e-e31c-4719-8bcc-8f674328a8af \* MERGEFORMAT </w:instrText>
      </w:r>
      <w:r w:rsidR="003421FF">
        <w:fldChar w:fldCharType="separate"/>
      </w:r>
      <w:r w:rsidR="00C57A87" w:rsidRPr="006E2063">
        <w:t xml:space="preserve"> </w:t>
      </w:r>
      <w:r w:rsidR="003421FF">
        <w:fldChar w:fldCharType="end"/>
      </w:r>
    </w:p>
    <w:p w14:paraId="2B4C5CEF" w14:textId="4DF3A75E" w:rsidR="007E46FB" w:rsidRPr="006E2063" w:rsidRDefault="00E21FE7" w:rsidP="007E46FB">
      <w:pPr>
        <w:rPr>
          <w:sz w:val="24"/>
          <w:szCs w:val="24"/>
          <w:lang w:val="en-AU"/>
        </w:rPr>
      </w:pPr>
      <w:r>
        <w:rPr>
          <w:sz w:val="24"/>
          <w:szCs w:val="24"/>
          <w:lang w:val="en-AU"/>
        </w:rPr>
        <w:t>21 February 2022</w:t>
      </w:r>
    </w:p>
    <w:p w14:paraId="41028395" w14:textId="54E75774" w:rsidR="005234D4" w:rsidRPr="006E2063" w:rsidRDefault="005234D4" w:rsidP="00BF2B59">
      <w:pPr>
        <w:pStyle w:val="Heading1-TNR"/>
      </w:pPr>
      <w:r w:rsidRPr="006E2063">
        <w:t>Date of revision</w:t>
      </w:r>
      <w:r w:rsidR="003421FF">
        <w:fldChar w:fldCharType="begin"/>
      </w:r>
      <w:r w:rsidR="003421FF">
        <w:instrText xml:space="preserve"> DOCVARIABLE VAULT_ND_92b4faf9-acc7-4f76-afae-087097a0374b \* MERGEFORMAT </w:instrText>
      </w:r>
      <w:r w:rsidR="003421FF">
        <w:fldChar w:fldCharType="separate"/>
      </w:r>
      <w:r w:rsidR="00C57A87" w:rsidRPr="006E2063">
        <w:t xml:space="preserve"> </w:t>
      </w:r>
      <w:r w:rsidR="003421FF">
        <w:fldChar w:fldCharType="end"/>
      </w:r>
    </w:p>
    <w:p w14:paraId="18F5E510" w14:textId="1EF7A150" w:rsidR="00C93249" w:rsidRPr="006E2063" w:rsidRDefault="00E21FE7">
      <w:pPr>
        <w:rPr>
          <w:sz w:val="24"/>
          <w:szCs w:val="24"/>
          <w:lang w:val="en-AU"/>
        </w:rPr>
      </w:pPr>
      <w:r>
        <w:rPr>
          <w:lang w:val="en-AU"/>
        </w:rPr>
        <w:t>N/A</w:t>
      </w:r>
      <w:r w:rsidR="00C93249" w:rsidRPr="006E2063">
        <w:rPr>
          <w:lang w:val="en-AU"/>
        </w:rPr>
        <w:br w:type="page"/>
      </w:r>
    </w:p>
    <w:p w14:paraId="187ED335" w14:textId="55EA4F6D" w:rsidR="005234D4" w:rsidRPr="006E2063" w:rsidRDefault="005234D4" w:rsidP="00BF2B59">
      <w:pPr>
        <w:pStyle w:val="Heading3-TNR"/>
      </w:pPr>
      <w:r w:rsidRPr="006E2063">
        <w:lastRenderedPageBreak/>
        <w:t>Summary table of changes</w:t>
      </w:r>
    </w:p>
    <w:tbl>
      <w:tblPr>
        <w:tblStyle w:val="LightGrid"/>
        <w:tblW w:w="0" w:type="auto"/>
        <w:tblCellMar>
          <w:top w:w="57" w:type="dxa"/>
          <w:bottom w:w="57" w:type="dxa"/>
        </w:tblCellMar>
        <w:tblLook w:val="06A0" w:firstRow="1" w:lastRow="0" w:firstColumn="1" w:lastColumn="0" w:noHBand="1" w:noVBand="1"/>
      </w:tblPr>
      <w:tblGrid>
        <w:gridCol w:w="1373"/>
        <w:gridCol w:w="7633"/>
      </w:tblGrid>
      <w:tr w:rsidR="00DB08AE" w:rsidRPr="00E21FE7" w14:paraId="45945AF8" w14:textId="77777777" w:rsidTr="00111287">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0" w:type="dxa"/>
            <w:shd w:val="clear" w:color="auto" w:fill="EAEAEA"/>
            <w:vAlign w:val="center"/>
          </w:tcPr>
          <w:p w14:paraId="54795731" w14:textId="77777777" w:rsidR="005234D4" w:rsidRPr="00E21FE7" w:rsidRDefault="005234D4" w:rsidP="00E21FE7">
            <w:pPr>
              <w:pStyle w:val="Table"/>
              <w:rPr>
                <w:b/>
                <w:bCs/>
              </w:rPr>
            </w:pPr>
            <w:r w:rsidRPr="00E21FE7">
              <w:rPr>
                <w:b/>
                <w:bCs/>
              </w:rPr>
              <w:t>Section Changed</w:t>
            </w:r>
          </w:p>
        </w:tc>
        <w:tc>
          <w:tcPr>
            <w:tcW w:w="0" w:type="dxa"/>
            <w:shd w:val="clear" w:color="auto" w:fill="EAEAEA"/>
            <w:vAlign w:val="center"/>
          </w:tcPr>
          <w:p w14:paraId="4E12E2D1" w14:textId="77777777" w:rsidR="005234D4" w:rsidRPr="00E21FE7" w:rsidRDefault="005234D4" w:rsidP="00E21FE7">
            <w:pPr>
              <w:pStyle w:val="Table"/>
              <w:cnfStyle w:val="100000000000" w:firstRow="1" w:lastRow="0" w:firstColumn="0" w:lastColumn="0" w:oddVBand="0" w:evenVBand="0" w:oddHBand="0" w:evenHBand="0" w:firstRowFirstColumn="0" w:firstRowLastColumn="0" w:lastRowFirstColumn="0" w:lastRowLastColumn="0"/>
              <w:rPr>
                <w:b/>
                <w:bCs/>
              </w:rPr>
            </w:pPr>
            <w:r w:rsidRPr="00E21FE7">
              <w:rPr>
                <w:b/>
                <w:bCs/>
              </w:rPr>
              <w:t>Summary of new information</w:t>
            </w:r>
          </w:p>
        </w:tc>
      </w:tr>
      <w:tr w:rsidR="005234D4" w:rsidRPr="00E21FE7" w14:paraId="5E7C61CF" w14:textId="77777777" w:rsidTr="000B7A10">
        <w:tc>
          <w:tcPr>
            <w:cnfStyle w:val="001000000000" w:firstRow="0" w:lastRow="0" w:firstColumn="1" w:lastColumn="0" w:oddVBand="0" w:evenVBand="0" w:oddHBand="0" w:evenHBand="0" w:firstRowFirstColumn="0" w:firstRowLastColumn="0" w:lastRowFirstColumn="0" w:lastRowLastColumn="0"/>
            <w:tcW w:w="1384" w:type="dxa"/>
            <w:vAlign w:val="center"/>
          </w:tcPr>
          <w:p w14:paraId="6772BD46" w14:textId="593EA92C" w:rsidR="005234D4" w:rsidRPr="00E21FE7" w:rsidRDefault="00E21FE7" w:rsidP="00E21FE7">
            <w:pPr>
              <w:pStyle w:val="Table"/>
            </w:pPr>
            <w:r w:rsidRPr="00E21FE7">
              <w:t>N/A</w:t>
            </w:r>
          </w:p>
        </w:tc>
        <w:tc>
          <w:tcPr>
            <w:tcW w:w="7858" w:type="dxa"/>
            <w:vAlign w:val="center"/>
          </w:tcPr>
          <w:p w14:paraId="37D416D3" w14:textId="0D779072" w:rsidR="005234D4" w:rsidRPr="00E21FE7" w:rsidRDefault="00E21FE7" w:rsidP="00E21FE7">
            <w:pPr>
              <w:pStyle w:val="Table"/>
              <w:cnfStyle w:val="000000000000" w:firstRow="0" w:lastRow="0" w:firstColumn="0" w:lastColumn="0" w:oddVBand="0" w:evenVBand="0" w:oddHBand="0" w:evenHBand="0" w:firstRowFirstColumn="0" w:firstRowLastColumn="0" w:lastRowFirstColumn="0" w:lastRowLastColumn="0"/>
              <w:rPr>
                <w:b w:val="0"/>
                <w:bCs w:val="0"/>
              </w:rPr>
            </w:pPr>
            <w:r w:rsidRPr="00E21FE7">
              <w:rPr>
                <w:b w:val="0"/>
                <w:bCs w:val="0"/>
              </w:rPr>
              <w:t>New registration</w:t>
            </w:r>
          </w:p>
        </w:tc>
      </w:tr>
      <w:tr w:rsidR="005234D4" w:rsidRPr="006E2063" w14:paraId="6EC18418" w14:textId="77777777" w:rsidTr="000B7A10">
        <w:tc>
          <w:tcPr>
            <w:cnfStyle w:val="001000000000" w:firstRow="0" w:lastRow="0" w:firstColumn="1" w:lastColumn="0" w:oddVBand="0" w:evenVBand="0" w:oddHBand="0" w:evenHBand="0" w:firstRowFirstColumn="0" w:firstRowLastColumn="0" w:lastRowFirstColumn="0" w:lastRowLastColumn="0"/>
            <w:tcW w:w="1384" w:type="dxa"/>
            <w:vAlign w:val="center"/>
          </w:tcPr>
          <w:p w14:paraId="64C13523" w14:textId="77777777" w:rsidR="005234D4" w:rsidRPr="006E2063" w:rsidRDefault="005234D4" w:rsidP="00E21FE7">
            <w:pPr>
              <w:pStyle w:val="Table"/>
            </w:pPr>
          </w:p>
        </w:tc>
        <w:tc>
          <w:tcPr>
            <w:tcW w:w="7858" w:type="dxa"/>
            <w:vAlign w:val="center"/>
          </w:tcPr>
          <w:p w14:paraId="632071FB" w14:textId="77777777" w:rsidR="005234D4" w:rsidRPr="006E2063" w:rsidRDefault="005234D4" w:rsidP="00E21FE7">
            <w:pPr>
              <w:pStyle w:val="Table"/>
              <w:cnfStyle w:val="000000000000" w:firstRow="0" w:lastRow="0" w:firstColumn="0" w:lastColumn="0" w:oddVBand="0" w:evenVBand="0" w:oddHBand="0" w:evenHBand="0" w:firstRowFirstColumn="0" w:firstRowLastColumn="0" w:lastRowFirstColumn="0" w:lastRowLastColumn="0"/>
            </w:pPr>
          </w:p>
        </w:tc>
      </w:tr>
      <w:tr w:rsidR="005234D4" w:rsidRPr="006E2063" w14:paraId="4B5AAFCA" w14:textId="77777777" w:rsidTr="000B7A10">
        <w:tc>
          <w:tcPr>
            <w:cnfStyle w:val="001000000000" w:firstRow="0" w:lastRow="0" w:firstColumn="1" w:lastColumn="0" w:oddVBand="0" w:evenVBand="0" w:oddHBand="0" w:evenHBand="0" w:firstRowFirstColumn="0" w:firstRowLastColumn="0" w:lastRowFirstColumn="0" w:lastRowLastColumn="0"/>
            <w:tcW w:w="1384" w:type="dxa"/>
            <w:vAlign w:val="center"/>
          </w:tcPr>
          <w:p w14:paraId="10F58BBA" w14:textId="77777777" w:rsidR="005234D4" w:rsidRPr="006E2063" w:rsidRDefault="005234D4" w:rsidP="00E21FE7">
            <w:pPr>
              <w:pStyle w:val="Table"/>
            </w:pPr>
          </w:p>
        </w:tc>
        <w:tc>
          <w:tcPr>
            <w:tcW w:w="7858" w:type="dxa"/>
            <w:vAlign w:val="center"/>
          </w:tcPr>
          <w:p w14:paraId="36FE0D8D" w14:textId="77777777" w:rsidR="005234D4" w:rsidRPr="006E2063" w:rsidRDefault="005234D4" w:rsidP="00E21FE7">
            <w:pPr>
              <w:pStyle w:val="Table"/>
              <w:cnfStyle w:val="000000000000" w:firstRow="0" w:lastRow="0" w:firstColumn="0" w:lastColumn="0" w:oddVBand="0" w:evenVBand="0" w:oddHBand="0" w:evenHBand="0" w:firstRowFirstColumn="0" w:firstRowLastColumn="0" w:lastRowFirstColumn="0" w:lastRowLastColumn="0"/>
            </w:pPr>
          </w:p>
        </w:tc>
      </w:tr>
    </w:tbl>
    <w:p w14:paraId="40409EE1" w14:textId="77777777" w:rsidR="00100A63" w:rsidRPr="006E2063" w:rsidRDefault="00100A63">
      <w:pPr>
        <w:rPr>
          <w:lang w:val="en-AU"/>
        </w:rPr>
      </w:pPr>
    </w:p>
    <w:sectPr w:rsidR="00100A63" w:rsidRPr="006E2063" w:rsidSect="0076741E">
      <w:headerReference w:type="default" r:id="rId17"/>
      <w:footerReference w:type="default" r:id="rId18"/>
      <w:footnotePr>
        <w:pos w:val="beneathTex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E862" w14:textId="77777777" w:rsidR="00C94C01" w:rsidRDefault="00C94C01" w:rsidP="005234D4">
      <w:pPr>
        <w:spacing w:after="0" w:line="240" w:lineRule="auto"/>
      </w:pPr>
      <w:r>
        <w:separator/>
      </w:r>
    </w:p>
  </w:endnote>
  <w:endnote w:type="continuationSeparator" w:id="0">
    <w:p w14:paraId="44BCD958" w14:textId="77777777" w:rsidR="00C94C01" w:rsidRDefault="00C94C01" w:rsidP="0052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noProof/>
      </w:rPr>
    </w:sdtEndPr>
    <w:sdtContent>
      <w:p w14:paraId="18D1645C" w14:textId="6DFCE376" w:rsidR="00C94C01" w:rsidRPr="00783334" w:rsidRDefault="00C94C01" w:rsidP="00783334">
        <w:pPr>
          <w:pStyle w:val="Footer"/>
          <w:pBdr>
            <w:top w:val="single" w:sz="4" w:space="1" w:color="auto"/>
          </w:pBdr>
        </w:pPr>
        <w:r w:rsidRPr="009C0E93">
          <w:rPr>
            <w:noProof/>
          </w:rPr>
          <w:t xml:space="preserve">Sogroya </w:t>
        </w:r>
        <w:r w:rsidR="008C7CE1">
          <w:rPr>
            <w:noProof/>
          </w:rPr>
          <w:t>PI v</w:t>
        </w:r>
        <w:r w:rsidR="0015690C">
          <w:rPr>
            <w:noProof/>
          </w:rPr>
          <w:t>2</w:t>
        </w:r>
        <w:r w:rsidR="008C7CE1">
          <w:rPr>
            <w:noProof/>
          </w:rPr>
          <w:t>.0</w:t>
        </w:r>
        <w:r w:rsidRPr="009C0E93">
          <w:rPr>
            <w:noProof/>
          </w:rPr>
          <w:tab/>
        </w:r>
        <w:r w:rsidRPr="009C0E93">
          <w:rPr>
            <w:noProof/>
          </w:rPr>
          <w:tab/>
          <w:t xml:space="preserve">Page </w:t>
        </w:r>
        <w:r w:rsidRPr="00783334">
          <w:rPr>
            <w:noProof/>
          </w:rPr>
          <w:fldChar w:fldCharType="begin"/>
        </w:r>
        <w:r w:rsidRPr="00111287">
          <w:rPr>
            <w:noProof/>
          </w:rPr>
          <w:instrText xml:space="preserve"> PAGE  \* Arabic  \* MERGEFORMAT </w:instrText>
        </w:r>
        <w:r w:rsidRPr="00783334">
          <w:rPr>
            <w:noProof/>
          </w:rPr>
          <w:fldChar w:fldCharType="separate"/>
        </w:r>
        <w:r w:rsidRPr="00111287">
          <w:rPr>
            <w:noProof/>
          </w:rPr>
          <w:t>1</w:t>
        </w:r>
        <w:r w:rsidRPr="00783334">
          <w:rPr>
            <w:noProof/>
          </w:rPr>
          <w:fldChar w:fldCharType="end"/>
        </w:r>
        <w:r w:rsidRPr="009C0E93">
          <w:rPr>
            <w:noProof/>
          </w:rPr>
          <w:t xml:space="preserve"> of </w:t>
        </w:r>
        <w:r w:rsidRPr="00783334">
          <w:rPr>
            <w:noProof/>
          </w:rPr>
          <w:fldChar w:fldCharType="begin"/>
        </w:r>
        <w:r w:rsidRPr="00111287">
          <w:rPr>
            <w:noProof/>
          </w:rPr>
          <w:instrText xml:space="preserve"> NUMPAGES  \* Arabic  \* MERGEFORMAT </w:instrText>
        </w:r>
        <w:r w:rsidRPr="00783334">
          <w:rPr>
            <w:noProof/>
          </w:rPr>
          <w:fldChar w:fldCharType="separate"/>
        </w:r>
        <w:r w:rsidRPr="00111287">
          <w:rPr>
            <w:noProof/>
          </w:rPr>
          <w:t>2</w:t>
        </w:r>
        <w:r w:rsidRPr="00783334">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2C8E" w14:textId="77777777" w:rsidR="00C94C01" w:rsidRDefault="00C94C01" w:rsidP="005234D4">
      <w:pPr>
        <w:spacing w:after="0" w:line="240" w:lineRule="auto"/>
      </w:pPr>
      <w:r>
        <w:separator/>
      </w:r>
    </w:p>
  </w:footnote>
  <w:footnote w:type="continuationSeparator" w:id="0">
    <w:p w14:paraId="3E5E9C80" w14:textId="77777777" w:rsidR="00C94C01" w:rsidRDefault="00C94C01" w:rsidP="00523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8720"/>
    </w:tblGrid>
    <w:tr w:rsidR="003421FF" w14:paraId="1F71030E" w14:textId="77777777" w:rsidTr="00A92426">
      <w:tc>
        <w:tcPr>
          <w:tcW w:w="8720" w:type="dxa"/>
          <w:shd w:val="clear" w:color="auto" w:fill="E4F2E0"/>
        </w:tcPr>
        <w:p w14:paraId="02E828C7" w14:textId="77777777" w:rsidR="003421FF" w:rsidRPr="003421FF" w:rsidRDefault="003421FF" w:rsidP="003421FF">
          <w:pPr>
            <w:rPr>
              <w:rFonts w:ascii="Cambria" w:hAnsi="Cambria"/>
              <w:sz w:val="18"/>
              <w:szCs w:val="18"/>
            </w:rPr>
          </w:pPr>
          <w:r w:rsidRPr="003421FF">
            <w:rPr>
              <w:rFonts w:ascii="Cambria" w:hAnsi="Cambria"/>
              <w:b/>
              <w:sz w:val="18"/>
              <w:szCs w:val="18"/>
            </w:rPr>
            <w:t xml:space="preserve">Attachment 1: Product information for </w:t>
          </w:r>
          <w:proofErr w:type="spellStart"/>
          <w:r w:rsidRPr="003421FF">
            <w:rPr>
              <w:rFonts w:ascii="Cambria" w:hAnsi="Cambria"/>
              <w:b/>
              <w:sz w:val="18"/>
              <w:szCs w:val="18"/>
            </w:rPr>
            <w:t>AusPAR</w:t>
          </w:r>
          <w:proofErr w:type="spellEnd"/>
          <w:r w:rsidRPr="003421FF">
            <w:rPr>
              <w:rFonts w:ascii="Cambria" w:hAnsi="Cambria"/>
              <w:b/>
              <w:sz w:val="18"/>
              <w:szCs w:val="18"/>
            </w:rPr>
            <w:t xml:space="preserve"> – </w:t>
          </w:r>
          <w:proofErr w:type="spellStart"/>
          <w:r w:rsidRPr="003421FF">
            <w:rPr>
              <w:rFonts w:ascii="Cambria" w:hAnsi="Cambria"/>
              <w:b/>
              <w:sz w:val="18"/>
              <w:szCs w:val="18"/>
            </w:rPr>
            <w:t>Sogroya</w:t>
          </w:r>
          <w:proofErr w:type="spellEnd"/>
          <w:r w:rsidRPr="003421FF">
            <w:rPr>
              <w:rFonts w:ascii="Cambria" w:hAnsi="Cambria"/>
              <w:b/>
              <w:sz w:val="18"/>
              <w:szCs w:val="18"/>
            </w:rPr>
            <w:t xml:space="preserve"> - </w:t>
          </w:r>
          <w:proofErr w:type="spellStart"/>
          <w:r w:rsidRPr="003421FF">
            <w:rPr>
              <w:rFonts w:ascii="Cambria" w:hAnsi="Cambria"/>
              <w:b/>
              <w:sz w:val="18"/>
              <w:szCs w:val="18"/>
            </w:rPr>
            <w:t>somapacitan</w:t>
          </w:r>
          <w:proofErr w:type="spellEnd"/>
          <w:r w:rsidRPr="003421FF">
            <w:rPr>
              <w:rFonts w:ascii="Cambria" w:hAnsi="Cambria"/>
              <w:b/>
              <w:sz w:val="18"/>
              <w:szCs w:val="18"/>
            </w:rPr>
            <w:t xml:space="preserve"> - Novo Nordisk Pharmaceuticals Pty Ltd - PM-2021-01699-1-5 FINAL 7 October 2022. This is the Product Information that was approved with the submission described in this </w:t>
          </w:r>
          <w:proofErr w:type="spellStart"/>
          <w:r w:rsidRPr="003421FF">
            <w:rPr>
              <w:rFonts w:ascii="Cambria" w:hAnsi="Cambria"/>
              <w:b/>
              <w:sz w:val="18"/>
              <w:szCs w:val="18"/>
            </w:rPr>
            <w:t>AusPAR</w:t>
          </w:r>
          <w:proofErr w:type="spellEnd"/>
          <w:r w:rsidRPr="003421FF">
            <w:rPr>
              <w:rFonts w:ascii="Cambria" w:hAnsi="Cambria"/>
              <w:b/>
              <w:sz w:val="18"/>
              <w:szCs w:val="18"/>
            </w:rPr>
            <w:t>. It may have been superseded. For the most recent PI, please refer to the TGA website at &lt;</w:t>
          </w:r>
          <w:hyperlink r:id="rId1" w:history="1">
            <w:r w:rsidRPr="003421FF">
              <w:rPr>
                <w:rStyle w:val="Hyperlink"/>
                <w:rFonts w:ascii="Cambria" w:hAnsi="Cambria"/>
                <w:b/>
                <w:sz w:val="18"/>
                <w:szCs w:val="18"/>
              </w:rPr>
              <w:t>https://www.tga.gov.au/products/australian-register-therapeutic-goods-artg/product-information-one</w:t>
            </w:r>
          </w:hyperlink>
          <w:hyperlink r:id="rId2" w:history="1"/>
          <w:r w:rsidRPr="003421FF">
            <w:rPr>
              <w:rStyle w:val="Hyperlink"/>
              <w:rFonts w:ascii="Cambria" w:hAnsi="Cambria"/>
              <w:color w:val="auto"/>
              <w:sz w:val="18"/>
              <w:szCs w:val="18"/>
            </w:rPr>
            <w:t>&gt;</w:t>
          </w:r>
        </w:p>
      </w:tc>
    </w:tr>
  </w:tbl>
  <w:p w14:paraId="655F7F0E" w14:textId="77777777" w:rsidR="003421FF" w:rsidRDefault="00342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E246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0433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40B3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C28B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C81E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2825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F86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A4D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26DC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BC42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96520"/>
    <w:multiLevelType w:val="multilevel"/>
    <w:tmpl w:val="F1BEC552"/>
    <w:lvl w:ilvl="0">
      <w:start w:val="1"/>
      <w:numFmt w:val="decimal"/>
      <w:pStyle w:val="Heading1-TNR"/>
      <w:lvlText w:val="%1."/>
      <w:lvlJc w:val="left"/>
      <w:pPr>
        <w:ind w:left="360" w:hanging="360"/>
      </w:pPr>
      <w:rPr>
        <w:rFonts w:hint="default"/>
        <w:b/>
        <w:bCs/>
      </w:rPr>
    </w:lvl>
    <w:lvl w:ilvl="1">
      <w:start w:val="1"/>
      <w:numFmt w:val="decimal"/>
      <w:pStyle w:val="Heading2-TNR"/>
      <w:suff w:val="nothing"/>
      <w:lvlText w:val="%1.%2."/>
      <w:lvlJc w:val="left"/>
      <w:pPr>
        <w:ind w:left="284" w:hanging="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9256AD"/>
    <w:multiLevelType w:val="hybridMultilevel"/>
    <w:tmpl w:val="F4284500"/>
    <w:lvl w:ilvl="0" w:tplc="04E407D0">
      <w:numFmt w:val="bullet"/>
      <w:lvlText w:val=""/>
      <w:lvlJc w:val="left"/>
      <w:pPr>
        <w:ind w:left="360" w:hanging="360"/>
      </w:pPr>
      <w:rPr>
        <w:rFonts w:ascii="Symbol" w:eastAsia="MS Gothic" w:hAnsi="Symbol" w:cs="Times New Roman" w:hint="default"/>
      </w:rPr>
    </w:lvl>
    <w:lvl w:ilvl="1" w:tplc="0A188E36" w:tentative="1">
      <w:start w:val="1"/>
      <w:numFmt w:val="bullet"/>
      <w:lvlText w:val="o"/>
      <w:lvlJc w:val="left"/>
      <w:pPr>
        <w:ind w:left="1080" w:hanging="360"/>
      </w:pPr>
      <w:rPr>
        <w:rFonts w:ascii="Courier New" w:hAnsi="Courier New" w:cs="Courier New" w:hint="default"/>
      </w:rPr>
    </w:lvl>
    <w:lvl w:ilvl="2" w:tplc="2C6A4A18" w:tentative="1">
      <w:start w:val="1"/>
      <w:numFmt w:val="bullet"/>
      <w:lvlText w:val=""/>
      <w:lvlJc w:val="left"/>
      <w:pPr>
        <w:ind w:left="1800" w:hanging="360"/>
      </w:pPr>
      <w:rPr>
        <w:rFonts w:ascii="Wingdings" w:hAnsi="Wingdings" w:hint="default"/>
      </w:rPr>
    </w:lvl>
    <w:lvl w:ilvl="3" w:tplc="E326E0AE" w:tentative="1">
      <w:start w:val="1"/>
      <w:numFmt w:val="bullet"/>
      <w:lvlText w:val=""/>
      <w:lvlJc w:val="left"/>
      <w:pPr>
        <w:ind w:left="2520" w:hanging="360"/>
      </w:pPr>
      <w:rPr>
        <w:rFonts w:ascii="Symbol" w:hAnsi="Symbol" w:hint="default"/>
      </w:rPr>
    </w:lvl>
    <w:lvl w:ilvl="4" w:tplc="0F78EC32" w:tentative="1">
      <w:start w:val="1"/>
      <w:numFmt w:val="bullet"/>
      <w:lvlText w:val="o"/>
      <w:lvlJc w:val="left"/>
      <w:pPr>
        <w:ind w:left="3240" w:hanging="360"/>
      </w:pPr>
      <w:rPr>
        <w:rFonts w:ascii="Courier New" w:hAnsi="Courier New" w:cs="Courier New" w:hint="default"/>
      </w:rPr>
    </w:lvl>
    <w:lvl w:ilvl="5" w:tplc="014053F2" w:tentative="1">
      <w:start w:val="1"/>
      <w:numFmt w:val="bullet"/>
      <w:lvlText w:val=""/>
      <w:lvlJc w:val="left"/>
      <w:pPr>
        <w:ind w:left="3960" w:hanging="360"/>
      </w:pPr>
      <w:rPr>
        <w:rFonts w:ascii="Wingdings" w:hAnsi="Wingdings" w:hint="default"/>
      </w:rPr>
    </w:lvl>
    <w:lvl w:ilvl="6" w:tplc="DCFAEA9C" w:tentative="1">
      <w:start w:val="1"/>
      <w:numFmt w:val="bullet"/>
      <w:lvlText w:val=""/>
      <w:lvlJc w:val="left"/>
      <w:pPr>
        <w:ind w:left="4680" w:hanging="360"/>
      </w:pPr>
      <w:rPr>
        <w:rFonts w:ascii="Symbol" w:hAnsi="Symbol" w:hint="default"/>
      </w:rPr>
    </w:lvl>
    <w:lvl w:ilvl="7" w:tplc="069007AE" w:tentative="1">
      <w:start w:val="1"/>
      <w:numFmt w:val="bullet"/>
      <w:lvlText w:val="o"/>
      <w:lvlJc w:val="left"/>
      <w:pPr>
        <w:ind w:left="5400" w:hanging="360"/>
      </w:pPr>
      <w:rPr>
        <w:rFonts w:ascii="Courier New" w:hAnsi="Courier New" w:cs="Courier New" w:hint="default"/>
      </w:rPr>
    </w:lvl>
    <w:lvl w:ilvl="8" w:tplc="02EC5EAC" w:tentative="1">
      <w:start w:val="1"/>
      <w:numFmt w:val="bullet"/>
      <w:lvlText w:val=""/>
      <w:lvlJc w:val="left"/>
      <w:pPr>
        <w:ind w:left="6120" w:hanging="360"/>
      </w:pPr>
      <w:rPr>
        <w:rFonts w:ascii="Wingdings" w:hAnsi="Wingdings" w:hint="default"/>
      </w:rPr>
    </w:lvl>
  </w:abstractNum>
  <w:abstractNum w:abstractNumId="12" w15:restartNumberingAfterBreak="0">
    <w:nsid w:val="499A6497"/>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A64683"/>
    <w:multiLevelType w:val="hybridMultilevel"/>
    <w:tmpl w:val="DA1614A8"/>
    <w:lvl w:ilvl="0" w:tplc="90687F02">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6B2C54"/>
    <w:multiLevelType w:val="hybridMultilevel"/>
    <w:tmpl w:val="9CC003EC"/>
    <w:lvl w:ilvl="0" w:tplc="61927B5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4"/>
  </w:num>
  <w:num w:numId="3">
    <w:abstractNumId w:val="12"/>
  </w:num>
  <w:num w:numId="4">
    <w:abstractNumId w:val="10"/>
  </w:num>
  <w:num w:numId="5">
    <w:abstractNumId w:val="10"/>
    <w:lvlOverride w:ilvl="0">
      <w:lvl w:ilvl="0">
        <w:start w:val="1"/>
        <w:numFmt w:val="decimal"/>
        <w:pStyle w:val="Heading1-TNR"/>
        <w:lvlText w:val="%1."/>
        <w:lvlJc w:val="left"/>
        <w:pPr>
          <w:ind w:left="360" w:hanging="360"/>
        </w:pPr>
        <w:rPr>
          <w:rFonts w:hint="default"/>
        </w:rPr>
      </w:lvl>
    </w:lvlOverride>
    <w:lvlOverride w:ilvl="1">
      <w:lvl w:ilvl="1">
        <w:start w:val="1"/>
        <w:numFmt w:val="decimal"/>
        <w:pStyle w:val="Heading2-TNR"/>
        <w:suff w:val="space"/>
        <w:lvlText w:val="%1.%2."/>
        <w:lvlJc w:val="left"/>
        <w:pPr>
          <w:ind w:left="284" w:hanging="28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0"/>
    <w:lvlOverride w:ilvl="0">
      <w:lvl w:ilvl="0">
        <w:start w:val="1"/>
        <w:numFmt w:val="decimal"/>
        <w:pStyle w:val="Heading1-TNR"/>
        <w:lvlText w:val="%1."/>
        <w:lvlJc w:val="left"/>
        <w:pPr>
          <w:ind w:left="360" w:hanging="360"/>
        </w:pPr>
        <w:rPr>
          <w:rFonts w:hint="default"/>
        </w:rPr>
      </w:lvl>
    </w:lvlOverride>
    <w:lvlOverride w:ilvl="1">
      <w:lvl w:ilvl="1">
        <w:start w:val="1"/>
        <w:numFmt w:val="decimal"/>
        <w:pStyle w:val="Heading2-TNR"/>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0"/>
    <w:lvlOverride w:ilvl="0">
      <w:lvl w:ilvl="0">
        <w:start w:val="1"/>
        <w:numFmt w:val="decimal"/>
        <w:pStyle w:val="Heading1-TNR"/>
        <w:lvlText w:val="%1."/>
        <w:lvlJc w:val="left"/>
        <w:pPr>
          <w:ind w:left="360" w:hanging="360"/>
        </w:pPr>
        <w:rPr>
          <w:rFonts w:hint="default"/>
        </w:rPr>
      </w:lvl>
    </w:lvlOverride>
    <w:lvlOverride w:ilvl="1">
      <w:lvl w:ilvl="1">
        <w:start w:val="1"/>
        <w:numFmt w:val="decimal"/>
        <w:pStyle w:val="Heading2-TNR"/>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0"/>
    <w:lvlOverride w:ilvl="0">
      <w:lvl w:ilvl="0">
        <w:start w:val="1"/>
        <w:numFmt w:val="decimal"/>
        <w:pStyle w:val="Heading1-TNR"/>
        <w:lvlText w:val="%1."/>
        <w:lvlJc w:val="left"/>
        <w:pPr>
          <w:ind w:left="360" w:hanging="360"/>
        </w:pPr>
        <w:rPr>
          <w:rFonts w:hint="default"/>
        </w:rPr>
      </w:lvl>
    </w:lvlOverride>
    <w:lvlOverride w:ilvl="1">
      <w:lvl w:ilvl="1">
        <w:start w:val="1"/>
        <w:numFmt w:val="decimal"/>
        <w:pStyle w:val="Heading2-TNR"/>
        <w:lvlText w:val="%1.%2."/>
        <w:lvlJc w:val="left"/>
        <w:pPr>
          <w:ind w:left="284" w:hanging="28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1"/>
  </w:num>
  <w:num w:numId="10">
    <w:abstractNumId w:val="5"/>
  </w:num>
  <w:num w:numId="11">
    <w:abstractNumId w:val="9"/>
  </w:num>
  <w:num w:numId="12">
    <w:abstractNumId w:val="7"/>
  </w:num>
  <w:num w:numId="13">
    <w:abstractNumId w:val="6"/>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5537"/>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06e57b-5c78-476d-8a1a-5484f4a66401" w:val=" "/>
    <w:docVar w:name="vault_nd_07f1e5e1-8618-40b1-977c-a79548eee4ce" w:val=" "/>
    <w:docVar w:name="VAULT_ND_09061f3a-a928-4f5d-8f7e-34c049a716ff" w:val=" "/>
    <w:docVar w:name="vault_nd_09a190aa-0685-44c4-9cfc-6b9f2e38f3ee" w:val=" "/>
    <w:docVar w:name="vault_nd_10bcb0ec-fdd8-4c9b-8b84-3080dd2e8b05" w:val=" "/>
    <w:docVar w:name="vault_nd_1fe9d70e-8e63-4a80-b4a7-9fa29716944c" w:val=" "/>
    <w:docVar w:name="vault_nd_23ec7eba-d955-4d0f-883f-48420faf2bdc" w:val=" "/>
    <w:docVar w:name="vault_nd_24af5226-b739-43fa-9178-868a718f0a1f" w:val=" "/>
    <w:docVar w:name="vault_nd_2a3121a7-b8a7-4a7c-a464-5d8f2e17c085" w:val=" "/>
    <w:docVar w:name="VAULT_ND_2c7ad0af-9ae9-4338-83f7-fa53d6a4a7ac" w:val=" "/>
    <w:docVar w:name="VAULT_ND_2d41b2d9-4726-4b99-bbaa-5826ccc7c97e" w:val=" "/>
    <w:docVar w:name="vault_nd_3062caeb-5a9b-4d03-a306-747396efa595" w:val=" "/>
    <w:docVar w:name="vault_nd_33e70c6c-5ba7-4b4b-9760-ed3ecbf5188a" w:val=" "/>
    <w:docVar w:name="vault_nd_38e46da1-6b8d-471b-8897-8810165072c2" w:val=" "/>
    <w:docVar w:name="VAULT_ND_3d6d91a7-c98d-4fc2-b7a5-e91aa2e4b346" w:val=" "/>
    <w:docVar w:name="vault_nd_3ee7441e-8c3d-4512-b189-f1b36bf7faea" w:val=" "/>
    <w:docVar w:name="vault_nd_401fa30d-8eef-47b8-ae7e-cd89ea9188aa" w:val=" "/>
    <w:docVar w:name="vault_nd_405c4502-a6cb-402d-8947-79c816a1b96b" w:val=" "/>
    <w:docVar w:name="vault_nd_46886775-8d7d-45a2-8626-71b7c06bbac9" w:val=" "/>
    <w:docVar w:name="vault_nd_502f17a4-507b-4b83-98b3-b584d0017160" w:val=" "/>
    <w:docVar w:name="vault_nd_52feb692-e1d9-44e2-a6f5-bbdde8ce0a65" w:val=" "/>
    <w:docVar w:name="vault_nd_5c0cb255-a2af-4eb9-9f45-f679dd9cb628" w:val=" "/>
    <w:docVar w:name="vault_nd_691f18b5-30e4-4697-ac4e-3b7dc71613e8" w:val=" "/>
    <w:docVar w:name="vault_nd_6deccc25-d6f0-4d56-9dcf-e7fd1b09291b" w:val=" "/>
    <w:docVar w:name="vault_nd_6f0bf925-e773-4dab-969d-b8a70cdb5a97" w:val=" "/>
    <w:docVar w:name="vault_nd_72a627dd-fbfe-44c5-b007-16a7a207490e" w:val=" "/>
    <w:docVar w:name="vault_nd_72c98eaf-02e2-4540-bae1-c1f0c4aa5d04" w:val=" "/>
    <w:docVar w:name="vault_nd_7490e36a-8504-4f2b-9fad-6f0734f669a2" w:val=" "/>
    <w:docVar w:name="vault_nd_7b624489-2287-4cd0-b475-f6431a88ec09" w:val=" "/>
    <w:docVar w:name="vault_nd_7b844a12-2c46-4ac3-b44c-a8c01ee69bf4" w:val=" "/>
    <w:docVar w:name="vault_nd_80d71019-9161-4d8c-a82e-577e9a9cc85c" w:val=" "/>
    <w:docVar w:name="vault_nd_88eb20f5-9981-4e95-a178-c1d2c38e8d26" w:val=" "/>
    <w:docVar w:name="vault_nd_8ab1c4b8-59a9-4829-a506-1a4716a400fb" w:val=" "/>
    <w:docVar w:name="VAULT_ND_8b3b1e8e-e31c-4719-8bcc-8f674328a8af" w:val=" "/>
    <w:docVar w:name="vault_nd_8ce0daaa-5e4f-44fe-a4de-1f7339dcbef3" w:val=" "/>
    <w:docVar w:name="vault_nd_8e871a7f-aa9f-4033-a1a3-25af986fb812" w:val=" "/>
    <w:docVar w:name="vault_nd_8e8ec365-169d-4e35-a39e-516e2f0cccb3" w:val=" "/>
    <w:docVar w:name="VAULT_ND_92b4faf9-acc7-4f76-afae-087097a0374b" w:val=" "/>
    <w:docVar w:name="vault_nd_9679a610-cfbd-44a7-b8b0-861c22ac29fe" w:val=" "/>
    <w:docVar w:name="vault_nd_9994c82e-faa1-46e9-9ca4-9daee8611b1d" w:val=" "/>
    <w:docVar w:name="vault_nd_9a0a43e8-93d1-4ca2-b011-b6de47f8a95c" w:val=" "/>
    <w:docVar w:name="vault_nd_9ad86f04-6329-4785-ace5-a766a37f6b91" w:val=" "/>
    <w:docVar w:name="vault_nd_9f81f234-2312-474d-afc7-e98fd67cff57" w:val=" "/>
    <w:docVar w:name="vault_nd_a484f178-21ae-4632-9605-76bae6286cf7" w:val=" "/>
    <w:docVar w:name="VAULT_ND_a7cc56a4-c21e-4850-a2d3-ae727d983edf" w:val=" "/>
    <w:docVar w:name="vault_nd_ad4394a6-e8e2-43ca-baac-68974cda93db" w:val=" "/>
    <w:docVar w:name="vault_nd_aed7ec53-abf6-42e5-a618-2f48d31cf72e" w:val=" "/>
    <w:docVar w:name="vault_nd_b10f6080-5437-40d3-ba7f-880d6b6914e7" w:val=" "/>
    <w:docVar w:name="vault_nd_b155791a-e87a-40ff-80d3-027215b88de2" w:val=" "/>
    <w:docVar w:name="vault_nd_b872d124-00e9-4a95-9a60-e5cd5b2a1ee6" w:val=" "/>
    <w:docVar w:name="vault_nd_b937d586-26fd-4c17-bac1-e1e7c29bb8b0" w:val=" "/>
    <w:docVar w:name="vault_nd_c5033f17-363a-4336-8b32-ec1385aa797b" w:val=" "/>
    <w:docVar w:name="vault_nd_c8972f31-b494-4abc-b0bf-a792b672fea8" w:val=" "/>
    <w:docVar w:name="vault_nd_cee76dbd-6d7f-4d87-89a0-7a8d03fd33af" w:val=" "/>
    <w:docVar w:name="vault_nd_d0d7cea6-067f-4d90-94b5-76041f348756" w:val=" "/>
    <w:docVar w:name="VAULT_ND_d0fe306c-6649-42d7-95cc-709afcf83585" w:val=" "/>
    <w:docVar w:name="vault_nd_d10f1841-ec55-4c54-a258-37c0c25e8595" w:val=" "/>
    <w:docVar w:name="vault_nd_d9707e38-d924-4853-be07-9b30a3e42fdf" w:val=" "/>
    <w:docVar w:name="vault_nd_da138401-8811-45c6-a2c4-69a9a258ae55" w:val=" "/>
    <w:docVar w:name="vault_nd_db15860d-d1fc-4cbc-8870-434f6228bb10" w:val=" "/>
    <w:docVar w:name="vault_nd_dd106836-b90d-494c-9cd0-a83a286c974c" w:val=" "/>
    <w:docVar w:name="vault_nd_de5d26fd-1e98-4a25-9ddb-277d6cecbfbc" w:val=" "/>
    <w:docVar w:name="vault_nd_e5921e5d-6e78-436c-8d26-f215bfc0ffad" w:val=" "/>
    <w:docVar w:name="VAULT_ND_e7b0c26e-e910-4509-bad0-dc20075f5aa8" w:val=" "/>
    <w:docVar w:name="vault_nd_ebe9ee3c-32d4-4980-a355-b0345569647b" w:val=" "/>
    <w:docVar w:name="vault_nd_ed656913-4da9-4c36-8ab0-6412f0120ca3" w:val=" "/>
    <w:docVar w:name="vault_nd_f1067a8e-4ad5-42b3-9a3c-2e8ba237f7f9" w:val=" "/>
    <w:docVar w:name="vault_nd_f236ebfc-23e6-47c0-bc1b-4d6f4aa108d9" w:val=" "/>
    <w:docVar w:name="vault_nd_f50c99c6-2ba6-49c1-8cdf-e10f336ffc3a" w:val=" "/>
    <w:docVar w:name="VAULT_ND_fcbecf44-732e-421f-9f51-174b19d20701" w:val=" "/>
    <w:docVar w:name="vault_nd_fce24004-fa95-47b9-b00b-ccfa2ad55314" w:val=" "/>
    <w:docVar w:name="vault_nd_ff85f2fb-dca8-4dd5-b14f-6a3a99c5b333" w:val=" "/>
  </w:docVars>
  <w:rsids>
    <w:rsidRoot w:val="001B6F1C"/>
    <w:rsid w:val="00003CE9"/>
    <w:rsid w:val="000114BE"/>
    <w:rsid w:val="00013262"/>
    <w:rsid w:val="00022EA8"/>
    <w:rsid w:val="000233C5"/>
    <w:rsid w:val="00023812"/>
    <w:rsid w:val="00027D1F"/>
    <w:rsid w:val="00030E9B"/>
    <w:rsid w:val="000369A0"/>
    <w:rsid w:val="00045A75"/>
    <w:rsid w:val="00050272"/>
    <w:rsid w:val="000571B6"/>
    <w:rsid w:val="00063135"/>
    <w:rsid w:val="000644A8"/>
    <w:rsid w:val="0007436C"/>
    <w:rsid w:val="0007492F"/>
    <w:rsid w:val="00086C08"/>
    <w:rsid w:val="000914DA"/>
    <w:rsid w:val="00091652"/>
    <w:rsid w:val="00094656"/>
    <w:rsid w:val="000A2066"/>
    <w:rsid w:val="000B2A38"/>
    <w:rsid w:val="000B7A10"/>
    <w:rsid w:val="000B7D2B"/>
    <w:rsid w:val="000C3A76"/>
    <w:rsid w:val="000C3F61"/>
    <w:rsid w:val="000C69C9"/>
    <w:rsid w:val="000C75A3"/>
    <w:rsid w:val="000D3958"/>
    <w:rsid w:val="000D48D5"/>
    <w:rsid w:val="000E0545"/>
    <w:rsid w:val="000E0616"/>
    <w:rsid w:val="000E6379"/>
    <w:rsid w:val="000E7839"/>
    <w:rsid w:val="000F06B8"/>
    <w:rsid w:val="000F0BB4"/>
    <w:rsid w:val="000F1947"/>
    <w:rsid w:val="000F45F8"/>
    <w:rsid w:val="000F5F14"/>
    <w:rsid w:val="000F7DAB"/>
    <w:rsid w:val="00100A63"/>
    <w:rsid w:val="00111077"/>
    <w:rsid w:val="00111287"/>
    <w:rsid w:val="0011215D"/>
    <w:rsid w:val="00116421"/>
    <w:rsid w:val="001247ED"/>
    <w:rsid w:val="00132221"/>
    <w:rsid w:val="0013701F"/>
    <w:rsid w:val="001438B1"/>
    <w:rsid w:val="001549C2"/>
    <w:rsid w:val="0015690C"/>
    <w:rsid w:val="00157168"/>
    <w:rsid w:val="00163E04"/>
    <w:rsid w:val="001703DC"/>
    <w:rsid w:val="001725BB"/>
    <w:rsid w:val="00175CCC"/>
    <w:rsid w:val="001809E0"/>
    <w:rsid w:val="001819E7"/>
    <w:rsid w:val="001925D4"/>
    <w:rsid w:val="001A11CE"/>
    <w:rsid w:val="001A1E49"/>
    <w:rsid w:val="001A2907"/>
    <w:rsid w:val="001A67DD"/>
    <w:rsid w:val="001A773A"/>
    <w:rsid w:val="001A79C9"/>
    <w:rsid w:val="001B0368"/>
    <w:rsid w:val="001B6F1C"/>
    <w:rsid w:val="001C74FE"/>
    <w:rsid w:val="001D21FD"/>
    <w:rsid w:val="001D268E"/>
    <w:rsid w:val="001D339B"/>
    <w:rsid w:val="001D3F9E"/>
    <w:rsid w:val="001D6EA4"/>
    <w:rsid w:val="001E723E"/>
    <w:rsid w:val="001F2E41"/>
    <w:rsid w:val="001F50AB"/>
    <w:rsid w:val="0020090E"/>
    <w:rsid w:val="00201FD3"/>
    <w:rsid w:val="0020342C"/>
    <w:rsid w:val="00205C25"/>
    <w:rsid w:val="00211C7A"/>
    <w:rsid w:val="00211EE2"/>
    <w:rsid w:val="00212808"/>
    <w:rsid w:val="0022372E"/>
    <w:rsid w:val="00224800"/>
    <w:rsid w:val="00225123"/>
    <w:rsid w:val="002269BB"/>
    <w:rsid w:val="00232A5F"/>
    <w:rsid w:val="00240C28"/>
    <w:rsid w:val="002453CB"/>
    <w:rsid w:val="0024628F"/>
    <w:rsid w:val="002544A1"/>
    <w:rsid w:val="0025468D"/>
    <w:rsid w:val="0026281C"/>
    <w:rsid w:val="0026426E"/>
    <w:rsid w:val="002672A9"/>
    <w:rsid w:val="002675A7"/>
    <w:rsid w:val="002678CC"/>
    <w:rsid w:val="0027408D"/>
    <w:rsid w:val="00274BAF"/>
    <w:rsid w:val="00276954"/>
    <w:rsid w:val="00277FD9"/>
    <w:rsid w:val="0028015A"/>
    <w:rsid w:val="002808B8"/>
    <w:rsid w:val="0028288A"/>
    <w:rsid w:val="00283A67"/>
    <w:rsid w:val="0028423D"/>
    <w:rsid w:val="0029021D"/>
    <w:rsid w:val="002906EF"/>
    <w:rsid w:val="002974FC"/>
    <w:rsid w:val="002A536D"/>
    <w:rsid w:val="002B06CB"/>
    <w:rsid w:val="002C5FE9"/>
    <w:rsid w:val="002C72A0"/>
    <w:rsid w:val="002C7963"/>
    <w:rsid w:val="002C7C63"/>
    <w:rsid w:val="002D015C"/>
    <w:rsid w:val="002D39DA"/>
    <w:rsid w:val="002D3E66"/>
    <w:rsid w:val="002E22F2"/>
    <w:rsid w:val="002E2EA3"/>
    <w:rsid w:val="002F0A71"/>
    <w:rsid w:val="002F3C41"/>
    <w:rsid w:val="002F48E7"/>
    <w:rsid w:val="002F52BF"/>
    <w:rsid w:val="002F7AAA"/>
    <w:rsid w:val="00302241"/>
    <w:rsid w:val="003039B0"/>
    <w:rsid w:val="00306185"/>
    <w:rsid w:val="0030799B"/>
    <w:rsid w:val="0031049C"/>
    <w:rsid w:val="00311518"/>
    <w:rsid w:val="0031693A"/>
    <w:rsid w:val="00316CC7"/>
    <w:rsid w:val="003201C8"/>
    <w:rsid w:val="00326F05"/>
    <w:rsid w:val="003421FF"/>
    <w:rsid w:val="003422F7"/>
    <w:rsid w:val="003522BF"/>
    <w:rsid w:val="00353291"/>
    <w:rsid w:val="00353908"/>
    <w:rsid w:val="00354847"/>
    <w:rsid w:val="00360A5D"/>
    <w:rsid w:val="003745DB"/>
    <w:rsid w:val="00374BF7"/>
    <w:rsid w:val="003826D5"/>
    <w:rsid w:val="003826F0"/>
    <w:rsid w:val="00382FC4"/>
    <w:rsid w:val="00392A65"/>
    <w:rsid w:val="0039680C"/>
    <w:rsid w:val="003B6DFB"/>
    <w:rsid w:val="003C2264"/>
    <w:rsid w:val="003C4E1F"/>
    <w:rsid w:val="003C54C3"/>
    <w:rsid w:val="003E488B"/>
    <w:rsid w:val="003E585C"/>
    <w:rsid w:val="003F3085"/>
    <w:rsid w:val="003F5BEE"/>
    <w:rsid w:val="00403462"/>
    <w:rsid w:val="00405C53"/>
    <w:rsid w:val="00410097"/>
    <w:rsid w:val="00417D96"/>
    <w:rsid w:val="0042772F"/>
    <w:rsid w:val="00430BDD"/>
    <w:rsid w:val="00431523"/>
    <w:rsid w:val="00432D23"/>
    <w:rsid w:val="004359DB"/>
    <w:rsid w:val="004373DF"/>
    <w:rsid w:val="00442620"/>
    <w:rsid w:val="00445DD4"/>
    <w:rsid w:val="004462D1"/>
    <w:rsid w:val="00447052"/>
    <w:rsid w:val="00453A6D"/>
    <w:rsid w:val="00456282"/>
    <w:rsid w:val="004675FB"/>
    <w:rsid w:val="00472B43"/>
    <w:rsid w:val="004745FD"/>
    <w:rsid w:val="00474879"/>
    <w:rsid w:val="00474A93"/>
    <w:rsid w:val="00485AE5"/>
    <w:rsid w:val="00490010"/>
    <w:rsid w:val="004A1CEB"/>
    <w:rsid w:val="004B7DE2"/>
    <w:rsid w:val="004C5A59"/>
    <w:rsid w:val="004E1E44"/>
    <w:rsid w:val="004E34AF"/>
    <w:rsid w:val="004E57C7"/>
    <w:rsid w:val="004F392A"/>
    <w:rsid w:val="00503137"/>
    <w:rsid w:val="00515AD3"/>
    <w:rsid w:val="005234D4"/>
    <w:rsid w:val="00523635"/>
    <w:rsid w:val="0052367B"/>
    <w:rsid w:val="005412C1"/>
    <w:rsid w:val="00545E51"/>
    <w:rsid w:val="005477BC"/>
    <w:rsid w:val="00552F8E"/>
    <w:rsid w:val="00553FB2"/>
    <w:rsid w:val="005546E1"/>
    <w:rsid w:val="00555A09"/>
    <w:rsid w:val="0055694F"/>
    <w:rsid w:val="00563DA6"/>
    <w:rsid w:val="00564ED2"/>
    <w:rsid w:val="005738B9"/>
    <w:rsid w:val="005738C9"/>
    <w:rsid w:val="005738FD"/>
    <w:rsid w:val="00575760"/>
    <w:rsid w:val="00586D11"/>
    <w:rsid w:val="00587074"/>
    <w:rsid w:val="005931C5"/>
    <w:rsid w:val="005A1432"/>
    <w:rsid w:val="005A2D09"/>
    <w:rsid w:val="005A48D3"/>
    <w:rsid w:val="005A5541"/>
    <w:rsid w:val="005B04CA"/>
    <w:rsid w:val="005B1DFC"/>
    <w:rsid w:val="005B2943"/>
    <w:rsid w:val="005B36C8"/>
    <w:rsid w:val="005C056B"/>
    <w:rsid w:val="005C7893"/>
    <w:rsid w:val="005D0E07"/>
    <w:rsid w:val="005D6BFA"/>
    <w:rsid w:val="005D7BE6"/>
    <w:rsid w:val="005E0C11"/>
    <w:rsid w:val="005E3023"/>
    <w:rsid w:val="005E57BF"/>
    <w:rsid w:val="005E600B"/>
    <w:rsid w:val="005F2B51"/>
    <w:rsid w:val="005F4EE2"/>
    <w:rsid w:val="00604F5A"/>
    <w:rsid w:val="006074B9"/>
    <w:rsid w:val="00613EF3"/>
    <w:rsid w:val="006241F3"/>
    <w:rsid w:val="0062579E"/>
    <w:rsid w:val="00637AAC"/>
    <w:rsid w:val="006454DB"/>
    <w:rsid w:val="0064744E"/>
    <w:rsid w:val="006563B4"/>
    <w:rsid w:val="006616C6"/>
    <w:rsid w:val="00661775"/>
    <w:rsid w:val="0066180D"/>
    <w:rsid w:val="00666AD2"/>
    <w:rsid w:val="006738D2"/>
    <w:rsid w:val="006840E5"/>
    <w:rsid w:val="0069069F"/>
    <w:rsid w:val="00694615"/>
    <w:rsid w:val="006952C3"/>
    <w:rsid w:val="00696224"/>
    <w:rsid w:val="006A16E0"/>
    <w:rsid w:val="006A39BD"/>
    <w:rsid w:val="006A4DE0"/>
    <w:rsid w:val="006B12C8"/>
    <w:rsid w:val="006B1D98"/>
    <w:rsid w:val="006B307C"/>
    <w:rsid w:val="006B30A0"/>
    <w:rsid w:val="006B3127"/>
    <w:rsid w:val="006B4858"/>
    <w:rsid w:val="006B6448"/>
    <w:rsid w:val="006B7884"/>
    <w:rsid w:val="006C2F52"/>
    <w:rsid w:val="006D1E65"/>
    <w:rsid w:val="006D47AA"/>
    <w:rsid w:val="006D581D"/>
    <w:rsid w:val="006D6889"/>
    <w:rsid w:val="006E2063"/>
    <w:rsid w:val="006E76A6"/>
    <w:rsid w:val="006E78AC"/>
    <w:rsid w:val="006F3345"/>
    <w:rsid w:val="006F3AED"/>
    <w:rsid w:val="006F3C33"/>
    <w:rsid w:val="007061E5"/>
    <w:rsid w:val="00710DAB"/>
    <w:rsid w:val="00711020"/>
    <w:rsid w:val="0071150E"/>
    <w:rsid w:val="00716CE5"/>
    <w:rsid w:val="00724760"/>
    <w:rsid w:val="0072665F"/>
    <w:rsid w:val="00741D10"/>
    <w:rsid w:val="0074400C"/>
    <w:rsid w:val="00744F64"/>
    <w:rsid w:val="00746AAA"/>
    <w:rsid w:val="00753002"/>
    <w:rsid w:val="00754060"/>
    <w:rsid w:val="007545EB"/>
    <w:rsid w:val="007555E8"/>
    <w:rsid w:val="0076136A"/>
    <w:rsid w:val="00762BD2"/>
    <w:rsid w:val="00763862"/>
    <w:rsid w:val="007664E0"/>
    <w:rsid w:val="00766F17"/>
    <w:rsid w:val="0076741E"/>
    <w:rsid w:val="00771A60"/>
    <w:rsid w:val="007742CB"/>
    <w:rsid w:val="00780878"/>
    <w:rsid w:val="007828E8"/>
    <w:rsid w:val="00783334"/>
    <w:rsid w:val="007837AC"/>
    <w:rsid w:val="007874DD"/>
    <w:rsid w:val="007A2D1A"/>
    <w:rsid w:val="007A425E"/>
    <w:rsid w:val="007A6EDE"/>
    <w:rsid w:val="007A79EB"/>
    <w:rsid w:val="007B239D"/>
    <w:rsid w:val="007B6E86"/>
    <w:rsid w:val="007B7B59"/>
    <w:rsid w:val="007C2347"/>
    <w:rsid w:val="007C3D19"/>
    <w:rsid w:val="007C5582"/>
    <w:rsid w:val="007C5DD9"/>
    <w:rsid w:val="007C656C"/>
    <w:rsid w:val="007D50D9"/>
    <w:rsid w:val="007D552D"/>
    <w:rsid w:val="007D5BB4"/>
    <w:rsid w:val="007D5F52"/>
    <w:rsid w:val="007D74D2"/>
    <w:rsid w:val="007E27FF"/>
    <w:rsid w:val="007E3CF4"/>
    <w:rsid w:val="007E3E54"/>
    <w:rsid w:val="007E46FB"/>
    <w:rsid w:val="007F0DB3"/>
    <w:rsid w:val="0080171E"/>
    <w:rsid w:val="0080419F"/>
    <w:rsid w:val="00810046"/>
    <w:rsid w:val="00820AAC"/>
    <w:rsid w:val="008239BF"/>
    <w:rsid w:val="0082403F"/>
    <w:rsid w:val="0082621A"/>
    <w:rsid w:val="0082706B"/>
    <w:rsid w:val="008312A7"/>
    <w:rsid w:val="008324C5"/>
    <w:rsid w:val="00832CB2"/>
    <w:rsid w:val="008344DA"/>
    <w:rsid w:val="008351F1"/>
    <w:rsid w:val="00837501"/>
    <w:rsid w:val="0084156F"/>
    <w:rsid w:val="00850A6F"/>
    <w:rsid w:val="0085277B"/>
    <w:rsid w:val="00853377"/>
    <w:rsid w:val="008533A1"/>
    <w:rsid w:val="00855FB9"/>
    <w:rsid w:val="00860A77"/>
    <w:rsid w:val="00863ADE"/>
    <w:rsid w:val="00864DB9"/>
    <w:rsid w:val="0086730B"/>
    <w:rsid w:val="00883ECF"/>
    <w:rsid w:val="00885006"/>
    <w:rsid w:val="00885A46"/>
    <w:rsid w:val="008919C4"/>
    <w:rsid w:val="00897CA3"/>
    <w:rsid w:val="008A4B41"/>
    <w:rsid w:val="008A5B5E"/>
    <w:rsid w:val="008B197D"/>
    <w:rsid w:val="008B5A43"/>
    <w:rsid w:val="008B619C"/>
    <w:rsid w:val="008B7576"/>
    <w:rsid w:val="008C6522"/>
    <w:rsid w:val="008C7CE1"/>
    <w:rsid w:val="008D3532"/>
    <w:rsid w:val="008D398C"/>
    <w:rsid w:val="008E019F"/>
    <w:rsid w:val="008E2F28"/>
    <w:rsid w:val="008E39AC"/>
    <w:rsid w:val="008F0528"/>
    <w:rsid w:val="008F5EB8"/>
    <w:rsid w:val="00907F52"/>
    <w:rsid w:val="009107A2"/>
    <w:rsid w:val="0091573A"/>
    <w:rsid w:val="009176F3"/>
    <w:rsid w:val="0092010D"/>
    <w:rsid w:val="00920C5E"/>
    <w:rsid w:val="009211BC"/>
    <w:rsid w:val="00927416"/>
    <w:rsid w:val="00927ED4"/>
    <w:rsid w:val="00936FFD"/>
    <w:rsid w:val="00937F6A"/>
    <w:rsid w:val="00943FCA"/>
    <w:rsid w:val="00947182"/>
    <w:rsid w:val="009517CD"/>
    <w:rsid w:val="009520B9"/>
    <w:rsid w:val="009527D7"/>
    <w:rsid w:val="00954EE9"/>
    <w:rsid w:val="009621AD"/>
    <w:rsid w:val="00963787"/>
    <w:rsid w:val="00963F85"/>
    <w:rsid w:val="0096786C"/>
    <w:rsid w:val="0097714D"/>
    <w:rsid w:val="00981BB3"/>
    <w:rsid w:val="00983922"/>
    <w:rsid w:val="009861FB"/>
    <w:rsid w:val="00990159"/>
    <w:rsid w:val="00990B1C"/>
    <w:rsid w:val="00994157"/>
    <w:rsid w:val="00994CBC"/>
    <w:rsid w:val="00995BBD"/>
    <w:rsid w:val="00995DD4"/>
    <w:rsid w:val="0099799F"/>
    <w:rsid w:val="00997D91"/>
    <w:rsid w:val="009A29D4"/>
    <w:rsid w:val="009A737F"/>
    <w:rsid w:val="009B085A"/>
    <w:rsid w:val="009B599F"/>
    <w:rsid w:val="009B5CB4"/>
    <w:rsid w:val="009C0E93"/>
    <w:rsid w:val="009C1C16"/>
    <w:rsid w:val="009C3B17"/>
    <w:rsid w:val="009C4B09"/>
    <w:rsid w:val="009C7993"/>
    <w:rsid w:val="009E6750"/>
    <w:rsid w:val="009F0EC2"/>
    <w:rsid w:val="009F5B5D"/>
    <w:rsid w:val="00A02DB5"/>
    <w:rsid w:val="00A03989"/>
    <w:rsid w:val="00A07AB5"/>
    <w:rsid w:val="00A107CF"/>
    <w:rsid w:val="00A12541"/>
    <w:rsid w:val="00A14325"/>
    <w:rsid w:val="00A14479"/>
    <w:rsid w:val="00A14C29"/>
    <w:rsid w:val="00A2206A"/>
    <w:rsid w:val="00A240DB"/>
    <w:rsid w:val="00A26D22"/>
    <w:rsid w:val="00A3093C"/>
    <w:rsid w:val="00A331BB"/>
    <w:rsid w:val="00A3555E"/>
    <w:rsid w:val="00A36F2F"/>
    <w:rsid w:val="00A40445"/>
    <w:rsid w:val="00A51947"/>
    <w:rsid w:val="00A533D8"/>
    <w:rsid w:val="00A60807"/>
    <w:rsid w:val="00A72934"/>
    <w:rsid w:val="00A8577A"/>
    <w:rsid w:val="00A91DD2"/>
    <w:rsid w:val="00A96CF1"/>
    <w:rsid w:val="00AA48B5"/>
    <w:rsid w:val="00AA5592"/>
    <w:rsid w:val="00AA5E32"/>
    <w:rsid w:val="00AA6F67"/>
    <w:rsid w:val="00AB1403"/>
    <w:rsid w:val="00AB2423"/>
    <w:rsid w:val="00AC644D"/>
    <w:rsid w:val="00AD6395"/>
    <w:rsid w:val="00AE317A"/>
    <w:rsid w:val="00AE3C91"/>
    <w:rsid w:val="00AF0AED"/>
    <w:rsid w:val="00AF4FBF"/>
    <w:rsid w:val="00AF64C8"/>
    <w:rsid w:val="00AF660F"/>
    <w:rsid w:val="00B02DD5"/>
    <w:rsid w:val="00B05618"/>
    <w:rsid w:val="00B0596C"/>
    <w:rsid w:val="00B07BAC"/>
    <w:rsid w:val="00B11D5B"/>
    <w:rsid w:val="00B13032"/>
    <w:rsid w:val="00B149B6"/>
    <w:rsid w:val="00B214DA"/>
    <w:rsid w:val="00B32759"/>
    <w:rsid w:val="00B33FDB"/>
    <w:rsid w:val="00B34EF8"/>
    <w:rsid w:val="00B354AC"/>
    <w:rsid w:val="00B37DCB"/>
    <w:rsid w:val="00B4431C"/>
    <w:rsid w:val="00B446C9"/>
    <w:rsid w:val="00B61295"/>
    <w:rsid w:val="00B62384"/>
    <w:rsid w:val="00B632D5"/>
    <w:rsid w:val="00B636B3"/>
    <w:rsid w:val="00B6728F"/>
    <w:rsid w:val="00B776F4"/>
    <w:rsid w:val="00B8378A"/>
    <w:rsid w:val="00B849A0"/>
    <w:rsid w:val="00B850D1"/>
    <w:rsid w:val="00B86FF5"/>
    <w:rsid w:val="00B924D5"/>
    <w:rsid w:val="00B944EE"/>
    <w:rsid w:val="00BA0547"/>
    <w:rsid w:val="00BA581B"/>
    <w:rsid w:val="00BA5E46"/>
    <w:rsid w:val="00BA650D"/>
    <w:rsid w:val="00BA78E7"/>
    <w:rsid w:val="00BB26D5"/>
    <w:rsid w:val="00BB2A7D"/>
    <w:rsid w:val="00BC509D"/>
    <w:rsid w:val="00BC62DE"/>
    <w:rsid w:val="00BC7F3F"/>
    <w:rsid w:val="00BD21D4"/>
    <w:rsid w:val="00BD690B"/>
    <w:rsid w:val="00BE0873"/>
    <w:rsid w:val="00BF2B59"/>
    <w:rsid w:val="00BF7E99"/>
    <w:rsid w:val="00C06885"/>
    <w:rsid w:val="00C10482"/>
    <w:rsid w:val="00C120C7"/>
    <w:rsid w:val="00C149BB"/>
    <w:rsid w:val="00C2063C"/>
    <w:rsid w:val="00C23569"/>
    <w:rsid w:val="00C31086"/>
    <w:rsid w:val="00C31173"/>
    <w:rsid w:val="00C31AA1"/>
    <w:rsid w:val="00C42005"/>
    <w:rsid w:val="00C55B3D"/>
    <w:rsid w:val="00C57A87"/>
    <w:rsid w:val="00C61226"/>
    <w:rsid w:val="00C6507A"/>
    <w:rsid w:val="00C72E40"/>
    <w:rsid w:val="00C73353"/>
    <w:rsid w:val="00C807F3"/>
    <w:rsid w:val="00C847AB"/>
    <w:rsid w:val="00C93249"/>
    <w:rsid w:val="00C94C01"/>
    <w:rsid w:val="00C95B4F"/>
    <w:rsid w:val="00CA20EE"/>
    <w:rsid w:val="00CA2FF3"/>
    <w:rsid w:val="00CB27AC"/>
    <w:rsid w:val="00CB2B62"/>
    <w:rsid w:val="00CB59E1"/>
    <w:rsid w:val="00CB64B3"/>
    <w:rsid w:val="00CB7EA9"/>
    <w:rsid w:val="00CD5802"/>
    <w:rsid w:val="00CE34DA"/>
    <w:rsid w:val="00CF0A1E"/>
    <w:rsid w:val="00CF1B02"/>
    <w:rsid w:val="00CF26A3"/>
    <w:rsid w:val="00CF7D16"/>
    <w:rsid w:val="00D05B6E"/>
    <w:rsid w:val="00D130C5"/>
    <w:rsid w:val="00D14C81"/>
    <w:rsid w:val="00D16635"/>
    <w:rsid w:val="00D208B2"/>
    <w:rsid w:val="00D218F4"/>
    <w:rsid w:val="00D23E05"/>
    <w:rsid w:val="00D251AD"/>
    <w:rsid w:val="00D26AE4"/>
    <w:rsid w:val="00D33840"/>
    <w:rsid w:val="00D34A5F"/>
    <w:rsid w:val="00D46503"/>
    <w:rsid w:val="00D5574C"/>
    <w:rsid w:val="00D608E9"/>
    <w:rsid w:val="00D6315C"/>
    <w:rsid w:val="00D67CC8"/>
    <w:rsid w:val="00D70720"/>
    <w:rsid w:val="00D739CD"/>
    <w:rsid w:val="00D7581A"/>
    <w:rsid w:val="00D815BE"/>
    <w:rsid w:val="00D86127"/>
    <w:rsid w:val="00D86BA2"/>
    <w:rsid w:val="00D87841"/>
    <w:rsid w:val="00D878C2"/>
    <w:rsid w:val="00D90477"/>
    <w:rsid w:val="00D90FA7"/>
    <w:rsid w:val="00D961AA"/>
    <w:rsid w:val="00DA128F"/>
    <w:rsid w:val="00DA7760"/>
    <w:rsid w:val="00DB08AE"/>
    <w:rsid w:val="00DB0EFB"/>
    <w:rsid w:val="00DB1FBD"/>
    <w:rsid w:val="00DC3AA6"/>
    <w:rsid w:val="00DC4352"/>
    <w:rsid w:val="00DC5375"/>
    <w:rsid w:val="00DC682A"/>
    <w:rsid w:val="00DC707C"/>
    <w:rsid w:val="00DD0960"/>
    <w:rsid w:val="00DD6474"/>
    <w:rsid w:val="00DE502E"/>
    <w:rsid w:val="00DE5C51"/>
    <w:rsid w:val="00E024A3"/>
    <w:rsid w:val="00E02505"/>
    <w:rsid w:val="00E03C87"/>
    <w:rsid w:val="00E0684A"/>
    <w:rsid w:val="00E06A5C"/>
    <w:rsid w:val="00E07A31"/>
    <w:rsid w:val="00E1776C"/>
    <w:rsid w:val="00E21FE7"/>
    <w:rsid w:val="00E24607"/>
    <w:rsid w:val="00E255A9"/>
    <w:rsid w:val="00E25B7D"/>
    <w:rsid w:val="00E33834"/>
    <w:rsid w:val="00E364DE"/>
    <w:rsid w:val="00E458FF"/>
    <w:rsid w:val="00E47E76"/>
    <w:rsid w:val="00E51136"/>
    <w:rsid w:val="00E55ECA"/>
    <w:rsid w:val="00E61F13"/>
    <w:rsid w:val="00E61F38"/>
    <w:rsid w:val="00E62073"/>
    <w:rsid w:val="00E62E96"/>
    <w:rsid w:val="00E63C90"/>
    <w:rsid w:val="00E6481D"/>
    <w:rsid w:val="00E67C06"/>
    <w:rsid w:val="00E73B42"/>
    <w:rsid w:val="00E740A2"/>
    <w:rsid w:val="00E74D22"/>
    <w:rsid w:val="00E81F63"/>
    <w:rsid w:val="00E82BD8"/>
    <w:rsid w:val="00E863A4"/>
    <w:rsid w:val="00E86A08"/>
    <w:rsid w:val="00E9001D"/>
    <w:rsid w:val="00E93701"/>
    <w:rsid w:val="00E95759"/>
    <w:rsid w:val="00E9754C"/>
    <w:rsid w:val="00EA2DB7"/>
    <w:rsid w:val="00EB3C96"/>
    <w:rsid w:val="00EC348C"/>
    <w:rsid w:val="00EC3974"/>
    <w:rsid w:val="00EC5C17"/>
    <w:rsid w:val="00ED307F"/>
    <w:rsid w:val="00EF0525"/>
    <w:rsid w:val="00F01A22"/>
    <w:rsid w:val="00F12A00"/>
    <w:rsid w:val="00F13DFC"/>
    <w:rsid w:val="00F22E20"/>
    <w:rsid w:val="00F2389E"/>
    <w:rsid w:val="00F25CCF"/>
    <w:rsid w:val="00F27508"/>
    <w:rsid w:val="00F32016"/>
    <w:rsid w:val="00F32358"/>
    <w:rsid w:val="00F47B2E"/>
    <w:rsid w:val="00F5419E"/>
    <w:rsid w:val="00F62C4A"/>
    <w:rsid w:val="00F666F5"/>
    <w:rsid w:val="00F66EE7"/>
    <w:rsid w:val="00F7052F"/>
    <w:rsid w:val="00F72035"/>
    <w:rsid w:val="00F72B60"/>
    <w:rsid w:val="00F7597F"/>
    <w:rsid w:val="00F80FDA"/>
    <w:rsid w:val="00F84459"/>
    <w:rsid w:val="00F870DD"/>
    <w:rsid w:val="00F904FE"/>
    <w:rsid w:val="00F92E07"/>
    <w:rsid w:val="00F97031"/>
    <w:rsid w:val="00FA0640"/>
    <w:rsid w:val="00FA28B0"/>
    <w:rsid w:val="00FB1FCD"/>
    <w:rsid w:val="00FB2289"/>
    <w:rsid w:val="00FB3D6A"/>
    <w:rsid w:val="00FB5FE0"/>
    <w:rsid w:val="00FC1742"/>
    <w:rsid w:val="00FD0551"/>
    <w:rsid w:val="00FD10FC"/>
    <w:rsid w:val="00FD2308"/>
    <w:rsid w:val="00FD483F"/>
    <w:rsid w:val="00FE3C6B"/>
    <w:rsid w:val="00FE3E95"/>
    <w:rsid w:val="00FE5A5E"/>
    <w:rsid w:val="00FE65D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B408F57"/>
  <w15:chartTrackingRefBased/>
  <w15:docId w15:val="{F1D341E8-6268-413D-B691-C3EBDDB6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E7"/>
  </w:style>
  <w:style w:type="paragraph" w:styleId="Heading1">
    <w:name w:val="heading 1"/>
    <w:basedOn w:val="Normal"/>
    <w:next w:val="Normal"/>
    <w:link w:val="Heading1Char"/>
    <w:uiPriority w:val="9"/>
    <w:qFormat/>
    <w:rsid w:val="00050272"/>
    <w:pPr>
      <w:keepNext/>
      <w:keepLines/>
      <w:spacing w:before="240" w:after="0"/>
      <w:outlineLvl w:val="0"/>
    </w:pPr>
    <w:rPr>
      <w:rFonts w:asciiTheme="majorHAnsi" w:eastAsiaTheme="majorEastAsia" w:hAnsiTheme="majorHAnsi" w:cstheme="majorBidi"/>
      <w:color w:val="000000" w:themeColor="accent1" w:themeShade="BF"/>
      <w:sz w:val="32"/>
      <w:szCs w:val="32"/>
    </w:rPr>
  </w:style>
  <w:style w:type="paragraph" w:styleId="Heading2">
    <w:name w:val="heading 2"/>
    <w:basedOn w:val="Normal"/>
    <w:next w:val="Normal"/>
    <w:link w:val="Heading2Char"/>
    <w:uiPriority w:val="9"/>
    <w:unhideWhenUsed/>
    <w:qFormat/>
    <w:rsid w:val="00050272"/>
    <w:pPr>
      <w:keepNext/>
      <w:keepLines/>
      <w:spacing w:before="40" w:after="0"/>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uiPriority w:val="9"/>
    <w:unhideWhenUsed/>
    <w:qFormat/>
    <w:rsid w:val="00050272"/>
    <w:pPr>
      <w:keepNext/>
      <w:keepLines/>
      <w:spacing w:before="40" w:after="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Heading3"/>
    <w:next w:val="Normal"/>
    <w:link w:val="Heading4Char"/>
    <w:uiPriority w:val="9"/>
    <w:unhideWhenUsed/>
    <w:qFormat/>
    <w:rsid w:val="00DB1FBD"/>
    <w:pPr>
      <w:spacing w:before="240" w:after="120" w:line="276" w:lineRule="auto"/>
      <w:outlineLvl w:val="3"/>
    </w:pPr>
    <w:rPr>
      <w:b/>
      <w:bCs/>
    </w:rPr>
  </w:style>
  <w:style w:type="paragraph" w:styleId="Heading5">
    <w:name w:val="heading 5"/>
    <w:basedOn w:val="Normal"/>
    <w:next w:val="Normal"/>
    <w:link w:val="Heading5Char"/>
    <w:uiPriority w:val="9"/>
    <w:semiHidden/>
    <w:unhideWhenUsed/>
    <w:qFormat/>
    <w:rsid w:val="00810046"/>
    <w:pPr>
      <w:keepNext/>
      <w:keepLines/>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rsid w:val="00810046"/>
    <w:pPr>
      <w:keepNext/>
      <w:keepLines/>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810046"/>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81004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00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272"/>
    <w:rPr>
      <w:rFonts w:asciiTheme="majorHAnsi" w:eastAsiaTheme="majorEastAsia" w:hAnsiTheme="majorHAnsi" w:cstheme="majorBidi"/>
      <w:color w:val="000000" w:themeColor="accent1" w:themeShade="BF"/>
      <w:sz w:val="32"/>
      <w:szCs w:val="32"/>
    </w:rPr>
  </w:style>
  <w:style w:type="character" w:customStyle="1" w:styleId="Heading2Char">
    <w:name w:val="Heading 2 Char"/>
    <w:basedOn w:val="DefaultParagraphFont"/>
    <w:link w:val="Heading2"/>
    <w:uiPriority w:val="9"/>
    <w:rsid w:val="00050272"/>
    <w:rPr>
      <w:rFonts w:asciiTheme="majorHAnsi" w:eastAsiaTheme="majorEastAsia" w:hAnsiTheme="majorHAnsi" w:cstheme="majorBidi"/>
      <w:color w:val="000000" w:themeColor="accent1" w:themeShade="BF"/>
      <w:sz w:val="26"/>
      <w:szCs w:val="26"/>
    </w:rPr>
  </w:style>
  <w:style w:type="character" w:customStyle="1" w:styleId="Heading3Char">
    <w:name w:val="Heading 3 Char"/>
    <w:basedOn w:val="DefaultParagraphFont"/>
    <w:link w:val="Heading3"/>
    <w:uiPriority w:val="9"/>
    <w:rsid w:val="00050272"/>
    <w:rPr>
      <w:rFonts w:asciiTheme="majorHAnsi" w:eastAsiaTheme="majorEastAsia" w:hAnsiTheme="majorHAnsi" w:cstheme="majorBidi"/>
      <w:color w:val="000000" w:themeColor="accent1" w:themeShade="7F"/>
      <w:sz w:val="24"/>
      <w:szCs w:val="24"/>
    </w:rPr>
  </w:style>
  <w:style w:type="paragraph" w:styleId="Caption">
    <w:name w:val="caption"/>
    <w:basedOn w:val="Normal"/>
    <w:next w:val="Normal"/>
    <w:uiPriority w:val="35"/>
    <w:unhideWhenUsed/>
    <w:qFormat/>
    <w:rsid w:val="00050272"/>
    <w:pPr>
      <w:spacing w:after="200" w:line="240" w:lineRule="auto"/>
    </w:pPr>
    <w:rPr>
      <w:i/>
      <w:iCs/>
      <w:color w:val="000000" w:themeColor="text2"/>
      <w:sz w:val="18"/>
      <w:szCs w:val="18"/>
    </w:rPr>
  </w:style>
  <w:style w:type="paragraph" w:styleId="NoSpacing">
    <w:name w:val="No Spacing"/>
    <w:uiPriority w:val="1"/>
    <w:qFormat/>
    <w:rsid w:val="00050272"/>
    <w:pPr>
      <w:spacing w:after="0" w:line="240" w:lineRule="auto"/>
    </w:pPr>
  </w:style>
  <w:style w:type="paragraph" w:styleId="ListParagraph">
    <w:name w:val="List Paragraph"/>
    <w:basedOn w:val="Normal"/>
    <w:uiPriority w:val="34"/>
    <w:qFormat/>
    <w:rsid w:val="00050272"/>
    <w:pPr>
      <w:ind w:left="720"/>
      <w:contextualSpacing/>
    </w:pPr>
  </w:style>
  <w:style w:type="character" w:styleId="IntenseReference">
    <w:name w:val="Intense Reference"/>
    <w:basedOn w:val="DefaultParagraphFont"/>
    <w:uiPriority w:val="32"/>
    <w:qFormat/>
    <w:rsid w:val="00050272"/>
    <w:rPr>
      <w:b/>
      <w:bCs/>
      <w:smallCaps/>
      <w:color w:val="000000" w:themeColor="accent1"/>
      <w:spacing w:val="5"/>
    </w:rPr>
  </w:style>
  <w:style w:type="paragraph" w:styleId="TOCHeading">
    <w:name w:val="TOC Heading"/>
    <w:basedOn w:val="Heading1"/>
    <w:next w:val="Normal"/>
    <w:uiPriority w:val="39"/>
    <w:unhideWhenUsed/>
    <w:qFormat/>
    <w:rsid w:val="00050272"/>
    <w:pPr>
      <w:outlineLvl w:val="9"/>
    </w:pPr>
    <w:rPr>
      <w:lang w:val="en-US" w:eastAsia="en-US" w:bidi="ar-SA"/>
    </w:rPr>
  </w:style>
  <w:style w:type="paragraph" w:styleId="Header">
    <w:name w:val="header"/>
    <w:basedOn w:val="Normal"/>
    <w:link w:val="HeaderChar"/>
    <w:uiPriority w:val="99"/>
    <w:unhideWhenUsed/>
    <w:rsid w:val="00523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4D4"/>
  </w:style>
  <w:style w:type="paragraph" w:styleId="Footer">
    <w:name w:val="footer"/>
    <w:basedOn w:val="Normal"/>
    <w:link w:val="FooterChar"/>
    <w:uiPriority w:val="99"/>
    <w:unhideWhenUsed/>
    <w:rsid w:val="00523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4D4"/>
  </w:style>
  <w:style w:type="table" w:styleId="LightGrid">
    <w:name w:val="Light Grid"/>
    <w:basedOn w:val="TableNormal"/>
    <w:uiPriority w:val="62"/>
    <w:semiHidden/>
    <w:unhideWhenUsed/>
    <w:rsid w:val="005234D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5234D4"/>
    <w:rPr>
      <w:color w:val="0563C1" w:themeColor="hyperlink"/>
      <w:u w:val="single"/>
    </w:rPr>
  </w:style>
  <w:style w:type="character" w:styleId="UnresolvedMention">
    <w:name w:val="Unresolved Mention"/>
    <w:basedOn w:val="DefaultParagraphFont"/>
    <w:uiPriority w:val="99"/>
    <w:semiHidden/>
    <w:unhideWhenUsed/>
    <w:rsid w:val="005234D4"/>
    <w:rPr>
      <w:color w:val="605E5C"/>
      <w:shd w:val="clear" w:color="auto" w:fill="E1DFDD"/>
    </w:rPr>
  </w:style>
  <w:style w:type="paragraph" w:styleId="Title">
    <w:name w:val="Title"/>
    <w:basedOn w:val="Normal"/>
    <w:next w:val="Normal"/>
    <w:link w:val="TitleChar"/>
    <w:uiPriority w:val="10"/>
    <w:qFormat/>
    <w:rsid w:val="005234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4D4"/>
    <w:rPr>
      <w:rFonts w:asciiTheme="majorHAnsi" w:eastAsiaTheme="majorEastAsia" w:hAnsiTheme="majorHAnsi" w:cstheme="majorBidi"/>
      <w:spacing w:val="-10"/>
      <w:kern w:val="28"/>
      <w:sz w:val="56"/>
      <w:szCs w:val="56"/>
    </w:rPr>
  </w:style>
  <w:style w:type="paragraph" w:customStyle="1" w:styleId="Style1">
    <w:name w:val="Style1"/>
    <w:basedOn w:val="Heading1"/>
    <w:link w:val="Style1Char"/>
    <w:rsid w:val="005234D4"/>
    <w:rPr>
      <w:lang w:val="en-AU"/>
    </w:rPr>
  </w:style>
  <w:style w:type="paragraph" w:customStyle="1" w:styleId="Title-TNR">
    <w:name w:val="Title - TNR"/>
    <w:basedOn w:val="Title"/>
    <w:link w:val="Title-TNRChar"/>
    <w:qFormat/>
    <w:rsid w:val="003B6DFB"/>
    <w:pPr>
      <w:jc w:val="center"/>
    </w:pPr>
    <w:rPr>
      <w:b/>
      <w:bCs/>
      <w:sz w:val="24"/>
      <w:szCs w:val="24"/>
      <w:lang w:val="en-AU"/>
    </w:rPr>
  </w:style>
  <w:style w:type="character" w:customStyle="1" w:styleId="Style1Char">
    <w:name w:val="Style1 Char"/>
    <w:basedOn w:val="Heading1Char"/>
    <w:link w:val="Style1"/>
    <w:rsid w:val="005234D4"/>
    <w:rPr>
      <w:rFonts w:asciiTheme="majorHAnsi" w:eastAsiaTheme="majorEastAsia" w:hAnsiTheme="majorHAnsi" w:cstheme="majorBidi"/>
      <w:color w:val="000000" w:themeColor="accent1" w:themeShade="BF"/>
      <w:sz w:val="32"/>
      <w:szCs w:val="32"/>
      <w:lang w:val="en-AU"/>
    </w:rPr>
  </w:style>
  <w:style w:type="paragraph" w:customStyle="1" w:styleId="Heading1-TNR">
    <w:name w:val="Heading 1 - TNR"/>
    <w:basedOn w:val="Heading2"/>
    <w:link w:val="Heading1-TNRChar"/>
    <w:qFormat/>
    <w:rsid w:val="001A11CE"/>
    <w:pPr>
      <w:numPr>
        <w:numId w:val="4"/>
      </w:numPr>
      <w:spacing w:before="240" w:after="240" w:line="240" w:lineRule="auto"/>
      <w:ind w:left="0" w:firstLine="0"/>
    </w:pPr>
    <w:rPr>
      <w:rFonts w:ascii="Times New Roman" w:hAnsi="Times New Roman" w:cs="Times New Roman"/>
      <w:b/>
      <w:bCs/>
      <w:caps/>
      <w:color w:val="auto"/>
      <w:sz w:val="24"/>
      <w:szCs w:val="24"/>
      <w:lang w:val="en-AU" w:eastAsia="en-US" w:bidi="ar-SA"/>
    </w:rPr>
  </w:style>
  <w:style w:type="character" w:customStyle="1" w:styleId="Title-TNRChar">
    <w:name w:val="Title - TNR Char"/>
    <w:basedOn w:val="TitleChar"/>
    <w:link w:val="Title-TNR"/>
    <w:rsid w:val="003B6DFB"/>
    <w:rPr>
      <w:rFonts w:asciiTheme="majorHAnsi" w:eastAsiaTheme="majorEastAsia" w:hAnsiTheme="majorHAnsi" w:cstheme="majorBidi"/>
      <w:b/>
      <w:bCs/>
      <w:spacing w:val="-10"/>
      <w:kern w:val="28"/>
      <w:sz w:val="24"/>
      <w:szCs w:val="24"/>
      <w:lang w:val="en-AU"/>
    </w:rPr>
  </w:style>
  <w:style w:type="paragraph" w:customStyle="1" w:styleId="Heading2-TNR">
    <w:name w:val="Heading 2 - TNR"/>
    <w:basedOn w:val="Normal"/>
    <w:link w:val="Heading2-TNRChar"/>
    <w:qFormat/>
    <w:rsid w:val="001A11CE"/>
    <w:pPr>
      <w:numPr>
        <w:ilvl w:val="1"/>
        <w:numId w:val="8"/>
      </w:numPr>
      <w:spacing w:before="240" w:after="240"/>
    </w:pPr>
    <w:rPr>
      <w:b/>
      <w:sz w:val="24"/>
      <w:szCs w:val="24"/>
      <w:lang w:val="en-AU"/>
    </w:rPr>
  </w:style>
  <w:style w:type="character" w:customStyle="1" w:styleId="Heading1-TNRChar">
    <w:name w:val="Heading 1 - TNR Char"/>
    <w:basedOn w:val="Style1Char"/>
    <w:link w:val="Heading1-TNR"/>
    <w:rsid w:val="001A11CE"/>
    <w:rPr>
      <w:rFonts w:ascii="Times New Roman" w:eastAsiaTheme="majorEastAsia" w:hAnsi="Times New Roman" w:cs="Times New Roman"/>
      <w:b/>
      <w:bCs/>
      <w:caps/>
      <w:color w:val="000000" w:themeColor="accent1" w:themeShade="BF"/>
      <w:sz w:val="24"/>
      <w:szCs w:val="24"/>
      <w:lang w:val="en-AU" w:eastAsia="en-US" w:bidi="ar-SA"/>
    </w:rPr>
  </w:style>
  <w:style w:type="paragraph" w:customStyle="1" w:styleId="Heading3-TNR">
    <w:name w:val="Heading 3 - TNR"/>
    <w:basedOn w:val="Normal"/>
    <w:link w:val="Heading3-TNRChar"/>
    <w:qFormat/>
    <w:rsid w:val="001A11CE"/>
    <w:pPr>
      <w:spacing w:before="240" w:after="240"/>
    </w:pPr>
    <w:rPr>
      <w:b/>
      <w:bCs/>
      <w:sz w:val="24"/>
      <w:szCs w:val="24"/>
      <w:lang w:val="en-AU"/>
    </w:rPr>
  </w:style>
  <w:style w:type="character" w:customStyle="1" w:styleId="Heading2-TNRChar">
    <w:name w:val="Heading 2 - TNR Char"/>
    <w:basedOn w:val="DefaultParagraphFont"/>
    <w:link w:val="Heading2-TNR"/>
    <w:rsid w:val="001A11CE"/>
    <w:rPr>
      <w:b/>
      <w:sz w:val="24"/>
      <w:szCs w:val="24"/>
      <w:lang w:val="en-AU"/>
    </w:rPr>
  </w:style>
  <w:style w:type="paragraph" w:customStyle="1" w:styleId="Normal-TNR">
    <w:name w:val="Normal - TNR"/>
    <w:basedOn w:val="Normal"/>
    <w:link w:val="Normal-TNRChar"/>
    <w:qFormat/>
    <w:rsid w:val="00D608E9"/>
    <w:rPr>
      <w:sz w:val="24"/>
      <w:szCs w:val="24"/>
      <w:lang w:val="en"/>
    </w:rPr>
  </w:style>
  <w:style w:type="character" w:customStyle="1" w:styleId="Heading3-TNRChar">
    <w:name w:val="Heading 3 - TNR Char"/>
    <w:basedOn w:val="DefaultParagraphFont"/>
    <w:link w:val="Heading3-TNR"/>
    <w:rsid w:val="001A11CE"/>
    <w:rPr>
      <w:b/>
      <w:bCs/>
      <w:sz w:val="24"/>
      <w:szCs w:val="24"/>
      <w:lang w:val="en-AU"/>
    </w:rPr>
  </w:style>
  <w:style w:type="character" w:styleId="IntenseEmphasis">
    <w:name w:val="Intense Emphasis"/>
    <w:basedOn w:val="DefaultParagraphFont"/>
    <w:uiPriority w:val="21"/>
    <w:rsid w:val="001A11CE"/>
    <w:rPr>
      <w:b/>
      <w:bCs/>
      <w:i/>
      <w:iCs/>
      <w:color w:val="000000" w:themeColor="accent1"/>
    </w:rPr>
  </w:style>
  <w:style w:type="character" w:customStyle="1" w:styleId="Normal-TNRChar">
    <w:name w:val="Normal - TNR Char"/>
    <w:basedOn w:val="DefaultParagraphFont"/>
    <w:link w:val="Normal-TNR"/>
    <w:rsid w:val="00D608E9"/>
    <w:rPr>
      <w:sz w:val="24"/>
      <w:szCs w:val="24"/>
      <w:lang w:val="en"/>
    </w:rPr>
  </w:style>
  <w:style w:type="paragraph" w:styleId="FootnoteText">
    <w:name w:val="footnote text"/>
    <w:basedOn w:val="Normal"/>
    <w:link w:val="FootnoteTextChar"/>
    <w:uiPriority w:val="99"/>
    <w:unhideWhenUsed/>
    <w:rsid w:val="001809E0"/>
    <w:pPr>
      <w:spacing w:after="0" w:line="240" w:lineRule="auto"/>
    </w:pPr>
    <w:rPr>
      <w:sz w:val="20"/>
      <w:szCs w:val="20"/>
    </w:rPr>
  </w:style>
  <w:style w:type="character" w:customStyle="1" w:styleId="FootnoteTextChar">
    <w:name w:val="Footnote Text Char"/>
    <w:basedOn w:val="DefaultParagraphFont"/>
    <w:link w:val="FootnoteText"/>
    <w:uiPriority w:val="99"/>
    <w:rsid w:val="001809E0"/>
    <w:rPr>
      <w:sz w:val="20"/>
      <w:szCs w:val="20"/>
    </w:rPr>
  </w:style>
  <w:style w:type="character" w:styleId="FootnoteReference">
    <w:name w:val="footnote reference"/>
    <w:basedOn w:val="DefaultParagraphFont"/>
    <w:uiPriority w:val="99"/>
    <w:semiHidden/>
    <w:unhideWhenUsed/>
    <w:rsid w:val="001809E0"/>
    <w:rPr>
      <w:vertAlign w:val="superscript"/>
    </w:rPr>
  </w:style>
  <w:style w:type="paragraph" w:styleId="BalloonText">
    <w:name w:val="Balloon Text"/>
    <w:basedOn w:val="Normal"/>
    <w:link w:val="BalloonTextChar"/>
    <w:uiPriority w:val="99"/>
    <w:semiHidden/>
    <w:unhideWhenUsed/>
    <w:rsid w:val="00CA2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FF3"/>
    <w:rPr>
      <w:rFonts w:ascii="Segoe UI" w:hAnsi="Segoe UI" w:cs="Segoe UI"/>
      <w:sz w:val="18"/>
      <w:szCs w:val="18"/>
    </w:rPr>
  </w:style>
  <w:style w:type="paragraph" w:styleId="EndnoteText">
    <w:name w:val="endnote text"/>
    <w:basedOn w:val="Normal"/>
    <w:link w:val="EndnoteTextChar"/>
    <w:uiPriority w:val="99"/>
    <w:semiHidden/>
    <w:unhideWhenUsed/>
    <w:rsid w:val="00FD05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0551"/>
    <w:rPr>
      <w:sz w:val="20"/>
      <w:szCs w:val="20"/>
    </w:rPr>
  </w:style>
  <w:style w:type="character" w:styleId="EndnoteReference">
    <w:name w:val="endnote reference"/>
    <w:basedOn w:val="DefaultParagraphFont"/>
    <w:uiPriority w:val="99"/>
    <w:semiHidden/>
    <w:unhideWhenUsed/>
    <w:rsid w:val="00FD0551"/>
    <w:rPr>
      <w:vertAlign w:val="superscript"/>
    </w:rPr>
  </w:style>
  <w:style w:type="paragraph" w:styleId="Revision">
    <w:name w:val="Revision"/>
    <w:hidden/>
    <w:uiPriority w:val="99"/>
    <w:semiHidden/>
    <w:rsid w:val="00927416"/>
    <w:pPr>
      <w:spacing w:after="0" w:line="240" w:lineRule="auto"/>
    </w:pPr>
  </w:style>
  <w:style w:type="character" w:styleId="CommentReference">
    <w:name w:val="annotation reference"/>
    <w:basedOn w:val="DefaultParagraphFont"/>
    <w:uiPriority w:val="99"/>
    <w:semiHidden/>
    <w:unhideWhenUsed/>
    <w:rsid w:val="00B944EE"/>
    <w:rPr>
      <w:sz w:val="16"/>
      <w:szCs w:val="16"/>
    </w:rPr>
  </w:style>
  <w:style w:type="paragraph" w:styleId="CommentText">
    <w:name w:val="annotation text"/>
    <w:basedOn w:val="Normal"/>
    <w:link w:val="CommentTextChar"/>
    <w:uiPriority w:val="99"/>
    <w:unhideWhenUsed/>
    <w:rsid w:val="00B944EE"/>
    <w:pPr>
      <w:spacing w:line="240" w:lineRule="auto"/>
    </w:pPr>
    <w:rPr>
      <w:sz w:val="20"/>
      <w:szCs w:val="20"/>
    </w:rPr>
  </w:style>
  <w:style w:type="character" w:customStyle="1" w:styleId="CommentTextChar">
    <w:name w:val="Comment Text Char"/>
    <w:basedOn w:val="DefaultParagraphFont"/>
    <w:link w:val="CommentText"/>
    <w:uiPriority w:val="99"/>
    <w:rsid w:val="00B944EE"/>
    <w:rPr>
      <w:sz w:val="20"/>
      <w:szCs w:val="20"/>
    </w:rPr>
  </w:style>
  <w:style w:type="paragraph" w:styleId="CommentSubject">
    <w:name w:val="annotation subject"/>
    <w:basedOn w:val="CommentText"/>
    <w:next w:val="CommentText"/>
    <w:link w:val="CommentSubjectChar"/>
    <w:uiPriority w:val="99"/>
    <w:semiHidden/>
    <w:unhideWhenUsed/>
    <w:rsid w:val="00B944EE"/>
    <w:rPr>
      <w:b/>
      <w:bCs/>
    </w:rPr>
  </w:style>
  <w:style w:type="character" w:customStyle="1" w:styleId="CommentSubjectChar">
    <w:name w:val="Comment Subject Char"/>
    <w:basedOn w:val="CommentTextChar"/>
    <w:link w:val="CommentSubject"/>
    <w:uiPriority w:val="99"/>
    <w:semiHidden/>
    <w:rsid w:val="00B944EE"/>
    <w:rPr>
      <w:b/>
      <w:bCs/>
      <w:sz w:val="20"/>
      <w:szCs w:val="20"/>
    </w:rPr>
  </w:style>
  <w:style w:type="paragraph" w:styleId="BodyText">
    <w:name w:val="Body Text"/>
    <w:basedOn w:val="Normal"/>
    <w:link w:val="BodyTextChar"/>
    <w:uiPriority w:val="99"/>
    <w:semiHidden/>
    <w:unhideWhenUsed/>
    <w:rsid w:val="00E61F13"/>
    <w:pPr>
      <w:spacing w:after="120"/>
    </w:pPr>
  </w:style>
  <w:style w:type="character" w:customStyle="1" w:styleId="BodyTextChar">
    <w:name w:val="Body Text Char"/>
    <w:basedOn w:val="DefaultParagraphFont"/>
    <w:link w:val="BodyText"/>
    <w:uiPriority w:val="99"/>
    <w:semiHidden/>
    <w:rsid w:val="00E61F13"/>
  </w:style>
  <w:style w:type="paragraph" w:styleId="IntenseQuote">
    <w:name w:val="Intense Quote"/>
    <w:basedOn w:val="Normal"/>
    <w:next w:val="Normal"/>
    <w:link w:val="IntenseQuoteChar"/>
    <w:uiPriority w:val="30"/>
    <w:qFormat/>
    <w:rsid w:val="00E61F13"/>
    <w:pPr>
      <w:pBdr>
        <w:top w:val="single" w:sz="4" w:space="10" w:color="000000" w:themeColor="accent1"/>
        <w:bottom w:val="single" w:sz="4" w:space="10" w:color="000000" w:themeColor="accent1"/>
      </w:pBdr>
      <w:spacing w:before="360" w:after="360"/>
      <w:ind w:left="864" w:right="864"/>
      <w:jc w:val="center"/>
    </w:pPr>
    <w:rPr>
      <w:i/>
      <w:iCs/>
      <w:color w:val="000000" w:themeColor="accent1"/>
    </w:rPr>
  </w:style>
  <w:style w:type="character" w:customStyle="1" w:styleId="IntenseQuoteChar">
    <w:name w:val="Intense Quote Char"/>
    <w:basedOn w:val="DefaultParagraphFont"/>
    <w:link w:val="IntenseQuote"/>
    <w:uiPriority w:val="30"/>
    <w:rsid w:val="00E61F13"/>
    <w:rPr>
      <w:i/>
      <w:iCs/>
      <w:color w:val="000000" w:themeColor="accent1"/>
    </w:rPr>
  </w:style>
  <w:style w:type="table" w:styleId="TableGrid">
    <w:name w:val="Table Grid"/>
    <w:basedOn w:val="TableNormal"/>
    <w:uiPriority w:val="59"/>
    <w:rsid w:val="005B2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5"/>
    <w:semiHidden/>
    <w:rsid w:val="00B33FDB"/>
    <w:rPr>
      <w:color w:val="82786F"/>
    </w:rPr>
  </w:style>
  <w:style w:type="character" w:styleId="SubtleEmphasis">
    <w:name w:val="Subtle Emphasis"/>
    <w:basedOn w:val="DefaultParagraphFont"/>
    <w:uiPriority w:val="19"/>
    <w:rsid w:val="002D39DA"/>
    <w:rPr>
      <w:i/>
      <w:iCs/>
      <w:color w:val="808080" w:themeColor="text1" w:themeTint="7F"/>
    </w:rPr>
  </w:style>
  <w:style w:type="character" w:styleId="FollowedHyperlink">
    <w:name w:val="FollowedHyperlink"/>
    <w:basedOn w:val="DefaultParagraphFont"/>
    <w:uiPriority w:val="99"/>
    <w:semiHidden/>
    <w:unhideWhenUsed/>
    <w:rsid w:val="00D208B2"/>
    <w:rPr>
      <w:color w:val="954F72" w:themeColor="followedHyperlink"/>
      <w:u w:val="single"/>
    </w:rPr>
  </w:style>
  <w:style w:type="character" w:customStyle="1" w:styleId="Heading4Char">
    <w:name w:val="Heading 4 Char"/>
    <w:basedOn w:val="DefaultParagraphFont"/>
    <w:link w:val="Heading4"/>
    <w:uiPriority w:val="9"/>
    <w:rsid w:val="00DB1FBD"/>
    <w:rPr>
      <w:rFonts w:asciiTheme="majorHAnsi" w:eastAsiaTheme="majorEastAsia" w:hAnsiTheme="majorHAnsi" w:cstheme="majorBidi"/>
      <w:b/>
      <w:bCs/>
      <w:color w:val="000000" w:themeColor="accent1" w:themeShade="7F"/>
      <w:sz w:val="24"/>
      <w:szCs w:val="24"/>
    </w:rPr>
  </w:style>
  <w:style w:type="paragraph" w:customStyle="1" w:styleId="Default">
    <w:name w:val="Default"/>
    <w:rsid w:val="00B0596C"/>
    <w:pPr>
      <w:autoSpaceDE w:val="0"/>
      <w:autoSpaceDN w:val="0"/>
      <w:adjustRightInd w:val="0"/>
      <w:spacing w:after="0" w:line="240" w:lineRule="auto"/>
    </w:pPr>
    <w:rPr>
      <w:rFonts w:ascii="Cambria" w:hAnsi="Cambria" w:cs="Cambria"/>
      <w:color w:val="000000"/>
      <w:sz w:val="24"/>
      <w:szCs w:val="24"/>
    </w:rPr>
  </w:style>
  <w:style w:type="paragraph" w:styleId="Bibliography">
    <w:name w:val="Bibliography"/>
    <w:basedOn w:val="Normal"/>
    <w:next w:val="Normal"/>
    <w:uiPriority w:val="37"/>
    <w:semiHidden/>
    <w:unhideWhenUsed/>
    <w:rsid w:val="00810046"/>
  </w:style>
  <w:style w:type="paragraph" w:styleId="BlockText">
    <w:name w:val="Block Text"/>
    <w:basedOn w:val="Normal"/>
    <w:uiPriority w:val="99"/>
    <w:semiHidden/>
    <w:unhideWhenUsed/>
    <w:rsid w:val="00810046"/>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i/>
      <w:iCs/>
      <w:color w:val="000000" w:themeColor="accent1"/>
    </w:rPr>
  </w:style>
  <w:style w:type="paragraph" w:styleId="BodyText2">
    <w:name w:val="Body Text 2"/>
    <w:basedOn w:val="Normal"/>
    <w:link w:val="BodyText2Char"/>
    <w:uiPriority w:val="99"/>
    <w:semiHidden/>
    <w:unhideWhenUsed/>
    <w:rsid w:val="00810046"/>
    <w:pPr>
      <w:spacing w:after="120" w:line="480" w:lineRule="auto"/>
    </w:pPr>
  </w:style>
  <w:style w:type="character" w:customStyle="1" w:styleId="BodyText2Char">
    <w:name w:val="Body Text 2 Char"/>
    <w:basedOn w:val="DefaultParagraphFont"/>
    <w:link w:val="BodyText2"/>
    <w:uiPriority w:val="99"/>
    <w:semiHidden/>
    <w:rsid w:val="00810046"/>
  </w:style>
  <w:style w:type="paragraph" w:styleId="BodyText3">
    <w:name w:val="Body Text 3"/>
    <w:basedOn w:val="Normal"/>
    <w:link w:val="BodyText3Char"/>
    <w:uiPriority w:val="99"/>
    <w:semiHidden/>
    <w:unhideWhenUsed/>
    <w:rsid w:val="00810046"/>
    <w:pPr>
      <w:spacing w:after="120"/>
    </w:pPr>
    <w:rPr>
      <w:sz w:val="16"/>
      <w:szCs w:val="16"/>
    </w:rPr>
  </w:style>
  <w:style w:type="character" w:customStyle="1" w:styleId="BodyText3Char">
    <w:name w:val="Body Text 3 Char"/>
    <w:basedOn w:val="DefaultParagraphFont"/>
    <w:link w:val="BodyText3"/>
    <w:uiPriority w:val="99"/>
    <w:semiHidden/>
    <w:rsid w:val="00810046"/>
    <w:rPr>
      <w:sz w:val="16"/>
      <w:szCs w:val="16"/>
    </w:rPr>
  </w:style>
  <w:style w:type="paragraph" w:styleId="BodyTextFirstIndent">
    <w:name w:val="Body Text First Indent"/>
    <w:basedOn w:val="BodyText"/>
    <w:link w:val="BodyTextFirstIndentChar"/>
    <w:uiPriority w:val="99"/>
    <w:semiHidden/>
    <w:unhideWhenUsed/>
    <w:rsid w:val="00810046"/>
    <w:pPr>
      <w:spacing w:after="160"/>
      <w:ind w:firstLine="360"/>
    </w:pPr>
  </w:style>
  <w:style w:type="character" w:customStyle="1" w:styleId="BodyTextFirstIndentChar">
    <w:name w:val="Body Text First Indent Char"/>
    <w:basedOn w:val="BodyTextChar"/>
    <w:link w:val="BodyTextFirstIndent"/>
    <w:uiPriority w:val="99"/>
    <w:semiHidden/>
    <w:rsid w:val="00810046"/>
  </w:style>
  <w:style w:type="paragraph" w:styleId="BodyTextIndent">
    <w:name w:val="Body Text Indent"/>
    <w:basedOn w:val="Normal"/>
    <w:link w:val="BodyTextIndentChar"/>
    <w:uiPriority w:val="99"/>
    <w:semiHidden/>
    <w:unhideWhenUsed/>
    <w:rsid w:val="00810046"/>
    <w:pPr>
      <w:spacing w:after="120"/>
      <w:ind w:left="283"/>
    </w:pPr>
  </w:style>
  <w:style w:type="character" w:customStyle="1" w:styleId="BodyTextIndentChar">
    <w:name w:val="Body Text Indent Char"/>
    <w:basedOn w:val="DefaultParagraphFont"/>
    <w:link w:val="BodyTextIndent"/>
    <w:uiPriority w:val="99"/>
    <w:semiHidden/>
    <w:rsid w:val="00810046"/>
  </w:style>
  <w:style w:type="paragraph" w:styleId="BodyTextFirstIndent2">
    <w:name w:val="Body Text First Indent 2"/>
    <w:basedOn w:val="BodyTextIndent"/>
    <w:link w:val="BodyTextFirstIndent2Char"/>
    <w:uiPriority w:val="99"/>
    <w:semiHidden/>
    <w:unhideWhenUsed/>
    <w:rsid w:val="0081004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10046"/>
  </w:style>
  <w:style w:type="paragraph" w:styleId="BodyTextIndent2">
    <w:name w:val="Body Text Indent 2"/>
    <w:basedOn w:val="Normal"/>
    <w:link w:val="BodyTextIndent2Char"/>
    <w:uiPriority w:val="99"/>
    <w:semiHidden/>
    <w:unhideWhenUsed/>
    <w:rsid w:val="00810046"/>
    <w:pPr>
      <w:spacing w:after="120" w:line="480" w:lineRule="auto"/>
      <w:ind w:left="283"/>
    </w:pPr>
  </w:style>
  <w:style w:type="character" w:customStyle="1" w:styleId="BodyTextIndent2Char">
    <w:name w:val="Body Text Indent 2 Char"/>
    <w:basedOn w:val="DefaultParagraphFont"/>
    <w:link w:val="BodyTextIndent2"/>
    <w:uiPriority w:val="99"/>
    <w:semiHidden/>
    <w:rsid w:val="00810046"/>
  </w:style>
  <w:style w:type="paragraph" w:styleId="BodyTextIndent3">
    <w:name w:val="Body Text Indent 3"/>
    <w:basedOn w:val="Normal"/>
    <w:link w:val="BodyTextIndent3Char"/>
    <w:uiPriority w:val="99"/>
    <w:semiHidden/>
    <w:unhideWhenUsed/>
    <w:rsid w:val="008100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0046"/>
    <w:rPr>
      <w:sz w:val="16"/>
      <w:szCs w:val="16"/>
    </w:rPr>
  </w:style>
  <w:style w:type="paragraph" w:styleId="Closing">
    <w:name w:val="Closing"/>
    <w:basedOn w:val="Normal"/>
    <w:link w:val="ClosingChar"/>
    <w:uiPriority w:val="99"/>
    <w:semiHidden/>
    <w:unhideWhenUsed/>
    <w:rsid w:val="00810046"/>
    <w:pPr>
      <w:spacing w:after="0" w:line="240" w:lineRule="auto"/>
      <w:ind w:left="4252"/>
    </w:pPr>
  </w:style>
  <w:style w:type="character" w:customStyle="1" w:styleId="ClosingChar">
    <w:name w:val="Closing Char"/>
    <w:basedOn w:val="DefaultParagraphFont"/>
    <w:link w:val="Closing"/>
    <w:uiPriority w:val="99"/>
    <w:semiHidden/>
    <w:rsid w:val="00810046"/>
  </w:style>
  <w:style w:type="paragraph" w:styleId="Date">
    <w:name w:val="Date"/>
    <w:basedOn w:val="Normal"/>
    <w:next w:val="Normal"/>
    <w:link w:val="DateChar"/>
    <w:uiPriority w:val="99"/>
    <w:semiHidden/>
    <w:unhideWhenUsed/>
    <w:rsid w:val="00810046"/>
  </w:style>
  <w:style w:type="character" w:customStyle="1" w:styleId="DateChar">
    <w:name w:val="Date Char"/>
    <w:basedOn w:val="DefaultParagraphFont"/>
    <w:link w:val="Date"/>
    <w:uiPriority w:val="99"/>
    <w:semiHidden/>
    <w:rsid w:val="00810046"/>
  </w:style>
  <w:style w:type="paragraph" w:styleId="DocumentMap">
    <w:name w:val="Document Map"/>
    <w:basedOn w:val="Normal"/>
    <w:link w:val="DocumentMapChar"/>
    <w:uiPriority w:val="99"/>
    <w:semiHidden/>
    <w:unhideWhenUsed/>
    <w:rsid w:val="0081004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0046"/>
    <w:rPr>
      <w:rFonts w:ascii="Segoe UI" w:hAnsi="Segoe UI" w:cs="Segoe UI"/>
      <w:sz w:val="16"/>
      <w:szCs w:val="16"/>
    </w:rPr>
  </w:style>
  <w:style w:type="paragraph" w:styleId="E-mailSignature">
    <w:name w:val="E-mail Signature"/>
    <w:basedOn w:val="Normal"/>
    <w:link w:val="E-mailSignatureChar"/>
    <w:uiPriority w:val="99"/>
    <w:semiHidden/>
    <w:unhideWhenUsed/>
    <w:rsid w:val="00810046"/>
    <w:pPr>
      <w:spacing w:after="0" w:line="240" w:lineRule="auto"/>
    </w:pPr>
  </w:style>
  <w:style w:type="character" w:customStyle="1" w:styleId="E-mailSignatureChar">
    <w:name w:val="E-mail Signature Char"/>
    <w:basedOn w:val="DefaultParagraphFont"/>
    <w:link w:val="E-mailSignature"/>
    <w:uiPriority w:val="99"/>
    <w:semiHidden/>
    <w:rsid w:val="00810046"/>
  </w:style>
  <w:style w:type="paragraph" w:styleId="EnvelopeAddress">
    <w:name w:val="envelope address"/>
    <w:basedOn w:val="Normal"/>
    <w:uiPriority w:val="99"/>
    <w:semiHidden/>
    <w:unhideWhenUsed/>
    <w:rsid w:val="0081004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10046"/>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810046"/>
    <w:rPr>
      <w:rFonts w:asciiTheme="majorHAnsi" w:eastAsiaTheme="majorEastAsia" w:hAnsiTheme="majorHAnsi" w:cstheme="majorBidi"/>
      <w:color w:val="000000" w:themeColor="accent1" w:themeShade="BF"/>
    </w:rPr>
  </w:style>
  <w:style w:type="character" w:customStyle="1" w:styleId="Heading6Char">
    <w:name w:val="Heading 6 Char"/>
    <w:basedOn w:val="DefaultParagraphFont"/>
    <w:link w:val="Heading6"/>
    <w:uiPriority w:val="9"/>
    <w:semiHidden/>
    <w:rsid w:val="00810046"/>
    <w:rPr>
      <w:rFonts w:asciiTheme="majorHAnsi" w:eastAsiaTheme="majorEastAsia" w:hAnsiTheme="majorHAnsi" w:cstheme="majorBidi"/>
      <w:color w:val="000000" w:themeColor="accent1" w:themeShade="7F"/>
    </w:rPr>
  </w:style>
  <w:style w:type="character" w:customStyle="1" w:styleId="Heading7Char">
    <w:name w:val="Heading 7 Char"/>
    <w:basedOn w:val="DefaultParagraphFont"/>
    <w:link w:val="Heading7"/>
    <w:uiPriority w:val="9"/>
    <w:semiHidden/>
    <w:rsid w:val="00810046"/>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8100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004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10046"/>
    <w:pPr>
      <w:spacing w:after="0" w:line="240" w:lineRule="auto"/>
    </w:pPr>
    <w:rPr>
      <w:i/>
      <w:iCs/>
    </w:rPr>
  </w:style>
  <w:style w:type="character" w:customStyle="1" w:styleId="HTMLAddressChar">
    <w:name w:val="HTML Address Char"/>
    <w:basedOn w:val="DefaultParagraphFont"/>
    <w:link w:val="HTMLAddress"/>
    <w:uiPriority w:val="99"/>
    <w:semiHidden/>
    <w:rsid w:val="00810046"/>
    <w:rPr>
      <w:i/>
      <w:iCs/>
    </w:rPr>
  </w:style>
  <w:style w:type="paragraph" w:styleId="HTMLPreformatted">
    <w:name w:val="HTML Preformatted"/>
    <w:basedOn w:val="Normal"/>
    <w:link w:val="HTMLPreformattedChar"/>
    <w:uiPriority w:val="99"/>
    <w:semiHidden/>
    <w:unhideWhenUsed/>
    <w:rsid w:val="0081004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0046"/>
    <w:rPr>
      <w:rFonts w:ascii="Consolas" w:hAnsi="Consolas"/>
      <w:sz w:val="20"/>
      <w:szCs w:val="20"/>
    </w:rPr>
  </w:style>
  <w:style w:type="paragraph" w:styleId="Index1">
    <w:name w:val="index 1"/>
    <w:basedOn w:val="Normal"/>
    <w:next w:val="Normal"/>
    <w:autoRedefine/>
    <w:uiPriority w:val="99"/>
    <w:semiHidden/>
    <w:unhideWhenUsed/>
    <w:rsid w:val="00810046"/>
    <w:pPr>
      <w:spacing w:after="0" w:line="240" w:lineRule="auto"/>
      <w:ind w:left="220" w:hanging="220"/>
    </w:pPr>
  </w:style>
  <w:style w:type="paragraph" w:styleId="Index2">
    <w:name w:val="index 2"/>
    <w:basedOn w:val="Normal"/>
    <w:next w:val="Normal"/>
    <w:autoRedefine/>
    <w:uiPriority w:val="99"/>
    <w:semiHidden/>
    <w:unhideWhenUsed/>
    <w:rsid w:val="00810046"/>
    <w:pPr>
      <w:spacing w:after="0" w:line="240" w:lineRule="auto"/>
      <w:ind w:left="440" w:hanging="220"/>
    </w:pPr>
  </w:style>
  <w:style w:type="paragraph" w:styleId="Index3">
    <w:name w:val="index 3"/>
    <w:basedOn w:val="Normal"/>
    <w:next w:val="Normal"/>
    <w:autoRedefine/>
    <w:uiPriority w:val="99"/>
    <w:semiHidden/>
    <w:unhideWhenUsed/>
    <w:rsid w:val="00810046"/>
    <w:pPr>
      <w:spacing w:after="0" w:line="240" w:lineRule="auto"/>
      <w:ind w:left="660" w:hanging="220"/>
    </w:pPr>
  </w:style>
  <w:style w:type="paragraph" w:styleId="Index4">
    <w:name w:val="index 4"/>
    <w:basedOn w:val="Normal"/>
    <w:next w:val="Normal"/>
    <w:autoRedefine/>
    <w:uiPriority w:val="99"/>
    <w:semiHidden/>
    <w:unhideWhenUsed/>
    <w:rsid w:val="00810046"/>
    <w:pPr>
      <w:spacing w:after="0" w:line="240" w:lineRule="auto"/>
      <w:ind w:left="880" w:hanging="220"/>
    </w:pPr>
  </w:style>
  <w:style w:type="paragraph" w:styleId="Index5">
    <w:name w:val="index 5"/>
    <w:basedOn w:val="Normal"/>
    <w:next w:val="Normal"/>
    <w:autoRedefine/>
    <w:uiPriority w:val="99"/>
    <w:semiHidden/>
    <w:unhideWhenUsed/>
    <w:rsid w:val="00810046"/>
    <w:pPr>
      <w:spacing w:after="0" w:line="240" w:lineRule="auto"/>
      <w:ind w:left="1100" w:hanging="220"/>
    </w:pPr>
  </w:style>
  <w:style w:type="paragraph" w:styleId="Index6">
    <w:name w:val="index 6"/>
    <w:basedOn w:val="Normal"/>
    <w:next w:val="Normal"/>
    <w:autoRedefine/>
    <w:uiPriority w:val="99"/>
    <w:semiHidden/>
    <w:unhideWhenUsed/>
    <w:rsid w:val="00810046"/>
    <w:pPr>
      <w:spacing w:after="0" w:line="240" w:lineRule="auto"/>
      <w:ind w:left="1320" w:hanging="220"/>
    </w:pPr>
  </w:style>
  <w:style w:type="paragraph" w:styleId="Index7">
    <w:name w:val="index 7"/>
    <w:basedOn w:val="Normal"/>
    <w:next w:val="Normal"/>
    <w:autoRedefine/>
    <w:uiPriority w:val="99"/>
    <w:semiHidden/>
    <w:unhideWhenUsed/>
    <w:rsid w:val="00810046"/>
    <w:pPr>
      <w:spacing w:after="0" w:line="240" w:lineRule="auto"/>
      <w:ind w:left="1540" w:hanging="220"/>
    </w:pPr>
  </w:style>
  <w:style w:type="paragraph" w:styleId="Index8">
    <w:name w:val="index 8"/>
    <w:basedOn w:val="Normal"/>
    <w:next w:val="Normal"/>
    <w:autoRedefine/>
    <w:uiPriority w:val="99"/>
    <w:semiHidden/>
    <w:unhideWhenUsed/>
    <w:rsid w:val="00810046"/>
    <w:pPr>
      <w:spacing w:after="0" w:line="240" w:lineRule="auto"/>
      <w:ind w:left="1760" w:hanging="220"/>
    </w:pPr>
  </w:style>
  <w:style w:type="paragraph" w:styleId="Index9">
    <w:name w:val="index 9"/>
    <w:basedOn w:val="Normal"/>
    <w:next w:val="Normal"/>
    <w:autoRedefine/>
    <w:uiPriority w:val="99"/>
    <w:semiHidden/>
    <w:unhideWhenUsed/>
    <w:rsid w:val="00810046"/>
    <w:pPr>
      <w:spacing w:after="0" w:line="240" w:lineRule="auto"/>
      <w:ind w:left="1980" w:hanging="220"/>
    </w:pPr>
  </w:style>
  <w:style w:type="paragraph" w:styleId="IndexHeading">
    <w:name w:val="index heading"/>
    <w:basedOn w:val="Normal"/>
    <w:next w:val="Index1"/>
    <w:uiPriority w:val="99"/>
    <w:semiHidden/>
    <w:unhideWhenUsed/>
    <w:rsid w:val="00810046"/>
    <w:rPr>
      <w:rFonts w:asciiTheme="majorHAnsi" w:eastAsiaTheme="majorEastAsia" w:hAnsiTheme="majorHAnsi" w:cstheme="majorBidi"/>
      <w:b/>
      <w:bCs/>
    </w:rPr>
  </w:style>
  <w:style w:type="paragraph" w:styleId="List">
    <w:name w:val="List"/>
    <w:basedOn w:val="Normal"/>
    <w:uiPriority w:val="99"/>
    <w:semiHidden/>
    <w:unhideWhenUsed/>
    <w:rsid w:val="00810046"/>
    <w:pPr>
      <w:ind w:left="283" w:hanging="283"/>
      <w:contextualSpacing/>
    </w:pPr>
  </w:style>
  <w:style w:type="paragraph" w:styleId="List2">
    <w:name w:val="List 2"/>
    <w:basedOn w:val="Normal"/>
    <w:uiPriority w:val="99"/>
    <w:semiHidden/>
    <w:unhideWhenUsed/>
    <w:rsid w:val="00810046"/>
    <w:pPr>
      <w:ind w:left="566" w:hanging="283"/>
      <w:contextualSpacing/>
    </w:pPr>
  </w:style>
  <w:style w:type="paragraph" w:styleId="List3">
    <w:name w:val="List 3"/>
    <w:basedOn w:val="Normal"/>
    <w:uiPriority w:val="99"/>
    <w:semiHidden/>
    <w:unhideWhenUsed/>
    <w:rsid w:val="00810046"/>
    <w:pPr>
      <w:ind w:left="849" w:hanging="283"/>
      <w:contextualSpacing/>
    </w:pPr>
  </w:style>
  <w:style w:type="paragraph" w:styleId="List4">
    <w:name w:val="List 4"/>
    <w:basedOn w:val="Normal"/>
    <w:uiPriority w:val="99"/>
    <w:semiHidden/>
    <w:unhideWhenUsed/>
    <w:rsid w:val="00810046"/>
    <w:pPr>
      <w:ind w:left="1132" w:hanging="283"/>
      <w:contextualSpacing/>
    </w:pPr>
  </w:style>
  <w:style w:type="paragraph" w:styleId="List5">
    <w:name w:val="List 5"/>
    <w:basedOn w:val="Normal"/>
    <w:uiPriority w:val="99"/>
    <w:semiHidden/>
    <w:unhideWhenUsed/>
    <w:rsid w:val="00810046"/>
    <w:pPr>
      <w:ind w:left="1415" w:hanging="283"/>
      <w:contextualSpacing/>
    </w:pPr>
  </w:style>
  <w:style w:type="paragraph" w:styleId="ListBullet">
    <w:name w:val="List Bullet"/>
    <w:basedOn w:val="Normal"/>
    <w:uiPriority w:val="99"/>
    <w:semiHidden/>
    <w:unhideWhenUsed/>
    <w:rsid w:val="00810046"/>
    <w:pPr>
      <w:numPr>
        <w:numId w:val="11"/>
      </w:numPr>
      <w:contextualSpacing/>
    </w:pPr>
  </w:style>
  <w:style w:type="paragraph" w:styleId="ListBullet2">
    <w:name w:val="List Bullet 2"/>
    <w:basedOn w:val="Normal"/>
    <w:uiPriority w:val="99"/>
    <w:semiHidden/>
    <w:unhideWhenUsed/>
    <w:rsid w:val="00810046"/>
    <w:pPr>
      <w:numPr>
        <w:numId w:val="12"/>
      </w:numPr>
      <w:contextualSpacing/>
    </w:pPr>
  </w:style>
  <w:style w:type="paragraph" w:styleId="ListBullet3">
    <w:name w:val="List Bullet 3"/>
    <w:basedOn w:val="Normal"/>
    <w:uiPriority w:val="99"/>
    <w:semiHidden/>
    <w:unhideWhenUsed/>
    <w:rsid w:val="00810046"/>
    <w:pPr>
      <w:numPr>
        <w:numId w:val="13"/>
      </w:numPr>
      <w:contextualSpacing/>
    </w:pPr>
  </w:style>
  <w:style w:type="paragraph" w:styleId="ListBullet4">
    <w:name w:val="List Bullet 4"/>
    <w:basedOn w:val="Normal"/>
    <w:uiPriority w:val="99"/>
    <w:semiHidden/>
    <w:unhideWhenUsed/>
    <w:rsid w:val="00810046"/>
    <w:pPr>
      <w:numPr>
        <w:numId w:val="10"/>
      </w:numPr>
      <w:contextualSpacing/>
    </w:pPr>
  </w:style>
  <w:style w:type="paragraph" w:styleId="ListBullet5">
    <w:name w:val="List Bullet 5"/>
    <w:basedOn w:val="Normal"/>
    <w:uiPriority w:val="99"/>
    <w:semiHidden/>
    <w:unhideWhenUsed/>
    <w:rsid w:val="00810046"/>
    <w:pPr>
      <w:numPr>
        <w:numId w:val="14"/>
      </w:numPr>
      <w:contextualSpacing/>
    </w:pPr>
  </w:style>
  <w:style w:type="paragraph" w:styleId="ListContinue">
    <w:name w:val="List Continue"/>
    <w:basedOn w:val="Normal"/>
    <w:uiPriority w:val="99"/>
    <w:semiHidden/>
    <w:unhideWhenUsed/>
    <w:rsid w:val="00810046"/>
    <w:pPr>
      <w:spacing w:after="120"/>
      <w:ind w:left="283"/>
      <w:contextualSpacing/>
    </w:pPr>
  </w:style>
  <w:style w:type="paragraph" w:styleId="ListContinue2">
    <w:name w:val="List Continue 2"/>
    <w:basedOn w:val="Normal"/>
    <w:uiPriority w:val="99"/>
    <w:semiHidden/>
    <w:unhideWhenUsed/>
    <w:rsid w:val="00810046"/>
    <w:pPr>
      <w:spacing w:after="120"/>
      <w:ind w:left="566"/>
      <w:contextualSpacing/>
    </w:pPr>
  </w:style>
  <w:style w:type="paragraph" w:styleId="ListContinue3">
    <w:name w:val="List Continue 3"/>
    <w:basedOn w:val="Normal"/>
    <w:uiPriority w:val="99"/>
    <w:semiHidden/>
    <w:unhideWhenUsed/>
    <w:rsid w:val="00810046"/>
    <w:pPr>
      <w:spacing w:after="120"/>
      <w:ind w:left="849"/>
      <w:contextualSpacing/>
    </w:pPr>
  </w:style>
  <w:style w:type="paragraph" w:styleId="ListContinue4">
    <w:name w:val="List Continue 4"/>
    <w:basedOn w:val="Normal"/>
    <w:uiPriority w:val="99"/>
    <w:semiHidden/>
    <w:unhideWhenUsed/>
    <w:rsid w:val="00810046"/>
    <w:pPr>
      <w:spacing w:after="120"/>
      <w:ind w:left="1132"/>
      <w:contextualSpacing/>
    </w:pPr>
  </w:style>
  <w:style w:type="paragraph" w:styleId="ListContinue5">
    <w:name w:val="List Continue 5"/>
    <w:basedOn w:val="Normal"/>
    <w:uiPriority w:val="99"/>
    <w:semiHidden/>
    <w:unhideWhenUsed/>
    <w:rsid w:val="00810046"/>
    <w:pPr>
      <w:spacing w:after="120"/>
      <w:ind w:left="1415"/>
      <w:contextualSpacing/>
    </w:pPr>
  </w:style>
  <w:style w:type="paragraph" w:styleId="ListNumber">
    <w:name w:val="List Number"/>
    <w:basedOn w:val="Normal"/>
    <w:uiPriority w:val="99"/>
    <w:semiHidden/>
    <w:unhideWhenUsed/>
    <w:rsid w:val="00810046"/>
    <w:pPr>
      <w:numPr>
        <w:numId w:val="15"/>
      </w:numPr>
      <w:contextualSpacing/>
    </w:pPr>
  </w:style>
  <w:style w:type="paragraph" w:styleId="ListNumber2">
    <w:name w:val="List Number 2"/>
    <w:basedOn w:val="Normal"/>
    <w:uiPriority w:val="99"/>
    <w:semiHidden/>
    <w:unhideWhenUsed/>
    <w:rsid w:val="00810046"/>
    <w:pPr>
      <w:numPr>
        <w:numId w:val="16"/>
      </w:numPr>
      <w:contextualSpacing/>
    </w:pPr>
  </w:style>
  <w:style w:type="paragraph" w:styleId="ListNumber3">
    <w:name w:val="List Number 3"/>
    <w:basedOn w:val="Normal"/>
    <w:uiPriority w:val="99"/>
    <w:semiHidden/>
    <w:unhideWhenUsed/>
    <w:rsid w:val="00810046"/>
    <w:pPr>
      <w:numPr>
        <w:numId w:val="17"/>
      </w:numPr>
      <w:contextualSpacing/>
    </w:pPr>
  </w:style>
  <w:style w:type="paragraph" w:styleId="ListNumber4">
    <w:name w:val="List Number 4"/>
    <w:basedOn w:val="Normal"/>
    <w:uiPriority w:val="99"/>
    <w:semiHidden/>
    <w:unhideWhenUsed/>
    <w:rsid w:val="00810046"/>
    <w:pPr>
      <w:numPr>
        <w:numId w:val="18"/>
      </w:numPr>
      <w:contextualSpacing/>
    </w:pPr>
  </w:style>
  <w:style w:type="paragraph" w:styleId="ListNumber5">
    <w:name w:val="List Number 5"/>
    <w:basedOn w:val="Normal"/>
    <w:uiPriority w:val="99"/>
    <w:semiHidden/>
    <w:unhideWhenUsed/>
    <w:rsid w:val="00810046"/>
    <w:pPr>
      <w:numPr>
        <w:numId w:val="19"/>
      </w:numPr>
      <w:contextualSpacing/>
    </w:pPr>
  </w:style>
  <w:style w:type="paragraph" w:styleId="MacroText">
    <w:name w:val="macro"/>
    <w:link w:val="MacroTextChar"/>
    <w:uiPriority w:val="99"/>
    <w:semiHidden/>
    <w:unhideWhenUsed/>
    <w:rsid w:val="0081004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10046"/>
    <w:rPr>
      <w:rFonts w:ascii="Consolas" w:hAnsi="Consolas"/>
      <w:sz w:val="20"/>
      <w:szCs w:val="20"/>
    </w:rPr>
  </w:style>
  <w:style w:type="paragraph" w:styleId="MessageHeader">
    <w:name w:val="Message Header"/>
    <w:basedOn w:val="Normal"/>
    <w:link w:val="MessageHeaderChar"/>
    <w:uiPriority w:val="99"/>
    <w:semiHidden/>
    <w:unhideWhenUsed/>
    <w:rsid w:val="0081004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1004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10046"/>
    <w:rPr>
      <w:rFonts w:ascii="Times New Roman" w:hAnsi="Times New Roman" w:cs="Times New Roman"/>
      <w:sz w:val="24"/>
      <w:szCs w:val="24"/>
    </w:rPr>
  </w:style>
  <w:style w:type="paragraph" w:styleId="NormalIndent">
    <w:name w:val="Normal Indent"/>
    <w:basedOn w:val="Normal"/>
    <w:uiPriority w:val="99"/>
    <w:semiHidden/>
    <w:unhideWhenUsed/>
    <w:rsid w:val="00810046"/>
    <w:pPr>
      <w:ind w:left="720"/>
    </w:pPr>
  </w:style>
  <w:style w:type="paragraph" w:styleId="NoteHeading">
    <w:name w:val="Note Heading"/>
    <w:basedOn w:val="Normal"/>
    <w:next w:val="Normal"/>
    <w:link w:val="NoteHeadingChar"/>
    <w:uiPriority w:val="99"/>
    <w:semiHidden/>
    <w:unhideWhenUsed/>
    <w:rsid w:val="00810046"/>
    <w:pPr>
      <w:spacing w:after="0" w:line="240" w:lineRule="auto"/>
    </w:pPr>
  </w:style>
  <w:style w:type="character" w:customStyle="1" w:styleId="NoteHeadingChar">
    <w:name w:val="Note Heading Char"/>
    <w:basedOn w:val="DefaultParagraphFont"/>
    <w:link w:val="NoteHeading"/>
    <w:uiPriority w:val="99"/>
    <w:semiHidden/>
    <w:rsid w:val="00810046"/>
  </w:style>
  <w:style w:type="paragraph" w:styleId="PlainText">
    <w:name w:val="Plain Text"/>
    <w:basedOn w:val="Normal"/>
    <w:link w:val="PlainTextChar"/>
    <w:uiPriority w:val="99"/>
    <w:semiHidden/>
    <w:unhideWhenUsed/>
    <w:rsid w:val="008100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0046"/>
    <w:rPr>
      <w:rFonts w:ascii="Consolas" w:hAnsi="Consolas"/>
      <w:sz w:val="21"/>
      <w:szCs w:val="21"/>
    </w:rPr>
  </w:style>
  <w:style w:type="paragraph" w:styleId="Quote">
    <w:name w:val="Quote"/>
    <w:basedOn w:val="Normal"/>
    <w:next w:val="Normal"/>
    <w:link w:val="QuoteChar"/>
    <w:uiPriority w:val="29"/>
    <w:qFormat/>
    <w:rsid w:val="0081004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10046"/>
    <w:rPr>
      <w:i/>
      <w:iCs/>
      <w:color w:val="404040" w:themeColor="text1" w:themeTint="BF"/>
    </w:rPr>
  </w:style>
  <w:style w:type="paragraph" w:styleId="Salutation">
    <w:name w:val="Salutation"/>
    <w:basedOn w:val="Normal"/>
    <w:next w:val="Normal"/>
    <w:link w:val="SalutationChar"/>
    <w:uiPriority w:val="99"/>
    <w:semiHidden/>
    <w:unhideWhenUsed/>
    <w:rsid w:val="00810046"/>
  </w:style>
  <w:style w:type="character" w:customStyle="1" w:styleId="SalutationChar">
    <w:name w:val="Salutation Char"/>
    <w:basedOn w:val="DefaultParagraphFont"/>
    <w:link w:val="Salutation"/>
    <w:uiPriority w:val="99"/>
    <w:semiHidden/>
    <w:rsid w:val="00810046"/>
  </w:style>
  <w:style w:type="paragraph" w:styleId="Signature">
    <w:name w:val="Signature"/>
    <w:basedOn w:val="Normal"/>
    <w:link w:val="SignatureChar"/>
    <w:uiPriority w:val="99"/>
    <w:semiHidden/>
    <w:unhideWhenUsed/>
    <w:rsid w:val="00810046"/>
    <w:pPr>
      <w:spacing w:after="0" w:line="240" w:lineRule="auto"/>
      <w:ind w:left="4252"/>
    </w:pPr>
  </w:style>
  <w:style w:type="character" w:customStyle="1" w:styleId="SignatureChar">
    <w:name w:val="Signature Char"/>
    <w:basedOn w:val="DefaultParagraphFont"/>
    <w:link w:val="Signature"/>
    <w:uiPriority w:val="99"/>
    <w:semiHidden/>
    <w:rsid w:val="00810046"/>
  </w:style>
  <w:style w:type="paragraph" w:styleId="Subtitle">
    <w:name w:val="Subtitle"/>
    <w:basedOn w:val="Normal"/>
    <w:next w:val="Normal"/>
    <w:link w:val="SubtitleChar"/>
    <w:uiPriority w:val="11"/>
    <w:qFormat/>
    <w:rsid w:val="0081004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10046"/>
    <w:rPr>
      <w:color w:val="5A5A5A" w:themeColor="text1" w:themeTint="A5"/>
      <w:spacing w:val="15"/>
    </w:rPr>
  </w:style>
  <w:style w:type="paragraph" w:styleId="TableofAuthorities">
    <w:name w:val="table of authorities"/>
    <w:basedOn w:val="Normal"/>
    <w:next w:val="Normal"/>
    <w:uiPriority w:val="99"/>
    <w:semiHidden/>
    <w:unhideWhenUsed/>
    <w:rsid w:val="00810046"/>
    <w:pPr>
      <w:spacing w:after="0"/>
      <w:ind w:left="220" w:hanging="220"/>
    </w:pPr>
  </w:style>
  <w:style w:type="paragraph" w:styleId="TableofFigures">
    <w:name w:val="table of figures"/>
    <w:basedOn w:val="Normal"/>
    <w:next w:val="Normal"/>
    <w:uiPriority w:val="99"/>
    <w:semiHidden/>
    <w:unhideWhenUsed/>
    <w:rsid w:val="00810046"/>
    <w:pPr>
      <w:spacing w:after="0"/>
    </w:pPr>
  </w:style>
  <w:style w:type="paragraph" w:styleId="TOAHeading">
    <w:name w:val="toa heading"/>
    <w:basedOn w:val="Normal"/>
    <w:next w:val="Normal"/>
    <w:uiPriority w:val="99"/>
    <w:semiHidden/>
    <w:unhideWhenUsed/>
    <w:rsid w:val="0081004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10046"/>
    <w:pPr>
      <w:spacing w:after="100"/>
    </w:pPr>
  </w:style>
  <w:style w:type="paragraph" w:styleId="TOC2">
    <w:name w:val="toc 2"/>
    <w:basedOn w:val="Normal"/>
    <w:next w:val="Normal"/>
    <w:autoRedefine/>
    <w:uiPriority w:val="39"/>
    <w:semiHidden/>
    <w:unhideWhenUsed/>
    <w:rsid w:val="00810046"/>
    <w:pPr>
      <w:spacing w:after="100"/>
      <w:ind w:left="220"/>
    </w:pPr>
  </w:style>
  <w:style w:type="paragraph" w:styleId="TOC3">
    <w:name w:val="toc 3"/>
    <w:basedOn w:val="Normal"/>
    <w:next w:val="Normal"/>
    <w:autoRedefine/>
    <w:uiPriority w:val="39"/>
    <w:semiHidden/>
    <w:unhideWhenUsed/>
    <w:rsid w:val="00810046"/>
    <w:pPr>
      <w:spacing w:after="100"/>
      <w:ind w:left="440"/>
    </w:pPr>
  </w:style>
  <w:style w:type="paragraph" w:styleId="TOC4">
    <w:name w:val="toc 4"/>
    <w:basedOn w:val="Normal"/>
    <w:next w:val="Normal"/>
    <w:autoRedefine/>
    <w:uiPriority w:val="39"/>
    <w:semiHidden/>
    <w:unhideWhenUsed/>
    <w:rsid w:val="00810046"/>
    <w:pPr>
      <w:spacing w:after="100"/>
      <w:ind w:left="660"/>
    </w:pPr>
  </w:style>
  <w:style w:type="paragraph" w:styleId="TOC5">
    <w:name w:val="toc 5"/>
    <w:basedOn w:val="Normal"/>
    <w:next w:val="Normal"/>
    <w:autoRedefine/>
    <w:uiPriority w:val="39"/>
    <w:semiHidden/>
    <w:unhideWhenUsed/>
    <w:rsid w:val="00810046"/>
    <w:pPr>
      <w:spacing w:after="100"/>
      <w:ind w:left="880"/>
    </w:pPr>
  </w:style>
  <w:style w:type="paragraph" w:styleId="TOC6">
    <w:name w:val="toc 6"/>
    <w:basedOn w:val="Normal"/>
    <w:next w:val="Normal"/>
    <w:autoRedefine/>
    <w:uiPriority w:val="39"/>
    <w:semiHidden/>
    <w:unhideWhenUsed/>
    <w:rsid w:val="00810046"/>
    <w:pPr>
      <w:spacing w:after="100"/>
      <w:ind w:left="1100"/>
    </w:pPr>
  </w:style>
  <w:style w:type="paragraph" w:styleId="TOC7">
    <w:name w:val="toc 7"/>
    <w:basedOn w:val="Normal"/>
    <w:next w:val="Normal"/>
    <w:autoRedefine/>
    <w:uiPriority w:val="39"/>
    <w:semiHidden/>
    <w:unhideWhenUsed/>
    <w:rsid w:val="00810046"/>
    <w:pPr>
      <w:spacing w:after="100"/>
      <w:ind w:left="1320"/>
    </w:pPr>
  </w:style>
  <w:style w:type="paragraph" w:styleId="TOC8">
    <w:name w:val="toc 8"/>
    <w:basedOn w:val="Normal"/>
    <w:next w:val="Normal"/>
    <w:autoRedefine/>
    <w:uiPriority w:val="39"/>
    <w:semiHidden/>
    <w:unhideWhenUsed/>
    <w:rsid w:val="00810046"/>
    <w:pPr>
      <w:spacing w:after="100"/>
      <w:ind w:left="1540"/>
    </w:pPr>
  </w:style>
  <w:style w:type="paragraph" w:styleId="TOC9">
    <w:name w:val="toc 9"/>
    <w:basedOn w:val="Normal"/>
    <w:next w:val="Normal"/>
    <w:autoRedefine/>
    <w:uiPriority w:val="39"/>
    <w:semiHidden/>
    <w:unhideWhenUsed/>
    <w:rsid w:val="00810046"/>
    <w:pPr>
      <w:spacing w:after="100"/>
      <w:ind w:left="1760"/>
    </w:pPr>
  </w:style>
  <w:style w:type="paragraph" w:customStyle="1" w:styleId="Table">
    <w:name w:val="Table"/>
    <w:basedOn w:val="BodyText"/>
    <w:qFormat/>
    <w:rsid w:val="00E21FE7"/>
    <w:pPr>
      <w:spacing w:before="20" w:after="20" w:line="240" w:lineRule="auto"/>
    </w:pPr>
    <w:rPr>
      <w:rFonts w:asciiTheme="majorHAnsi" w:eastAsiaTheme="majorEastAsia" w:hAnsiTheme="majorHAnsi" w:cstheme="majorBidi"/>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64125">
      <w:bodyDiv w:val="1"/>
      <w:marLeft w:val="0"/>
      <w:marRight w:val="0"/>
      <w:marTop w:val="0"/>
      <w:marBottom w:val="0"/>
      <w:divBdr>
        <w:top w:val="none" w:sz="0" w:space="0" w:color="auto"/>
        <w:left w:val="none" w:sz="0" w:space="0" w:color="auto"/>
        <w:bottom w:val="none" w:sz="0" w:space="0" w:color="auto"/>
        <w:right w:val="none" w:sz="0" w:space="0" w:color="auto"/>
      </w:divBdr>
    </w:div>
    <w:div w:id="380714689">
      <w:bodyDiv w:val="1"/>
      <w:marLeft w:val="0"/>
      <w:marRight w:val="0"/>
      <w:marTop w:val="0"/>
      <w:marBottom w:val="0"/>
      <w:divBdr>
        <w:top w:val="none" w:sz="0" w:space="0" w:color="auto"/>
        <w:left w:val="none" w:sz="0" w:space="0" w:color="auto"/>
        <w:bottom w:val="none" w:sz="0" w:space="0" w:color="auto"/>
        <w:right w:val="none" w:sz="0" w:space="0" w:color="auto"/>
      </w:divBdr>
      <w:divsChild>
        <w:div w:id="864903719">
          <w:marLeft w:val="240"/>
          <w:marRight w:val="0"/>
          <w:marTop w:val="0"/>
          <w:marBottom w:val="0"/>
          <w:divBdr>
            <w:top w:val="none" w:sz="0" w:space="0" w:color="auto"/>
            <w:left w:val="none" w:sz="0" w:space="0" w:color="auto"/>
            <w:bottom w:val="none" w:sz="0" w:space="0" w:color="auto"/>
            <w:right w:val="none" w:sz="0" w:space="0" w:color="auto"/>
          </w:divBdr>
        </w:div>
      </w:divsChild>
    </w:div>
    <w:div w:id="537739044">
      <w:bodyDiv w:val="1"/>
      <w:marLeft w:val="0"/>
      <w:marRight w:val="0"/>
      <w:marTop w:val="0"/>
      <w:marBottom w:val="0"/>
      <w:divBdr>
        <w:top w:val="none" w:sz="0" w:space="0" w:color="auto"/>
        <w:left w:val="none" w:sz="0" w:space="0" w:color="auto"/>
        <w:bottom w:val="none" w:sz="0" w:space="0" w:color="auto"/>
        <w:right w:val="none" w:sz="0" w:space="0" w:color="auto"/>
      </w:divBdr>
    </w:div>
    <w:div w:id="5699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orp.novocorp.net\aunr\039-2000\Reg\Labelling\PI\Draft\Ozempic\www.tga.gov.au\reporting-problems"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2" Type="http://schemas.openxmlformats.org/officeDocument/2006/relationships/hyperlink" Target="https://www.tga.gov.au/product-information-pi" TargetMode="External"/><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Custom 1">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B1C66625A243A053FA83AA8C9EB8" ma:contentTypeVersion="13" ma:contentTypeDescription="Create a new document." ma:contentTypeScope="" ma:versionID="68c4a5c4e90894dcad863c9ba945b525">
  <xsd:schema xmlns:xsd="http://www.w3.org/2001/XMLSchema" xmlns:xs="http://www.w3.org/2001/XMLSchema" xmlns:p="http://schemas.microsoft.com/office/2006/metadata/properties" xmlns:ns1="http://schemas.microsoft.com/sharepoint/v3" xmlns:ns3="effcbd0b-0b54-4287-9015-cf8f230655f0" xmlns:ns4="93951163-ef44-4f84-9f6e-17aeecd810c0" targetNamespace="http://schemas.microsoft.com/office/2006/metadata/properties" ma:root="true" ma:fieldsID="6789f424f961a2ab62dea65e4f834598" ns1:_="" ns3:_="" ns4:_="">
    <xsd:import namespace="http://schemas.microsoft.com/sharepoint/v3"/>
    <xsd:import namespace="effcbd0b-0b54-4287-9015-cf8f230655f0"/>
    <xsd:import namespace="93951163-ef44-4f84-9f6e-17aeecd810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fcbd0b-0b54-4287-9015-cf8f23065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951163-ef44-4f84-9f6e-17aeecd810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8A656-4340-4CEA-A3C4-F614DE03B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fcbd0b-0b54-4287-9015-cf8f230655f0"/>
    <ds:schemaRef ds:uri="93951163-ef44-4f84-9f6e-17aeecd81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1A786-9466-44F3-884D-82D364734AA1}">
  <ds:schemaRefs>
    <ds:schemaRef ds:uri="http://schemas.openxmlformats.org/officeDocument/2006/bibliography"/>
  </ds:schemaRefs>
</ds:datastoreItem>
</file>

<file path=customXml/itemProps3.xml><?xml version="1.0" encoding="utf-8"?>
<ds:datastoreItem xmlns:ds="http://schemas.openxmlformats.org/officeDocument/2006/customXml" ds:itemID="{D26C189B-694F-4C8F-92E6-E805BF3DA5F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3951163-ef44-4f84-9f6e-17aeecd810c0"/>
    <ds:schemaRef ds:uri="http://purl.org/dc/elements/1.1/"/>
    <ds:schemaRef ds:uri="http://schemas.microsoft.com/office/2006/metadata/properties"/>
    <ds:schemaRef ds:uri="effcbd0b-0b54-4287-9015-cf8f230655f0"/>
    <ds:schemaRef ds:uri="http://www.w3.org/XML/1998/namespace"/>
    <ds:schemaRef ds:uri="http://purl.org/dc/dcmitype/"/>
  </ds:schemaRefs>
</ds:datastoreItem>
</file>

<file path=customXml/itemProps4.xml><?xml version="1.0" encoding="utf-8"?>
<ds:datastoreItem xmlns:ds="http://schemas.openxmlformats.org/officeDocument/2006/customXml" ds:itemID="{7EE20E62-FAEF-41D8-BF82-3B8710DA7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5486</Words>
  <Characters>37773</Characters>
  <Application>Microsoft Office Word</Application>
  <DocSecurity>0</DocSecurity>
  <Lines>968</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Sogroya</dc:title>
  <dc:subject>Prescription medicines</dc:subject>
  <dc:creator>ROSP (Rosa Polo)</dc:creator>
  <cp:keywords>AusPARs</cp:keywords>
  <dc:description/>
  <cp:lastModifiedBy>PITKIN, Brendan</cp:lastModifiedBy>
  <cp:revision>3</cp:revision>
  <dcterms:created xsi:type="dcterms:W3CDTF">2022-08-10T05:28:00Z</dcterms:created>
  <dcterms:modified xsi:type="dcterms:W3CDTF">2022-10-20T02:34:00Z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0x0101009FB0B1C66625A243A053FA83AA8C9EB8</vt:lpwstr>
  </property>
</Properties>
</file>