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B61B9D" w14:paraId="6D05A3A8" w14:textId="77777777" w:rsidTr="00BF1190">
        <w:trPr>
          <w:trHeight w:val="1863"/>
        </w:trPr>
        <w:tc>
          <w:tcPr>
            <w:tcW w:w="3652" w:type="dxa"/>
            <w:tcBorders>
              <w:top w:val="nil"/>
              <w:left w:val="nil"/>
              <w:bottom w:val="nil"/>
              <w:right w:val="nil"/>
            </w:tcBorders>
          </w:tcPr>
          <w:p w14:paraId="33B2CA3F" w14:textId="66533FE8" w:rsidR="008E7846" w:rsidRPr="00B61B9D" w:rsidRDefault="00170AA3" w:rsidP="00F931CE">
            <w:pPr>
              <w:pStyle w:val="Date"/>
              <w:framePr w:hSpace="0" w:wrap="auto" w:vAnchor="margin" w:hAnchor="text" w:yAlign="inline"/>
              <w:suppressOverlap w:val="0"/>
            </w:pPr>
            <w:r>
              <w:t>October</w:t>
            </w:r>
            <w:r w:rsidRPr="00B61B9D">
              <w:t xml:space="preserve"> </w:t>
            </w:r>
            <w:r w:rsidR="006F5605" w:rsidRPr="00B61B9D">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B61B9D" w14:paraId="014C7039" w14:textId="77777777" w:rsidTr="0032583B">
        <w:trPr>
          <w:trHeight w:val="868"/>
        </w:trPr>
        <w:tc>
          <w:tcPr>
            <w:tcW w:w="9079" w:type="dxa"/>
          </w:tcPr>
          <w:p w14:paraId="0C645CE5" w14:textId="2377D446" w:rsidR="0032583B" w:rsidRPr="00B61B9D" w:rsidRDefault="0032583B" w:rsidP="00F931CE">
            <w:pPr>
              <w:pStyle w:val="Title"/>
              <w:framePr w:hSpace="0" w:wrap="auto" w:vAnchor="margin" w:yAlign="inline"/>
            </w:pPr>
            <w:r w:rsidRPr="00B61B9D">
              <w:t>Australian Public Assessment Report for</w:t>
            </w:r>
            <w:r w:rsidR="00AF2313" w:rsidRPr="00B61B9D">
              <w:t xml:space="preserve"> </w:t>
            </w:r>
            <w:r w:rsidR="006F5605" w:rsidRPr="00B61B9D">
              <w:t>Isturisa</w:t>
            </w:r>
          </w:p>
        </w:tc>
      </w:tr>
      <w:tr w:rsidR="0032583B" w:rsidRPr="00B61B9D" w14:paraId="1AF5C6CC" w14:textId="77777777" w:rsidTr="0032583B">
        <w:tc>
          <w:tcPr>
            <w:tcW w:w="9079" w:type="dxa"/>
          </w:tcPr>
          <w:p w14:paraId="6C79E291" w14:textId="4A53F52B" w:rsidR="0032583B" w:rsidRPr="00B61B9D" w:rsidRDefault="00BB75D6" w:rsidP="00F931CE">
            <w:pPr>
              <w:pStyle w:val="Subtitle"/>
              <w:framePr w:hSpace="0" w:wrap="auto" w:vAnchor="margin" w:yAlign="inline"/>
            </w:pPr>
            <w:r w:rsidRPr="00B61B9D">
              <w:t>Active ingredient</w:t>
            </w:r>
            <w:r w:rsidR="0032583B" w:rsidRPr="00B61B9D">
              <w:t xml:space="preserve">: </w:t>
            </w:r>
            <w:r w:rsidR="006F5605" w:rsidRPr="00B61B9D">
              <w:t>Osilodrostat</w:t>
            </w:r>
          </w:p>
        </w:tc>
      </w:tr>
      <w:tr w:rsidR="0032583B" w:rsidRPr="00B61B9D" w14:paraId="3DE9970B" w14:textId="77777777" w:rsidTr="0032583B">
        <w:trPr>
          <w:trHeight w:val="486"/>
        </w:trPr>
        <w:tc>
          <w:tcPr>
            <w:tcW w:w="9079" w:type="dxa"/>
          </w:tcPr>
          <w:p w14:paraId="61D83156" w14:textId="3C2B6584" w:rsidR="0032583B" w:rsidRPr="00B61B9D" w:rsidRDefault="00460036" w:rsidP="009556D7">
            <w:pPr>
              <w:pStyle w:val="Subtitle"/>
              <w:framePr w:hSpace="0" w:wrap="auto" w:vAnchor="margin" w:yAlign="inline"/>
            </w:pPr>
            <w:r w:rsidRPr="00B61B9D">
              <w:t xml:space="preserve">Sponsor: </w:t>
            </w:r>
            <w:r w:rsidR="006F5605" w:rsidRPr="00B61B9D">
              <w:t>Recordati Rare Diseases Australia Pty Ltd</w:t>
            </w:r>
          </w:p>
        </w:tc>
      </w:tr>
    </w:tbl>
    <w:p w14:paraId="51640772" w14:textId="77777777" w:rsidR="008E7846" w:rsidRPr="00B61B9D" w:rsidRDefault="008E7846" w:rsidP="00AA7B66">
      <w:pPr>
        <w:pStyle w:val="NonTOCHeading2"/>
        <w:pageBreakBefore/>
      </w:pPr>
      <w:r w:rsidRPr="00B61B9D">
        <w:lastRenderedPageBreak/>
        <w:t>About the Therapeutic Goods Administration (TGA)</w:t>
      </w:r>
    </w:p>
    <w:p w14:paraId="057E8918" w14:textId="77777777" w:rsidR="00AF2313" w:rsidRPr="00B61B9D" w:rsidRDefault="00AF2313" w:rsidP="00AF2313">
      <w:pPr>
        <w:pStyle w:val="ListBullet"/>
      </w:pPr>
      <w:r w:rsidRPr="00B61B9D">
        <w:t>The Therapeutic Goods Administration (TGA) is part of the Australian Government Department of Health and is responsible for regulating therapeutic goods, including medicines, medical devices, and biologicals.</w:t>
      </w:r>
    </w:p>
    <w:p w14:paraId="625E07AD" w14:textId="77777777" w:rsidR="00AF2313" w:rsidRPr="00B61B9D" w:rsidRDefault="00AF2313" w:rsidP="00AF2313">
      <w:pPr>
        <w:pStyle w:val="ListBullet"/>
      </w:pPr>
      <w:r w:rsidRPr="00B61B9D">
        <w:t xml:space="preserve">The TGA administers the </w:t>
      </w:r>
      <w:r w:rsidRPr="00B61B9D">
        <w:rPr>
          <w:i/>
          <w:iCs/>
        </w:rPr>
        <w:t>Therapeutic Goods Act 1989</w:t>
      </w:r>
      <w:r w:rsidRPr="00B61B9D">
        <w:t xml:space="preserve"> (the Act), applying a risk management approach designed to ensure therapeutic goods supplied in Australia meet acceptable standards of quality, </w:t>
      </w:r>
      <w:r w:rsidR="00CC5044" w:rsidRPr="00B61B9D">
        <w:t>safety,</w:t>
      </w:r>
      <w:r w:rsidRPr="00B61B9D">
        <w:t xml:space="preserve"> and efficacy.</w:t>
      </w:r>
    </w:p>
    <w:p w14:paraId="4C596D43" w14:textId="77777777" w:rsidR="00AF2313" w:rsidRPr="00B61B9D" w:rsidRDefault="00AF2313" w:rsidP="00AF2313">
      <w:pPr>
        <w:pStyle w:val="ListBullet"/>
      </w:pPr>
      <w:r w:rsidRPr="00B61B9D">
        <w:t>The work of the TGA is based on applying scientific and clinical expertise to decision-making, to ensure that the benefits to the Australian public outweigh any risks associated with the use of therapeutic goods.</w:t>
      </w:r>
    </w:p>
    <w:p w14:paraId="1DC16F05" w14:textId="77777777" w:rsidR="00AF2313" w:rsidRPr="00B61B9D" w:rsidRDefault="00AF2313" w:rsidP="00AF2313">
      <w:pPr>
        <w:pStyle w:val="ListBullet"/>
      </w:pPr>
      <w:r w:rsidRPr="00B61B9D">
        <w:t>The TGA relies on the public, healthcare professionals and industry to report problems with therapeutic goods. The TGA investigates reports received to determine any necessary regulatory action.</w:t>
      </w:r>
    </w:p>
    <w:p w14:paraId="20CCD7D4" w14:textId="01417D77" w:rsidR="00AF2313" w:rsidRPr="00B61B9D" w:rsidRDefault="00AF2313" w:rsidP="00AF2313">
      <w:pPr>
        <w:pStyle w:val="ListBullet"/>
      </w:pPr>
      <w:r w:rsidRPr="00B61B9D">
        <w:t xml:space="preserve">To report a problem with a therapeutic good, please see the information on the </w:t>
      </w:r>
      <w:hyperlink r:id="rId8" w:history="1">
        <w:r w:rsidRPr="00B61B9D">
          <w:rPr>
            <w:rStyle w:val="Hyperlink"/>
          </w:rPr>
          <w:t>TGA website</w:t>
        </w:r>
      </w:hyperlink>
      <w:r w:rsidRPr="00B61B9D">
        <w:t>.</w:t>
      </w:r>
    </w:p>
    <w:p w14:paraId="6D809EA7" w14:textId="77777777" w:rsidR="008E7846" w:rsidRPr="00B61B9D" w:rsidRDefault="008E7846" w:rsidP="00875A6B">
      <w:pPr>
        <w:pStyle w:val="NonTOCHeading2"/>
      </w:pPr>
      <w:r w:rsidRPr="00B61B9D">
        <w:t>About AusPARs</w:t>
      </w:r>
    </w:p>
    <w:p w14:paraId="7A53672C" w14:textId="4876E305" w:rsidR="00AF2313" w:rsidRPr="00B61B9D" w:rsidRDefault="00AF2313" w:rsidP="00AF2313">
      <w:pPr>
        <w:pStyle w:val="ListBullet"/>
      </w:pPr>
      <w:r w:rsidRPr="00B61B9D">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9" w:history="1">
        <w:r w:rsidRPr="00B61B9D">
          <w:rPr>
            <w:rStyle w:val="Hyperlink"/>
          </w:rPr>
          <w:t>Australian Public Assessment Report (AusPAR) guidance</w:t>
        </w:r>
      </w:hyperlink>
      <w:r w:rsidRPr="00B61B9D">
        <w:t>.</w:t>
      </w:r>
    </w:p>
    <w:p w14:paraId="6CAA0296" w14:textId="77777777" w:rsidR="00AF2313" w:rsidRPr="00B61B9D" w:rsidRDefault="00AF2313" w:rsidP="00AF2313">
      <w:pPr>
        <w:pStyle w:val="ListBullet"/>
      </w:pPr>
      <w:r w:rsidRPr="00B61B9D">
        <w:t>AusPARs are prepared and published by the TGA.</w:t>
      </w:r>
    </w:p>
    <w:p w14:paraId="51321B38" w14:textId="77777777" w:rsidR="00AF2313" w:rsidRPr="00B61B9D" w:rsidRDefault="00AF2313" w:rsidP="00AF2313">
      <w:pPr>
        <w:pStyle w:val="ListBullet"/>
      </w:pPr>
      <w:r w:rsidRPr="00B61B9D">
        <w:t>AusPARs are static documents that provide information that relates to a submission at a particular point in time.</w:t>
      </w:r>
      <w:r w:rsidR="008110BC" w:rsidRPr="00B61B9D">
        <w:t xml:space="preserve"> The publication of an AusPAR is an important part of the transparency of the TGA’s decision-making process.</w:t>
      </w:r>
    </w:p>
    <w:p w14:paraId="0A4B0E63" w14:textId="77777777" w:rsidR="00AF2313" w:rsidRPr="00B61B9D" w:rsidRDefault="00AF2313" w:rsidP="00AF2313">
      <w:pPr>
        <w:pStyle w:val="ListBullet"/>
      </w:pPr>
      <w:r w:rsidRPr="00B61B9D">
        <w:t>A new AusPAR may be provided to reflect changes to indications or major variations to a prescription medicine subject to evaluation by the TGA.</w:t>
      </w:r>
    </w:p>
    <w:p w14:paraId="7C7393AC" w14:textId="77777777" w:rsidR="00924482" w:rsidRPr="00B61B9D" w:rsidRDefault="00924482" w:rsidP="00F54B65">
      <w:pPr>
        <w:pStyle w:val="LegalSubheading"/>
        <w:spacing w:before="3120"/>
      </w:pPr>
      <w:r w:rsidRPr="00B61B9D">
        <w:t>Copyright</w:t>
      </w:r>
    </w:p>
    <w:p w14:paraId="78F53806" w14:textId="13F017C7" w:rsidR="00924482" w:rsidRPr="00B61B9D" w:rsidRDefault="00924482" w:rsidP="00924482">
      <w:pPr>
        <w:pStyle w:val="LegalCopy"/>
      </w:pPr>
      <w:r w:rsidRPr="00B61B9D">
        <w:rPr>
          <w:rFonts w:cs="Arial"/>
          <w:lang w:val="en-GB"/>
        </w:rPr>
        <w:t>© Commonwealth of Australia 20</w:t>
      </w:r>
      <w:r w:rsidR="00460036" w:rsidRPr="00B61B9D">
        <w:rPr>
          <w:rFonts w:cs="Arial"/>
          <w:lang w:val="en-GB"/>
        </w:rPr>
        <w:t>2</w:t>
      </w:r>
      <w:r w:rsidR="00AF2313" w:rsidRPr="00B61B9D">
        <w:rPr>
          <w:rFonts w:cs="Arial"/>
          <w:lang w:val="en-GB"/>
        </w:rPr>
        <w:t>2</w:t>
      </w:r>
      <w:r w:rsidRPr="00B61B9D">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B61B9D">
        <w:rPr>
          <w:rFonts w:cs="Arial"/>
          <w:i/>
          <w:lang w:val="en-GB"/>
        </w:rPr>
        <w:t>Copyright Act 1968</w:t>
      </w:r>
      <w:r w:rsidRPr="00B61B9D">
        <w:rPr>
          <w:rFonts w:cs="Arial"/>
          <w:lang w:val="en-GB"/>
        </w:rPr>
        <w:t xml:space="preserve"> or allowed by this copyright notice, all other rights are </w:t>
      </w:r>
      <w:r w:rsidR="00EB36D6" w:rsidRPr="00B61B9D">
        <w:rPr>
          <w:rFonts w:cs="Arial"/>
          <w:lang w:val="en-GB"/>
        </w:rPr>
        <w:t>reserved,</w:t>
      </w:r>
      <w:r w:rsidRPr="00B61B9D">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B61B9D">
          <w:rPr>
            <w:rStyle w:val="Hyperlink"/>
            <w:rFonts w:cs="Arial"/>
            <w:lang w:val="en-GB"/>
          </w:rPr>
          <w:t>tga.copyright@tga.gov.au</w:t>
        </w:r>
      </w:hyperlink>
      <w:r w:rsidRPr="00B61B9D">
        <w:rPr>
          <w:rFonts w:cs="Arial"/>
        </w:rPr>
        <w:t>&gt;.</w:t>
      </w:r>
    </w:p>
    <w:p w14:paraId="727338D6" w14:textId="77777777" w:rsidR="00924482" w:rsidRPr="00B61B9D" w:rsidRDefault="00924482" w:rsidP="00924482">
      <w:pPr>
        <w:pStyle w:val="LegalCopy"/>
        <w:sectPr w:rsidR="00924482" w:rsidRPr="00B61B9D"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95850EB" w14:textId="77777777" w:rsidR="0089635C" w:rsidRPr="00B61B9D" w:rsidRDefault="0089635C" w:rsidP="0010788A">
          <w:pPr>
            <w:pStyle w:val="Contents"/>
          </w:pPr>
          <w:r w:rsidRPr="00B61B9D">
            <w:t>Contents</w:t>
          </w:r>
        </w:p>
        <w:p w14:paraId="21A95683" w14:textId="5A8538F2" w:rsidR="009B4A87" w:rsidRDefault="00C525A2">
          <w:pPr>
            <w:pStyle w:val="TOC1"/>
            <w:rPr>
              <w:rFonts w:asciiTheme="minorHAnsi" w:eastAsiaTheme="minorEastAsia" w:hAnsiTheme="minorHAnsi" w:cstheme="minorBidi"/>
              <w:b w:val="0"/>
              <w:noProof/>
              <w:sz w:val="22"/>
              <w:lang w:eastAsia="en-AU"/>
            </w:rPr>
          </w:pPr>
          <w:r w:rsidRPr="00B61B9D">
            <w:fldChar w:fldCharType="begin"/>
          </w:r>
          <w:r w:rsidRPr="00B61B9D">
            <w:instrText xml:space="preserve"> TOC \h \z \t "Heading 2,1,Heading 3,2" </w:instrText>
          </w:r>
          <w:r w:rsidRPr="00B61B9D">
            <w:fldChar w:fldCharType="separate"/>
          </w:r>
          <w:hyperlink w:anchor="_Toc117259875" w:history="1">
            <w:r w:rsidR="009B4A87" w:rsidRPr="00235C34">
              <w:rPr>
                <w:rStyle w:val="Hyperlink"/>
                <w:noProof/>
              </w:rPr>
              <w:t>List of abbreviations</w:t>
            </w:r>
            <w:r w:rsidR="009B4A87">
              <w:rPr>
                <w:noProof/>
                <w:webHidden/>
              </w:rPr>
              <w:tab/>
            </w:r>
            <w:r w:rsidR="009B4A87">
              <w:rPr>
                <w:noProof/>
                <w:webHidden/>
              </w:rPr>
              <w:fldChar w:fldCharType="begin"/>
            </w:r>
            <w:r w:rsidR="009B4A87">
              <w:rPr>
                <w:noProof/>
                <w:webHidden/>
              </w:rPr>
              <w:instrText xml:space="preserve"> PAGEREF _Toc117259875 \h </w:instrText>
            </w:r>
            <w:r w:rsidR="009B4A87">
              <w:rPr>
                <w:noProof/>
                <w:webHidden/>
              </w:rPr>
            </w:r>
            <w:r w:rsidR="009B4A87">
              <w:rPr>
                <w:noProof/>
                <w:webHidden/>
              </w:rPr>
              <w:fldChar w:fldCharType="separate"/>
            </w:r>
            <w:r w:rsidR="00A12D67">
              <w:rPr>
                <w:noProof/>
                <w:webHidden/>
              </w:rPr>
              <w:t>4</w:t>
            </w:r>
            <w:r w:rsidR="009B4A87">
              <w:rPr>
                <w:noProof/>
                <w:webHidden/>
              </w:rPr>
              <w:fldChar w:fldCharType="end"/>
            </w:r>
          </w:hyperlink>
        </w:p>
        <w:p w14:paraId="78689E9A" w14:textId="334480B3" w:rsidR="009B4A87" w:rsidRDefault="00A12D67">
          <w:pPr>
            <w:pStyle w:val="TOC1"/>
            <w:rPr>
              <w:rFonts w:asciiTheme="minorHAnsi" w:eastAsiaTheme="minorEastAsia" w:hAnsiTheme="minorHAnsi" w:cstheme="minorBidi"/>
              <w:b w:val="0"/>
              <w:noProof/>
              <w:sz w:val="22"/>
              <w:lang w:eastAsia="en-AU"/>
            </w:rPr>
          </w:pPr>
          <w:hyperlink w:anchor="_Toc117259876" w:history="1">
            <w:r w:rsidR="009B4A87" w:rsidRPr="00235C34">
              <w:rPr>
                <w:rStyle w:val="Hyperlink"/>
                <w:noProof/>
              </w:rPr>
              <w:t>Product submission</w:t>
            </w:r>
            <w:r w:rsidR="009B4A87">
              <w:rPr>
                <w:noProof/>
                <w:webHidden/>
              </w:rPr>
              <w:tab/>
            </w:r>
            <w:r w:rsidR="009B4A87">
              <w:rPr>
                <w:noProof/>
                <w:webHidden/>
              </w:rPr>
              <w:fldChar w:fldCharType="begin"/>
            </w:r>
            <w:r w:rsidR="009B4A87">
              <w:rPr>
                <w:noProof/>
                <w:webHidden/>
              </w:rPr>
              <w:instrText xml:space="preserve"> PAGEREF _Toc117259876 \h </w:instrText>
            </w:r>
            <w:r w:rsidR="009B4A87">
              <w:rPr>
                <w:noProof/>
                <w:webHidden/>
              </w:rPr>
            </w:r>
            <w:r w:rsidR="009B4A87">
              <w:rPr>
                <w:noProof/>
                <w:webHidden/>
              </w:rPr>
              <w:fldChar w:fldCharType="separate"/>
            </w:r>
            <w:r>
              <w:rPr>
                <w:noProof/>
                <w:webHidden/>
              </w:rPr>
              <w:t>7</w:t>
            </w:r>
            <w:r w:rsidR="009B4A87">
              <w:rPr>
                <w:noProof/>
                <w:webHidden/>
              </w:rPr>
              <w:fldChar w:fldCharType="end"/>
            </w:r>
          </w:hyperlink>
        </w:p>
        <w:p w14:paraId="609970EE" w14:textId="415B756A" w:rsidR="009B4A87" w:rsidRDefault="00A12D67">
          <w:pPr>
            <w:pStyle w:val="TOC2"/>
            <w:rPr>
              <w:rFonts w:asciiTheme="minorHAnsi" w:eastAsiaTheme="minorEastAsia" w:hAnsiTheme="minorHAnsi" w:cstheme="minorBidi"/>
              <w:b w:val="0"/>
              <w:noProof/>
              <w:sz w:val="22"/>
              <w:lang w:eastAsia="en-AU"/>
            </w:rPr>
          </w:pPr>
          <w:hyperlink w:anchor="_Toc117259877" w:history="1">
            <w:r w:rsidR="009B4A87" w:rsidRPr="00235C34">
              <w:rPr>
                <w:rStyle w:val="Hyperlink"/>
                <w:noProof/>
                <w:lang w:eastAsia="en-AU"/>
              </w:rPr>
              <w:t>Submission details</w:t>
            </w:r>
            <w:r w:rsidR="009B4A87">
              <w:rPr>
                <w:noProof/>
                <w:webHidden/>
              </w:rPr>
              <w:tab/>
            </w:r>
            <w:r w:rsidR="009B4A87">
              <w:rPr>
                <w:noProof/>
                <w:webHidden/>
              </w:rPr>
              <w:fldChar w:fldCharType="begin"/>
            </w:r>
            <w:r w:rsidR="009B4A87">
              <w:rPr>
                <w:noProof/>
                <w:webHidden/>
              </w:rPr>
              <w:instrText xml:space="preserve"> PAGEREF _Toc117259877 \h </w:instrText>
            </w:r>
            <w:r w:rsidR="009B4A87">
              <w:rPr>
                <w:noProof/>
                <w:webHidden/>
              </w:rPr>
            </w:r>
            <w:r w:rsidR="009B4A87">
              <w:rPr>
                <w:noProof/>
                <w:webHidden/>
              </w:rPr>
              <w:fldChar w:fldCharType="separate"/>
            </w:r>
            <w:r>
              <w:rPr>
                <w:noProof/>
                <w:webHidden/>
              </w:rPr>
              <w:t>7</w:t>
            </w:r>
            <w:r w:rsidR="009B4A87">
              <w:rPr>
                <w:noProof/>
                <w:webHidden/>
              </w:rPr>
              <w:fldChar w:fldCharType="end"/>
            </w:r>
          </w:hyperlink>
        </w:p>
        <w:p w14:paraId="798E4561" w14:textId="179E5909" w:rsidR="009B4A87" w:rsidRDefault="00A12D67">
          <w:pPr>
            <w:pStyle w:val="TOC2"/>
            <w:rPr>
              <w:rFonts w:asciiTheme="minorHAnsi" w:eastAsiaTheme="minorEastAsia" w:hAnsiTheme="minorHAnsi" w:cstheme="minorBidi"/>
              <w:b w:val="0"/>
              <w:noProof/>
              <w:sz w:val="22"/>
              <w:lang w:eastAsia="en-AU"/>
            </w:rPr>
          </w:pPr>
          <w:hyperlink w:anchor="_Toc117259878" w:history="1">
            <w:r w:rsidR="009B4A87" w:rsidRPr="00235C34">
              <w:rPr>
                <w:rStyle w:val="Hyperlink"/>
                <w:noProof/>
              </w:rPr>
              <w:t>Product background</w:t>
            </w:r>
            <w:r w:rsidR="009B4A87">
              <w:rPr>
                <w:noProof/>
                <w:webHidden/>
              </w:rPr>
              <w:tab/>
            </w:r>
            <w:r w:rsidR="009B4A87">
              <w:rPr>
                <w:noProof/>
                <w:webHidden/>
              </w:rPr>
              <w:fldChar w:fldCharType="begin"/>
            </w:r>
            <w:r w:rsidR="009B4A87">
              <w:rPr>
                <w:noProof/>
                <w:webHidden/>
              </w:rPr>
              <w:instrText xml:space="preserve"> PAGEREF _Toc117259878 \h </w:instrText>
            </w:r>
            <w:r w:rsidR="009B4A87">
              <w:rPr>
                <w:noProof/>
                <w:webHidden/>
              </w:rPr>
            </w:r>
            <w:r w:rsidR="009B4A87">
              <w:rPr>
                <w:noProof/>
                <w:webHidden/>
              </w:rPr>
              <w:fldChar w:fldCharType="separate"/>
            </w:r>
            <w:r>
              <w:rPr>
                <w:noProof/>
                <w:webHidden/>
              </w:rPr>
              <w:t>8</w:t>
            </w:r>
            <w:r w:rsidR="009B4A87">
              <w:rPr>
                <w:noProof/>
                <w:webHidden/>
              </w:rPr>
              <w:fldChar w:fldCharType="end"/>
            </w:r>
          </w:hyperlink>
        </w:p>
        <w:p w14:paraId="6208A228" w14:textId="293C46A5" w:rsidR="009B4A87" w:rsidRDefault="00A12D67">
          <w:pPr>
            <w:pStyle w:val="TOC2"/>
            <w:rPr>
              <w:rFonts w:asciiTheme="minorHAnsi" w:eastAsiaTheme="minorEastAsia" w:hAnsiTheme="minorHAnsi" w:cstheme="minorBidi"/>
              <w:b w:val="0"/>
              <w:noProof/>
              <w:sz w:val="22"/>
              <w:lang w:eastAsia="en-AU"/>
            </w:rPr>
          </w:pPr>
          <w:hyperlink w:anchor="_Toc117259879" w:history="1">
            <w:r w:rsidR="009B4A87" w:rsidRPr="00235C34">
              <w:rPr>
                <w:rStyle w:val="Hyperlink"/>
                <w:noProof/>
              </w:rPr>
              <w:t>Regulatory status</w:t>
            </w:r>
            <w:r w:rsidR="009B4A87">
              <w:rPr>
                <w:noProof/>
                <w:webHidden/>
              </w:rPr>
              <w:tab/>
            </w:r>
            <w:r w:rsidR="009B4A87">
              <w:rPr>
                <w:noProof/>
                <w:webHidden/>
              </w:rPr>
              <w:fldChar w:fldCharType="begin"/>
            </w:r>
            <w:r w:rsidR="009B4A87">
              <w:rPr>
                <w:noProof/>
                <w:webHidden/>
              </w:rPr>
              <w:instrText xml:space="preserve"> PAGEREF _Toc117259879 \h </w:instrText>
            </w:r>
            <w:r w:rsidR="009B4A87">
              <w:rPr>
                <w:noProof/>
                <w:webHidden/>
              </w:rPr>
            </w:r>
            <w:r w:rsidR="009B4A87">
              <w:rPr>
                <w:noProof/>
                <w:webHidden/>
              </w:rPr>
              <w:fldChar w:fldCharType="separate"/>
            </w:r>
            <w:r>
              <w:rPr>
                <w:noProof/>
                <w:webHidden/>
              </w:rPr>
              <w:t>10</w:t>
            </w:r>
            <w:r w:rsidR="009B4A87">
              <w:rPr>
                <w:noProof/>
                <w:webHidden/>
              </w:rPr>
              <w:fldChar w:fldCharType="end"/>
            </w:r>
          </w:hyperlink>
        </w:p>
        <w:p w14:paraId="0041C58E" w14:textId="0069C4D7" w:rsidR="009B4A87" w:rsidRDefault="00A12D67">
          <w:pPr>
            <w:pStyle w:val="TOC2"/>
            <w:rPr>
              <w:rFonts w:asciiTheme="minorHAnsi" w:eastAsiaTheme="minorEastAsia" w:hAnsiTheme="minorHAnsi" w:cstheme="minorBidi"/>
              <w:b w:val="0"/>
              <w:noProof/>
              <w:sz w:val="22"/>
              <w:lang w:eastAsia="en-AU"/>
            </w:rPr>
          </w:pPr>
          <w:hyperlink w:anchor="_Toc117259880" w:history="1">
            <w:r w:rsidR="009B4A87" w:rsidRPr="00235C34">
              <w:rPr>
                <w:rStyle w:val="Hyperlink"/>
                <w:noProof/>
              </w:rPr>
              <w:t>Product Information</w:t>
            </w:r>
            <w:r w:rsidR="009B4A87">
              <w:rPr>
                <w:noProof/>
                <w:webHidden/>
              </w:rPr>
              <w:tab/>
            </w:r>
            <w:r w:rsidR="009B4A87">
              <w:rPr>
                <w:noProof/>
                <w:webHidden/>
              </w:rPr>
              <w:fldChar w:fldCharType="begin"/>
            </w:r>
            <w:r w:rsidR="009B4A87">
              <w:rPr>
                <w:noProof/>
                <w:webHidden/>
              </w:rPr>
              <w:instrText xml:space="preserve"> PAGEREF _Toc117259880 \h </w:instrText>
            </w:r>
            <w:r w:rsidR="009B4A87">
              <w:rPr>
                <w:noProof/>
                <w:webHidden/>
              </w:rPr>
            </w:r>
            <w:r w:rsidR="009B4A87">
              <w:rPr>
                <w:noProof/>
                <w:webHidden/>
              </w:rPr>
              <w:fldChar w:fldCharType="separate"/>
            </w:r>
            <w:r>
              <w:rPr>
                <w:noProof/>
                <w:webHidden/>
              </w:rPr>
              <w:t>11</w:t>
            </w:r>
            <w:r w:rsidR="009B4A87">
              <w:rPr>
                <w:noProof/>
                <w:webHidden/>
              </w:rPr>
              <w:fldChar w:fldCharType="end"/>
            </w:r>
          </w:hyperlink>
        </w:p>
        <w:p w14:paraId="76449713" w14:textId="4DDCACF7" w:rsidR="009B4A87" w:rsidRDefault="00A12D67">
          <w:pPr>
            <w:pStyle w:val="TOC1"/>
            <w:rPr>
              <w:rFonts w:asciiTheme="minorHAnsi" w:eastAsiaTheme="minorEastAsia" w:hAnsiTheme="minorHAnsi" w:cstheme="minorBidi"/>
              <w:b w:val="0"/>
              <w:noProof/>
              <w:sz w:val="22"/>
              <w:lang w:eastAsia="en-AU"/>
            </w:rPr>
          </w:pPr>
          <w:hyperlink w:anchor="_Toc117259881" w:history="1">
            <w:r w:rsidR="009B4A87" w:rsidRPr="00235C34">
              <w:rPr>
                <w:rStyle w:val="Hyperlink"/>
                <w:noProof/>
              </w:rPr>
              <w:t>Registration timeline</w:t>
            </w:r>
            <w:r w:rsidR="009B4A87">
              <w:rPr>
                <w:noProof/>
                <w:webHidden/>
              </w:rPr>
              <w:tab/>
            </w:r>
            <w:r w:rsidR="009B4A87">
              <w:rPr>
                <w:noProof/>
                <w:webHidden/>
              </w:rPr>
              <w:fldChar w:fldCharType="begin"/>
            </w:r>
            <w:r w:rsidR="009B4A87">
              <w:rPr>
                <w:noProof/>
                <w:webHidden/>
              </w:rPr>
              <w:instrText xml:space="preserve"> PAGEREF _Toc117259881 \h </w:instrText>
            </w:r>
            <w:r w:rsidR="009B4A87">
              <w:rPr>
                <w:noProof/>
                <w:webHidden/>
              </w:rPr>
            </w:r>
            <w:r w:rsidR="009B4A87">
              <w:rPr>
                <w:noProof/>
                <w:webHidden/>
              </w:rPr>
              <w:fldChar w:fldCharType="separate"/>
            </w:r>
            <w:r>
              <w:rPr>
                <w:noProof/>
                <w:webHidden/>
              </w:rPr>
              <w:t>11</w:t>
            </w:r>
            <w:r w:rsidR="009B4A87">
              <w:rPr>
                <w:noProof/>
                <w:webHidden/>
              </w:rPr>
              <w:fldChar w:fldCharType="end"/>
            </w:r>
          </w:hyperlink>
        </w:p>
        <w:p w14:paraId="4064A07A" w14:textId="1CE8E37F" w:rsidR="009B4A87" w:rsidRDefault="00A12D67">
          <w:pPr>
            <w:pStyle w:val="TOC1"/>
            <w:rPr>
              <w:rFonts w:asciiTheme="minorHAnsi" w:eastAsiaTheme="minorEastAsia" w:hAnsiTheme="minorHAnsi" w:cstheme="minorBidi"/>
              <w:b w:val="0"/>
              <w:noProof/>
              <w:sz w:val="22"/>
              <w:lang w:eastAsia="en-AU"/>
            </w:rPr>
          </w:pPr>
          <w:hyperlink w:anchor="_Toc117259882" w:history="1">
            <w:r w:rsidR="009B4A87" w:rsidRPr="00235C34">
              <w:rPr>
                <w:rStyle w:val="Hyperlink"/>
                <w:noProof/>
              </w:rPr>
              <w:t>Submission overview and risk/benefit assessment</w:t>
            </w:r>
            <w:r w:rsidR="009B4A87">
              <w:rPr>
                <w:noProof/>
                <w:webHidden/>
              </w:rPr>
              <w:tab/>
            </w:r>
            <w:r w:rsidR="009B4A87">
              <w:rPr>
                <w:noProof/>
                <w:webHidden/>
              </w:rPr>
              <w:fldChar w:fldCharType="begin"/>
            </w:r>
            <w:r w:rsidR="009B4A87">
              <w:rPr>
                <w:noProof/>
                <w:webHidden/>
              </w:rPr>
              <w:instrText xml:space="preserve"> PAGEREF _Toc117259882 \h </w:instrText>
            </w:r>
            <w:r w:rsidR="009B4A87">
              <w:rPr>
                <w:noProof/>
                <w:webHidden/>
              </w:rPr>
            </w:r>
            <w:r w:rsidR="009B4A87">
              <w:rPr>
                <w:noProof/>
                <w:webHidden/>
              </w:rPr>
              <w:fldChar w:fldCharType="separate"/>
            </w:r>
            <w:r>
              <w:rPr>
                <w:noProof/>
                <w:webHidden/>
              </w:rPr>
              <w:t>11</w:t>
            </w:r>
            <w:r w:rsidR="009B4A87">
              <w:rPr>
                <w:noProof/>
                <w:webHidden/>
              </w:rPr>
              <w:fldChar w:fldCharType="end"/>
            </w:r>
          </w:hyperlink>
        </w:p>
        <w:p w14:paraId="6F6D31D3" w14:textId="3E4F3309" w:rsidR="009B4A87" w:rsidRDefault="00A12D67">
          <w:pPr>
            <w:pStyle w:val="TOC2"/>
            <w:rPr>
              <w:rFonts w:asciiTheme="minorHAnsi" w:eastAsiaTheme="minorEastAsia" w:hAnsiTheme="minorHAnsi" w:cstheme="minorBidi"/>
              <w:b w:val="0"/>
              <w:noProof/>
              <w:sz w:val="22"/>
              <w:lang w:eastAsia="en-AU"/>
            </w:rPr>
          </w:pPr>
          <w:hyperlink w:anchor="_Toc117259883" w:history="1">
            <w:r w:rsidR="009B4A87" w:rsidRPr="00235C34">
              <w:rPr>
                <w:rStyle w:val="Hyperlink"/>
                <w:noProof/>
              </w:rPr>
              <w:t>Quality</w:t>
            </w:r>
            <w:r w:rsidR="009B4A87">
              <w:rPr>
                <w:noProof/>
                <w:webHidden/>
              </w:rPr>
              <w:tab/>
            </w:r>
            <w:r w:rsidR="009B4A87">
              <w:rPr>
                <w:noProof/>
                <w:webHidden/>
              </w:rPr>
              <w:fldChar w:fldCharType="begin"/>
            </w:r>
            <w:r w:rsidR="009B4A87">
              <w:rPr>
                <w:noProof/>
                <w:webHidden/>
              </w:rPr>
              <w:instrText xml:space="preserve"> PAGEREF _Toc117259883 \h </w:instrText>
            </w:r>
            <w:r w:rsidR="009B4A87">
              <w:rPr>
                <w:noProof/>
                <w:webHidden/>
              </w:rPr>
            </w:r>
            <w:r w:rsidR="009B4A87">
              <w:rPr>
                <w:noProof/>
                <w:webHidden/>
              </w:rPr>
              <w:fldChar w:fldCharType="separate"/>
            </w:r>
            <w:r>
              <w:rPr>
                <w:noProof/>
                <w:webHidden/>
              </w:rPr>
              <w:t>12</w:t>
            </w:r>
            <w:r w:rsidR="009B4A87">
              <w:rPr>
                <w:noProof/>
                <w:webHidden/>
              </w:rPr>
              <w:fldChar w:fldCharType="end"/>
            </w:r>
          </w:hyperlink>
        </w:p>
        <w:p w14:paraId="4B1D4CC2" w14:textId="132B1B44" w:rsidR="009B4A87" w:rsidRDefault="00A12D67">
          <w:pPr>
            <w:pStyle w:val="TOC2"/>
            <w:rPr>
              <w:rFonts w:asciiTheme="minorHAnsi" w:eastAsiaTheme="minorEastAsia" w:hAnsiTheme="minorHAnsi" w:cstheme="minorBidi"/>
              <w:b w:val="0"/>
              <w:noProof/>
              <w:sz w:val="22"/>
              <w:lang w:eastAsia="en-AU"/>
            </w:rPr>
          </w:pPr>
          <w:hyperlink w:anchor="_Toc117259884" w:history="1">
            <w:r w:rsidR="009B4A87" w:rsidRPr="00235C34">
              <w:rPr>
                <w:rStyle w:val="Hyperlink"/>
                <w:noProof/>
              </w:rPr>
              <w:t>Nonclinical</w:t>
            </w:r>
            <w:r w:rsidR="009B4A87">
              <w:rPr>
                <w:noProof/>
                <w:webHidden/>
              </w:rPr>
              <w:tab/>
            </w:r>
            <w:r w:rsidR="009B4A87">
              <w:rPr>
                <w:noProof/>
                <w:webHidden/>
              </w:rPr>
              <w:fldChar w:fldCharType="begin"/>
            </w:r>
            <w:r w:rsidR="009B4A87">
              <w:rPr>
                <w:noProof/>
                <w:webHidden/>
              </w:rPr>
              <w:instrText xml:space="preserve"> PAGEREF _Toc117259884 \h </w:instrText>
            </w:r>
            <w:r w:rsidR="009B4A87">
              <w:rPr>
                <w:noProof/>
                <w:webHidden/>
              </w:rPr>
            </w:r>
            <w:r w:rsidR="009B4A87">
              <w:rPr>
                <w:noProof/>
                <w:webHidden/>
              </w:rPr>
              <w:fldChar w:fldCharType="separate"/>
            </w:r>
            <w:r>
              <w:rPr>
                <w:noProof/>
                <w:webHidden/>
              </w:rPr>
              <w:t>13</w:t>
            </w:r>
            <w:r w:rsidR="009B4A87">
              <w:rPr>
                <w:noProof/>
                <w:webHidden/>
              </w:rPr>
              <w:fldChar w:fldCharType="end"/>
            </w:r>
          </w:hyperlink>
        </w:p>
        <w:p w14:paraId="3E1697E7" w14:textId="369DC274" w:rsidR="009B4A87" w:rsidRDefault="00A12D67">
          <w:pPr>
            <w:pStyle w:val="TOC2"/>
            <w:rPr>
              <w:rFonts w:asciiTheme="minorHAnsi" w:eastAsiaTheme="minorEastAsia" w:hAnsiTheme="minorHAnsi" w:cstheme="minorBidi"/>
              <w:b w:val="0"/>
              <w:noProof/>
              <w:sz w:val="22"/>
              <w:lang w:eastAsia="en-AU"/>
            </w:rPr>
          </w:pPr>
          <w:hyperlink w:anchor="_Toc117259885" w:history="1">
            <w:r w:rsidR="009B4A87" w:rsidRPr="00235C34">
              <w:rPr>
                <w:rStyle w:val="Hyperlink"/>
                <w:noProof/>
              </w:rPr>
              <w:t>Clinical</w:t>
            </w:r>
            <w:r w:rsidR="009B4A87">
              <w:rPr>
                <w:noProof/>
                <w:webHidden/>
              </w:rPr>
              <w:tab/>
            </w:r>
            <w:r w:rsidR="009B4A87">
              <w:rPr>
                <w:noProof/>
                <w:webHidden/>
              </w:rPr>
              <w:fldChar w:fldCharType="begin"/>
            </w:r>
            <w:r w:rsidR="009B4A87">
              <w:rPr>
                <w:noProof/>
                <w:webHidden/>
              </w:rPr>
              <w:instrText xml:space="preserve"> PAGEREF _Toc117259885 \h </w:instrText>
            </w:r>
            <w:r w:rsidR="009B4A87">
              <w:rPr>
                <w:noProof/>
                <w:webHidden/>
              </w:rPr>
            </w:r>
            <w:r w:rsidR="009B4A87">
              <w:rPr>
                <w:noProof/>
                <w:webHidden/>
              </w:rPr>
              <w:fldChar w:fldCharType="separate"/>
            </w:r>
            <w:r>
              <w:rPr>
                <w:noProof/>
                <w:webHidden/>
              </w:rPr>
              <w:t>15</w:t>
            </w:r>
            <w:r w:rsidR="009B4A87">
              <w:rPr>
                <w:noProof/>
                <w:webHidden/>
              </w:rPr>
              <w:fldChar w:fldCharType="end"/>
            </w:r>
          </w:hyperlink>
        </w:p>
        <w:p w14:paraId="03CE4234" w14:textId="7AC5621A" w:rsidR="009B4A87" w:rsidRDefault="00A12D67">
          <w:pPr>
            <w:pStyle w:val="TOC2"/>
            <w:rPr>
              <w:rFonts w:asciiTheme="minorHAnsi" w:eastAsiaTheme="minorEastAsia" w:hAnsiTheme="minorHAnsi" w:cstheme="minorBidi"/>
              <w:b w:val="0"/>
              <w:noProof/>
              <w:sz w:val="22"/>
              <w:lang w:eastAsia="en-AU"/>
            </w:rPr>
          </w:pPr>
          <w:hyperlink w:anchor="_Toc117259886" w:history="1">
            <w:r w:rsidR="009B4A87" w:rsidRPr="00235C34">
              <w:rPr>
                <w:rStyle w:val="Hyperlink"/>
                <w:noProof/>
                <w:lang w:eastAsia="en-AU"/>
              </w:rPr>
              <w:t>Risk management plan</w:t>
            </w:r>
            <w:r w:rsidR="009B4A87">
              <w:rPr>
                <w:noProof/>
                <w:webHidden/>
              </w:rPr>
              <w:tab/>
            </w:r>
            <w:r w:rsidR="009B4A87">
              <w:rPr>
                <w:noProof/>
                <w:webHidden/>
              </w:rPr>
              <w:fldChar w:fldCharType="begin"/>
            </w:r>
            <w:r w:rsidR="009B4A87">
              <w:rPr>
                <w:noProof/>
                <w:webHidden/>
              </w:rPr>
              <w:instrText xml:space="preserve"> PAGEREF _Toc117259886 \h </w:instrText>
            </w:r>
            <w:r w:rsidR="009B4A87">
              <w:rPr>
                <w:noProof/>
                <w:webHidden/>
              </w:rPr>
            </w:r>
            <w:r w:rsidR="009B4A87">
              <w:rPr>
                <w:noProof/>
                <w:webHidden/>
              </w:rPr>
              <w:fldChar w:fldCharType="separate"/>
            </w:r>
            <w:r>
              <w:rPr>
                <w:noProof/>
                <w:webHidden/>
              </w:rPr>
              <w:t>50</w:t>
            </w:r>
            <w:r w:rsidR="009B4A87">
              <w:rPr>
                <w:noProof/>
                <w:webHidden/>
              </w:rPr>
              <w:fldChar w:fldCharType="end"/>
            </w:r>
          </w:hyperlink>
        </w:p>
        <w:p w14:paraId="1ACE6ABB" w14:textId="45A16BE6" w:rsidR="009B4A87" w:rsidRDefault="00A12D67">
          <w:pPr>
            <w:pStyle w:val="TOC2"/>
            <w:rPr>
              <w:rFonts w:asciiTheme="minorHAnsi" w:eastAsiaTheme="minorEastAsia" w:hAnsiTheme="minorHAnsi" w:cstheme="minorBidi"/>
              <w:b w:val="0"/>
              <w:noProof/>
              <w:sz w:val="22"/>
              <w:lang w:eastAsia="en-AU"/>
            </w:rPr>
          </w:pPr>
          <w:hyperlink w:anchor="_Toc117259887" w:history="1">
            <w:r w:rsidR="009B4A87" w:rsidRPr="00235C34">
              <w:rPr>
                <w:rStyle w:val="Hyperlink"/>
                <w:noProof/>
              </w:rPr>
              <w:t>Risk-benefit analysis</w:t>
            </w:r>
            <w:r w:rsidR="009B4A87">
              <w:rPr>
                <w:noProof/>
                <w:webHidden/>
              </w:rPr>
              <w:tab/>
            </w:r>
            <w:r w:rsidR="009B4A87">
              <w:rPr>
                <w:noProof/>
                <w:webHidden/>
              </w:rPr>
              <w:fldChar w:fldCharType="begin"/>
            </w:r>
            <w:r w:rsidR="009B4A87">
              <w:rPr>
                <w:noProof/>
                <w:webHidden/>
              </w:rPr>
              <w:instrText xml:space="preserve"> PAGEREF _Toc117259887 \h </w:instrText>
            </w:r>
            <w:r w:rsidR="009B4A87">
              <w:rPr>
                <w:noProof/>
                <w:webHidden/>
              </w:rPr>
            </w:r>
            <w:r w:rsidR="009B4A87">
              <w:rPr>
                <w:noProof/>
                <w:webHidden/>
              </w:rPr>
              <w:fldChar w:fldCharType="separate"/>
            </w:r>
            <w:r>
              <w:rPr>
                <w:noProof/>
                <w:webHidden/>
              </w:rPr>
              <w:t>51</w:t>
            </w:r>
            <w:r w:rsidR="009B4A87">
              <w:rPr>
                <w:noProof/>
                <w:webHidden/>
              </w:rPr>
              <w:fldChar w:fldCharType="end"/>
            </w:r>
          </w:hyperlink>
        </w:p>
        <w:p w14:paraId="7BE1575B" w14:textId="595A7D5C" w:rsidR="009B4A87" w:rsidRDefault="00A12D67">
          <w:pPr>
            <w:pStyle w:val="TOC1"/>
            <w:rPr>
              <w:rFonts w:asciiTheme="minorHAnsi" w:eastAsiaTheme="minorEastAsia" w:hAnsiTheme="minorHAnsi" w:cstheme="minorBidi"/>
              <w:b w:val="0"/>
              <w:noProof/>
              <w:sz w:val="22"/>
              <w:lang w:eastAsia="en-AU"/>
            </w:rPr>
          </w:pPr>
          <w:hyperlink w:anchor="_Toc117259888" w:history="1">
            <w:r w:rsidR="009B4A87" w:rsidRPr="00235C34">
              <w:rPr>
                <w:rStyle w:val="Hyperlink"/>
                <w:noProof/>
              </w:rPr>
              <w:t>Outcome</w:t>
            </w:r>
            <w:r w:rsidR="009B4A87">
              <w:rPr>
                <w:noProof/>
                <w:webHidden/>
              </w:rPr>
              <w:tab/>
            </w:r>
            <w:r w:rsidR="009B4A87">
              <w:rPr>
                <w:noProof/>
                <w:webHidden/>
              </w:rPr>
              <w:fldChar w:fldCharType="begin"/>
            </w:r>
            <w:r w:rsidR="009B4A87">
              <w:rPr>
                <w:noProof/>
                <w:webHidden/>
              </w:rPr>
              <w:instrText xml:space="preserve"> PAGEREF _Toc117259888 \h </w:instrText>
            </w:r>
            <w:r w:rsidR="009B4A87">
              <w:rPr>
                <w:noProof/>
                <w:webHidden/>
              </w:rPr>
            </w:r>
            <w:r w:rsidR="009B4A87">
              <w:rPr>
                <w:noProof/>
                <w:webHidden/>
              </w:rPr>
              <w:fldChar w:fldCharType="separate"/>
            </w:r>
            <w:r>
              <w:rPr>
                <w:noProof/>
                <w:webHidden/>
              </w:rPr>
              <w:t>54</w:t>
            </w:r>
            <w:r w:rsidR="009B4A87">
              <w:rPr>
                <w:noProof/>
                <w:webHidden/>
              </w:rPr>
              <w:fldChar w:fldCharType="end"/>
            </w:r>
          </w:hyperlink>
        </w:p>
        <w:p w14:paraId="0EE12C95" w14:textId="4E1C2CB9" w:rsidR="009B4A87" w:rsidRDefault="00A12D67">
          <w:pPr>
            <w:pStyle w:val="TOC2"/>
            <w:rPr>
              <w:rFonts w:asciiTheme="minorHAnsi" w:eastAsiaTheme="minorEastAsia" w:hAnsiTheme="minorHAnsi" w:cstheme="minorBidi"/>
              <w:b w:val="0"/>
              <w:noProof/>
              <w:sz w:val="22"/>
              <w:lang w:eastAsia="en-AU"/>
            </w:rPr>
          </w:pPr>
          <w:hyperlink w:anchor="_Toc117259889" w:history="1">
            <w:r w:rsidR="009B4A87" w:rsidRPr="00235C34">
              <w:rPr>
                <w:rStyle w:val="Hyperlink"/>
                <w:noProof/>
              </w:rPr>
              <w:t>Specific conditions of registration applying to these goods</w:t>
            </w:r>
            <w:r w:rsidR="009B4A87">
              <w:rPr>
                <w:noProof/>
                <w:webHidden/>
              </w:rPr>
              <w:tab/>
            </w:r>
            <w:r w:rsidR="009B4A87">
              <w:rPr>
                <w:noProof/>
                <w:webHidden/>
              </w:rPr>
              <w:fldChar w:fldCharType="begin"/>
            </w:r>
            <w:r w:rsidR="009B4A87">
              <w:rPr>
                <w:noProof/>
                <w:webHidden/>
              </w:rPr>
              <w:instrText xml:space="preserve"> PAGEREF _Toc117259889 \h </w:instrText>
            </w:r>
            <w:r w:rsidR="009B4A87">
              <w:rPr>
                <w:noProof/>
                <w:webHidden/>
              </w:rPr>
            </w:r>
            <w:r w:rsidR="009B4A87">
              <w:rPr>
                <w:noProof/>
                <w:webHidden/>
              </w:rPr>
              <w:fldChar w:fldCharType="separate"/>
            </w:r>
            <w:r>
              <w:rPr>
                <w:noProof/>
                <w:webHidden/>
              </w:rPr>
              <w:t>54</w:t>
            </w:r>
            <w:r w:rsidR="009B4A87">
              <w:rPr>
                <w:noProof/>
                <w:webHidden/>
              </w:rPr>
              <w:fldChar w:fldCharType="end"/>
            </w:r>
          </w:hyperlink>
        </w:p>
        <w:p w14:paraId="6F78009B" w14:textId="660084EF" w:rsidR="009B4A87" w:rsidRDefault="00A12D67">
          <w:pPr>
            <w:pStyle w:val="TOC1"/>
            <w:rPr>
              <w:rFonts w:asciiTheme="minorHAnsi" w:eastAsiaTheme="minorEastAsia" w:hAnsiTheme="minorHAnsi" w:cstheme="minorBidi"/>
              <w:b w:val="0"/>
              <w:noProof/>
              <w:sz w:val="22"/>
              <w:lang w:eastAsia="en-AU"/>
            </w:rPr>
          </w:pPr>
          <w:hyperlink w:anchor="_Toc117259890" w:history="1">
            <w:r w:rsidR="009B4A87" w:rsidRPr="00235C34">
              <w:rPr>
                <w:rStyle w:val="Hyperlink"/>
                <w:noProof/>
              </w:rPr>
              <w:t>Attachment 1. Product Information</w:t>
            </w:r>
            <w:r w:rsidR="009B4A87">
              <w:rPr>
                <w:noProof/>
                <w:webHidden/>
              </w:rPr>
              <w:tab/>
            </w:r>
            <w:r w:rsidR="009B4A87">
              <w:rPr>
                <w:noProof/>
                <w:webHidden/>
              </w:rPr>
              <w:fldChar w:fldCharType="begin"/>
            </w:r>
            <w:r w:rsidR="009B4A87">
              <w:rPr>
                <w:noProof/>
                <w:webHidden/>
              </w:rPr>
              <w:instrText xml:space="preserve"> PAGEREF _Toc117259890 \h </w:instrText>
            </w:r>
            <w:r w:rsidR="009B4A87">
              <w:rPr>
                <w:noProof/>
                <w:webHidden/>
              </w:rPr>
            </w:r>
            <w:r w:rsidR="009B4A87">
              <w:rPr>
                <w:noProof/>
                <w:webHidden/>
              </w:rPr>
              <w:fldChar w:fldCharType="separate"/>
            </w:r>
            <w:r>
              <w:rPr>
                <w:noProof/>
                <w:webHidden/>
              </w:rPr>
              <w:t>55</w:t>
            </w:r>
            <w:r w:rsidR="009B4A87">
              <w:rPr>
                <w:noProof/>
                <w:webHidden/>
              </w:rPr>
              <w:fldChar w:fldCharType="end"/>
            </w:r>
          </w:hyperlink>
        </w:p>
        <w:p w14:paraId="345A24C4" w14:textId="69BC2827" w:rsidR="003A7F6C" w:rsidRPr="00B61B9D" w:rsidRDefault="00C525A2" w:rsidP="00EB36D6">
          <w:r w:rsidRPr="00B61B9D">
            <w:fldChar w:fldCharType="end"/>
          </w:r>
        </w:p>
      </w:sdtContent>
    </w:sdt>
    <w:bookmarkStart w:id="2" w:name="_Toc314842482" w:displacedByCustomXml="prev"/>
    <w:p w14:paraId="01414328" w14:textId="77777777" w:rsidR="00FD119B" w:rsidRPr="00B61B9D" w:rsidRDefault="00FD119B">
      <w:pPr>
        <w:spacing w:before="0" w:after="200" w:line="0" w:lineRule="auto"/>
      </w:pPr>
      <w:r w:rsidRPr="00B61B9D">
        <w:br w:type="page"/>
      </w:r>
    </w:p>
    <w:p w14:paraId="3FBA01BD" w14:textId="77777777" w:rsidR="00AF2313" w:rsidRPr="00B61B9D" w:rsidRDefault="00AF2313" w:rsidP="00AF2313">
      <w:pPr>
        <w:pStyle w:val="Heading2"/>
      </w:pPr>
      <w:bookmarkStart w:id="3" w:name="_Toc98931917"/>
      <w:bookmarkStart w:id="4" w:name="_Toc117259875"/>
      <w:r w:rsidRPr="00B61B9D">
        <w:lastRenderedPageBreak/>
        <w:t>List of abbreviations</w:t>
      </w:r>
      <w:bookmarkEnd w:id="3"/>
      <w:bookmarkEnd w:id="4"/>
    </w:p>
    <w:tbl>
      <w:tblPr>
        <w:tblStyle w:val="TableTGAblue"/>
        <w:tblW w:w="5006" w:type="pct"/>
        <w:tblLook w:val="04A0" w:firstRow="1" w:lastRow="0" w:firstColumn="1" w:lastColumn="0" w:noHBand="0" w:noVBand="1"/>
      </w:tblPr>
      <w:tblGrid>
        <w:gridCol w:w="2117"/>
        <w:gridCol w:w="6367"/>
        <w:gridCol w:w="10"/>
      </w:tblGrid>
      <w:tr w:rsidR="00AF2313" w:rsidRPr="00B61B9D" w14:paraId="1DF9C9C6" w14:textId="77777777" w:rsidTr="001E6C75">
        <w:trPr>
          <w:gridAfter w:val="1"/>
          <w:cnfStyle w:val="100000000000" w:firstRow="1" w:lastRow="0" w:firstColumn="0" w:lastColumn="0" w:oddVBand="0" w:evenVBand="0" w:oddHBand="0" w:evenHBand="0" w:firstRowFirstColumn="0" w:firstRowLastColumn="0" w:lastRowFirstColumn="0" w:lastRowLastColumn="0"/>
          <w:wAfter w:w="6" w:type="pct"/>
        </w:trPr>
        <w:tc>
          <w:tcPr>
            <w:tcW w:w="1246" w:type="pct"/>
            <w:hideMark/>
          </w:tcPr>
          <w:p w14:paraId="2427FFB7" w14:textId="77777777" w:rsidR="00AF2313" w:rsidRPr="00B61B9D" w:rsidRDefault="00AF2313">
            <w:pPr>
              <w:rPr>
                <w:color w:val="FFFFFF"/>
              </w:rPr>
            </w:pPr>
            <w:r w:rsidRPr="00B61B9D">
              <w:t>Abbreviation</w:t>
            </w:r>
          </w:p>
        </w:tc>
        <w:tc>
          <w:tcPr>
            <w:tcW w:w="3748" w:type="pct"/>
            <w:hideMark/>
          </w:tcPr>
          <w:p w14:paraId="2D89E3ED" w14:textId="77777777" w:rsidR="00AF2313" w:rsidRPr="00B61B9D" w:rsidRDefault="00AF2313">
            <w:r w:rsidRPr="00B61B9D">
              <w:t>Meaning</w:t>
            </w:r>
          </w:p>
        </w:tc>
      </w:tr>
      <w:tr w:rsidR="001E6C75" w:rsidRPr="00B61B9D" w14:paraId="538B11F5" w14:textId="77777777" w:rsidTr="001E6C75">
        <w:tc>
          <w:tcPr>
            <w:tcW w:w="1246" w:type="pct"/>
            <w:hideMark/>
          </w:tcPr>
          <w:p w14:paraId="5195014B" w14:textId="77777777" w:rsidR="001E6C75" w:rsidRPr="00B61B9D" w:rsidRDefault="001E6C75" w:rsidP="00B10611">
            <w:r w:rsidRPr="00B61B9D">
              <w:t>ACM</w:t>
            </w:r>
          </w:p>
        </w:tc>
        <w:tc>
          <w:tcPr>
            <w:tcW w:w="3754" w:type="pct"/>
            <w:gridSpan w:val="2"/>
            <w:hideMark/>
          </w:tcPr>
          <w:p w14:paraId="5C5F6AA5" w14:textId="77777777" w:rsidR="001E6C75" w:rsidRPr="00B61B9D" w:rsidRDefault="001E6C75" w:rsidP="00B10611">
            <w:r w:rsidRPr="00B61B9D">
              <w:t>Advisory Committee on Medicines</w:t>
            </w:r>
          </w:p>
        </w:tc>
      </w:tr>
      <w:tr w:rsidR="001E6C75" w:rsidRPr="00B61B9D" w14:paraId="4C8CEE2A" w14:textId="77777777" w:rsidTr="001E6C75">
        <w:tc>
          <w:tcPr>
            <w:tcW w:w="1246" w:type="pct"/>
          </w:tcPr>
          <w:p w14:paraId="193CD1ED" w14:textId="77777777" w:rsidR="001E6C75" w:rsidRPr="00B61B9D" w:rsidRDefault="001E6C75" w:rsidP="00B10611">
            <w:r w:rsidRPr="00B61B9D">
              <w:t>ACTH</w:t>
            </w:r>
          </w:p>
        </w:tc>
        <w:tc>
          <w:tcPr>
            <w:tcW w:w="3754" w:type="pct"/>
            <w:gridSpan w:val="2"/>
          </w:tcPr>
          <w:p w14:paraId="4D4E367B" w14:textId="77777777" w:rsidR="001E6C75" w:rsidRPr="00B61B9D" w:rsidRDefault="001E6C75" w:rsidP="00B10611">
            <w:r w:rsidRPr="00B61B9D">
              <w:t>Adrenocorticotropic hormone</w:t>
            </w:r>
          </w:p>
        </w:tc>
      </w:tr>
      <w:tr w:rsidR="001E6C75" w:rsidRPr="00B61B9D" w14:paraId="3A374566" w14:textId="77777777" w:rsidTr="001E6C75">
        <w:tc>
          <w:tcPr>
            <w:tcW w:w="1246" w:type="pct"/>
          </w:tcPr>
          <w:p w14:paraId="17F23BBD" w14:textId="77777777" w:rsidR="001E6C75" w:rsidRPr="00B61B9D" w:rsidRDefault="001E6C75" w:rsidP="00B10611">
            <w:r w:rsidRPr="00B61B9D">
              <w:t>AE</w:t>
            </w:r>
          </w:p>
        </w:tc>
        <w:tc>
          <w:tcPr>
            <w:tcW w:w="3754" w:type="pct"/>
            <w:gridSpan w:val="2"/>
          </w:tcPr>
          <w:p w14:paraId="42EA8684" w14:textId="77777777" w:rsidR="001E6C75" w:rsidRPr="00B61B9D" w:rsidRDefault="001E6C75" w:rsidP="00B10611">
            <w:r w:rsidRPr="00B61B9D">
              <w:t>Adverse event</w:t>
            </w:r>
          </w:p>
        </w:tc>
      </w:tr>
      <w:tr w:rsidR="001E6C75" w:rsidRPr="00B61B9D" w14:paraId="32BB5009" w14:textId="77777777" w:rsidTr="001E6C75">
        <w:tc>
          <w:tcPr>
            <w:tcW w:w="1246" w:type="pct"/>
          </w:tcPr>
          <w:p w14:paraId="756E1A57" w14:textId="77777777" w:rsidR="001E6C75" w:rsidRPr="00B61B9D" w:rsidRDefault="001E6C75" w:rsidP="00B10611">
            <w:r w:rsidRPr="00B61B9D">
              <w:t>AESI</w:t>
            </w:r>
          </w:p>
        </w:tc>
        <w:tc>
          <w:tcPr>
            <w:tcW w:w="3754" w:type="pct"/>
            <w:gridSpan w:val="2"/>
          </w:tcPr>
          <w:p w14:paraId="1BF575F7" w14:textId="2076ACB2" w:rsidR="001E6C75" w:rsidRPr="00B61B9D" w:rsidRDefault="001E6C75" w:rsidP="00B10611">
            <w:r w:rsidRPr="00B61B9D">
              <w:t>Adverse events of special interest</w:t>
            </w:r>
          </w:p>
        </w:tc>
      </w:tr>
      <w:tr w:rsidR="001E6C75" w:rsidRPr="00B61B9D" w14:paraId="00395D1F" w14:textId="77777777" w:rsidTr="001E6C75">
        <w:tc>
          <w:tcPr>
            <w:tcW w:w="1246" w:type="pct"/>
          </w:tcPr>
          <w:p w14:paraId="56FA31CD" w14:textId="77777777" w:rsidR="001E6C75" w:rsidRPr="00B61B9D" w:rsidRDefault="001E6C75" w:rsidP="00B10611">
            <w:r w:rsidRPr="00B61B9D">
              <w:t>ALT</w:t>
            </w:r>
          </w:p>
        </w:tc>
        <w:tc>
          <w:tcPr>
            <w:tcW w:w="3754" w:type="pct"/>
            <w:gridSpan w:val="2"/>
          </w:tcPr>
          <w:p w14:paraId="575558B8" w14:textId="4354D68D" w:rsidR="001E6C75" w:rsidRPr="00B61B9D" w:rsidRDefault="001E6C75" w:rsidP="00B10611">
            <w:r w:rsidRPr="00B61B9D">
              <w:t>Alanine aminotransferase</w:t>
            </w:r>
          </w:p>
        </w:tc>
      </w:tr>
      <w:tr w:rsidR="001E6C75" w:rsidRPr="00B61B9D" w14:paraId="111654EE" w14:textId="77777777" w:rsidTr="001E6C75">
        <w:tc>
          <w:tcPr>
            <w:tcW w:w="1246" w:type="pct"/>
            <w:hideMark/>
          </w:tcPr>
          <w:p w14:paraId="33B60C4F" w14:textId="77777777" w:rsidR="001E6C75" w:rsidRPr="00B61B9D" w:rsidRDefault="001E6C75" w:rsidP="00B10611">
            <w:r w:rsidRPr="00B61B9D">
              <w:t>ARTG</w:t>
            </w:r>
          </w:p>
        </w:tc>
        <w:tc>
          <w:tcPr>
            <w:tcW w:w="3754" w:type="pct"/>
            <w:gridSpan w:val="2"/>
            <w:hideMark/>
          </w:tcPr>
          <w:p w14:paraId="6A030652" w14:textId="77777777" w:rsidR="001E6C75" w:rsidRPr="00B61B9D" w:rsidRDefault="001E6C75" w:rsidP="00B10611">
            <w:r w:rsidRPr="00B61B9D">
              <w:t>Australian Register of Therapeutic Goods</w:t>
            </w:r>
          </w:p>
        </w:tc>
      </w:tr>
      <w:tr w:rsidR="001E6C75" w:rsidRPr="00B61B9D" w14:paraId="003364AC" w14:textId="77777777" w:rsidTr="001E6C75">
        <w:tc>
          <w:tcPr>
            <w:tcW w:w="1246" w:type="pct"/>
            <w:hideMark/>
          </w:tcPr>
          <w:p w14:paraId="20C4D979" w14:textId="77777777" w:rsidR="001E6C75" w:rsidRPr="00B61B9D" w:rsidRDefault="001E6C75" w:rsidP="00B10611">
            <w:r w:rsidRPr="00B61B9D">
              <w:t>ASA</w:t>
            </w:r>
          </w:p>
        </w:tc>
        <w:tc>
          <w:tcPr>
            <w:tcW w:w="3754" w:type="pct"/>
            <w:gridSpan w:val="2"/>
            <w:hideMark/>
          </w:tcPr>
          <w:p w14:paraId="3AD7B479" w14:textId="77777777" w:rsidR="001E6C75" w:rsidRPr="00B61B9D" w:rsidRDefault="001E6C75" w:rsidP="00B10611">
            <w:bookmarkStart w:id="5" w:name="_Hlk112943090"/>
            <w:r w:rsidRPr="00B61B9D">
              <w:t>Australia specific annex</w:t>
            </w:r>
            <w:bookmarkEnd w:id="5"/>
          </w:p>
        </w:tc>
      </w:tr>
      <w:tr w:rsidR="001E6C75" w:rsidRPr="00B61B9D" w14:paraId="5589E626" w14:textId="77777777" w:rsidTr="001E6C75">
        <w:tc>
          <w:tcPr>
            <w:tcW w:w="1246" w:type="pct"/>
          </w:tcPr>
          <w:p w14:paraId="4EA9BE60" w14:textId="77777777" w:rsidR="001E6C75" w:rsidRPr="00B61B9D" w:rsidRDefault="001E6C75" w:rsidP="00B10611">
            <w:r w:rsidRPr="00B61B9D">
              <w:t>AST</w:t>
            </w:r>
          </w:p>
        </w:tc>
        <w:tc>
          <w:tcPr>
            <w:tcW w:w="3754" w:type="pct"/>
            <w:gridSpan w:val="2"/>
          </w:tcPr>
          <w:p w14:paraId="60F942F0" w14:textId="6C64B7C0" w:rsidR="001E6C75" w:rsidRPr="00B61B9D" w:rsidRDefault="001E6C75" w:rsidP="00B10611">
            <w:r w:rsidRPr="00B61B9D">
              <w:t>Aspartate aminotransferase</w:t>
            </w:r>
          </w:p>
        </w:tc>
      </w:tr>
      <w:tr w:rsidR="001E6C75" w:rsidRPr="00B61B9D" w14:paraId="7D2A1423" w14:textId="77777777" w:rsidTr="001E6C75">
        <w:tc>
          <w:tcPr>
            <w:tcW w:w="1246" w:type="pct"/>
          </w:tcPr>
          <w:p w14:paraId="264F2E67" w14:textId="77777777" w:rsidR="001E6C75" w:rsidRPr="00B61B9D" w:rsidRDefault="001E6C75" w:rsidP="00B10611">
            <w:r w:rsidRPr="00B61B9D">
              <w:t>AUC</w:t>
            </w:r>
          </w:p>
        </w:tc>
        <w:tc>
          <w:tcPr>
            <w:tcW w:w="3754" w:type="pct"/>
            <w:gridSpan w:val="2"/>
          </w:tcPr>
          <w:p w14:paraId="46B3DCCA" w14:textId="5B60AC0B" w:rsidR="001E6C75" w:rsidRPr="00B61B9D" w:rsidRDefault="001E6C75">
            <w:r w:rsidRPr="00B61B9D">
              <w:t>Area under the concentration</w:t>
            </w:r>
            <w:r w:rsidR="00170AA3">
              <w:noBreakHyphen/>
            </w:r>
            <w:r w:rsidRPr="00B61B9D">
              <w:t>time curve</w:t>
            </w:r>
          </w:p>
        </w:tc>
      </w:tr>
      <w:tr w:rsidR="001E6C75" w:rsidRPr="00B61B9D" w14:paraId="153B23B7" w14:textId="77777777" w:rsidTr="001E6C75">
        <w:tc>
          <w:tcPr>
            <w:tcW w:w="1246" w:type="pct"/>
          </w:tcPr>
          <w:p w14:paraId="52536BFD" w14:textId="77777777" w:rsidR="001E6C75" w:rsidRPr="00B61B9D" w:rsidRDefault="001E6C75" w:rsidP="00B10611">
            <w:r w:rsidRPr="00B61B9D">
              <w:t>BCS</w:t>
            </w:r>
          </w:p>
        </w:tc>
        <w:tc>
          <w:tcPr>
            <w:tcW w:w="3754" w:type="pct"/>
            <w:gridSpan w:val="2"/>
          </w:tcPr>
          <w:p w14:paraId="6562AAB1" w14:textId="77777777" w:rsidR="001E6C75" w:rsidRPr="00B61B9D" w:rsidRDefault="001E6C75" w:rsidP="00B10611">
            <w:r w:rsidRPr="00B61B9D">
              <w:t>Biopharmaceutics Classification System</w:t>
            </w:r>
          </w:p>
        </w:tc>
      </w:tr>
      <w:tr w:rsidR="001E6C75" w:rsidRPr="00B61B9D" w14:paraId="0BEF9A91" w14:textId="77777777" w:rsidTr="001E6C75">
        <w:tc>
          <w:tcPr>
            <w:tcW w:w="1246" w:type="pct"/>
          </w:tcPr>
          <w:p w14:paraId="18D5EE09" w14:textId="77777777" w:rsidR="001E6C75" w:rsidRPr="00B61B9D" w:rsidRDefault="001E6C75" w:rsidP="00B10611">
            <w:r w:rsidRPr="00B61B9D">
              <w:t>BDI</w:t>
            </w:r>
          </w:p>
        </w:tc>
        <w:tc>
          <w:tcPr>
            <w:tcW w:w="3754" w:type="pct"/>
            <w:gridSpan w:val="2"/>
          </w:tcPr>
          <w:p w14:paraId="62199ED7" w14:textId="77777777" w:rsidR="001E6C75" w:rsidRPr="00B61B9D" w:rsidRDefault="001E6C75" w:rsidP="00B10611">
            <w:r w:rsidRPr="00B61B9D">
              <w:t>Beck Depression Inventory</w:t>
            </w:r>
          </w:p>
        </w:tc>
      </w:tr>
      <w:tr w:rsidR="001E6C75" w:rsidRPr="00B61B9D" w14:paraId="4FBE6102" w14:textId="77777777" w:rsidTr="001E6C75">
        <w:tc>
          <w:tcPr>
            <w:tcW w:w="1246" w:type="pct"/>
          </w:tcPr>
          <w:p w14:paraId="020954D7" w14:textId="77777777" w:rsidR="001E6C75" w:rsidRPr="00B61B9D" w:rsidRDefault="001E6C75" w:rsidP="00B10611">
            <w:r w:rsidRPr="00B61B9D">
              <w:t>CHMP</w:t>
            </w:r>
          </w:p>
        </w:tc>
        <w:tc>
          <w:tcPr>
            <w:tcW w:w="3754" w:type="pct"/>
            <w:gridSpan w:val="2"/>
          </w:tcPr>
          <w:p w14:paraId="3B087D5E" w14:textId="77777777" w:rsidR="001E6C75" w:rsidRPr="00B61B9D" w:rsidRDefault="001E6C75" w:rsidP="00B10611">
            <w:r w:rsidRPr="00B61B9D">
              <w:t>Committee for Medicinal Products for Human Use (European Medicine Agency, European Union)</w:t>
            </w:r>
          </w:p>
        </w:tc>
      </w:tr>
      <w:tr w:rsidR="001E6C75" w:rsidRPr="00B61B9D" w14:paraId="6E4822AB" w14:textId="77777777" w:rsidTr="001E6C75">
        <w:tc>
          <w:tcPr>
            <w:tcW w:w="1246" w:type="pct"/>
          </w:tcPr>
          <w:p w14:paraId="559C5CBF" w14:textId="77777777" w:rsidR="001E6C75" w:rsidRPr="00B61B9D" w:rsidRDefault="001E6C75" w:rsidP="00B10611">
            <w:r w:rsidRPr="00B61B9D">
              <w:t>CI</w:t>
            </w:r>
          </w:p>
        </w:tc>
        <w:tc>
          <w:tcPr>
            <w:tcW w:w="3754" w:type="pct"/>
            <w:gridSpan w:val="2"/>
          </w:tcPr>
          <w:p w14:paraId="6A9EEF1D" w14:textId="20D1A62B" w:rsidR="001E6C75" w:rsidRPr="00B61B9D" w:rsidRDefault="001E6C75" w:rsidP="00B10611">
            <w:r w:rsidRPr="00B61B9D">
              <w:t>Confidence interval</w:t>
            </w:r>
          </w:p>
        </w:tc>
      </w:tr>
      <w:tr w:rsidR="001E6C75" w:rsidRPr="00B61B9D" w14:paraId="3979B5A1" w14:textId="77777777" w:rsidTr="001E6C75">
        <w:tc>
          <w:tcPr>
            <w:tcW w:w="1246" w:type="pct"/>
          </w:tcPr>
          <w:p w14:paraId="6066F2FB" w14:textId="77777777" w:rsidR="001E6C75" w:rsidRPr="00B61B9D" w:rsidRDefault="001E6C75" w:rsidP="00B10611">
            <w:r w:rsidRPr="00B61B9D">
              <w:t>C</w:t>
            </w:r>
            <w:r w:rsidRPr="00B61B9D">
              <w:rPr>
                <w:vertAlign w:val="subscript"/>
              </w:rPr>
              <w:t>max</w:t>
            </w:r>
          </w:p>
        </w:tc>
        <w:tc>
          <w:tcPr>
            <w:tcW w:w="3754" w:type="pct"/>
            <w:gridSpan w:val="2"/>
          </w:tcPr>
          <w:p w14:paraId="68846092" w14:textId="506C3F25" w:rsidR="001E6C75" w:rsidRPr="00B61B9D" w:rsidRDefault="001E6C75" w:rsidP="00B10611">
            <w:r w:rsidRPr="00B61B9D">
              <w:t>Maximum concentration</w:t>
            </w:r>
          </w:p>
        </w:tc>
      </w:tr>
      <w:tr w:rsidR="001E6C75" w:rsidRPr="00B61B9D" w14:paraId="436BE262" w14:textId="77777777" w:rsidTr="001E6C75">
        <w:tc>
          <w:tcPr>
            <w:tcW w:w="1246" w:type="pct"/>
          </w:tcPr>
          <w:p w14:paraId="0D39AD3F" w14:textId="77777777" w:rsidR="001E6C75" w:rsidRPr="00B61B9D" w:rsidRDefault="001E6C75" w:rsidP="00B10611">
            <w:r w:rsidRPr="00B61B9D">
              <w:t>CMI</w:t>
            </w:r>
          </w:p>
        </w:tc>
        <w:tc>
          <w:tcPr>
            <w:tcW w:w="3754" w:type="pct"/>
            <w:gridSpan w:val="2"/>
          </w:tcPr>
          <w:p w14:paraId="78B7EF7F" w14:textId="77777777" w:rsidR="001E6C75" w:rsidRPr="00B61B9D" w:rsidRDefault="001E6C75" w:rsidP="00B10611">
            <w:r w:rsidRPr="00B61B9D">
              <w:t>Consumer Medicines Information</w:t>
            </w:r>
          </w:p>
        </w:tc>
      </w:tr>
      <w:tr w:rsidR="001E6C75" w:rsidRPr="00B61B9D" w14:paraId="6BA5593F" w14:textId="77777777" w:rsidTr="001E6C75">
        <w:tc>
          <w:tcPr>
            <w:tcW w:w="1246" w:type="pct"/>
          </w:tcPr>
          <w:p w14:paraId="1CD89E33" w14:textId="77777777" w:rsidR="001E6C75" w:rsidRPr="00B61B9D" w:rsidRDefault="001E6C75" w:rsidP="00B10611">
            <w:r w:rsidRPr="00B61B9D">
              <w:t>CNS</w:t>
            </w:r>
          </w:p>
        </w:tc>
        <w:tc>
          <w:tcPr>
            <w:tcW w:w="3754" w:type="pct"/>
            <w:gridSpan w:val="2"/>
          </w:tcPr>
          <w:p w14:paraId="3D39C0C7" w14:textId="3C0586AC" w:rsidR="001E6C75" w:rsidRPr="00B61B9D" w:rsidRDefault="001E6C75" w:rsidP="00B10611">
            <w:r w:rsidRPr="00B61B9D">
              <w:t>Central nervous system</w:t>
            </w:r>
          </w:p>
        </w:tc>
      </w:tr>
      <w:tr w:rsidR="001E6C75" w:rsidRPr="00B61B9D" w14:paraId="25CFB4E9" w14:textId="77777777" w:rsidTr="001E6C75">
        <w:tc>
          <w:tcPr>
            <w:tcW w:w="1246" w:type="pct"/>
          </w:tcPr>
          <w:p w14:paraId="415DC69D" w14:textId="77777777" w:rsidR="001E6C75" w:rsidRPr="00B61B9D" w:rsidRDefault="001E6C75" w:rsidP="00B10611">
            <w:r w:rsidRPr="00B61B9D">
              <w:t>CPK</w:t>
            </w:r>
          </w:p>
        </w:tc>
        <w:tc>
          <w:tcPr>
            <w:tcW w:w="3754" w:type="pct"/>
            <w:gridSpan w:val="2"/>
          </w:tcPr>
          <w:p w14:paraId="45995146" w14:textId="5EACFFB8" w:rsidR="001E6C75" w:rsidRPr="00B61B9D" w:rsidRDefault="001E6C75" w:rsidP="00B10611">
            <w:r w:rsidRPr="00B61B9D">
              <w:t>Creatine phosphokinase</w:t>
            </w:r>
          </w:p>
        </w:tc>
      </w:tr>
      <w:tr w:rsidR="001E6C75" w:rsidRPr="00B61B9D" w14:paraId="4154BF62" w14:textId="77777777" w:rsidTr="001E6C75">
        <w:tc>
          <w:tcPr>
            <w:tcW w:w="1246" w:type="pct"/>
          </w:tcPr>
          <w:p w14:paraId="2C5C1740" w14:textId="77777777" w:rsidR="001E6C75" w:rsidRPr="00B61B9D" w:rsidRDefault="001E6C75" w:rsidP="00B10611">
            <w:r w:rsidRPr="00B61B9D">
              <w:t>COR-B</w:t>
            </w:r>
          </w:p>
        </w:tc>
        <w:tc>
          <w:tcPr>
            <w:tcW w:w="3754" w:type="pct"/>
            <w:gridSpan w:val="2"/>
          </w:tcPr>
          <w:p w14:paraId="63F4CC76" w14:textId="77777777" w:rsidR="001E6C75" w:rsidRPr="00B61B9D" w:rsidRDefault="001E6C75" w:rsidP="00B10611">
            <w:r w:rsidRPr="00B61B9D">
              <w:t>Comparable Overseas Regulator B</w:t>
            </w:r>
          </w:p>
        </w:tc>
      </w:tr>
      <w:tr w:rsidR="001E6C75" w:rsidRPr="00B61B9D" w14:paraId="4D1AB51C" w14:textId="77777777" w:rsidTr="001E6C75">
        <w:tc>
          <w:tcPr>
            <w:tcW w:w="1246" w:type="pct"/>
          </w:tcPr>
          <w:p w14:paraId="2581F8B4" w14:textId="77777777" w:rsidR="001E6C75" w:rsidRPr="00B61B9D" w:rsidRDefault="001E6C75" w:rsidP="00B10611">
            <w:r w:rsidRPr="00B61B9D">
              <w:t>CV</w:t>
            </w:r>
          </w:p>
        </w:tc>
        <w:tc>
          <w:tcPr>
            <w:tcW w:w="3754" w:type="pct"/>
            <w:gridSpan w:val="2"/>
          </w:tcPr>
          <w:p w14:paraId="062ED129" w14:textId="1EFEA0C8" w:rsidR="001E6C75" w:rsidRPr="00B61B9D" w:rsidRDefault="001E6C75" w:rsidP="00B10611">
            <w:r w:rsidRPr="00B61B9D">
              <w:t>Coefficient of variation</w:t>
            </w:r>
          </w:p>
        </w:tc>
      </w:tr>
      <w:tr w:rsidR="001E6C75" w:rsidRPr="00B61B9D" w14:paraId="17825275" w14:textId="77777777" w:rsidTr="001E6C75">
        <w:tc>
          <w:tcPr>
            <w:tcW w:w="1246" w:type="pct"/>
            <w:hideMark/>
          </w:tcPr>
          <w:p w14:paraId="14A2DB40" w14:textId="77777777" w:rsidR="001E6C75" w:rsidRPr="00B61B9D" w:rsidRDefault="001E6C75" w:rsidP="00B10611">
            <w:r w:rsidRPr="00B61B9D">
              <w:t>DLP</w:t>
            </w:r>
          </w:p>
        </w:tc>
        <w:tc>
          <w:tcPr>
            <w:tcW w:w="3754" w:type="pct"/>
            <w:gridSpan w:val="2"/>
            <w:hideMark/>
          </w:tcPr>
          <w:p w14:paraId="46C1E531" w14:textId="77777777" w:rsidR="001E6C75" w:rsidRPr="00B61B9D" w:rsidRDefault="001E6C75" w:rsidP="00B10611">
            <w:bookmarkStart w:id="6" w:name="_Hlk112943076"/>
            <w:r w:rsidRPr="00B61B9D">
              <w:t>Data lock point</w:t>
            </w:r>
            <w:bookmarkEnd w:id="6"/>
          </w:p>
        </w:tc>
      </w:tr>
      <w:tr w:rsidR="00F554E6" w:rsidRPr="00B61B9D" w14:paraId="60F732A2" w14:textId="77777777" w:rsidTr="001E6C75">
        <w:tc>
          <w:tcPr>
            <w:tcW w:w="1246" w:type="pct"/>
          </w:tcPr>
          <w:p w14:paraId="2E29F2A8" w14:textId="31C2429E" w:rsidR="00F554E6" w:rsidRPr="00B61B9D" w:rsidRDefault="00F554E6" w:rsidP="00B10611">
            <w:r>
              <w:t>DNA</w:t>
            </w:r>
          </w:p>
        </w:tc>
        <w:tc>
          <w:tcPr>
            <w:tcW w:w="3754" w:type="pct"/>
            <w:gridSpan w:val="2"/>
          </w:tcPr>
          <w:p w14:paraId="1A4EED6D" w14:textId="7A73A549" w:rsidR="00F554E6" w:rsidRPr="00B61B9D" w:rsidRDefault="00F554E6" w:rsidP="00B10611">
            <w:r>
              <w:t>D</w:t>
            </w:r>
            <w:r w:rsidRPr="00B61B9D">
              <w:t>eoxyribonucleic acid</w:t>
            </w:r>
          </w:p>
        </w:tc>
      </w:tr>
      <w:tr w:rsidR="001E6C75" w:rsidRPr="00B61B9D" w14:paraId="5D919D14" w14:textId="77777777" w:rsidTr="001E6C75">
        <w:tc>
          <w:tcPr>
            <w:tcW w:w="1246" w:type="pct"/>
          </w:tcPr>
          <w:p w14:paraId="7DA21B2E" w14:textId="77777777" w:rsidR="001E6C75" w:rsidRPr="00B61B9D" w:rsidRDefault="001E6C75" w:rsidP="00B10611">
            <w:r w:rsidRPr="00B61B9D">
              <w:t>EDTA</w:t>
            </w:r>
          </w:p>
        </w:tc>
        <w:tc>
          <w:tcPr>
            <w:tcW w:w="3754" w:type="pct"/>
            <w:gridSpan w:val="2"/>
          </w:tcPr>
          <w:p w14:paraId="4EF9BB41" w14:textId="623E9FBF" w:rsidR="001E6C75" w:rsidRPr="00B61B9D" w:rsidRDefault="001E6C75" w:rsidP="00B10611">
            <w:r w:rsidRPr="00B61B9D">
              <w:t>Ethylenediaminetetraacetic acid</w:t>
            </w:r>
          </w:p>
        </w:tc>
      </w:tr>
      <w:tr w:rsidR="001E6C75" w:rsidRPr="00B61B9D" w14:paraId="00B2191B" w14:textId="77777777" w:rsidTr="001E6C75">
        <w:tc>
          <w:tcPr>
            <w:tcW w:w="1246" w:type="pct"/>
          </w:tcPr>
          <w:p w14:paraId="3643FAC2" w14:textId="77777777" w:rsidR="001E6C75" w:rsidRPr="00B61B9D" w:rsidRDefault="001E6C75" w:rsidP="00B10611">
            <w:r w:rsidRPr="00B61B9D">
              <w:t>EMA</w:t>
            </w:r>
          </w:p>
        </w:tc>
        <w:tc>
          <w:tcPr>
            <w:tcW w:w="3754" w:type="pct"/>
            <w:gridSpan w:val="2"/>
          </w:tcPr>
          <w:p w14:paraId="68F7ACEE" w14:textId="77777777" w:rsidR="001E6C75" w:rsidRPr="00B61B9D" w:rsidRDefault="001E6C75" w:rsidP="00B10611">
            <w:r w:rsidRPr="00B61B9D">
              <w:t>European Medicine Agency (European Union)</w:t>
            </w:r>
          </w:p>
        </w:tc>
      </w:tr>
      <w:tr w:rsidR="001E6C75" w:rsidRPr="00B61B9D" w14:paraId="090623B0" w14:textId="7E429DBE" w:rsidTr="001E6C75">
        <w:tc>
          <w:tcPr>
            <w:tcW w:w="1246" w:type="pct"/>
          </w:tcPr>
          <w:p w14:paraId="4B79D0D6" w14:textId="13D637D8" w:rsidR="001E6C75" w:rsidRPr="00B61B9D" w:rsidRDefault="001E6C75" w:rsidP="00B10611">
            <w:r w:rsidRPr="00B61B9D">
              <w:t>ERAUC</w:t>
            </w:r>
          </w:p>
        </w:tc>
        <w:tc>
          <w:tcPr>
            <w:tcW w:w="3754" w:type="pct"/>
            <w:gridSpan w:val="2"/>
          </w:tcPr>
          <w:p w14:paraId="1B4D8C25" w14:textId="14F62CD7" w:rsidR="001E6C75" w:rsidRPr="00B61B9D" w:rsidRDefault="001E6C75">
            <w:r w:rsidRPr="00B61B9D">
              <w:t>Exposure ratio based on area under the concentration</w:t>
            </w:r>
            <w:r w:rsidR="000352ED">
              <w:t>-</w:t>
            </w:r>
            <w:r w:rsidRPr="00B61B9D">
              <w:t>time curve</w:t>
            </w:r>
          </w:p>
        </w:tc>
      </w:tr>
      <w:tr w:rsidR="001E6C75" w:rsidRPr="00B61B9D" w14:paraId="7DE501E9" w14:textId="77777777" w:rsidTr="001E6C75">
        <w:tc>
          <w:tcPr>
            <w:tcW w:w="1246" w:type="pct"/>
          </w:tcPr>
          <w:p w14:paraId="4B93CBE9" w14:textId="77777777" w:rsidR="001E6C75" w:rsidRPr="00B61B9D" w:rsidRDefault="001E6C75" w:rsidP="00B10611">
            <w:r w:rsidRPr="00B61B9D">
              <w:lastRenderedPageBreak/>
              <w:t>EU</w:t>
            </w:r>
          </w:p>
        </w:tc>
        <w:tc>
          <w:tcPr>
            <w:tcW w:w="3754" w:type="pct"/>
            <w:gridSpan w:val="2"/>
          </w:tcPr>
          <w:p w14:paraId="00029399" w14:textId="77777777" w:rsidR="001E6C75" w:rsidRPr="00B61B9D" w:rsidRDefault="001E6C75" w:rsidP="00B10611">
            <w:r w:rsidRPr="00B61B9D">
              <w:t>European Union</w:t>
            </w:r>
          </w:p>
        </w:tc>
      </w:tr>
      <w:tr w:rsidR="001E6C75" w:rsidRPr="00B61B9D" w14:paraId="05F41337" w14:textId="77777777" w:rsidTr="001E6C75">
        <w:tc>
          <w:tcPr>
            <w:tcW w:w="1246" w:type="pct"/>
          </w:tcPr>
          <w:p w14:paraId="558743BA" w14:textId="77777777" w:rsidR="001E6C75" w:rsidRPr="00B61B9D" w:rsidRDefault="001E6C75" w:rsidP="00B10611">
            <w:r w:rsidRPr="00B61B9D">
              <w:t>FAS</w:t>
            </w:r>
          </w:p>
        </w:tc>
        <w:tc>
          <w:tcPr>
            <w:tcW w:w="3754" w:type="pct"/>
            <w:gridSpan w:val="2"/>
          </w:tcPr>
          <w:p w14:paraId="413E168E" w14:textId="77777777" w:rsidR="001E6C75" w:rsidRPr="00B61B9D" w:rsidRDefault="001E6C75" w:rsidP="00B10611">
            <w:r w:rsidRPr="00B61B9D">
              <w:t>Full analysis set</w:t>
            </w:r>
          </w:p>
        </w:tc>
      </w:tr>
      <w:tr w:rsidR="001E6C75" w:rsidRPr="00B61B9D" w14:paraId="15BEEFD5" w14:textId="77777777" w:rsidTr="001E6C75">
        <w:tc>
          <w:tcPr>
            <w:tcW w:w="1246" w:type="pct"/>
          </w:tcPr>
          <w:p w14:paraId="7F91DF59" w14:textId="77777777" w:rsidR="001E6C75" w:rsidRPr="00B61B9D" w:rsidRDefault="001E6C75" w:rsidP="00B10611">
            <w:r w:rsidRPr="00B61B9D">
              <w:t>GVP</w:t>
            </w:r>
          </w:p>
        </w:tc>
        <w:tc>
          <w:tcPr>
            <w:tcW w:w="3754" w:type="pct"/>
            <w:gridSpan w:val="2"/>
          </w:tcPr>
          <w:p w14:paraId="1A324648" w14:textId="77777777" w:rsidR="001E6C75" w:rsidRPr="00B61B9D" w:rsidRDefault="001E6C75" w:rsidP="00B10611">
            <w:r w:rsidRPr="00B61B9D">
              <w:t>Good Pharmacovigilance Practices</w:t>
            </w:r>
          </w:p>
        </w:tc>
      </w:tr>
      <w:tr w:rsidR="001E6C75" w:rsidRPr="00B61B9D" w14:paraId="7235F11E" w14:textId="77777777" w:rsidTr="001E6C75">
        <w:tc>
          <w:tcPr>
            <w:tcW w:w="1246" w:type="pct"/>
          </w:tcPr>
          <w:p w14:paraId="59037048" w14:textId="77777777" w:rsidR="001E6C75" w:rsidRPr="00B61B9D" w:rsidRDefault="001E6C75" w:rsidP="00B10611">
            <w:r w:rsidRPr="00B61B9D">
              <w:t>HbA1c</w:t>
            </w:r>
          </w:p>
        </w:tc>
        <w:tc>
          <w:tcPr>
            <w:tcW w:w="3754" w:type="pct"/>
            <w:gridSpan w:val="2"/>
          </w:tcPr>
          <w:p w14:paraId="73F752F2" w14:textId="4C002F22" w:rsidR="001E6C75" w:rsidRPr="00B61B9D" w:rsidRDefault="001E6C75" w:rsidP="00B10611">
            <w:r w:rsidRPr="00B61B9D">
              <w:t>Haemoglobin A1c</w:t>
            </w:r>
          </w:p>
        </w:tc>
      </w:tr>
      <w:tr w:rsidR="001E6C75" w:rsidRPr="00B61B9D" w14:paraId="5AA29396" w14:textId="77777777" w:rsidTr="001E6C75">
        <w:tc>
          <w:tcPr>
            <w:tcW w:w="1246" w:type="pct"/>
          </w:tcPr>
          <w:p w14:paraId="1A6FF89F" w14:textId="77777777" w:rsidR="001E6C75" w:rsidRPr="00B61B9D" w:rsidRDefault="001E6C75" w:rsidP="00B10611">
            <w:r w:rsidRPr="00B61B9D">
              <w:t>HPA</w:t>
            </w:r>
          </w:p>
        </w:tc>
        <w:tc>
          <w:tcPr>
            <w:tcW w:w="3754" w:type="pct"/>
            <w:gridSpan w:val="2"/>
          </w:tcPr>
          <w:p w14:paraId="54A1B4D1" w14:textId="65CFB579" w:rsidR="001E6C75" w:rsidRPr="00B61B9D" w:rsidRDefault="001E6C75" w:rsidP="00B10611">
            <w:r w:rsidRPr="00B61B9D">
              <w:t>Hypothalamus</w:t>
            </w:r>
            <w:r w:rsidR="00170AA3">
              <w:noBreakHyphen/>
            </w:r>
            <w:r w:rsidRPr="00B61B9D">
              <w:t>pituitary</w:t>
            </w:r>
            <w:r w:rsidR="00170AA3">
              <w:noBreakHyphen/>
            </w:r>
            <w:r w:rsidRPr="00B61B9D">
              <w:t>adrena</w:t>
            </w:r>
            <w:r w:rsidR="003C6A22">
              <w:t>l</w:t>
            </w:r>
          </w:p>
        </w:tc>
      </w:tr>
      <w:tr w:rsidR="001E6C75" w:rsidRPr="00B61B9D" w14:paraId="726B24C4" w14:textId="77777777" w:rsidTr="001E6C75">
        <w:tc>
          <w:tcPr>
            <w:tcW w:w="1246" w:type="pct"/>
          </w:tcPr>
          <w:p w14:paraId="2A04BD48" w14:textId="77777777" w:rsidR="001E6C75" w:rsidRPr="00B61B9D" w:rsidRDefault="001E6C75" w:rsidP="00B10611">
            <w:r w:rsidRPr="00B61B9D">
              <w:t>HPLC</w:t>
            </w:r>
          </w:p>
        </w:tc>
        <w:tc>
          <w:tcPr>
            <w:tcW w:w="3754" w:type="pct"/>
            <w:gridSpan w:val="2"/>
          </w:tcPr>
          <w:p w14:paraId="12DE3A31" w14:textId="76B9182D" w:rsidR="001E6C75" w:rsidRPr="00B61B9D" w:rsidRDefault="001E6C75" w:rsidP="00B10611">
            <w:r w:rsidRPr="00B61B9D">
              <w:t>High-performance liquid chromatography</w:t>
            </w:r>
          </w:p>
        </w:tc>
      </w:tr>
      <w:tr w:rsidR="00D7035A" w:rsidRPr="00B61B9D" w14:paraId="694481ED" w14:textId="77777777" w:rsidTr="001E6C75">
        <w:tc>
          <w:tcPr>
            <w:tcW w:w="1246" w:type="pct"/>
          </w:tcPr>
          <w:p w14:paraId="7E2129DC" w14:textId="00F3697E" w:rsidR="00D7035A" w:rsidRPr="00B61B9D" w:rsidRDefault="00D7035A" w:rsidP="00B10611">
            <w:r w:rsidRPr="00D7035A">
              <w:t>IC</w:t>
            </w:r>
            <w:r w:rsidRPr="00B61B9D">
              <w:rPr>
                <w:vertAlign w:val="subscript"/>
              </w:rPr>
              <w:t>50</w:t>
            </w:r>
          </w:p>
        </w:tc>
        <w:tc>
          <w:tcPr>
            <w:tcW w:w="3754" w:type="pct"/>
            <w:gridSpan w:val="2"/>
          </w:tcPr>
          <w:p w14:paraId="594FE657" w14:textId="4D0EC0D1" w:rsidR="00D7035A" w:rsidRPr="00B61B9D" w:rsidRDefault="00D7035A" w:rsidP="00B10611">
            <w:r>
              <w:t>Half (50%) maximal inhibitory concentration</w:t>
            </w:r>
          </w:p>
        </w:tc>
      </w:tr>
      <w:tr w:rsidR="001E6C75" w:rsidRPr="00B61B9D" w14:paraId="007E5A02" w14:textId="77777777" w:rsidTr="001E6C75">
        <w:tc>
          <w:tcPr>
            <w:tcW w:w="1246" w:type="pct"/>
          </w:tcPr>
          <w:p w14:paraId="136E7189" w14:textId="77777777" w:rsidR="001E6C75" w:rsidRPr="00B61B9D" w:rsidRDefault="001E6C75" w:rsidP="00B10611">
            <w:r w:rsidRPr="00B61B9D">
              <w:t>ICH</w:t>
            </w:r>
          </w:p>
        </w:tc>
        <w:tc>
          <w:tcPr>
            <w:tcW w:w="3754" w:type="pct"/>
            <w:gridSpan w:val="2"/>
          </w:tcPr>
          <w:p w14:paraId="0F0651D7" w14:textId="77777777" w:rsidR="001E6C75" w:rsidRPr="00B61B9D" w:rsidRDefault="001E6C75" w:rsidP="00B10611">
            <w:r w:rsidRPr="00B61B9D">
              <w:t>International Council for Harmonisation (European Medicine Agency, European Union)</w:t>
            </w:r>
          </w:p>
        </w:tc>
      </w:tr>
      <w:tr w:rsidR="001E6C75" w:rsidRPr="00B61B9D" w14:paraId="4B525DDD" w14:textId="77777777" w:rsidTr="001E6C75">
        <w:tc>
          <w:tcPr>
            <w:tcW w:w="1246" w:type="pct"/>
          </w:tcPr>
          <w:p w14:paraId="0A4FBB59" w14:textId="77777777" w:rsidR="001E6C75" w:rsidRPr="00B61B9D" w:rsidRDefault="001E6C75" w:rsidP="00B10611">
            <w:r w:rsidRPr="00B61B9D">
              <w:t>ITT</w:t>
            </w:r>
          </w:p>
        </w:tc>
        <w:tc>
          <w:tcPr>
            <w:tcW w:w="3754" w:type="pct"/>
            <w:gridSpan w:val="2"/>
          </w:tcPr>
          <w:p w14:paraId="2FD2F6CA" w14:textId="77777777" w:rsidR="001E6C75" w:rsidRPr="00B61B9D" w:rsidRDefault="001E6C75" w:rsidP="00B10611">
            <w:r w:rsidRPr="00B61B9D">
              <w:t>Intent(ion)-to-treat</w:t>
            </w:r>
          </w:p>
        </w:tc>
      </w:tr>
      <w:tr w:rsidR="001E6C75" w:rsidRPr="00B61B9D" w14:paraId="7E56A8EB" w14:textId="77777777" w:rsidTr="001E6C75">
        <w:tc>
          <w:tcPr>
            <w:tcW w:w="1246" w:type="pct"/>
          </w:tcPr>
          <w:p w14:paraId="31E7CB81" w14:textId="77777777" w:rsidR="001E6C75" w:rsidRPr="00B61B9D" w:rsidRDefault="001E6C75" w:rsidP="00B10611">
            <w:r w:rsidRPr="00B61B9D">
              <w:t>LC</w:t>
            </w:r>
          </w:p>
        </w:tc>
        <w:tc>
          <w:tcPr>
            <w:tcW w:w="3754" w:type="pct"/>
            <w:gridSpan w:val="2"/>
          </w:tcPr>
          <w:p w14:paraId="2476D85A" w14:textId="26D5823A" w:rsidR="001E6C75" w:rsidRPr="00B61B9D" w:rsidRDefault="001E6C75" w:rsidP="00B10611">
            <w:r w:rsidRPr="00B61B9D">
              <w:t>Liquid chromatography</w:t>
            </w:r>
          </w:p>
        </w:tc>
      </w:tr>
      <w:tr w:rsidR="001E6C75" w:rsidRPr="00B61B9D" w14:paraId="4E80067D" w14:textId="77777777" w:rsidTr="001E6C75">
        <w:tc>
          <w:tcPr>
            <w:tcW w:w="1246" w:type="pct"/>
          </w:tcPr>
          <w:p w14:paraId="5D9B305D" w14:textId="77777777" w:rsidR="001E6C75" w:rsidRPr="00B61B9D" w:rsidRDefault="001E6C75" w:rsidP="00B10611">
            <w:r w:rsidRPr="00B61B9D">
              <w:t>LCI699</w:t>
            </w:r>
          </w:p>
        </w:tc>
        <w:tc>
          <w:tcPr>
            <w:tcW w:w="3754" w:type="pct"/>
            <w:gridSpan w:val="2"/>
          </w:tcPr>
          <w:p w14:paraId="259B3654" w14:textId="14AE7891" w:rsidR="001E6C75" w:rsidRPr="00B61B9D" w:rsidRDefault="008B3BBB">
            <w:r>
              <w:t>Sponsor’s d</w:t>
            </w:r>
            <w:r w:rsidR="001E6C75" w:rsidRPr="00B61B9D">
              <w:t>evelopment code</w:t>
            </w:r>
            <w:r w:rsidR="00170AA3">
              <w:t xml:space="preserve"> for osilodrostat</w:t>
            </w:r>
          </w:p>
        </w:tc>
      </w:tr>
      <w:tr w:rsidR="001E6C75" w:rsidRPr="00B61B9D" w14:paraId="2898B617" w14:textId="77777777" w:rsidTr="001E6C75">
        <w:tc>
          <w:tcPr>
            <w:tcW w:w="1246" w:type="pct"/>
          </w:tcPr>
          <w:p w14:paraId="2085B850" w14:textId="77777777" w:rsidR="001E6C75" w:rsidRPr="00B61B9D" w:rsidRDefault="001E6C75" w:rsidP="00B10611">
            <w:r w:rsidRPr="00B61B9D">
              <w:t>LLN</w:t>
            </w:r>
          </w:p>
        </w:tc>
        <w:tc>
          <w:tcPr>
            <w:tcW w:w="3754" w:type="pct"/>
            <w:gridSpan w:val="2"/>
          </w:tcPr>
          <w:p w14:paraId="44FC92CE" w14:textId="40ABD55C" w:rsidR="001E6C75" w:rsidRPr="00B61B9D" w:rsidRDefault="001E6C75" w:rsidP="00B10611">
            <w:r w:rsidRPr="00B61B9D">
              <w:t>Lower limit of normal</w:t>
            </w:r>
          </w:p>
        </w:tc>
      </w:tr>
      <w:tr w:rsidR="00F554E6" w:rsidRPr="00B61B9D" w14:paraId="1687C3EA" w14:textId="77777777" w:rsidTr="001E6C75">
        <w:tc>
          <w:tcPr>
            <w:tcW w:w="1246" w:type="pct"/>
          </w:tcPr>
          <w:p w14:paraId="712394A5" w14:textId="4ED85637" w:rsidR="00F554E6" w:rsidRPr="00B61B9D" w:rsidRDefault="00F554E6" w:rsidP="00B10611">
            <w:r w:rsidRPr="00F554E6">
              <w:t>MATE1</w:t>
            </w:r>
          </w:p>
        </w:tc>
        <w:tc>
          <w:tcPr>
            <w:tcW w:w="3754" w:type="pct"/>
            <w:gridSpan w:val="2"/>
          </w:tcPr>
          <w:p w14:paraId="7D0A7DC4" w14:textId="05953806" w:rsidR="00F554E6" w:rsidRPr="00B61B9D" w:rsidRDefault="00F554E6" w:rsidP="00B10611">
            <w:r w:rsidRPr="00F554E6">
              <w:t>Multidrug and toxin extrusion protein 1</w:t>
            </w:r>
          </w:p>
        </w:tc>
      </w:tr>
      <w:tr w:rsidR="001E6C75" w:rsidRPr="00B61B9D" w14:paraId="5FC28EEA" w14:textId="77777777" w:rsidTr="001E6C75">
        <w:tc>
          <w:tcPr>
            <w:tcW w:w="1246" w:type="pct"/>
          </w:tcPr>
          <w:p w14:paraId="058E4E40" w14:textId="77777777" w:rsidR="001E6C75" w:rsidRPr="00B61B9D" w:rsidRDefault="001E6C75" w:rsidP="00B10611">
            <w:r w:rsidRPr="00B61B9D">
              <w:t>MBq</w:t>
            </w:r>
          </w:p>
        </w:tc>
        <w:tc>
          <w:tcPr>
            <w:tcW w:w="3754" w:type="pct"/>
            <w:gridSpan w:val="2"/>
          </w:tcPr>
          <w:p w14:paraId="3F5CA213" w14:textId="7726E43D" w:rsidR="001E6C75" w:rsidRPr="00B61B9D" w:rsidRDefault="001E6C75" w:rsidP="00B10611">
            <w:r w:rsidRPr="00B61B9D">
              <w:t>Megabecquerel</w:t>
            </w:r>
          </w:p>
        </w:tc>
      </w:tr>
      <w:tr w:rsidR="001E6C75" w:rsidRPr="00B61B9D" w14:paraId="7B2D8130" w14:textId="77777777" w:rsidTr="001E6C75">
        <w:tc>
          <w:tcPr>
            <w:tcW w:w="1246" w:type="pct"/>
          </w:tcPr>
          <w:p w14:paraId="45F182F2" w14:textId="77777777" w:rsidR="001E6C75" w:rsidRPr="00B61B9D" w:rsidRDefault="001E6C75" w:rsidP="00B10611">
            <w:r w:rsidRPr="00B61B9D">
              <w:t>MS</w:t>
            </w:r>
          </w:p>
        </w:tc>
        <w:tc>
          <w:tcPr>
            <w:tcW w:w="3754" w:type="pct"/>
            <w:gridSpan w:val="2"/>
          </w:tcPr>
          <w:p w14:paraId="5D3952E2" w14:textId="1C942B5D" w:rsidR="001E6C75" w:rsidRPr="00B61B9D" w:rsidRDefault="001E6C75" w:rsidP="00B10611">
            <w:r w:rsidRPr="00B61B9D">
              <w:t>Mass spectrometry</w:t>
            </w:r>
          </w:p>
        </w:tc>
      </w:tr>
      <w:tr w:rsidR="001E6C75" w:rsidRPr="00B61B9D" w14:paraId="48CADB04" w14:textId="77777777" w:rsidTr="001E6C75">
        <w:tc>
          <w:tcPr>
            <w:tcW w:w="1246" w:type="pct"/>
          </w:tcPr>
          <w:p w14:paraId="0C1AF1EA" w14:textId="77777777" w:rsidR="001E6C75" w:rsidRPr="00B61B9D" w:rsidRDefault="001E6C75" w:rsidP="00B10611">
            <w:pPr>
              <w:rPr>
                <w:color w:val="000000"/>
              </w:rPr>
            </w:pPr>
            <w:r w:rsidRPr="00B61B9D">
              <w:t>NOAEL</w:t>
            </w:r>
          </w:p>
        </w:tc>
        <w:tc>
          <w:tcPr>
            <w:tcW w:w="3754" w:type="pct"/>
            <w:gridSpan w:val="2"/>
          </w:tcPr>
          <w:p w14:paraId="00BF5FCD" w14:textId="4EA5E4A1" w:rsidR="001E6C75" w:rsidRPr="00B61B9D" w:rsidRDefault="001E6C75" w:rsidP="00B10611">
            <w:pPr>
              <w:rPr>
                <w:color w:val="000000"/>
              </w:rPr>
            </w:pPr>
            <w:r w:rsidRPr="00B61B9D">
              <w:t>No observed adverse effect level</w:t>
            </w:r>
          </w:p>
        </w:tc>
      </w:tr>
      <w:tr w:rsidR="001E6C75" w:rsidRPr="00B61B9D" w14:paraId="378734A0" w14:textId="77777777" w:rsidTr="001E6C75">
        <w:tc>
          <w:tcPr>
            <w:tcW w:w="1246" w:type="pct"/>
          </w:tcPr>
          <w:p w14:paraId="2941145A" w14:textId="77777777" w:rsidR="001E6C75" w:rsidRPr="00B61B9D" w:rsidRDefault="001E6C75" w:rsidP="00B10611">
            <w:r w:rsidRPr="00B61B9D">
              <w:t>OAT</w:t>
            </w:r>
          </w:p>
        </w:tc>
        <w:tc>
          <w:tcPr>
            <w:tcW w:w="3754" w:type="pct"/>
            <w:gridSpan w:val="2"/>
          </w:tcPr>
          <w:p w14:paraId="40B69537" w14:textId="497D6698" w:rsidR="001E6C75" w:rsidRPr="00B61B9D" w:rsidRDefault="001E6C75" w:rsidP="00B10611">
            <w:r w:rsidRPr="00B61B9D">
              <w:t>Organic anion transporter</w:t>
            </w:r>
          </w:p>
        </w:tc>
      </w:tr>
      <w:tr w:rsidR="001E6C75" w:rsidRPr="00B61B9D" w14:paraId="0499DC5A" w14:textId="77777777" w:rsidTr="001E6C75">
        <w:tc>
          <w:tcPr>
            <w:tcW w:w="1246" w:type="pct"/>
          </w:tcPr>
          <w:p w14:paraId="58FAA934" w14:textId="77777777" w:rsidR="001E6C75" w:rsidRPr="00B61B9D" w:rsidRDefault="001E6C75" w:rsidP="00B10611">
            <w:r w:rsidRPr="00B61B9D">
              <w:t>OCT</w:t>
            </w:r>
          </w:p>
        </w:tc>
        <w:tc>
          <w:tcPr>
            <w:tcW w:w="3754" w:type="pct"/>
            <w:gridSpan w:val="2"/>
          </w:tcPr>
          <w:p w14:paraId="233A09E2" w14:textId="227E8610" w:rsidR="001E6C75" w:rsidRPr="00B61B9D" w:rsidRDefault="001E6C75" w:rsidP="00B10611">
            <w:r w:rsidRPr="00B61B9D">
              <w:t>Organic cation transporter</w:t>
            </w:r>
          </w:p>
        </w:tc>
      </w:tr>
      <w:tr w:rsidR="001E6C75" w:rsidRPr="00B61B9D" w14:paraId="66C22C1A" w14:textId="77777777" w:rsidTr="001E6C75">
        <w:tc>
          <w:tcPr>
            <w:tcW w:w="1246" w:type="pct"/>
          </w:tcPr>
          <w:p w14:paraId="1DA7137B" w14:textId="77777777" w:rsidR="001E6C75" w:rsidRPr="00B61B9D" w:rsidRDefault="001E6C75" w:rsidP="00B10611">
            <w:r w:rsidRPr="00B61B9D">
              <w:t>PASS</w:t>
            </w:r>
          </w:p>
        </w:tc>
        <w:tc>
          <w:tcPr>
            <w:tcW w:w="3754" w:type="pct"/>
            <w:gridSpan w:val="2"/>
          </w:tcPr>
          <w:p w14:paraId="2DA324A9" w14:textId="29048BB9" w:rsidR="001E6C75" w:rsidRPr="00B61B9D" w:rsidRDefault="001E6C75" w:rsidP="00B10611">
            <w:r w:rsidRPr="00B61B9D">
              <w:t>Post-authorisation safety study</w:t>
            </w:r>
          </w:p>
        </w:tc>
      </w:tr>
      <w:tr w:rsidR="001E6C75" w:rsidRPr="00B61B9D" w14:paraId="0D530898" w14:textId="77777777" w:rsidTr="001E6C75">
        <w:tc>
          <w:tcPr>
            <w:tcW w:w="1246" w:type="pct"/>
          </w:tcPr>
          <w:p w14:paraId="4222D0F0" w14:textId="77777777" w:rsidR="001E6C75" w:rsidRPr="00B61B9D" w:rsidRDefault="001E6C75" w:rsidP="00B10611">
            <w:r w:rsidRPr="00B61B9D">
              <w:t>PBPK</w:t>
            </w:r>
          </w:p>
        </w:tc>
        <w:tc>
          <w:tcPr>
            <w:tcW w:w="3754" w:type="pct"/>
            <w:gridSpan w:val="2"/>
          </w:tcPr>
          <w:p w14:paraId="4CB66BD1" w14:textId="77777777" w:rsidR="001E6C75" w:rsidRPr="00B61B9D" w:rsidRDefault="001E6C75" w:rsidP="00B10611">
            <w:r w:rsidRPr="00B61B9D">
              <w:t>Physiologically based pharmacokinetic(s)</w:t>
            </w:r>
          </w:p>
        </w:tc>
      </w:tr>
      <w:tr w:rsidR="001E6C75" w:rsidRPr="00B61B9D" w14:paraId="291C7B8D" w14:textId="77777777" w:rsidTr="001E6C75">
        <w:tc>
          <w:tcPr>
            <w:tcW w:w="1246" w:type="pct"/>
          </w:tcPr>
          <w:p w14:paraId="457D76A0" w14:textId="77777777" w:rsidR="001E6C75" w:rsidRPr="00B61B9D" w:rsidRDefault="001E6C75" w:rsidP="00B10611">
            <w:r w:rsidRPr="00B61B9D">
              <w:t>PD</w:t>
            </w:r>
          </w:p>
        </w:tc>
        <w:tc>
          <w:tcPr>
            <w:tcW w:w="3754" w:type="pct"/>
            <w:gridSpan w:val="2"/>
          </w:tcPr>
          <w:p w14:paraId="793CB5EF" w14:textId="77777777" w:rsidR="001E6C75" w:rsidRPr="00B61B9D" w:rsidRDefault="001E6C75" w:rsidP="00B10611">
            <w:r w:rsidRPr="00B61B9D">
              <w:t>Pharmacodynamic(s)</w:t>
            </w:r>
          </w:p>
        </w:tc>
      </w:tr>
      <w:tr w:rsidR="001E6C75" w:rsidRPr="00B61B9D" w14:paraId="366EFACC" w14:textId="77777777" w:rsidTr="001E6C75">
        <w:tc>
          <w:tcPr>
            <w:tcW w:w="1246" w:type="pct"/>
          </w:tcPr>
          <w:p w14:paraId="44BC8F16" w14:textId="77777777" w:rsidR="001E6C75" w:rsidRPr="00B61B9D" w:rsidRDefault="001E6C75" w:rsidP="00B10611">
            <w:r w:rsidRPr="00B61B9D">
              <w:t>PI</w:t>
            </w:r>
          </w:p>
        </w:tc>
        <w:tc>
          <w:tcPr>
            <w:tcW w:w="3754" w:type="pct"/>
            <w:gridSpan w:val="2"/>
          </w:tcPr>
          <w:p w14:paraId="10CA280B" w14:textId="77777777" w:rsidR="001E6C75" w:rsidRPr="00B61B9D" w:rsidRDefault="001E6C75" w:rsidP="00B10611">
            <w:r w:rsidRPr="00B61B9D">
              <w:t>Product Information</w:t>
            </w:r>
          </w:p>
        </w:tc>
      </w:tr>
      <w:tr w:rsidR="001E6C75" w:rsidRPr="00B61B9D" w14:paraId="63FB0F7F" w14:textId="77777777" w:rsidTr="001E6C75">
        <w:tc>
          <w:tcPr>
            <w:tcW w:w="1246" w:type="pct"/>
          </w:tcPr>
          <w:p w14:paraId="5A9844EA" w14:textId="77777777" w:rsidR="001E6C75" w:rsidRPr="00B61B9D" w:rsidRDefault="001E6C75" w:rsidP="00B10611">
            <w:r w:rsidRPr="00B61B9D">
              <w:t>PK</w:t>
            </w:r>
          </w:p>
        </w:tc>
        <w:tc>
          <w:tcPr>
            <w:tcW w:w="3754" w:type="pct"/>
            <w:gridSpan w:val="2"/>
          </w:tcPr>
          <w:p w14:paraId="1E98B8ED" w14:textId="77777777" w:rsidR="001E6C75" w:rsidRPr="00B61B9D" w:rsidRDefault="001E6C75" w:rsidP="00B10611">
            <w:bookmarkStart w:id="7" w:name="_Hlk112939344"/>
            <w:r w:rsidRPr="00B61B9D">
              <w:t>Pharmacokinetic</w:t>
            </w:r>
            <w:bookmarkEnd w:id="7"/>
            <w:r w:rsidRPr="00B61B9D">
              <w:t>(s)</w:t>
            </w:r>
          </w:p>
        </w:tc>
      </w:tr>
      <w:tr w:rsidR="001E6C75" w:rsidRPr="00B61B9D" w14:paraId="251C1145" w14:textId="77777777" w:rsidTr="001E6C75">
        <w:tc>
          <w:tcPr>
            <w:tcW w:w="1246" w:type="pct"/>
          </w:tcPr>
          <w:p w14:paraId="318E6C34" w14:textId="77777777" w:rsidR="001E6C75" w:rsidRPr="00B61B9D" w:rsidRDefault="001E6C75" w:rsidP="00B10611">
            <w:r w:rsidRPr="00B61B9D">
              <w:t>PopPK</w:t>
            </w:r>
          </w:p>
        </w:tc>
        <w:tc>
          <w:tcPr>
            <w:tcW w:w="3754" w:type="pct"/>
            <w:gridSpan w:val="2"/>
          </w:tcPr>
          <w:p w14:paraId="3FD9E467" w14:textId="77777777" w:rsidR="001E6C75" w:rsidRPr="00B61B9D" w:rsidRDefault="001E6C75" w:rsidP="00B10611">
            <w:r w:rsidRPr="00B61B9D">
              <w:t>Population pharmacokinetic(s)</w:t>
            </w:r>
          </w:p>
        </w:tc>
      </w:tr>
      <w:tr w:rsidR="001E6C75" w:rsidRPr="00B61B9D" w14:paraId="2C493D73" w14:textId="77777777" w:rsidTr="001E6C75">
        <w:tc>
          <w:tcPr>
            <w:tcW w:w="1246" w:type="pct"/>
          </w:tcPr>
          <w:p w14:paraId="40CF5357" w14:textId="77777777" w:rsidR="001E6C75" w:rsidRPr="00B61B9D" w:rsidRDefault="001E6C75" w:rsidP="00B10611">
            <w:r w:rsidRPr="00B61B9D">
              <w:t>PPFAS</w:t>
            </w:r>
          </w:p>
        </w:tc>
        <w:tc>
          <w:tcPr>
            <w:tcW w:w="3754" w:type="pct"/>
            <w:gridSpan w:val="2"/>
          </w:tcPr>
          <w:p w14:paraId="6CBD1130" w14:textId="77777777" w:rsidR="001E6C75" w:rsidRPr="00B61B9D" w:rsidRDefault="001E6C75" w:rsidP="00B10611">
            <w:r w:rsidRPr="00B61B9D">
              <w:t>Per-protocol set for full analysis set</w:t>
            </w:r>
          </w:p>
        </w:tc>
      </w:tr>
      <w:tr w:rsidR="001E6C75" w:rsidRPr="00B61B9D" w14:paraId="01A96AFB" w14:textId="77777777" w:rsidTr="001E6C75">
        <w:tc>
          <w:tcPr>
            <w:tcW w:w="1246" w:type="pct"/>
          </w:tcPr>
          <w:p w14:paraId="10C7248B" w14:textId="77777777" w:rsidR="001E6C75" w:rsidRPr="00B61B9D" w:rsidRDefault="001E6C75" w:rsidP="00B10611">
            <w:r w:rsidRPr="00B61B9D">
              <w:lastRenderedPageBreak/>
              <w:t>PPRAS</w:t>
            </w:r>
          </w:p>
        </w:tc>
        <w:tc>
          <w:tcPr>
            <w:tcW w:w="3754" w:type="pct"/>
            <w:gridSpan w:val="2"/>
          </w:tcPr>
          <w:p w14:paraId="42D1B213" w14:textId="77777777" w:rsidR="001E6C75" w:rsidRPr="00B61B9D" w:rsidRDefault="001E6C75" w:rsidP="00B10611">
            <w:r w:rsidRPr="00B61B9D">
              <w:t>Per-protocol set for randomised analysis set</w:t>
            </w:r>
          </w:p>
        </w:tc>
      </w:tr>
      <w:tr w:rsidR="001E6C75" w:rsidRPr="00B61B9D" w14:paraId="7A2E0D4C" w14:textId="77777777" w:rsidTr="001E6C75">
        <w:tc>
          <w:tcPr>
            <w:tcW w:w="1246" w:type="pct"/>
          </w:tcPr>
          <w:p w14:paraId="5B79DE1F" w14:textId="77777777" w:rsidR="001E6C75" w:rsidRPr="00B61B9D" w:rsidRDefault="001E6C75" w:rsidP="00B10611">
            <w:r w:rsidRPr="00B61B9D">
              <w:t>PSUR</w:t>
            </w:r>
          </w:p>
        </w:tc>
        <w:tc>
          <w:tcPr>
            <w:tcW w:w="3754" w:type="pct"/>
            <w:gridSpan w:val="2"/>
          </w:tcPr>
          <w:p w14:paraId="6D4B3B47" w14:textId="42442E3D" w:rsidR="001E6C75" w:rsidRPr="00B61B9D" w:rsidRDefault="001E6C75" w:rsidP="00B10611">
            <w:r w:rsidRPr="00B61B9D">
              <w:t>Periodic safety update report</w:t>
            </w:r>
          </w:p>
        </w:tc>
      </w:tr>
      <w:tr w:rsidR="001E6C75" w:rsidRPr="00B61B9D" w14:paraId="47B94CEE" w14:textId="77777777" w:rsidTr="001E6C75">
        <w:tc>
          <w:tcPr>
            <w:tcW w:w="1246" w:type="pct"/>
          </w:tcPr>
          <w:p w14:paraId="53C11C36" w14:textId="77777777" w:rsidR="001E6C75" w:rsidRPr="00B61B9D" w:rsidRDefault="001E6C75" w:rsidP="00B10611">
            <w:r w:rsidRPr="00B61B9D">
              <w:t>PT</w:t>
            </w:r>
          </w:p>
        </w:tc>
        <w:tc>
          <w:tcPr>
            <w:tcW w:w="3754" w:type="pct"/>
            <w:gridSpan w:val="2"/>
          </w:tcPr>
          <w:p w14:paraId="32642A58" w14:textId="77777777" w:rsidR="001E6C75" w:rsidRPr="00B61B9D" w:rsidRDefault="001E6C75" w:rsidP="00B10611">
            <w:r w:rsidRPr="00B61B9D">
              <w:t>Preferred Term</w:t>
            </w:r>
          </w:p>
        </w:tc>
      </w:tr>
      <w:tr w:rsidR="001E6C75" w:rsidRPr="00B61B9D" w14:paraId="611B21AF" w14:textId="77777777" w:rsidTr="001E6C75">
        <w:tc>
          <w:tcPr>
            <w:tcW w:w="1246" w:type="pct"/>
          </w:tcPr>
          <w:p w14:paraId="2AC933EF" w14:textId="77777777" w:rsidR="001E6C75" w:rsidRPr="00B61B9D" w:rsidRDefault="001E6C75" w:rsidP="00B10611">
            <w:r w:rsidRPr="00B61B9D">
              <w:t>PXR</w:t>
            </w:r>
          </w:p>
        </w:tc>
        <w:tc>
          <w:tcPr>
            <w:tcW w:w="3754" w:type="pct"/>
            <w:gridSpan w:val="2"/>
          </w:tcPr>
          <w:p w14:paraId="03DA19C4" w14:textId="6610EC1A" w:rsidR="001E6C75" w:rsidRPr="00B61B9D" w:rsidRDefault="001E6C75" w:rsidP="00B10611">
            <w:r w:rsidRPr="00B61B9D">
              <w:t>Pregnane X receptor</w:t>
            </w:r>
          </w:p>
        </w:tc>
      </w:tr>
      <w:tr w:rsidR="001E6C75" w:rsidRPr="00B61B9D" w14:paraId="4745E1C7" w14:textId="77777777" w:rsidTr="001E6C75">
        <w:tc>
          <w:tcPr>
            <w:tcW w:w="1246" w:type="pct"/>
          </w:tcPr>
          <w:p w14:paraId="68E81A3A" w14:textId="77777777" w:rsidR="001E6C75" w:rsidRPr="00B61B9D" w:rsidRDefault="001E6C75" w:rsidP="00B10611">
            <w:r w:rsidRPr="00B61B9D">
              <w:t>QTc</w:t>
            </w:r>
          </w:p>
        </w:tc>
        <w:tc>
          <w:tcPr>
            <w:tcW w:w="3754" w:type="pct"/>
            <w:gridSpan w:val="2"/>
          </w:tcPr>
          <w:p w14:paraId="2B43133D" w14:textId="2245EE9B" w:rsidR="001E6C75" w:rsidRPr="00B61B9D" w:rsidRDefault="001E6C75" w:rsidP="00B10611">
            <w:r w:rsidRPr="00B61B9D">
              <w:t>Corrected QT interval</w:t>
            </w:r>
          </w:p>
        </w:tc>
      </w:tr>
      <w:tr w:rsidR="001E6C75" w:rsidRPr="00B61B9D" w14:paraId="06A13BE3" w14:textId="77777777" w:rsidTr="001E6C75">
        <w:tc>
          <w:tcPr>
            <w:tcW w:w="1246" w:type="pct"/>
          </w:tcPr>
          <w:p w14:paraId="5EF3683B" w14:textId="77777777" w:rsidR="001E6C75" w:rsidRPr="00B61B9D" w:rsidRDefault="001E6C75" w:rsidP="00B10611">
            <w:r w:rsidRPr="00B61B9D">
              <w:t>QTcF</w:t>
            </w:r>
          </w:p>
        </w:tc>
        <w:tc>
          <w:tcPr>
            <w:tcW w:w="3754" w:type="pct"/>
            <w:gridSpan w:val="2"/>
          </w:tcPr>
          <w:p w14:paraId="3AF29093" w14:textId="77777777" w:rsidR="001E6C75" w:rsidRPr="00B61B9D" w:rsidRDefault="001E6C75" w:rsidP="00B10611">
            <w:r w:rsidRPr="00B61B9D">
              <w:t>QT interval corrected using Fridericia’s formula</w:t>
            </w:r>
          </w:p>
        </w:tc>
      </w:tr>
      <w:tr w:rsidR="001E6C75" w:rsidRPr="00B61B9D" w14:paraId="383A1EAE" w14:textId="77777777" w:rsidTr="001E6C75">
        <w:tc>
          <w:tcPr>
            <w:tcW w:w="1246" w:type="pct"/>
          </w:tcPr>
          <w:p w14:paraId="728316D4" w14:textId="77777777" w:rsidR="001E6C75" w:rsidRPr="00B61B9D" w:rsidRDefault="001E6C75" w:rsidP="00B10611">
            <w:r w:rsidRPr="00B61B9D">
              <w:t>RAS</w:t>
            </w:r>
          </w:p>
        </w:tc>
        <w:tc>
          <w:tcPr>
            <w:tcW w:w="3754" w:type="pct"/>
            <w:gridSpan w:val="2"/>
          </w:tcPr>
          <w:p w14:paraId="2A0FB908" w14:textId="77777777" w:rsidR="001E6C75" w:rsidRPr="00B61B9D" w:rsidRDefault="001E6C75" w:rsidP="00B10611">
            <w:r w:rsidRPr="00B61B9D">
              <w:t>Randomised analysis set</w:t>
            </w:r>
          </w:p>
        </w:tc>
      </w:tr>
      <w:tr w:rsidR="001E6C75" w:rsidRPr="00B61B9D" w14:paraId="0F981D70" w14:textId="77777777" w:rsidTr="001E6C75">
        <w:tc>
          <w:tcPr>
            <w:tcW w:w="1246" w:type="pct"/>
            <w:hideMark/>
          </w:tcPr>
          <w:p w14:paraId="28B7CA96" w14:textId="77777777" w:rsidR="001E6C75" w:rsidRPr="00B61B9D" w:rsidRDefault="001E6C75" w:rsidP="00B10611">
            <w:r w:rsidRPr="00B61B9D">
              <w:t>RMP</w:t>
            </w:r>
          </w:p>
        </w:tc>
        <w:tc>
          <w:tcPr>
            <w:tcW w:w="3754" w:type="pct"/>
            <w:gridSpan w:val="2"/>
            <w:hideMark/>
          </w:tcPr>
          <w:p w14:paraId="2DE39A02" w14:textId="77777777" w:rsidR="001E6C75" w:rsidRPr="00B61B9D" w:rsidRDefault="001E6C75" w:rsidP="00B10611">
            <w:bookmarkStart w:id="8" w:name="_Hlk112943054"/>
            <w:r w:rsidRPr="00B61B9D">
              <w:t>Risk management plan</w:t>
            </w:r>
            <w:bookmarkEnd w:id="8"/>
          </w:p>
        </w:tc>
      </w:tr>
      <w:tr w:rsidR="001E6C75" w:rsidRPr="00B61B9D" w14:paraId="593A5B9C" w14:textId="77777777" w:rsidTr="001E6C75">
        <w:tc>
          <w:tcPr>
            <w:tcW w:w="1246" w:type="pct"/>
          </w:tcPr>
          <w:p w14:paraId="59AE1BF1" w14:textId="77777777" w:rsidR="001E6C75" w:rsidRPr="00B61B9D" w:rsidRDefault="001E6C75" w:rsidP="00B10611">
            <w:r w:rsidRPr="00B61B9D">
              <w:t>SAE</w:t>
            </w:r>
          </w:p>
        </w:tc>
        <w:tc>
          <w:tcPr>
            <w:tcW w:w="3754" w:type="pct"/>
            <w:gridSpan w:val="2"/>
          </w:tcPr>
          <w:p w14:paraId="0772C69E" w14:textId="6CD7F014" w:rsidR="001E6C75" w:rsidRPr="00B61B9D" w:rsidRDefault="001E6C75" w:rsidP="00B10611">
            <w:r w:rsidRPr="00B61B9D">
              <w:t>Serious adverse event</w:t>
            </w:r>
          </w:p>
        </w:tc>
      </w:tr>
      <w:tr w:rsidR="001E6C75" w:rsidRPr="00B61B9D" w14:paraId="553D0872" w14:textId="77777777" w:rsidTr="001E6C75">
        <w:tc>
          <w:tcPr>
            <w:tcW w:w="1246" w:type="pct"/>
          </w:tcPr>
          <w:p w14:paraId="2ED96310" w14:textId="77777777" w:rsidR="001E6C75" w:rsidRPr="00B61B9D" w:rsidRDefault="001E6C75" w:rsidP="00B10611">
            <w:r w:rsidRPr="00B61B9D">
              <w:t>SD</w:t>
            </w:r>
          </w:p>
        </w:tc>
        <w:tc>
          <w:tcPr>
            <w:tcW w:w="3754" w:type="pct"/>
            <w:gridSpan w:val="2"/>
          </w:tcPr>
          <w:p w14:paraId="64BA2C29" w14:textId="4058EDCA" w:rsidR="001E6C75" w:rsidRPr="00B61B9D" w:rsidRDefault="001E6C75" w:rsidP="00B10611">
            <w:r w:rsidRPr="00B61B9D">
              <w:t>Standard deviation</w:t>
            </w:r>
          </w:p>
        </w:tc>
      </w:tr>
      <w:tr w:rsidR="001E6C75" w:rsidRPr="00B61B9D" w14:paraId="78C25660" w14:textId="77777777" w:rsidTr="001E6C75">
        <w:tc>
          <w:tcPr>
            <w:tcW w:w="1246" w:type="pct"/>
          </w:tcPr>
          <w:p w14:paraId="2179D84E" w14:textId="77777777" w:rsidR="001E6C75" w:rsidRPr="00B61B9D" w:rsidRDefault="001E6C75" w:rsidP="00B10611">
            <w:r w:rsidRPr="00B61B9D">
              <w:t>SOC</w:t>
            </w:r>
          </w:p>
        </w:tc>
        <w:tc>
          <w:tcPr>
            <w:tcW w:w="3754" w:type="pct"/>
            <w:gridSpan w:val="2"/>
          </w:tcPr>
          <w:p w14:paraId="5A6BE879" w14:textId="77777777" w:rsidR="001E6C75" w:rsidRPr="00B61B9D" w:rsidRDefault="001E6C75" w:rsidP="00B10611">
            <w:r w:rsidRPr="00B61B9D">
              <w:t>System Organ Class</w:t>
            </w:r>
          </w:p>
        </w:tc>
      </w:tr>
      <w:tr w:rsidR="001E6C75" w:rsidRPr="00B61B9D" w14:paraId="1A07609D" w14:textId="77777777" w:rsidTr="001E6C75">
        <w:tc>
          <w:tcPr>
            <w:tcW w:w="1246" w:type="pct"/>
          </w:tcPr>
          <w:p w14:paraId="52789AB5" w14:textId="77777777" w:rsidR="001E6C75" w:rsidRPr="00B61B9D" w:rsidRDefault="001E6C75" w:rsidP="00B10611">
            <w:r w:rsidRPr="00B61B9D">
              <w:t>t</w:t>
            </w:r>
            <w:r w:rsidRPr="00B61B9D">
              <w:rPr>
                <w:vertAlign w:val="subscript"/>
              </w:rPr>
              <w:t>1/2</w:t>
            </w:r>
          </w:p>
        </w:tc>
        <w:tc>
          <w:tcPr>
            <w:tcW w:w="3754" w:type="pct"/>
            <w:gridSpan w:val="2"/>
          </w:tcPr>
          <w:p w14:paraId="77D3F914" w14:textId="2783B033" w:rsidR="001E6C75" w:rsidRPr="00B61B9D" w:rsidRDefault="001E6C75" w:rsidP="00B10611">
            <w:r w:rsidRPr="00B61B9D">
              <w:t>Terminal drug half life</w:t>
            </w:r>
          </w:p>
        </w:tc>
      </w:tr>
      <w:tr w:rsidR="001E6C75" w:rsidRPr="00B61B9D" w14:paraId="3CC60FFE" w14:textId="77777777" w:rsidTr="001E6C75">
        <w:tc>
          <w:tcPr>
            <w:tcW w:w="1246" w:type="pct"/>
            <w:hideMark/>
          </w:tcPr>
          <w:p w14:paraId="281233B0" w14:textId="77777777" w:rsidR="001E6C75" w:rsidRPr="00B61B9D" w:rsidRDefault="001E6C75" w:rsidP="00B10611">
            <w:r w:rsidRPr="00B61B9D">
              <w:t>TGA</w:t>
            </w:r>
          </w:p>
        </w:tc>
        <w:tc>
          <w:tcPr>
            <w:tcW w:w="3754" w:type="pct"/>
            <w:gridSpan w:val="2"/>
            <w:hideMark/>
          </w:tcPr>
          <w:p w14:paraId="5D55B9CF" w14:textId="77777777" w:rsidR="001E6C75" w:rsidRPr="00B61B9D" w:rsidRDefault="001E6C75" w:rsidP="00B10611">
            <w:r w:rsidRPr="00B61B9D">
              <w:t>Therapeutic Goods Administration</w:t>
            </w:r>
          </w:p>
        </w:tc>
      </w:tr>
      <w:tr w:rsidR="001E6C75" w:rsidRPr="00B61B9D" w14:paraId="764494E1" w14:textId="77777777" w:rsidTr="001E6C75">
        <w:tc>
          <w:tcPr>
            <w:tcW w:w="1246" w:type="pct"/>
          </w:tcPr>
          <w:p w14:paraId="006D42F1" w14:textId="77777777" w:rsidR="001E6C75" w:rsidRPr="00B61B9D" w:rsidRDefault="001E6C75" w:rsidP="00B10611">
            <w:r w:rsidRPr="00B61B9D">
              <w:t>T</w:t>
            </w:r>
            <w:r w:rsidRPr="00B61B9D">
              <w:rPr>
                <w:vertAlign w:val="subscript"/>
              </w:rPr>
              <w:t>max</w:t>
            </w:r>
          </w:p>
        </w:tc>
        <w:tc>
          <w:tcPr>
            <w:tcW w:w="3754" w:type="pct"/>
            <w:gridSpan w:val="2"/>
          </w:tcPr>
          <w:p w14:paraId="7AADBD50" w14:textId="091A9A68" w:rsidR="001E6C75" w:rsidRPr="00B61B9D" w:rsidRDefault="001E6C75" w:rsidP="00B10611">
            <w:r w:rsidRPr="00B61B9D">
              <w:t>Time at maximum concentration</w:t>
            </w:r>
          </w:p>
        </w:tc>
      </w:tr>
      <w:tr w:rsidR="001E6C75" w:rsidRPr="00B61B9D" w14:paraId="48F1E8CF" w14:textId="77777777" w:rsidTr="001E6C75">
        <w:tc>
          <w:tcPr>
            <w:tcW w:w="1246" w:type="pct"/>
          </w:tcPr>
          <w:p w14:paraId="401079FE" w14:textId="77777777" w:rsidR="001E6C75" w:rsidRPr="00B61B9D" w:rsidRDefault="001E6C75" w:rsidP="00B10611">
            <w:r w:rsidRPr="00B61B9D">
              <w:t>UFC</w:t>
            </w:r>
          </w:p>
        </w:tc>
        <w:tc>
          <w:tcPr>
            <w:tcW w:w="3754" w:type="pct"/>
            <w:gridSpan w:val="2"/>
          </w:tcPr>
          <w:p w14:paraId="5324E1A9" w14:textId="5538AD9E" w:rsidR="001E6C75" w:rsidRPr="00B61B9D" w:rsidRDefault="001E6C75" w:rsidP="00B10611">
            <w:r w:rsidRPr="00B61B9D">
              <w:t>Urinary free cortisol</w:t>
            </w:r>
          </w:p>
        </w:tc>
      </w:tr>
      <w:tr w:rsidR="001E6C75" w:rsidRPr="00B61B9D" w14:paraId="62AFBAEB" w14:textId="77777777" w:rsidTr="001E6C75">
        <w:tc>
          <w:tcPr>
            <w:tcW w:w="1246" w:type="pct"/>
          </w:tcPr>
          <w:p w14:paraId="037D33EE" w14:textId="77777777" w:rsidR="001E6C75" w:rsidRPr="00B61B9D" w:rsidRDefault="001E6C75" w:rsidP="00B10611">
            <w:pPr>
              <w:rPr>
                <w:color w:val="000000"/>
              </w:rPr>
            </w:pPr>
            <w:r w:rsidRPr="00B61B9D">
              <w:t>UGT</w:t>
            </w:r>
          </w:p>
        </w:tc>
        <w:tc>
          <w:tcPr>
            <w:tcW w:w="3754" w:type="pct"/>
            <w:gridSpan w:val="2"/>
          </w:tcPr>
          <w:p w14:paraId="753DE60F" w14:textId="394182F3" w:rsidR="001E6C75" w:rsidRPr="00B61B9D" w:rsidRDefault="001E6C75" w:rsidP="00B10611">
            <w:r w:rsidRPr="00B61B9D">
              <w:t>Uridine 5'-diphospho-glucuronosyltransferase</w:t>
            </w:r>
          </w:p>
        </w:tc>
      </w:tr>
      <w:tr w:rsidR="001E6C75" w:rsidRPr="00B61B9D" w14:paraId="26ABCF10" w14:textId="77777777" w:rsidTr="001E6C75">
        <w:tc>
          <w:tcPr>
            <w:tcW w:w="1246" w:type="pct"/>
          </w:tcPr>
          <w:p w14:paraId="0AA2B1C0" w14:textId="77777777" w:rsidR="001E6C75" w:rsidRPr="00B61B9D" w:rsidRDefault="001E6C75" w:rsidP="00B10611">
            <w:r w:rsidRPr="00B61B9D">
              <w:t>ULN</w:t>
            </w:r>
          </w:p>
        </w:tc>
        <w:tc>
          <w:tcPr>
            <w:tcW w:w="3754" w:type="pct"/>
            <w:gridSpan w:val="2"/>
          </w:tcPr>
          <w:p w14:paraId="1E89C734" w14:textId="1D388266" w:rsidR="001E6C75" w:rsidRPr="00B61B9D" w:rsidRDefault="001E6C75" w:rsidP="00B10611">
            <w:r w:rsidRPr="00B61B9D">
              <w:t>Upper limit of normal</w:t>
            </w:r>
          </w:p>
        </w:tc>
      </w:tr>
    </w:tbl>
    <w:p w14:paraId="4D4D93EB" w14:textId="6CB154B8" w:rsidR="00FD119B" w:rsidRPr="00B61B9D" w:rsidRDefault="00FD119B" w:rsidP="00FD119B">
      <w:pPr>
        <w:spacing w:before="0" w:after="200" w:line="0" w:lineRule="auto"/>
        <w:rPr>
          <w:b/>
          <w:i/>
          <w:sz w:val="24"/>
          <w:szCs w:val="24"/>
        </w:rPr>
      </w:pPr>
    </w:p>
    <w:p w14:paraId="606F4197" w14:textId="77777777" w:rsidR="008E7846" w:rsidRPr="00B61B9D" w:rsidRDefault="009F2673" w:rsidP="00AA7B66">
      <w:pPr>
        <w:pStyle w:val="Heading2"/>
        <w:pageBreakBefore/>
      </w:pPr>
      <w:bookmarkStart w:id="9" w:name="_Toc117259876"/>
      <w:r w:rsidRPr="00B61B9D">
        <w:lastRenderedPageBreak/>
        <w:t>Pr</w:t>
      </w:r>
      <w:r w:rsidR="008E7846" w:rsidRPr="00B61B9D">
        <w:t>oduct submission</w:t>
      </w:r>
      <w:bookmarkEnd w:id="9"/>
      <w:bookmarkEnd w:id="2"/>
      <w:bookmarkEnd w:id="0"/>
    </w:p>
    <w:p w14:paraId="171B9B35" w14:textId="77777777" w:rsidR="008E7846" w:rsidRPr="00B61B9D" w:rsidRDefault="008E7846" w:rsidP="009E5A87">
      <w:pPr>
        <w:pStyle w:val="Heading3"/>
        <w:rPr>
          <w:lang w:eastAsia="en-AU"/>
        </w:rPr>
      </w:pPr>
      <w:bookmarkStart w:id="10" w:name="_Toc247691502"/>
      <w:bookmarkStart w:id="11" w:name="_Toc314842483"/>
      <w:bookmarkStart w:id="12" w:name="_Toc117259877"/>
      <w:r w:rsidRPr="00B61B9D">
        <w:rPr>
          <w:lang w:eastAsia="en-AU"/>
        </w:rPr>
        <w:t>Submission details</w:t>
      </w:r>
      <w:bookmarkEnd w:id="10"/>
      <w:bookmarkEnd w:id="11"/>
      <w:bookmarkEnd w:id="12"/>
    </w:p>
    <w:tbl>
      <w:tblPr>
        <w:tblW w:w="5000" w:type="pct"/>
        <w:tblLook w:val="01E0" w:firstRow="1" w:lastRow="1" w:firstColumn="1" w:lastColumn="1" w:noHBand="0" w:noVBand="0"/>
      </w:tblPr>
      <w:tblGrid>
        <w:gridCol w:w="2682"/>
        <w:gridCol w:w="5822"/>
      </w:tblGrid>
      <w:tr w:rsidR="009F2673" w:rsidRPr="00B61B9D" w14:paraId="1F0849FF" w14:textId="77777777" w:rsidTr="006F5605">
        <w:tc>
          <w:tcPr>
            <w:tcW w:w="1577" w:type="pct"/>
          </w:tcPr>
          <w:p w14:paraId="191DF229" w14:textId="77777777" w:rsidR="009F2673" w:rsidRPr="00B61B9D" w:rsidRDefault="009F2673" w:rsidP="009E5A87">
            <w:pPr>
              <w:rPr>
                <w:i/>
              </w:rPr>
            </w:pPr>
            <w:r w:rsidRPr="00B61B9D">
              <w:rPr>
                <w:i/>
              </w:rPr>
              <w:t>Type of submission:</w:t>
            </w:r>
          </w:p>
        </w:tc>
        <w:tc>
          <w:tcPr>
            <w:tcW w:w="3423" w:type="pct"/>
          </w:tcPr>
          <w:p w14:paraId="2CDFC153" w14:textId="2F21FD70" w:rsidR="009F2673" w:rsidRPr="00B61B9D" w:rsidRDefault="009F2673" w:rsidP="009E5A87">
            <w:r w:rsidRPr="00B61B9D">
              <w:t>New chemical entity</w:t>
            </w:r>
          </w:p>
        </w:tc>
      </w:tr>
      <w:tr w:rsidR="009F2673" w:rsidRPr="00B61B9D" w14:paraId="50CA7017" w14:textId="77777777" w:rsidTr="006F5605">
        <w:tc>
          <w:tcPr>
            <w:tcW w:w="1577" w:type="pct"/>
          </w:tcPr>
          <w:p w14:paraId="1C0B81FF" w14:textId="2DE4EE92" w:rsidR="009F2673" w:rsidRPr="00B61B9D" w:rsidRDefault="009F2673" w:rsidP="009E5A87">
            <w:pPr>
              <w:rPr>
                <w:i/>
              </w:rPr>
            </w:pPr>
            <w:r w:rsidRPr="00B61B9D">
              <w:rPr>
                <w:i/>
              </w:rPr>
              <w:t>Product name:</w:t>
            </w:r>
          </w:p>
        </w:tc>
        <w:tc>
          <w:tcPr>
            <w:tcW w:w="3423" w:type="pct"/>
          </w:tcPr>
          <w:p w14:paraId="0086DC9F" w14:textId="6B75CB2B" w:rsidR="009F2673" w:rsidRPr="00B61B9D" w:rsidRDefault="006F5605" w:rsidP="009E5A87">
            <w:r w:rsidRPr="00B61B9D">
              <w:t>Isturisa</w:t>
            </w:r>
          </w:p>
        </w:tc>
      </w:tr>
      <w:tr w:rsidR="009F2673" w:rsidRPr="00B61B9D" w14:paraId="62A2C77D" w14:textId="77777777" w:rsidTr="006F5605">
        <w:tc>
          <w:tcPr>
            <w:tcW w:w="1577" w:type="pct"/>
          </w:tcPr>
          <w:p w14:paraId="013B0245" w14:textId="722EA012" w:rsidR="009F2673" w:rsidRPr="00B61B9D" w:rsidRDefault="009F2673" w:rsidP="009E5A87">
            <w:pPr>
              <w:rPr>
                <w:i/>
              </w:rPr>
            </w:pPr>
            <w:r w:rsidRPr="00B61B9D">
              <w:rPr>
                <w:i/>
              </w:rPr>
              <w:t>Active ingredient:</w:t>
            </w:r>
          </w:p>
        </w:tc>
        <w:tc>
          <w:tcPr>
            <w:tcW w:w="3423" w:type="pct"/>
          </w:tcPr>
          <w:p w14:paraId="4FD2BCD3" w14:textId="6262A739" w:rsidR="009F2673" w:rsidRPr="00B61B9D" w:rsidRDefault="006F5605" w:rsidP="009E5A87">
            <w:r w:rsidRPr="00B61B9D">
              <w:t xml:space="preserve">Osilodrostat </w:t>
            </w:r>
            <w:r w:rsidR="00541304" w:rsidRPr="00B61B9D">
              <w:t xml:space="preserve">(as </w:t>
            </w:r>
            <w:r w:rsidRPr="00B61B9D">
              <w:t>phosphate</w:t>
            </w:r>
            <w:r w:rsidR="00541304" w:rsidRPr="00B61B9D">
              <w:t>)</w:t>
            </w:r>
          </w:p>
        </w:tc>
      </w:tr>
      <w:tr w:rsidR="009F2673" w:rsidRPr="00B61B9D" w14:paraId="34B95372" w14:textId="77777777" w:rsidTr="006F5605">
        <w:tc>
          <w:tcPr>
            <w:tcW w:w="1577" w:type="pct"/>
          </w:tcPr>
          <w:p w14:paraId="19CBEDBD" w14:textId="77777777" w:rsidR="009F2673" w:rsidRPr="00B61B9D" w:rsidRDefault="009F2673" w:rsidP="009E5A87">
            <w:pPr>
              <w:rPr>
                <w:i/>
              </w:rPr>
            </w:pPr>
            <w:r w:rsidRPr="00B61B9D">
              <w:rPr>
                <w:i/>
              </w:rPr>
              <w:t>Decision:</w:t>
            </w:r>
          </w:p>
        </w:tc>
        <w:tc>
          <w:tcPr>
            <w:tcW w:w="3423" w:type="pct"/>
          </w:tcPr>
          <w:p w14:paraId="3F6C31A5" w14:textId="6D70B51D" w:rsidR="009F2673" w:rsidRPr="00B61B9D" w:rsidRDefault="009F2673" w:rsidP="009E5A87">
            <w:r w:rsidRPr="00B61B9D">
              <w:t>Approved</w:t>
            </w:r>
          </w:p>
        </w:tc>
      </w:tr>
      <w:tr w:rsidR="009F2673" w:rsidRPr="00B61B9D" w14:paraId="0B309B6B" w14:textId="77777777" w:rsidTr="006F5605">
        <w:tc>
          <w:tcPr>
            <w:tcW w:w="1577" w:type="pct"/>
          </w:tcPr>
          <w:p w14:paraId="44C30159" w14:textId="77777777" w:rsidR="009F2673" w:rsidRPr="00B61B9D" w:rsidRDefault="009F2673" w:rsidP="009E5A87">
            <w:pPr>
              <w:rPr>
                <w:i/>
              </w:rPr>
            </w:pPr>
            <w:r w:rsidRPr="00B61B9D">
              <w:rPr>
                <w:i/>
              </w:rPr>
              <w:t>Date of decision:</w:t>
            </w:r>
          </w:p>
        </w:tc>
        <w:tc>
          <w:tcPr>
            <w:tcW w:w="3423" w:type="pct"/>
          </w:tcPr>
          <w:p w14:paraId="0817915F" w14:textId="5B944951" w:rsidR="009F2673" w:rsidRPr="00B61B9D" w:rsidRDefault="006F5605" w:rsidP="009E5A87">
            <w:r w:rsidRPr="00B61B9D">
              <w:t>6 May 2022</w:t>
            </w:r>
          </w:p>
        </w:tc>
      </w:tr>
      <w:tr w:rsidR="009F2673" w:rsidRPr="00B61B9D" w14:paraId="040A604A" w14:textId="77777777" w:rsidTr="006F5605">
        <w:tc>
          <w:tcPr>
            <w:tcW w:w="1577" w:type="pct"/>
          </w:tcPr>
          <w:p w14:paraId="62C70A4C" w14:textId="77777777" w:rsidR="009F2673" w:rsidRPr="00B61B9D" w:rsidRDefault="009F2673" w:rsidP="009E5A87">
            <w:pPr>
              <w:rPr>
                <w:i/>
              </w:rPr>
            </w:pPr>
            <w:r w:rsidRPr="00B61B9D">
              <w:rPr>
                <w:i/>
              </w:rPr>
              <w:t>Date of entry onto ARTG:</w:t>
            </w:r>
          </w:p>
        </w:tc>
        <w:tc>
          <w:tcPr>
            <w:tcW w:w="3423" w:type="pct"/>
          </w:tcPr>
          <w:p w14:paraId="08E2E8D1" w14:textId="1D99645C" w:rsidR="009F2673" w:rsidRPr="00B61B9D" w:rsidRDefault="006F5605" w:rsidP="009E5A87">
            <w:r w:rsidRPr="00B61B9D">
              <w:t>12 May 2022</w:t>
            </w:r>
          </w:p>
        </w:tc>
      </w:tr>
      <w:tr w:rsidR="009F2673" w:rsidRPr="00B61B9D" w14:paraId="55DD29B5" w14:textId="77777777" w:rsidTr="006F5605">
        <w:tc>
          <w:tcPr>
            <w:tcW w:w="1577" w:type="pct"/>
          </w:tcPr>
          <w:p w14:paraId="1D1C9981" w14:textId="3C4C9A94" w:rsidR="009F2673" w:rsidRPr="00B61B9D" w:rsidRDefault="009F2673" w:rsidP="009E5A87">
            <w:pPr>
              <w:rPr>
                <w:i/>
              </w:rPr>
            </w:pPr>
            <w:r w:rsidRPr="00B61B9D">
              <w:rPr>
                <w:i/>
              </w:rPr>
              <w:t>ARTG numbers:</w:t>
            </w:r>
          </w:p>
        </w:tc>
        <w:tc>
          <w:tcPr>
            <w:tcW w:w="3423" w:type="pct"/>
          </w:tcPr>
          <w:p w14:paraId="6D399A31" w14:textId="05729F45" w:rsidR="009F2673" w:rsidRPr="00B61B9D" w:rsidRDefault="006F5605" w:rsidP="009E5A87">
            <w:r w:rsidRPr="00B61B9D">
              <w:t>369218, 369219 and 369220</w:t>
            </w:r>
          </w:p>
        </w:tc>
      </w:tr>
      <w:tr w:rsidR="009F2673" w:rsidRPr="00B61B9D" w14:paraId="61258FD8" w14:textId="77777777" w:rsidTr="006F5605">
        <w:tc>
          <w:tcPr>
            <w:tcW w:w="1577" w:type="pct"/>
          </w:tcPr>
          <w:p w14:paraId="2095F1C7" w14:textId="5D341EF4" w:rsidR="009F2673" w:rsidRPr="00B61B9D" w:rsidRDefault="001B1DA4" w:rsidP="009E5A87">
            <w:pPr>
              <w:rPr>
                <w:i/>
              </w:rPr>
            </w:pPr>
            <w:r w:rsidRPr="00B61B9D">
              <w:rPr>
                <w:rFonts w:ascii="Wingdings 3" w:hAnsi="Wingdings 3"/>
                <w:sz w:val="34"/>
                <w:szCs w:val="34"/>
                <w:lang w:eastAsia="en-AU"/>
              </w:rPr>
              <w:t></w:t>
            </w:r>
            <w:hyperlink r:id="rId14" w:history="1">
              <w:r w:rsidR="009F2673" w:rsidRPr="00B61B9D">
                <w:rPr>
                  <w:rStyle w:val="Hyperlink"/>
                  <w:i/>
                </w:rPr>
                <w:t>Black Triangle Scheme</w:t>
              </w:r>
            </w:hyperlink>
            <w:r w:rsidR="009F2673" w:rsidRPr="00B61B9D">
              <w:rPr>
                <w:i/>
              </w:rPr>
              <w:t>:</w:t>
            </w:r>
          </w:p>
        </w:tc>
        <w:tc>
          <w:tcPr>
            <w:tcW w:w="3423" w:type="pct"/>
          </w:tcPr>
          <w:p w14:paraId="1A40C1D6" w14:textId="77777777" w:rsidR="006F5605" w:rsidRPr="00B61B9D" w:rsidRDefault="009F2673" w:rsidP="009E5A87">
            <w:r w:rsidRPr="00B61B9D">
              <w:t>Yes</w:t>
            </w:r>
            <w:r w:rsidR="006F5605" w:rsidRPr="00B61B9D">
              <w:t>.</w:t>
            </w:r>
          </w:p>
          <w:p w14:paraId="07158F42" w14:textId="3AB607F0" w:rsidR="009F2673" w:rsidRPr="00B61B9D" w:rsidRDefault="009F2673" w:rsidP="009E5A87">
            <w:r w:rsidRPr="00B61B9D">
              <w:t>This product will remain in the scheme for 5 years, starting on the date the product is first supplied in Australia</w:t>
            </w:r>
            <w:r w:rsidR="006F5605" w:rsidRPr="00B61B9D">
              <w:t>.</w:t>
            </w:r>
          </w:p>
        </w:tc>
      </w:tr>
      <w:tr w:rsidR="009F2673" w:rsidRPr="00B61B9D" w14:paraId="0B261E8B" w14:textId="77777777" w:rsidTr="006F5605">
        <w:tc>
          <w:tcPr>
            <w:tcW w:w="1577" w:type="pct"/>
          </w:tcPr>
          <w:p w14:paraId="790C4C7F" w14:textId="77777777" w:rsidR="009F2673" w:rsidRPr="00B61B9D" w:rsidRDefault="009F2673" w:rsidP="009E5A87">
            <w:pPr>
              <w:rPr>
                <w:i/>
              </w:rPr>
            </w:pPr>
            <w:r w:rsidRPr="00B61B9D">
              <w:rPr>
                <w:i/>
              </w:rPr>
              <w:t>Sponsor’s name and address:</w:t>
            </w:r>
          </w:p>
        </w:tc>
        <w:tc>
          <w:tcPr>
            <w:tcW w:w="3423" w:type="pct"/>
          </w:tcPr>
          <w:p w14:paraId="1C0D4FE3" w14:textId="77777777" w:rsidR="009F2673" w:rsidRPr="00B61B9D" w:rsidRDefault="006F5605" w:rsidP="009E5A87">
            <w:pPr>
              <w:rPr>
                <w:lang w:val="es-ES"/>
              </w:rPr>
            </w:pPr>
            <w:r w:rsidRPr="00B61B9D">
              <w:rPr>
                <w:lang w:val="es-ES"/>
              </w:rPr>
              <w:t>Recordati Rare Diseases Australia Pty Ltd</w:t>
            </w:r>
          </w:p>
          <w:p w14:paraId="45BE720F" w14:textId="77777777" w:rsidR="006F5605" w:rsidRPr="00B61B9D" w:rsidRDefault="006F5605" w:rsidP="006F5605">
            <w:pPr>
              <w:rPr>
                <w:lang w:val="es-ES"/>
              </w:rPr>
            </w:pPr>
            <w:r w:rsidRPr="00B61B9D">
              <w:rPr>
                <w:lang w:val="es-ES"/>
              </w:rPr>
              <w:t>Level 6, 69 Reservoir Street</w:t>
            </w:r>
          </w:p>
          <w:p w14:paraId="67DFAE14" w14:textId="362A84F0" w:rsidR="006F5605" w:rsidRPr="00B61B9D" w:rsidRDefault="006F5605" w:rsidP="006F5605">
            <w:r w:rsidRPr="00B61B9D">
              <w:rPr>
                <w:lang w:val="es-ES"/>
              </w:rPr>
              <w:t>Surry Hills, NSW 2010</w:t>
            </w:r>
          </w:p>
        </w:tc>
      </w:tr>
      <w:tr w:rsidR="009F2673" w:rsidRPr="00B61B9D" w14:paraId="286228E6" w14:textId="77777777" w:rsidTr="006F5605">
        <w:tc>
          <w:tcPr>
            <w:tcW w:w="1577" w:type="pct"/>
          </w:tcPr>
          <w:p w14:paraId="506E75D7" w14:textId="1A48FF66" w:rsidR="009F2673" w:rsidRPr="00B61B9D" w:rsidRDefault="009F2673" w:rsidP="009E5A87">
            <w:pPr>
              <w:rPr>
                <w:i/>
              </w:rPr>
            </w:pPr>
            <w:r w:rsidRPr="00B61B9D">
              <w:rPr>
                <w:i/>
              </w:rPr>
              <w:t>Dose form:</w:t>
            </w:r>
          </w:p>
        </w:tc>
        <w:tc>
          <w:tcPr>
            <w:tcW w:w="3423" w:type="pct"/>
          </w:tcPr>
          <w:p w14:paraId="38AB8D8D" w14:textId="670DD934" w:rsidR="009F2673" w:rsidRPr="00B61B9D" w:rsidRDefault="006F5605" w:rsidP="009E5A87">
            <w:r w:rsidRPr="00B61B9D">
              <w:t>Film</w:t>
            </w:r>
            <w:r w:rsidR="00541304" w:rsidRPr="00B61B9D">
              <w:t>-</w:t>
            </w:r>
            <w:r w:rsidRPr="00B61B9D">
              <w:t>coated tablet</w:t>
            </w:r>
          </w:p>
        </w:tc>
      </w:tr>
      <w:tr w:rsidR="009F2673" w:rsidRPr="00B61B9D" w14:paraId="168A11B4" w14:textId="77777777" w:rsidTr="006F5605">
        <w:tc>
          <w:tcPr>
            <w:tcW w:w="1577" w:type="pct"/>
          </w:tcPr>
          <w:p w14:paraId="58C7CEC1" w14:textId="188154DC" w:rsidR="009F2673" w:rsidRPr="00B61B9D" w:rsidRDefault="009F2673" w:rsidP="009E5A87">
            <w:pPr>
              <w:rPr>
                <w:i/>
              </w:rPr>
            </w:pPr>
            <w:r w:rsidRPr="00B61B9D">
              <w:rPr>
                <w:i/>
              </w:rPr>
              <w:t>Strengths:</w:t>
            </w:r>
          </w:p>
        </w:tc>
        <w:tc>
          <w:tcPr>
            <w:tcW w:w="3423" w:type="pct"/>
          </w:tcPr>
          <w:p w14:paraId="04539BBB" w14:textId="0E5232A9" w:rsidR="009F2673" w:rsidRPr="00B61B9D" w:rsidRDefault="006F5605" w:rsidP="009E5A87">
            <w:r w:rsidRPr="00B61B9D">
              <w:t>1 mg, 5 mg and 10 mg</w:t>
            </w:r>
          </w:p>
        </w:tc>
      </w:tr>
      <w:tr w:rsidR="009F2673" w:rsidRPr="00B61B9D" w14:paraId="10F346CC" w14:textId="77777777" w:rsidTr="006F5605">
        <w:tc>
          <w:tcPr>
            <w:tcW w:w="1577" w:type="pct"/>
          </w:tcPr>
          <w:p w14:paraId="49D5E5C8" w14:textId="75DC416E" w:rsidR="009F2673" w:rsidRPr="00B61B9D" w:rsidRDefault="009F2673" w:rsidP="009E5A87">
            <w:pPr>
              <w:rPr>
                <w:i/>
              </w:rPr>
            </w:pPr>
            <w:r w:rsidRPr="00B61B9D">
              <w:rPr>
                <w:i/>
              </w:rPr>
              <w:t>Container:</w:t>
            </w:r>
          </w:p>
        </w:tc>
        <w:tc>
          <w:tcPr>
            <w:tcW w:w="3423" w:type="pct"/>
          </w:tcPr>
          <w:p w14:paraId="2DDCF6C2" w14:textId="555A8AE1" w:rsidR="009F2673" w:rsidRPr="00B61B9D" w:rsidRDefault="006F5605" w:rsidP="009E5A87">
            <w:r w:rsidRPr="00B61B9D">
              <w:t>Blister pack</w:t>
            </w:r>
          </w:p>
        </w:tc>
      </w:tr>
      <w:tr w:rsidR="009F2673" w:rsidRPr="00B61B9D" w14:paraId="2EBD3DA7" w14:textId="77777777" w:rsidTr="006F5605">
        <w:tc>
          <w:tcPr>
            <w:tcW w:w="1577" w:type="pct"/>
          </w:tcPr>
          <w:p w14:paraId="5FEFBD2D" w14:textId="082168B9" w:rsidR="009F2673" w:rsidRPr="00B61B9D" w:rsidRDefault="009F2673" w:rsidP="009E5A87">
            <w:pPr>
              <w:rPr>
                <w:i/>
              </w:rPr>
            </w:pPr>
            <w:r w:rsidRPr="00B61B9D">
              <w:rPr>
                <w:i/>
              </w:rPr>
              <w:t>Pack size:</w:t>
            </w:r>
          </w:p>
        </w:tc>
        <w:tc>
          <w:tcPr>
            <w:tcW w:w="3423" w:type="pct"/>
          </w:tcPr>
          <w:p w14:paraId="0B39429D" w14:textId="38ABE565" w:rsidR="009F2673" w:rsidRPr="00B61B9D" w:rsidRDefault="006F5605" w:rsidP="009E5A87">
            <w:r w:rsidRPr="00B61B9D">
              <w:t>60</w:t>
            </w:r>
            <w:r w:rsidR="00170AA3">
              <w:t xml:space="preserve"> tablets</w:t>
            </w:r>
          </w:p>
        </w:tc>
      </w:tr>
      <w:tr w:rsidR="009F2673" w:rsidRPr="00B61B9D" w14:paraId="0F3CD2E6" w14:textId="77777777" w:rsidTr="006F5605">
        <w:tc>
          <w:tcPr>
            <w:tcW w:w="1577" w:type="pct"/>
          </w:tcPr>
          <w:p w14:paraId="2CF3077C" w14:textId="77777777" w:rsidR="009F2673" w:rsidRPr="00B61B9D" w:rsidRDefault="009F2673" w:rsidP="009E5A87">
            <w:pPr>
              <w:rPr>
                <w:i/>
              </w:rPr>
            </w:pPr>
            <w:r w:rsidRPr="00B61B9D">
              <w:rPr>
                <w:i/>
              </w:rPr>
              <w:t>Approved therapeutic use:</w:t>
            </w:r>
          </w:p>
        </w:tc>
        <w:tc>
          <w:tcPr>
            <w:tcW w:w="3423" w:type="pct"/>
          </w:tcPr>
          <w:p w14:paraId="0272F565" w14:textId="3B7F3B0C" w:rsidR="009F2673" w:rsidRPr="00B61B9D" w:rsidRDefault="006F5605" w:rsidP="009E5A87">
            <w:pPr>
              <w:rPr>
                <w:i/>
                <w:iCs/>
              </w:rPr>
            </w:pPr>
            <w:r w:rsidRPr="00B61B9D">
              <w:rPr>
                <w:i/>
                <w:iCs/>
              </w:rPr>
              <w:t>Isturisa is indicated for the treatment of endogenous Cushing’s syndrome in adults.</w:t>
            </w:r>
          </w:p>
        </w:tc>
      </w:tr>
      <w:tr w:rsidR="009F2673" w:rsidRPr="00B61B9D" w14:paraId="4E5CA42E" w14:textId="77777777" w:rsidTr="006F5605">
        <w:tc>
          <w:tcPr>
            <w:tcW w:w="1577" w:type="pct"/>
          </w:tcPr>
          <w:p w14:paraId="2B7385AB" w14:textId="3205EA10" w:rsidR="009F2673" w:rsidRPr="00B61B9D" w:rsidRDefault="009F2673" w:rsidP="009E5A87">
            <w:pPr>
              <w:rPr>
                <w:i/>
              </w:rPr>
            </w:pPr>
            <w:r w:rsidRPr="00B61B9D">
              <w:rPr>
                <w:i/>
              </w:rPr>
              <w:t>Route of administration:</w:t>
            </w:r>
          </w:p>
        </w:tc>
        <w:tc>
          <w:tcPr>
            <w:tcW w:w="3423" w:type="pct"/>
          </w:tcPr>
          <w:p w14:paraId="09DBBFE0" w14:textId="3503B20F" w:rsidR="009F2673" w:rsidRPr="00B61B9D" w:rsidRDefault="006F5605" w:rsidP="009E5A87">
            <w:r w:rsidRPr="00B61B9D">
              <w:t>Oral</w:t>
            </w:r>
          </w:p>
        </w:tc>
      </w:tr>
      <w:tr w:rsidR="009F2673" w:rsidRPr="00B61B9D" w14:paraId="74F8D497" w14:textId="77777777" w:rsidTr="006F5605">
        <w:tc>
          <w:tcPr>
            <w:tcW w:w="1577" w:type="pct"/>
          </w:tcPr>
          <w:p w14:paraId="53134E34" w14:textId="77777777" w:rsidR="009F2673" w:rsidRPr="00B61B9D" w:rsidRDefault="009F2673" w:rsidP="009E5A87">
            <w:pPr>
              <w:rPr>
                <w:i/>
              </w:rPr>
            </w:pPr>
            <w:r w:rsidRPr="00B61B9D">
              <w:rPr>
                <w:i/>
              </w:rPr>
              <w:t>Dosage:</w:t>
            </w:r>
          </w:p>
        </w:tc>
        <w:tc>
          <w:tcPr>
            <w:tcW w:w="3423" w:type="pct"/>
          </w:tcPr>
          <w:p w14:paraId="0B4B7846" w14:textId="77777777" w:rsidR="00170AA3" w:rsidRDefault="006F5605" w:rsidP="006F5605">
            <w:r w:rsidRPr="00B61B9D">
              <w:t>The recommended starting dose is 2 mg osilodrostat twice daily.</w:t>
            </w:r>
          </w:p>
          <w:p w14:paraId="6854E3F9" w14:textId="2D5AD4B5" w:rsidR="006F5605" w:rsidRPr="00B61B9D" w:rsidRDefault="006F5605" w:rsidP="006F5605">
            <w:r w:rsidRPr="00B61B9D">
              <w:t xml:space="preserve">For patients of Asian ancestry, a reduced starting dose of 1 mg twice daily is recommended (see </w:t>
            </w:r>
            <w:r w:rsidR="00541304" w:rsidRPr="00B61B9D">
              <w:t>Section </w:t>
            </w:r>
            <w:r w:rsidRPr="00B61B9D">
              <w:t xml:space="preserve">5.2 Pharmacokinetic </w:t>
            </w:r>
            <w:r w:rsidR="00541304" w:rsidRPr="00B61B9D">
              <w:t>properties</w:t>
            </w:r>
            <w:r w:rsidR="00170AA3">
              <w:t xml:space="preserve"> of the Product Information</w:t>
            </w:r>
            <w:r w:rsidRPr="00B61B9D">
              <w:t>).</w:t>
            </w:r>
          </w:p>
          <w:p w14:paraId="1BBAC26B" w14:textId="77777777" w:rsidR="006F5605" w:rsidRPr="00B61B9D" w:rsidRDefault="006F5605" w:rsidP="006F5605">
            <w:r w:rsidRPr="00B61B9D">
              <w:t>The dose can be gradually titrated (initially by dose increments of 1 or 2 mg) based on individual response and tolerability, with the aim to achieve normal cortisol levels.</w:t>
            </w:r>
          </w:p>
          <w:p w14:paraId="43D89EE7" w14:textId="23166CA7" w:rsidR="006F5605" w:rsidRPr="00B61B9D" w:rsidRDefault="006F5605" w:rsidP="009E5A87">
            <w:r w:rsidRPr="00B61B9D">
              <w:t>The maximum recommended dose of Isturisa is 30 mg twice daily.</w:t>
            </w:r>
          </w:p>
          <w:p w14:paraId="303178EC" w14:textId="77777777" w:rsidR="009F2673" w:rsidRPr="00B61B9D" w:rsidRDefault="009F2673" w:rsidP="009E5A87">
            <w:r w:rsidRPr="00B61B9D">
              <w:t>For further information regarding dosage, refer to the Product Information.</w:t>
            </w:r>
          </w:p>
        </w:tc>
      </w:tr>
      <w:tr w:rsidR="009F2673" w:rsidRPr="00B61B9D" w14:paraId="7C681637" w14:textId="77777777" w:rsidTr="006F5605">
        <w:tc>
          <w:tcPr>
            <w:tcW w:w="1577" w:type="pct"/>
          </w:tcPr>
          <w:p w14:paraId="0900A36A" w14:textId="77777777" w:rsidR="009F2673" w:rsidRPr="00B61B9D" w:rsidRDefault="009F2673" w:rsidP="009E5A87">
            <w:pPr>
              <w:rPr>
                <w:i/>
              </w:rPr>
            </w:pPr>
            <w:r w:rsidRPr="00B61B9D">
              <w:rPr>
                <w:i/>
              </w:rPr>
              <w:lastRenderedPageBreak/>
              <w:t>Pregnancy category:</w:t>
            </w:r>
          </w:p>
        </w:tc>
        <w:tc>
          <w:tcPr>
            <w:tcW w:w="3423" w:type="pct"/>
          </w:tcPr>
          <w:p w14:paraId="2B1243BA" w14:textId="77777777" w:rsidR="006F5605" w:rsidRPr="00B61B9D" w:rsidRDefault="006F5605" w:rsidP="006F5605">
            <w:r w:rsidRPr="00B61B9D">
              <w:t>D</w:t>
            </w:r>
          </w:p>
          <w:p w14:paraId="76BCED91" w14:textId="77777777" w:rsidR="006F5605" w:rsidRPr="00B61B9D" w:rsidRDefault="006F5605" w:rsidP="006F5605">
            <w:r w:rsidRPr="00B61B9D">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934DF51" w14:textId="20082ABB" w:rsidR="009F2673" w:rsidRPr="00B61B9D" w:rsidRDefault="009F2673" w:rsidP="009E5A87">
            <w:r w:rsidRPr="00B61B9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0293C7C" w14:textId="77777777" w:rsidR="008E7846" w:rsidRPr="00B61B9D" w:rsidRDefault="008E7846" w:rsidP="008E7846">
      <w:pPr>
        <w:pStyle w:val="Heading3"/>
      </w:pPr>
      <w:bookmarkStart w:id="13" w:name="_Toc247691503"/>
      <w:bookmarkStart w:id="14" w:name="_Toc314842484"/>
      <w:bookmarkStart w:id="15" w:name="_Toc117259878"/>
      <w:r w:rsidRPr="00B61B9D">
        <w:t>Product background</w:t>
      </w:r>
      <w:bookmarkEnd w:id="13"/>
      <w:bookmarkEnd w:id="14"/>
      <w:bookmarkEnd w:id="15"/>
    </w:p>
    <w:p w14:paraId="0902284F" w14:textId="54216317" w:rsidR="009F2673" w:rsidRPr="00B61B9D" w:rsidRDefault="009F2673" w:rsidP="009F2673">
      <w:r w:rsidRPr="00B61B9D">
        <w:t xml:space="preserve">This AusPAR describes the </w:t>
      </w:r>
      <w:r w:rsidR="001E359E" w:rsidRPr="00B61B9D">
        <w:t>submission</w:t>
      </w:r>
      <w:r w:rsidRPr="00B61B9D">
        <w:t xml:space="preserve"> by </w:t>
      </w:r>
      <w:r w:rsidR="006F5605" w:rsidRPr="00B61B9D">
        <w:rPr>
          <w:lang w:val="es-ES"/>
        </w:rPr>
        <w:t>Recordati Rare Diseases Australia Pty Ltd</w:t>
      </w:r>
      <w:r w:rsidRPr="00B61B9D">
        <w:t xml:space="preserve"> (the sponsor) to register </w:t>
      </w:r>
      <w:r w:rsidR="006F5605" w:rsidRPr="00B61B9D">
        <w:t xml:space="preserve">Isturisa </w:t>
      </w:r>
      <w:r w:rsidRPr="00B61B9D">
        <w:t>(</w:t>
      </w:r>
      <w:r w:rsidR="006F5605" w:rsidRPr="00B61B9D">
        <w:t>osilodrostat</w:t>
      </w:r>
      <w:r w:rsidRPr="00B61B9D">
        <w:t xml:space="preserve">) </w:t>
      </w:r>
      <w:r w:rsidR="006F5605" w:rsidRPr="00B61B9D">
        <w:t>1 mg, 5 mg and 10 mg</w:t>
      </w:r>
      <w:r w:rsidRPr="00B61B9D">
        <w:t xml:space="preserve">, </w:t>
      </w:r>
      <w:r w:rsidR="006F5605" w:rsidRPr="00B61B9D">
        <w:t>film</w:t>
      </w:r>
      <w:r w:rsidR="00541304" w:rsidRPr="00B61B9D">
        <w:t>-</w:t>
      </w:r>
      <w:r w:rsidR="006F5605" w:rsidRPr="00B61B9D">
        <w:t>coated tablet</w:t>
      </w:r>
      <w:r w:rsidRPr="00B61B9D">
        <w:t xml:space="preserve"> for the following proposed indication:</w:t>
      </w:r>
    </w:p>
    <w:p w14:paraId="3BEB04C1" w14:textId="42222E6A" w:rsidR="002C1783" w:rsidRPr="00B61B9D" w:rsidRDefault="002C1783" w:rsidP="002C1783">
      <w:pPr>
        <w:ind w:left="720"/>
        <w:rPr>
          <w:i/>
          <w:iCs/>
        </w:rPr>
      </w:pPr>
      <w:r w:rsidRPr="00B61B9D">
        <w:rPr>
          <w:i/>
          <w:iCs/>
        </w:rPr>
        <w:t>Isturisa is indicated for the treatment of endogenous Cushing’s syndrome in adults.</w:t>
      </w:r>
    </w:p>
    <w:p w14:paraId="434C5A2C" w14:textId="26DADAED" w:rsidR="002C1783" w:rsidRPr="00B61B9D" w:rsidRDefault="00170AA3" w:rsidP="002C1783">
      <w:bookmarkStart w:id="16" w:name="_Toc314842485"/>
      <w:bookmarkStart w:id="17" w:name="_Toc247691504"/>
      <w:r w:rsidRPr="00170AA3">
        <w:t xml:space="preserve">Cushing's syndrome </w:t>
      </w:r>
      <w:r>
        <w:t xml:space="preserve">describes a collection of signs and symptoms </w:t>
      </w:r>
      <w:r w:rsidR="00B10611">
        <w:t>arising from prolonged exposure to an excess of cortisol, a steroid hormone normally produced by the adrenal glands.</w:t>
      </w:r>
      <w:r w:rsidR="00F4017E">
        <w:t xml:space="preserve"> </w:t>
      </w:r>
      <w:r w:rsidR="002C1783" w:rsidRPr="00B61B9D">
        <w:t xml:space="preserve">Endogenous Cushing’s syndrome denotes a group of rare diseases </w:t>
      </w:r>
      <w:r w:rsidR="00762E3F">
        <w:t xml:space="preserve">resulting from </w:t>
      </w:r>
      <w:r w:rsidR="00F4017E">
        <w:t>the body’s over-excretion of cortisol. It</w:t>
      </w:r>
      <w:r w:rsidR="002C1783" w:rsidRPr="00B61B9D">
        <w:t xml:space="preserve"> most commonly affects adults aged 20</w:t>
      </w:r>
      <w:r w:rsidR="00242DBE" w:rsidRPr="00B61B9D">
        <w:t xml:space="preserve"> to </w:t>
      </w:r>
      <w:r w:rsidR="002C1783" w:rsidRPr="00B61B9D">
        <w:t>50 years, with a marked female preponderance</w:t>
      </w:r>
      <w:r w:rsidR="00242DBE" w:rsidRPr="00B61B9D">
        <w:t>.</w:t>
      </w:r>
      <w:r w:rsidR="002C1783" w:rsidRPr="00B61B9D">
        <w:rPr>
          <w:vertAlign w:val="superscript"/>
        </w:rPr>
        <w:footnoteReference w:id="1"/>
      </w:r>
      <w:r w:rsidR="002C1783" w:rsidRPr="00B61B9D">
        <w:t xml:space="preserve"> </w:t>
      </w:r>
      <w:r w:rsidR="00762E3F">
        <w:t xml:space="preserve">Endogenous Cushing’s syndrome can be </w:t>
      </w:r>
      <w:r w:rsidR="005C5943">
        <w:t xml:space="preserve">further </w:t>
      </w:r>
      <w:r w:rsidR="002C1783" w:rsidRPr="00B61B9D">
        <w:t xml:space="preserve">categorised as </w:t>
      </w:r>
      <w:r w:rsidR="005C5943">
        <w:t xml:space="preserve">either </w:t>
      </w:r>
      <w:r w:rsidR="002C1783" w:rsidRPr="00B61B9D">
        <w:t xml:space="preserve">adrenocorticotropic hormone (ACTH)-dependent </w:t>
      </w:r>
      <w:r w:rsidR="00541304" w:rsidRPr="00B61B9D">
        <w:t>Cushing’s syndrome</w:t>
      </w:r>
      <w:r w:rsidR="005C5943">
        <w:t>, or</w:t>
      </w:r>
      <w:r w:rsidR="002C1783" w:rsidRPr="00B61B9D">
        <w:t xml:space="preserve"> ACTH</w:t>
      </w:r>
      <w:r w:rsidR="005C5943">
        <w:noBreakHyphen/>
      </w:r>
      <w:r w:rsidR="002C1783" w:rsidRPr="00B61B9D">
        <w:t xml:space="preserve">independent </w:t>
      </w:r>
      <w:r w:rsidR="00541304" w:rsidRPr="00B61B9D">
        <w:t>Cushing’s syndrome</w:t>
      </w:r>
      <w:r w:rsidR="002C1783" w:rsidRPr="00B61B9D">
        <w:t xml:space="preserve">, accounting for 80% and 20% of all cases of </w:t>
      </w:r>
      <w:r w:rsidR="00541304" w:rsidRPr="00B61B9D">
        <w:t>Cushing’s syndrome</w:t>
      </w:r>
      <w:r w:rsidR="002C1783" w:rsidRPr="00B61B9D">
        <w:t xml:space="preserve"> respectively.</w:t>
      </w:r>
      <w:bookmarkStart w:id="18" w:name="_Ref116983178"/>
      <w:r w:rsidR="005C5943">
        <w:rPr>
          <w:rStyle w:val="FootnoteReference"/>
        </w:rPr>
        <w:footnoteReference w:id="2"/>
      </w:r>
      <w:bookmarkEnd w:id="18"/>
    </w:p>
    <w:p w14:paraId="4F52BE85" w14:textId="0625F653" w:rsidR="005C5943" w:rsidRDefault="005C5943" w:rsidP="002C1783">
      <w:r>
        <w:t>Adenocorticotropic hormone is normally synthesi</w:t>
      </w:r>
      <w:r w:rsidR="00554DAA">
        <w:t>s</w:t>
      </w:r>
      <w:r>
        <w:t xml:space="preserve">ed and released by the anterior pituitary gland. </w:t>
      </w:r>
      <w:r w:rsidRPr="005C5943">
        <w:t xml:space="preserve">ACTH stimulates </w:t>
      </w:r>
      <w:r w:rsidR="00D91202">
        <w:t xml:space="preserve">the synthesis and </w:t>
      </w:r>
      <w:r w:rsidRPr="005C5943">
        <w:t>secretion of glucocorticoid steroid hormones</w:t>
      </w:r>
      <w:r w:rsidR="00D91202">
        <w:t>, including cortisol,</w:t>
      </w:r>
      <w:r>
        <w:t xml:space="preserve"> from adrenal cortex cells in the adrenal glands</w:t>
      </w:r>
      <w:r w:rsidR="00D91202">
        <w:t>.</w:t>
      </w:r>
    </w:p>
    <w:p w14:paraId="38FF38A8" w14:textId="0B73E0DA" w:rsidR="00D91202" w:rsidRDefault="00D7035A" w:rsidP="002C1783">
      <w:r>
        <w:t>Adenocorticotropic hormone-</w:t>
      </w:r>
      <w:r w:rsidR="002C1783" w:rsidRPr="00B61B9D">
        <w:t xml:space="preserve">dependent </w:t>
      </w:r>
      <w:r w:rsidR="00541304" w:rsidRPr="00B61B9D">
        <w:t>Cushing’s syndrome</w:t>
      </w:r>
      <w:r w:rsidR="00D91202">
        <w:t xml:space="preserve"> results from an over</w:t>
      </w:r>
      <w:r w:rsidR="00D91202">
        <w:noBreakHyphen/>
        <w:t>excretion of ACTH, resulting in an excess of cortisol production and release. The most common</w:t>
      </w:r>
      <w:r w:rsidR="002C1783" w:rsidRPr="00B61B9D">
        <w:t xml:space="preserve"> cause</w:t>
      </w:r>
      <w:r w:rsidR="00D91202">
        <w:t xml:space="preserve"> is</w:t>
      </w:r>
      <w:r w:rsidR="002C1783" w:rsidRPr="00B61B9D">
        <w:t xml:space="preserve"> by ACTH</w:t>
      </w:r>
      <w:r w:rsidR="00A47BB8" w:rsidRPr="00B61B9D">
        <w:noBreakHyphen/>
      </w:r>
      <w:r w:rsidR="002C1783" w:rsidRPr="00B61B9D">
        <w:t>secreting pituitary adenoma (</w:t>
      </w:r>
      <w:r w:rsidR="00D91202">
        <w:t xml:space="preserve">also referred to as </w:t>
      </w:r>
      <w:r w:rsidR="002C1783" w:rsidRPr="00B61B9D">
        <w:t>Cushing’s disease</w:t>
      </w:r>
      <w:r w:rsidR="00D91202">
        <w:t>), and overall</w:t>
      </w:r>
      <w:r w:rsidR="00167075" w:rsidRPr="00B61B9D">
        <w:t xml:space="preserve"> makes up about</w:t>
      </w:r>
      <w:r w:rsidR="002C1783" w:rsidRPr="00B61B9D">
        <w:t xml:space="preserve"> 70% cases of </w:t>
      </w:r>
      <w:r w:rsidR="00541304" w:rsidRPr="00B61B9D">
        <w:t>Cushing’s syndrome</w:t>
      </w:r>
      <w:r w:rsidR="005A16BA">
        <w:t xml:space="preserve"> overall</w:t>
      </w:r>
      <w:r w:rsidR="00D91202">
        <w:t>.</w:t>
      </w:r>
      <w:r w:rsidR="005A16BA" w:rsidRPr="00D7035A">
        <w:rPr>
          <w:vertAlign w:val="superscript"/>
        </w:rPr>
        <w:fldChar w:fldCharType="begin"/>
      </w:r>
      <w:r w:rsidR="005A16BA" w:rsidRPr="00D7035A">
        <w:rPr>
          <w:vertAlign w:val="superscript"/>
        </w:rPr>
        <w:instrText xml:space="preserve"> NOTEREF _Ref116983178 \h </w:instrText>
      </w:r>
      <w:r w:rsidR="005A16BA">
        <w:rPr>
          <w:vertAlign w:val="superscript"/>
        </w:rPr>
        <w:instrText xml:space="preserve"> \* MERGEFORMAT </w:instrText>
      </w:r>
      <w:r w:rsidR="005A16BA" w:rsidRPr="00D7035A">
        <w:rPr>
          <w:vertAlign w:val="superscript"/>
        </w:rPr>
      </w:r>
      <w:r w:rsidR="005A16BA" w:rsidRPr="00D7035A">
        <w:rPr>
          <w:vertAlign w:val="superscript"/>
        </w:rPr>
        <w:fldChar w:fldCharType="separate"/>
      </w:r>
      <w:r w:rsidR="009B4A87">
        <w:rPr>
          <w:vertAlign w:val="superscript"/>
        </w:rPr>
        <w:t>2</w:t>
      </w:r>
      <w:r w:rsidR="005A16BA" w:rsidRPr="00D7035A">
        <w:rPr>
          <w:vertAlign w:val="superscript"/>
        </w:rPr>
        <w:fldChar w:fldCharType="end"/>
      </w:r>
      <w:r w:rsidR="00D91202">
        <w:t xml:space="preserve"> Other ACTH-dependent causes include</w:t>
      </w:r>
      <w:r w:rsidR="002C1783" w:rsidRPr="00B61B9D">
        <w:t xml:space="preserve"> ectopic ACTH secretion by a non-pituitary tumour (10% cases of </w:t>
      </w:r>
      <w:r w:rsidR="00541304" w:rsidRPr="00B61B9D">
        <w:t>Cushing’s syndrome</w:t>
      </w:r>
      <w:r w:rsidR="002C1783" w:rsidRPr="00B61B9D">
        <w:t>), including neuroendocrine tumours, small</w:t>
      </w:r>
      <w:r w:rsidR="00F503CF" w:rsidRPr="00B61B9D">
        <w:t xml:space="preserve"> </w:t>
      </w:r>
      <w:r w:rsidR="002C1783" w:rsidRPr="00B61B9D">
        <w:t>cell lung cancers, pheochromocytomas and medullary thyroid carcinomas.</w:t>
      </w:r>
      <w:r w:rsidR="005A16BA" w:rsidRPr="00D80573">
        <w:rPr>
          <w:vertAlign w:val="superscript"/>
        </w:rPr>
        <w:fldChar w:fldCharType="begin"/>
      </w:r>
      <w:r w:rsidR="005A16BA" w:rsidRPr="00D80573">
        <w:rPr>
          <w:vertAlign w:val="superscript"/>
        </w:rPr>
        <w:instrText xml:space="preserve"> NOTEREF _Ref116983178 \h </w:instrText>
      </w:r>
      <w:r w:rsidR="005A16BA">
        <w:rPr>
          <w:vertAlign w:val="superscript"/>
        </w:rPr>
        <w:instrText xml:space="preserve"> \* MERGEFORMAT </w:instrText>
      </w:r>
      <w:r w:rsidR="005A16BA" w:rsidRPr="00D80573">
        <w:rPr>
          <w:vertAlign w:val="superscript"/>
        </w:rPr>
      </w:r>
      <w:r w:rsidR="005A16BA" w:rsidRPr="00D80573">
        <w:rPr>
          <w:vertAlign w:val="superscript"/>
        </w:rPr>
        <w:fldChar w:fldCharType="separate"/>
      </w:r>
      <w:r w:rsidR="009B4A87">
        <w:rPr>
          <w:vertAlign w:val="superscript"/>
        </w:rPr>
        <w:t>2</w:t>
      </w:r>
      <w:r w:rsidR="005A16BA" w:rsidRPr="00D80573">
        <w:rPr>
          <w:vertAlign w:val="superscript"/>
        </w:rPr>
        <w:fldChar w:fldCharType="end"/>
      </w:r>
    </w:p>
    <w:p w14:paraId="632C25C5" w14:textId="03008D68" w:rsidR="002C1783" w:rsidRPr="00B61B9D" w:rsidRDefault="00D7035A" w:rsidP="002C1783">
      <w:r>
        <w:t>Adenocorticotropic hormone</w:t>
      </w:r>
      <w:r w:rsidR="002C1783" w:rsidRPr="00B61B9D">
        <w:t xml:space="preserve">-independent </w:t>
      </w:r>
      <w:r w:rsidR="00541304" w:rsidRPr="00B61B9D">
        <w:t>Cushing’s syndrome</w:t>
      </w:r>
      <w:r w:rsidR="002C1783" w:rsidRPr="00B61B9D">
        <w:t xml:space="preserve"> is most frequently caused by a unilateral cortisol-producing adrenal adenoma (10%) or carcinoma (8%), and less commonly by bilateral adrenal hyperplasia (1</w:t>
      </w:r>
      <w:r w:rsidR="00F503CF" w:rsidRPr="00B61B9D">
        <w:t xml:space="preserve"> to </w:t>
      </w:r>
      <w:r w:rsidR="002C1783" w:rsidRPr="00B61B9D">
        <w:t>2%).</w:t>
      </w:r>
    </w:p>
    <w:p w14:paraId="2FB1E3F7" w14:textId="28EDC080" w:rsidR="002C1783" w:rsidRPr="00B61B9D" w:rsidRDefault="00541304" w:rsidP="002C1783">
      <w:r w:rsidRPr="00B61B9D">
        <w:t>Cushing’s syndrome</w:t>
      </w:r>
      <w:r w:rsidR="002C1783" w:rsidRPr="00B61B9D">
        <w:t xml:space="preserve"> is characterised by chronic hypercortisolism </w:t>
      </w:r>
      <w:r w:rsidR="005A16BA">
        <w:t xml:space="preserve">(or excess cortisol expose) </w:t>
      </w:r>
      <w:r w:rsidR="002C1783" w:rsidRPr="00B61B9D">
        <w:t xml:space="preserve">which is associated with multiple comorbidities that increase the risk of </w:t>
      </w:r>
      <w:r w:rsidR="002C1783" w:rsidRPr="00B61B9D">
        <w:lastRenderedPageBreak/>
        <w:t>cardiovascular disease and mortality</w:t>
      </w:r>
      <w:r w:rsidR="00F503CF" w:rsidRPr="00B61B9D">
        <w:t>.</w:t>
      </w:r>
      <w:bookmarkStart w:id="19" w:name="_Ref112944989"/>
      <w:r w:rsidR="002C1783" w:rsidRPr="00B61B9D">
        <w:rPr>
          <w:vertAlign w:val="superscript"/>
        </w:rPr>
        <w:footnoteReference w:id="3"/>
      </w:r>
      <w:bookmarkEnd w:id="19"/>
      <w:r w:rsidR="002C1783" w:rsidRPr="00B61B9D">
        <w:rPr>
          <w:vertAlign w:val="superscript"/>
        </w:rPr>
        <w:t>,</w:t>
      </w:r>
      <w:bookmarkStart w:id="20" w:name="_Ref112945071"/>
      <w:r w:rsidR="002C1783" w:rsidRPr="00B61B9D">
        <w:rPr>
          <w:vertAlign w:val="superscript"/>
        </w:rPr>
        <w:footnoteReference w:id="4"/>
      </w:r>
      <w:bookmarkEnd w:id="20"/>
      <w:r w:rsidR="00F503CF" w:rsidRPr="00B61B9D">
        <w:t xml:space="preserve"> </w:t>
      </w:r>
      <w:r w:rsidR="002C1783" w:rsidRPr="00B61B9D">
        <w:t xml:space="preserve">Clinical manifestations of chronic hypercortisolism include metabolic syndrome, insulin resistance, visceral obesity, glucose intolerance, hypertension, dyslipidaemia, and hypercoagulable state. Other clinical signs and symptoms of </w:t>
      </w:r>
      <w:r w:rsidRPr="00B61B9D">
        <w:t>Cushing’s syndrome</w:t>
      </w:r>
      <w:r w:rsidR="002C1783" w:rsidRPr="00B61B9D">
        <w:t xml:space="preserve"> include osteoporosis with increased risk of fractures, impaired immune function with increased risk of infection, skin changes, neuropsychiatric disorders (depression, cognitive impairment) and hypogonadism.</w:t>
      </w:r>
      <w:r w:rsidR="00B61B9D" w:rsidRPr="00B61B9D">
        <w:rPr>
          <w:vertAlign w:val="superscript"/>
        </w:rPr>
        <w:fldChar w:fldCharType="begin"/>
      </w:r>
      <w:r w:rsidR="00B61B9D" w:rsidRPr="00B61B9D">
        <w:rPr>
          <w:vertAlign w:val="superscript"/>
        </w:rPr>
        <w:instrText xml:space="preserve"> NOTEREF _Ref112944989 \h  \* MERGEFORMAT </w:instrText>
      </w:r>
      <w:r w:rsidR="00B61B9D" w:rsidRPr="00B61B9D">
        <w:rPr>
          <w:vertAlign w:val="superscript"/>
        </w:rPr>
      </w:r>
      <w:r w:rsidR="00B61B9D" w:rsidRPr="00B61B9D">
        <w:rPr>
          <w:vertAlign w:val="superscript"/>
        </w:rPr>
        <w:fldChar w:fldCharType="separate"/>
      </w:r>
      <w:r w:rsidR="009B4A87">
        <w:rPr>
          <w:vertAlign w:val="superscript"/>
        </w:rPr>
        <w:t>3</w:t>
      </w:r>
      <w:r w:rsidR="00B61B9D" w:rsidRPr="00B61B9D">
        <w:rPr>
          <w:vertAlign w:val="superscript"/>
        </w:rPr>
        <w:fldChar w:fldCharType="end"/>
      </w:r>
      <w:r w:rsidR="00B61B9D" w:rsidRPr="00B61B9D">
        <w:rPr>
          <w:vertAlign w:val="superscript"/>
        </w:rPr>
        <w:t>,</w:t>
      </w:r>
      <w:r w:rsidR="00B61B9D" w:rsidRPr="00B61B9D">
        <w:rPr>
          <w:vertAlign w:val="superscript"/>
        </w:rPr>
        <w:fldChar w:fldCharType="begin"/>
      </w:r>
      <w:r w:rsidR="00B61B9D" w:rsidRPr="00B61B9D">
        <w:rPr>
          <w:vertAlign w:val="superscript"/>
        </w:rPr>
        <w:instrText xml:space="preserve"> NOTEREF _Ref112945071 \h  \* MERGEFORMAT </w:instrText>
      </w:r>
      <w:r w:rsidR="00B61B9D" w:rsidRPr="00B61B9D">
        <w:rPr>
          <w:vertAlign w:val="superscript"/>
        </w:rPr>
      </w:r>
      <w:r w:rsidR="00B61B9D" w:rsidRPr="00B61B9D">
        <w:rPr>
          <w:vertAlign w:val="superscript"/>
        </w:rPr>
        <w:fldChar w:fldCharType="separate"/>
      </w:r>
      <w:r w:rsidR="009B4A87">
        <w:rPr>
          <w:vertAlign w:val="superscript"/>
        </w:rPr>
        <w:t>4</w:t>
      </w:r>
      <w:r w:rsidR="00B61B9D" w:rsidRPr="00B61B9D">
        <w:rPr>
          <w:vertAlign w:val="superscript"/>
        </w:rPr>
        <w:fldChar w:fldCharType="end"/>
      </w:r>
    </w:p>
    <w:p w14:paraId="568335B3" w14:textId="2E18A045" w:rsidR="002C1783" w:rsidRPr="00B61B9D" w:rsidRDefault="002C1783" w:rsidP="002C1783">
      <w:r w:rsidRPr="00B61B9D">
        <w:t xml:space="preserve">The clinical spectrum can vary with the underlying cause of </w:t>
      </w:r>
      <w:r w:rsidR="00541304" w:rsidRPr="00B61B9D">
        <w:t>Cushing’s syndrome</w:t>
      </w:r>
      <w:r w:rsidRPr="00B61B9D">
        <w:t xml:space="preserve">. For patients with </w:t>
      </w:r>
      <w:r w:rsidR="00CA27DB" w:rsidRPr="00B61B9D">
        <w:t>Cushing’s disease</w:t>
      </w:r>
      <w:r w:rsidRPr="00B61B9D">
        <w:t xml:space="preserve">, the diagnosis can be difficult and often delayed due to the slow progression of the clinical symptoms, whilst patients with ectopic ACTH with underlying malignancy, or adrenocortical carcinoma, may develop florid </w:t>
      </w:r>
      <w:r w:rsidR="00541304" w:rsidRPr="00B61B9D">
        <w:t>Cushing’s syndrome</w:t>
      </w:r>
      <w:r w:rsidRPr="00B61B9D">
        <w:t xml:space="preserve"> more rapidly. Patients with </w:t>
      </w:r>
      <w:r w:rsidR="00541304" w:rsidRPr="00B61B9D">
        <w:t>Cushing’s syndrome</w:t>
      </w:r>
      <w:r w:rsidRPr="00B61B9D">
        <w:t xml:space="preserve"> have a 4-fold higher mortality rate than age and gender</w:t>
      </w:r>
      <w:r w:rsidR="00167075" w:rsidRPr="00B61B9D">
        <w:t xml:space="preserve"> </w:t>
      </w:r>
      <w:r w:rsidRPr="00B61B9D">
        <w:t>matched control patients</w:t>
      </w:r>
      <w:r w:rsidR="00813A96" w:rsidRPr="00B61B9D">
        <w:t>.</w:t>
      </w:r>
      <w:r w:rsidRPr="00B61B9D">
        <w:rPr>
          <w:vertAlign w:val="superscript"/>
        </w:rPr>
        <w:footnoteReference w:id="5"/>
      </w:r>
      <w:r w:rsidRPr="00B61B9D">
        <w:t xml:space="preserve"> Cardiovascular disease, venous thrombosis, and infections are the primary causes of the excess mortality rate seen in </w:t>
      </w:r>
      <w:r w:rsidR="00541304" w:rsidRPr="00B61B9D">
        <w:t>Cushing’s syndrome</w:t>
      </w:r>
      <w:r w:rsidR="00813A96" w:rsidRPr="00B61B9D">
        <w:t>.</w:t>
      </w:r>
      <w:r w:rsidRPr="00B61B9D">
        <w:rPr>
          <w:vertAlign w:val="superscript"/>
        </w:rPr>
        <w:footnoteReference w:id="6"/>
      </w:r>
    </w:p>
    <w:p w14:paraId="0AFB630B" w14:textId="7876146C" w:rsidR="002C1783" w:rsidRPr="00B61B9D" w:rsidRDefault="002C1783" w:rsidP="002C1783">
      <w:r w:rsidRPr="00B61B9D">
        <w:t xml:space="preserve">In Australia, the current treatment options for those with Cushing’s </w:t>
      </w:r>
      <w:r w:rsidR="00167075" w:rsidRPr="00B61B9D">
        <w:t>disease</w:t>
      </w:r>
      <w:r w:rsidRPr="00B61B9D">
        <w:t xml:space="preserve"> are:</w:t>
      </w:r>
    </w:p>
    <w:p w14:paraId="69135291" w14:textId="0FE980BD" w:rsidR="002C1783" w:rsidRPr="00B61B9D" w:rsidRDefault="00813A96" w:rsidP="00813A96">
      <w:pPr>
        <w:pStyle w:val="ListBullet"/>
      </w:pPr>
      <w:r w:rsidRPr="00B61B9D">
        <w:t xml:space="preserve">surgery </w:t>
      </w:r>
      <w:r w:rsidR="002C1783" w:rsidRPr="00B61B9D">
        <w:t>to remove tumour</w:t>
      </w:r>
      <w:r w:rsidR="00167075" w:rsidRPr="00B61B9D">
        <w:t>,</w:t>
      </w:r>
    </w:p>
    <w:p w14:paraId="25538002" w14:textId="0BFC7D26" w:rsidR="002C1783" w:rsidRPr="00B61B9D" w:rsidRDefault="00813A96" w:rsidP="00813A96">
      <w:pPr>
        <w:pStyle w:val="ListBullet"/>
      </w:pPr>
      <w:r w:rsidRPr="00B61B9D">
        <w:t xml:space="preserve">radiotherapy </w:t>
      </w:r>
      <w:r w:rsidR="002C1783" w:rsidRPr="00B61B9D">
        <w:t>to control or eradicate tumour</w:t>
      </w:r>
      <w:r w:rsidR="00167075" w:rsidRPr="00B61B9D">
        <w:t>,</w:t>
      </w:r>
    </w:p>
    <w:p w14:paraId="0F62A5D2" w14:textId="417E9CC1" w:rsidR="002C1783" w:rsidRPr="00B61B9D" w:rsidRDefault="00813A96" w:rsidP="00813A96">
      <w:pPr>
        <w:pStyle w:val="ListBullet"/>
      </w:pPr>
      <w:r w:rsidRPr="00B61B9D">
        <w:t xml:space="preserve">bilateral </w:t>
      </w:r>
      <w:r w:rsidR="002C1783" w:rsidRPr="00B61B9D">
        <w:t>adrenalectomy (removal of adrenal glands</w:t>
      </w:r>
      <w:r w:rsidR="00167075" w:rsidRPr="00B61B9D">
        <w:t>;</w:t>
      </w:r>
      <w:r w:rsidR="002C1783" w:rsidRPr="00B61B9D">
        <w:t xml:space="preserve"> this is performed rarely</w:t>
      </w:r>
      <w:r w:rsidR="00167075" w:rsidRPr="00B61B9D">
        <w:t>), and</w:t>
      </w:r>
    </w:p>
    <w:p w14:paraId="56801BA4" w14:textId="3150613F" w:rsidR="002C1783" w:rsidRPr="00B61B9D" w:rsidRDefault="00813A96" w:rsidP="00813A96">
      <w:pPr>
        <w:pStyle w:val="ListBullet"/>
      </w:pPr>
      <w:r w:rsidRPr="00B61B9D">
        <w:t>medication</w:t>
      </w:r>
      <w:r w:rsidR="00167075" w:rsidRPr="00B61B9D">
        <w:t>.</w:t>
      </w:r>
    </w:p>
    <w:p w14:paraId="0BB13ED2" w14:textId="714DDF4E" w:rsidR="002C1783" w:rsidRPr="00B61B9D" w:rsidRDefault="002C1783" w:rsidP="002C1783">
      <w:r w:rsidRPr="00B61B9D">
        <w:t>Surgery is the first</w:t>
      </w:r>
      <w:r w:rsidR="00167075" w:rsidRPr="00B61B9D">
        <w:t xml:space="preserve"> </w:t>
      </w:r>
      <w:r w:rsidRPr="00B61B9D">
        <w:t xml:space="preserve">line treatment for </w:t>
      </w:r>
      <w:r w:rsidR="00CA27DB" w:rsidRPr="00B61B9D">
        <w:t xml:space="preserve">Cushing’s </w:t>
      </w:r>
      <w:r w:rsidR="00167075" w:rsidRPr="00B61B9D">
        <w:t>disease,</w:t>
      </w:r>
      <w:r w:rsidRPr="00B61B9D">
        <w:t xml:space="preserve"> and in the hands of an experienced pituitary surgeon, surgical remission can be achieved for 65</w:t>
      </w:r>
      <w:r w:rsidR="00C46D71" w:rsidRPr="00B61B9D">
        <w:t xml:space="preserve"> to </w:t>
      </w:r>
      <w:r w:rsidRPr="00B61B9D">
        <w:t>100% of patients. Remission rates are considerably lower in patients with a non</w:t>
      </w:r>
      <w:r w:rsidR="00167075" w:rsidRPr="00B61B9D">
        <w:t>-</w:t>
      </w:r>
      <w:r w:rsidRPr="00B61B9D">
        <w:t>visible adenoma, a microadenoma with unfavourable locali</w:t>
      </w:r>
      <w:r w:rsidR="00D56EB9" w:rsidRPr="00B61B9D">
        <w:t>s</w:t>
      </w:r>
      <w:r w:rsidRPr="00B61B9D">
        <w:t>ation (</w:t>
      </w:r>
      <w:r w:rsidR="00111716" w:rsidRPr="00B61B9D">
        <w:t>for example,</w:t>
      </w:r>
      <w:r w:rsidRPr="00B61B9D">
        <w:t xml:space="preserve"> the parasellar region), or a macroadenoma</w:t>
      </w:r>
    </w:p>
    <w:p w14:paraId="29C3A268" w14:textId="5F584309" w:rsidR="002C1783" w:rsidRPr="00B61B9D" w:rsidRDefault="002C1783" w:rsidP="002C1783">
      <w:r w:rsidRPr="00B61B9D">
        <w:t>A range of medical therapies are available</w:t>
      </w:r>
      <w:r w:rsidR="001F1554" w:rsidRPr="00B61B9D">
        <w:t xml:space="preserve"> to treat </w:t>
      </w:r>
      <w:r w:rsidR="001F1554" w:rsidRPr="00B61B9D">
        <w:rPr>
          <w:bCs/>
        </w:rPr>
        <w:t>Cushing’s syndrome</w:t>
      </w:r>
      <w:r w:rsidRPr="00B61B9D">
        <w:t xml:space="preserve">. Most drugs inhibit adrenal synthesis of cortisol. However, only </w:t>
      </w:r>
      <w:r w:rsidR="001F1554" w:rsidRPr="00B61B9D">
        <w:t>Signifor (</w:t>
      </w:r>
      <w:r w:rsidR="00167075" w:rsidRPr="00B61B9D">
        <w:t>pasireotide</w:t>
      </w:r>
      <w:r w:rsidR="001F1554" w:rsidRPr="00B61B9D">
        <w:t>)</w:t>
      </w:r>
      <w:r w:rsidR="001F1554" w:rsidRPr="00B61B9D">
        <w:rPr>
          <w:rStyle w:val="FootnoteReference"/>
        </w:rPr>
        <w:footnoteReference w:id="7"/>
      </w:r>
      <w:r w:rsidR="005A16BA">
        <w:rPr>
          <w:vertAlign w:val="superscript"/>
        </w:rPr>
        <w:t>,</w:t>
      </w:r>
      <w:r w:rsidR="005A16BA">
        <w:rPr>
          <w:rStyle w:val="FootnoteReference"/>
        </w:rPr>
        <w:footnoteReference w:id="8"/>
      </w:r>
      <w:r w:rsidR="00167075" w:rsidRPr="00B61B9D">
        <w:t xml:space="preserve"> </w:t>
      </w:r>
      <w:r w:rsidRPr="00B61B9D">
        <w:t>is registered in Australia for use in Cushing’s disease, for those whom surgery is not an option or has failed (not for ACTH-independent forms of Cushing’s syndrome).</w:t>
      </w:r>
    </w:p>
    <w:p w14:paraId="53321F2A" w14:textId="0D1B255D" w:rsidR="000F23D6" w:rsidRPr="00B61B9D" w:rsidRDefault="000F23D6" w:rsidP="000F23D6">
      <w:r w:rsidRPr="00B61B9D">
        <w:t>Osilodrostat (</w:t>
      </w:r>
      <w:r w:rsidR="00167075" w:rsidRPr="00B61B9D">
        <w:t>sponsor’s development code</w:t>
      </w:r>
      <w:r w:rsidRPr="00B61B9D">
        <w:t>: LC</w:t>
      </w:r>
      <w:r w:rsidR="00E72CD4" w:rsidRPr="00B61B9D">
        <w:t>I</w:t>
      </w:r>
      <w:r w:rsidRPr="00B61B9D">
        <w:t>699) is a potent, inhibitor of 11β</w:t>
      </w:r>
      <w:r w:rsidR="00167075" w:rsidRPr="00B61B9D">
        <w:noBreakHyphen/>
      </w:r>
      <w:r w:rsidRPr="00B61B9D">
        <w:t>hydroxylase (</w:t>
      </w:r>
      <w:r w:rsidR="00A07235" w:rsidRPr="00B61B9D">
        <w:t>cytochrome P450 (CYP)</w:t>
      </w:r>
      <w:r w:rsidR="00A07235" w:rsidRPr="00B61B9D">
        <w:rPr>
          <w:rStyle w:val="FootnoteReference"/>
        </w:rPr>
        <w:footnoteReference w:id="9"/>
      </w:r>
      <w:r w:rsidR="00A07235" w:rsidRPr="00B61B9D">
        <w:t xml:space="preserve"> </w:t>
      </w:r>
      <w:r w:rsidRPr="00B61B9D">
        <w:t>11B1), the enzyme that cataly</w:t>
      </w:r>
      <w:r w:rsidR="00CA27DB" w:rsidRPr="00B61B9D">
        <w:t>s</w:t>
      </w:r>
      <w:r w:rsidRPr="00B61B9D">
        <w:t>es the last step in the biosynthesis of cortisol in the adrenal gland. Due to the mechanism of action (</w:t>
      </w:r>
      <w:r w:rsidR="00167075" w:rsidRPr="00B61B9D">
        <w:t>that is,</w:t>
      </w:r>
      <w:r w:rsidRPr="00B61B9D">
        <w:t xml:space="preserve"> </w:t>
      </w:r>
      <w:r w:rsidRPr="00B61B9D">
        <w:lastRenderedPageBreak/>
        <w:t xml:space="preserve">inhibition of cortisol synthesis), osilodrostat is expected to be effective in all types of endogenous Cushing’s </w:t>
      </w:r>
      <w:r w:rsidR="00167075" w:rsidRPr="00B61B9D">
        <w:t>syndrome</w:t>
      </w:r>
      <w:r w:rsidRPr="00B61B9D">
        <w:t>.</w:t>
      </w:r>
    </w:p>
    <w:p w14:paraId="53C201E1" w14:textId="26F8DCE8" w:rsidR="009F2673" w:rsidRPr="00B61B9D" w:rsidRDefault="009F2673" w:rsidP="009F2673">
      <w:r w:rsidRPr="00B61B9D">
        <w:t xml:space="preserve">This </w:t>
      </w:r>
      <w:r w:rsidR="00BB0B78" w:rsidRPr="00B61B9D">
        <w:t>submission</w:t>
      </w:r>
      <w:r w:rsidRPr="00B61B9D">
        <w:t xml:space="preserve"> was submitted through the TGA’s </w:t>
      </w:r>
      <w:hyperlink r:id="rId15" w:history="1">
        <w:r w:rsidRPr="00B61B9D">
          <w:rPr>
            <w:rStyle w:val="Hyperlink"/>
          </w:rPr>
          <w:t>Comparable Overseas Regulator</w:t>
        </w:r>
      </w:hyperlink>
      <w:r w:rsidRPr="00B61B9D">
        <w:t xml:space="preserve"> B (COR-B) process, using evaluation reports from </w:t>
      </w:r>
      <w:r w:rsidR="00167075" w:rsidRPr="00B61B9D">
        <w:t xml:space="preserve">the </w:t>
      </w:r>
      <w:r w:rsidR="00E630F0" w:rsidRPr="00B61B9D">
        <w:t>European Medicine Agency (</w:t>
      </w:r>
      <w:r w:rsidR="00BE5AEB" w:rsidRPr="00B61B9D">
        <w:t>EMA</w:t>
      </w:r>
      <w:r w:rsidR="00E630F0" w:rsidRPr="00B61B9D">
        <w:t>)</w:t>
      </w:r>
      <w:r w:rsidRPr="00B61B9D">
        <w:rPr>
          <w:iCs/>
        </w:rPr>
        <w:t xml:space="preserve">. </w:t>
      </w:r>
      <w:r w:rsidRPr="00B61B9D">
        <w:t xml:space="preserve">The full dossier was submitted to the </w:t>
      </w:r>
      <w:r w:rsidR="00E630F0" w:rsidRPr="00B61B9D">
        <w:t>Therapeutic Goods Administration (</w:t>
      </w:r>
      <w:r w:rsidRPr="00B61B9D">
        <w:t>TGA</w:t>
      </w:r>
      <w:r w:rsidR="00E630F0" w:rsidRPr="00B61B9D">
        <w:t>)</w:t>
      </w:r>
      <w:r w:rsidRPr="00B61B9D">
        <w:t>.</w:t>
      </w:r>
    </w:p>
    <w:p w14:paraId="54CEEA75" w14:textId="77777777" w:rsidR="008E7846" w:rsidRPr="00B61B9D" w:rsidRDefault="00386150" w:rsidP="008E7846">
      <w:pPr>
        <w:pStyle w:val="Heading3"/>
      </w:pPr>
      <w:bookmarkStart w:id="21" w:name="_Toc117259879"/>
      <w:r w:rsidRPr="00B61B9D">
        <w:t>Regulatory s</w:t>
      </w:r>
      <w:r w:rsidR="008E7846" w:rsidRPr="00B61B9D">
        <w:t>tatus</w:t>
      </w:r>
      <w:bookmarkEnd w:id="16"/>
      <w:bookmarkEnd w:id="17"/>
      <w:bookmarkEnd w:id="21"/>
    </w:p>
    <w:p w14:paraId="2105738E" w14:textId="47227346" w:rsidR="00332715" w:rsidRPr="00B61B9D" w:rsidRDefault="00332715" w:rsidP="00332715">
      <w:bookmarkStart w:id="22" w:name="_Toc247691505"/>
      <w:bookmarkStart w:id="23" w:name="_Toc314842486"/>
      <w:r w:rsidRPr="00B61B9D">
        <w:t>This product is considered a new chemical</w:t>
      </w:r>
      <w:r w:rsidR="006F5605" w:rsidRPr="00B61B9D">
        <w:t xml:space="preserve"> entity</w:t>
      </w:r>
      <w:r w:rsidRPr="00B61B9D">
        <w:t xml:space="preserve"> for Australian regulatory purposes.</w:t>
      </w:r>
    </w:p>
    <w:p w14:paraId="42C1DBF3" w14:textId="343F7105" w:rsidR="006F5605" w:rsidRPr="00B61B9D" w:rsidRDefault="00332715" w:rsidP="00332715">
      <w:r w:rsidRPr="00B61B9D">
        <w:t xml:space="preserve">This product received </w:t>
      </w:r>
      <w:hyperlink r:id="rId16" w:history="1">
        <w:r w:rsidRPr="00B61B9D">
          <w:rPr>
            <w:rStyle w:val="Hyperlink"/>
          </w:rPr>
          <w:t>orphan drug designation</w:t>
        </w:r>
      </w:hyperlink>
      <w:r w:rsidRPr="00B61B9D">
        <w:t xml:space="preserve"> on </w:t>
      </w:r>
      <w:r w:rsidR="003E4BC4" w:rsidRPr="00B61B9D">
        <w:t>14 April 2020</w:t>
      </w:r>
      <w:r w:rsidR="001B2D25">
        <w:t xml:space="preserve">, with </w:t>
      </w:r>
      <w:r w:rsidR="003E4BC4" w:rsidRPr="00B61B9D">
        <w:t>extension</w:t>
      </w:r>
      <w:r w:rsidR="001F1554" w:rsidRPr="00B61B9D">
        <w:t>s</w:t>
      </w:r>
      <w:r w:rsidR="003E4BC4" w:rsidRPr="00B61B9D">
        <w:t xml:space="preserve"> </w:t>
      </w:r>
      <w:r w:rsidR="001B2D25">
        <w:t xml:space="preserve">to this designation granted </w:t>
      </w:r>
      <w:r w:rsidR="003E4BC4" w:rsidRPr="00B61B9D">
        <w:t xml:space="preserve">on 14 October 2020 </w:t>
      </w:r>
      <w:r w:rsidR="00E641E6" w:rsidRPr="00B61B9D">
        <w:t xml:space="preserve">and 29 April 2021 </w:t>
      </w:r>
      <w:r w:rsidRPr="00B61B9D">
        <w:t>for the following indication:</w:t>
      </w:r>
    </w:p>
    <w:p w14:paraId="447012C6" w14:textId="32CCFFBA" w:rsidR="003E4BC4" w:rsidRPr="00B61B9D" w:rsidRDefault="003E4BC4" w:rsidP="003E4BC4">
      <w:pPr>
        <w:ind w:left="720"/>
        <w:rPr>
          <w:i/>
          <w:iCs/>
        </w:rPr>
      </w:pPr>
      <w:r w:rsidRPr="00B61B9D">
        <w:rPr>
          <w:i/>
          <w:iCs/>
        </w:rPr>
        <w:t>For the treatment of endogenous Cushing's syndrome in adults.</w:t>
      </w:r>
    </w:p>
    <w:p w14:paraId="220DB445" w14:textId="0807FAEC" w:rsidR="00332715" w:rsidRPr="00B61B9D" w:rsidRDefault="00332715" w:rsidP="00332715">
      <w:r w:rsidRPr="00B61B9D">
        <w:t xml:space="preserve">At the time the TGA considered this </w:t>
      </w:r>
      <w:r w:rsidR="00BB0B78" w:rsidRPr="00B61B9D">
        <w:t>submission</w:t>
      </w:r>
      <w:r w:rsidRPr="00B61B9D">
        <w:t xml:space="preserve">, similar </w:t>
      </w:r>
      <w:r w:rsidR="00BB0B78" w:rsidRPr="00B61B9D">
        <w:t>submission</w:t>
      </w:r>
      <w:r w:rsidR="000B3605" w:rsidRPr="00B61B9D">
        <w:t>s</w:t>
      </w:r>
      <w:r w:rsidRPr="00B61B9D">
        <w:t xml:space="preserve"> had been approved in </w:t>
      </w:r>
      <w:r w:rsidR="000B3605" w:rsidRPr="00B61B9D">
        <w:t xml:space="preserve">the </w:t>
      </w:r>
      <w:r w:rsidR="001F1554" w:rsidRPr="00B61B9D">
        <w:t>European Union (</w:t>
      </w:r>
      <w:r w:rsidR="000B3605" w:rsidRPr="00B61B9D">
        <w:t>EU</w:t>
      </w:r>
      <w:r w:rsidR="001F1554" w:rsidRPr="00B61B9D">
        <w:t>)</w:t>
      </w:r>
      <w:r w:rsidRPr="00B61B9D">
        <w:t xml:space="preserve"> on </w:t>
      </w:r>
      <w:r w:rsidR="000B3605" w:rsidRPr="00B61B9D">
        <w:t xml:space="preserve">9 January 2020, </w:t>
      </w:r>
      <w:r w:rsidR="001F1554" w:rsidRPr="00B61B9D">
        <w:t>the United States of America</w:t>
      </w:r>
      <w:r w:rsidR="000B3605" w:rsidRPr="00B61B9D">
        <w:t xml:space="preserve"> on 6</w:t>
      </w:r>
      <w:r w:rsidR="001B2D25">
        <w:t> </w:t>
      </w:r>
      <w:r w:rsidR="000B3605" w:rsidRPr="00B61B9D">
        <w:t>March</w:t>
      </w:r>
      <w:r w:rsidR="001B2D25">
        <w:t> </w:t>
      </w:r>
      <w:r w:rsidR="000B3605" w:rsidRPr="00B61B9D">
        <w:t>2020, Switzerland on 12 October 2020 and Japan on 23 March 2021.</w:t>
      </w:r>
    </w:p>
    <w:p w14:paraId="09A1C29F" w14:textId="77777777" w:rsidR="00332715" w:rsidRPr="00B61B9D" w:rsidRDefault="0072292E" w:rsidP="00332715">
      <w:r w:rsidRPr="00B61B9D">
        <w:t xml:space="preserve">The following table </w:t>
      </w:r>
      <w:r w:rsidR="00332715" w:rsidRPr="00B61B9D">
        <w:t xml:space="preserve">summarises these </w:t>
      </w:r>
      <w:r w:rsidR="00BB0B78" w:rsidRPr="00B61B9D">
        <w:t>submissions</w:t>
      </w:r>
      <w:r w:rsidR="00332715" w:rsidRPr="00B61B9D">
        <w:t xml:space="preserve"> and provides the indications where approved.</w:t>
      </w:r>
    </w:p>
    <w:p w14:paraId="1DB4085C" w14:textId="35C652B8" w:rsidR="00324E45" w:rsidRPr="00F05753" w:rsidRDefault="00324E45" w:rsidP="00F05753">
      <w:pPr>
        <w:pStyle w:val="TableTitle"/>
      </w:pPr>
      <w:bookmarkStart w:id="24" w:name="_Ref99705479"/>
      <w:r w:rsidRPr="00F05753">
        <w:t xml:space="preserve">Table </w:t>
      </w:r>
      <w:r w:rsidR="00A12D67">
        <w:fldChar w:fldCharType="begin"/>
      </w:r>
      <w:r w:rsidR="00A12D67">
        <w:instrText xml:space="preserve"> SEQ Table \* ARABIC </w:instrText>
      </w:r>
      <w:r w:rsidR="00A12D67">
        <w:fldChar w:fldCharType="separate"/>
      </w:r>
      <w:r w:rsidR="009B4A87">
        <w:rPr>
          <w:noProof/>
        </w:rPr>
        <w:t>1</w:t>
      </w:r>
      <w:r w:rsidR="00A12D67">
        <w:rPr>
          <w:noProof/>
        </w:rPr>
        <w:fldChar w:fldCharType="end"/>
      </w:r>
      <w:bookmarkEnd w:id="24"/>
      <w:r w:rsidRPr="00F05753">
        <w:t>: International regulatory status</w:t>
      </w:r>
    </w:p>
    <w:tbl>
      <w:tblPr>
        <w:tblStyle w:val="TableTGAblue"/>
        <w:tblW w:w="0" w:type="auto"/>
        <w:tblLook w:val="04A0" w:firstRow="1" w:lastRow="0" w:firstColumn="1" w:lastColumn="0" w:noHBand="0" w:noVBand="1"/>
      </w:tblPr>
      <w:tblGrid>
        <w:gridCol w:w="1342"/>
        <w:gridCol w:w="2201"/>
        <w:gridCol w:w="1965"/>
        <w:gridCol w:w="2986"/>
      </w:tblGrid>
      <w:tr w:rsidR="00006FAB" w:rsidRPr="00B61B9D" w14:paraId="22CA6FF1" w14:textId="77777777" w:rsidTr="000B3605">
        <w:trPr>
          <w:cnfStyle w:val="100000000000" w:firstRow="1" w:lastRow="0" w:firstColumn="0" w:lastColumn="0" w:oddVBand="0" w:evenVBand="0" w:oddHBand="0" w:evenHBand="0" w:firstRowFirstColumn="0" w:firstRowLastColumn="0" w:lastRowFirstColumn="0" w:lastRowLastColumn="0"/>
        </w:trPr>
        <w:tc>
          <w:tcPr>
            <w:tcW w:w="1342" w:type="dxa"/>
            <w:tcBorders>
              <w:top w:val="single" w:sz="4" w:space="0" w:color="auto"/>
              <w:left w:val="single" w:sz="4" w:space="0" w:color="auto"/>
              <w:bottom w:val="single" w:sz="4" w:space="0" w:color="auto"/>
              <w:right w:val="single" w:sz="4" w:space="0" w:color="auto"/>
            </w:tcBorders>
          </w:tcPr>
          <w:p w14:paraId="1EB17D8B" w14:textId="77777777" w:rsidR="00006FAB" w:rsidRPr="00B61B9D" w:rsidRDefault="00006FAB" w:rsidP="00006FAB">
            <w:pPr>
              <w:ind w:left="0" w:right="0"/>
            </w:pPr>
            <w:r w:rsidRPr="00B61B9D">
              <w:t>Region</w:t>
            </w:r>
          </w:p>
        </w:tc>
        <w:tc>
          <w:tcPr>
            <w:tcW w:w="1914" w:type="dxa"/>
            <w:tcBorders>
              <w:top w:val="single" w:sz="4" w:space="0" w:color="auto"/>
              <w:left w:val="single" w:sz="4" w:space="0" w:color="auto"/>
              <w:bottom w:val="single" w:sz="4" w:space="0" w:color="auto"/>
              <w:right w:val="single" w:sz="4" w:space="0" w:color="auto"/>
            </w:tcBorders>
          </w:tcPr>
          <w:p w14:paraId="1A29F6B5" w14:textId="77777777" w:rsidR="00006FAB" w:rsidRPr="00B61B9D" w:rsidRDefault="00006FAB" w:rsidP="00006FAB">
            <w:pPr>
              <w:ind w:left="0" w:right="0"/>
            </w:pPr>
            <w:r w:rsidRPr="00B61B9D">
              <w:t>Submission date</w:t>
            </w:r>
          </w:p>
        </w:tc>
        <w:tc>
          <w:tcPr>
            <w:tcW w:w="1559" w:type="dxa"/>
            <w:tcBorders>
              <w:top w:val="single" w:sz="4" w:space="0" w:color="auto"/>
              <w:left w:val="single" w:sz="4" w:space="0" w:color="auto"/>
              <w:bottom w:val="single" w:sz="4" w:space="0" w:color="auto"/>
              <w:right w:val="single" w:sz="4" w:space="0" w:color="auto"/>
            </w:tcBorders>
          </w:tcPr>
          <w:p w14:paraId="56EA383C" w14:textId="77777777" w:rsidR="00006FAB" w:rsidRPr="00B61B9D" w:rsidRDefault="00006FAB" w:rsidP="00006FAB">
            <w:pPr>
              <w:ind w:left="0" w:right="0"/>
            </w:pPr>
            <w:r w:rsidRPr="00B61B9D">
              <w:t>Status</w:t>
            </w:r>
          </w:p>
        </w:tc>
        <w:tc>
          <w:tcPr>
            <w:tcW w:w="3679" w:type="dxa"/>
            <w:tcBorders>
              <w:top w:val="single" w:sz="4" w:space="0" w:color="auto"/>
              <w:left w:val="single" w:sz="4" w:space="0" w:color="auto"/>
              <w:bottom w:val="single" w:sz="4" w:space="0" w:color="auto"/>
              <w:right w:val="single" w:sz="4" w:space="0" w:color="auto"/>
            </w:tcBorders>
          </w:tcPr>
          <w:p w14:paraId="727C3A03" w14:textId="77777777" w:rsidR="00006FAB" w:rsidRPr="00B61B9D" w:rsidRDefault="00006FAB" w:rsidP="00006FAB">
            <w:pPr>
              <w:ind w:left="0" w:right="0"/>
            </w:pPr>
            <w:r w:rsidRPr="00B61B9D">
              <w:t>Approved indications</w:t>
            </w:r>
          </w:p>
        </w:tc>
      </w:tr>
      <w:tr w:rsidR="00006FAB" w:rsidRPr="00B61B9D" w14:paraId="641FA1D7" w14:textId="77777777" w:rsidTr="000B3605">
        <w:tc>
          <w:tcPr>
            <w:tcW w:w="1342" w:type="dxa"/>
            <w:tcBorders>
              <w:top w:val="single" w:sz="4" w:space="0" w:color="auto"/>
            </w:tcBorders>
          </w:tcPr>
          <w:p w14:paraId="4B3524ED" w14:textId="7B4120F2" w:rsidR="00006FAB" w:rsidRPr="00B61B9D" w:rsidRDefault="001F1554" w:rsidP="00006FAB">
            <w:pPr>
              <w:ind w:left="0" w:right="0"/>
            </w:pPr>
            <w:r w:rsidRPr="00B61B9D">
              <w:t>European Union</w:t>
            </w:r>
          </w:p>
        </w:tc>
        <w:tc>
          <w:tcPr>
            <w:tcW w:w="1914" w:type="dxa"/>
            <w:tcBorders>
              <w:top w:val="single" w:sz="4" w:space="0" w:color="auto"/>
            </w:tcBorders>
          </w:tcPr>
          <w:p w14:paraId="50D670AA" w14:textId="3E306B4B" w:rsidR="00006FAB" w:rsidRPr="00B61B9D" w:rsidRDefault="00BE5AEB" w:rsidP="00006FAB">
            <w:pPr>
              <w:ind w:left="0" w:right="0"/>
            </w:pPr>
            <w:r w:rsidRPr="00B61B9D">
              <w:t>9</w:t>
            </w:r>
            <w:r w:rsidR="001F1554" w:rsidRPr="00B61B9D">
              <w:t> </w:t>
            </w:r>
            <w:r w:rsidRPr="00B61B9D">
              <w:t>November</w:t>
            </w:r>
            <w:r w:rsidR="001F1554" w:rsidRPr="00B61B9D">
              <w:t> </w:t>
            </w:r>
            <w:r w:rsidRPr="00B61B9D">
              <w:t>2018</w:t>
            </w:r>
          </w:p>
        </w:tc>
        <w:tc>
          <w:tcPr>
            <w:tcW w:w="1559" w:type="dxa"/>
            <w:tcBorders>
              <w:top w:val="single" w:sz="4" w:space="0" w:color="auto"/>
            </w:tcBorders>
          </w:tcPr>
          <w:p w14:paraId="4DACF80F" w14:textId="7A67F38E" w:rsidR="00006FAB" w:rsidRPr="00B61B9D" w:rsidRDefault="00006FAB" w:rsidP="00006FAB">
            <w:pPr>
              <w:ind w:left="0" w:right="0"/>
            </w:pPr>
            <w:r w:rsidRPr="00B61B9D">
              <w:t>Approved on</w:t>
            </w:r>
            <w:r w:rsidR="00BE5AEB" w:rsidRPr="00B61B9D">
              <w:t xml:space="preserve"> 9</w:t>
            </w:r>
            <w:r w:rsidR="001F1554" w:rsidRPr="00B61B9D">
              <w:t> </w:t>
            </w:r>
            <w:r w:rsidR="00BE5AEB" w:rsidRPr="00B61B9D">
              <w:t>January</w:t>
            </w:r>
            <w:r w:rsidR="001F1554" w:rsidRPr="00B61B9D">
              <w:t> </w:t>
            </w:r>
            <w:r w:rsidR="00BE5AEB" w:rsidRPr="00B61B9D">
              <w:t>2020</w:t>
            </w:r>
          </w:p>
        </w:tc>
        <w:tc>
          <w:tcPr>
            <w:tcW w:w="3679" w:type="dxa"/>
            <w:tcBorders>
              <w:top w:val="single" w:sz="4" w:space="0" w:color="auto"/>
            </w:tcBorders>
          </w:tcPr>
          <w:p w14:paraId="7FB52A2B" w14:textId="309C17DA" w:rsidR="00006FAB" w:rsidRPr="00B61B9D" w:rsidRDefault="000B3605" w:rsidP="00BE5AEB">
            <w:pPr>
              <w:ind w:left="0"/>
              <w:rPr>
                <w:i/>
                <w:iCs/>
              </w:rPr>
            </w:pPr>
            <w:r w:rsidRPr="00B61B9D">
              <w:rPr>
                <w:i/>
                <w:iCs/>
              </w:rPr>
              <w:t>Isturisa</w:t>
            </w:r>
            <w:r w:rsidR="00BE5AEB" w:rsidRPr="00B61B9D">
              <w:rPr>
                <w:i/>
                <w:iCs/>
              </w:rPr>
              <w:t xml:space="preserve"> is indicated for the treatment of endogenous Cushing’s syndrome in adults</w:t>
            </w:r>
          </w:p>
        </w:tc>
      </w:tr>
      <w:tr w:rsidR="00BE5AEB" w:rsidRPr="00B61B9D" w14:paraId="36245321" w14:textId="77777777" w:rsidTr="000B3605">
        <w:tc>
          <w:tcPr>
            <w:tcW w:w="1342" w:type="dxa"/>
            <w:tcBorders>
              <w:top w:val="single" w:sz="4" w:space="0" w:color="auto"/>
            </w:tcBorders>
          </w:tcPr>
          <w:p w14:paraId="0CF6BBD9" w14:textId="4720156E" w:rsidR="00BE5AEB" w:rsidRPr="00B61B9D" w:rsidRDefault="001F1554" w:rsidP="00BE5AEB">
            <w:pPr>
              <w:ind w:left="0"/>
            </w:pPr>
            <w:r w:rsidRPr="00B61B9D">
              <w:t>United States of America</w:t>
            </w:r>
          </w:p>
        </w:tc>
        <w:tc>
          <w:tcPr>
            <w:tcW w:w="1914" w:type="dxa"/>
            <w:tcBorders>
              <w:top w:val="single" w:sz="4" w:space="0" w:color="auto"/>
            </w:tcBorders>
          </w:tcPr>
          <w:p w14:paraId="70911F96" w14:textId="09024357" w:rsidR="00BE5AEB" w:rsidRPr="00B61B9D" w:rsidRDefault="00BE5AEB" w:rsidP="00BE5AEB">
            <w:pPr>
              <w:ind w:left="0"/>
            </w:pPr>
            <w:r w:rsidRPr="00B61B9D">
              <w:t>7</w:t>
            </w:r>
            <w:r w:rsidR="001F1554" w:rsidRPr="00B61B9D">
              <w:t> </w:t>
            </w:r>
            <w:r w:rsidRPr="00B61B9D">
              <w:t>March</w:t>
            </w:r>
            <w:r w:rsidR="001F1554" w:rsidRPr="00B61B9D">
              <w:t> </w:t>
            </w:r>
            <w:r w:rsidRPr="00B61B9D">
              <w:t>2019</w:t>
            </w:r>
          </w:p>
        </w:tc>
        <w:tc>
          <w:tcPr>
            <w:tcW w:w="1559" w:type="dxa"/>
            <w:tcBorders>
              <w:top w:val="single" w:sz="4" w:space="0" w:color="auto"/>
            </w:tcBorders>
          </w:tcPr>
          <w:p w14:paraId="0A75C0B2" w14:textId="621AAE26" w:rsidR="00BE5AEB" w:rsidRPr="00B61B9D" w:rsidRDefault="00BE5AEB" w:rsidP="00BE5AEB">
            <w:pPr>
              <w:ind w:left="0"/>
            </w:pPr>
            <w:r w:rsidRPr="00B61B9D">
              <w:t>Approved on 6</w:t>
            </w:r>
            <w:r w:rsidR="001F1554" w:rsidRPr="00B61B9D">
              <w:t> </w:t>
            </w:r>
            <w:r w:rsidRPr="00B61B9D">
              <w:t>March</w:t>
            </w:r>
            <w:r w:rsidR="001F1554" w:rsidRPr="00B61B9D">
              <w:t> </w:t>
            </w:r>
            <w:r w:rsidRPr="00B61B9D">
              <w:t>2020</w:t>
            </w:r>
          </w:p>
        </w:tc>
        <w:tc>
          <w:tcPr>
            <w:tcW w:w="3679" w:type="dxa"/>
            <w:tcBorders>
              <w:top w:val="single" w:sz="4" w:space="0" w:color="auto"/>
            </w:tcBorders>
          </w:tcPr>
          <w:p w14:paraId="626E223C" w14:textId="3497C65D" w:rsidR="00BE5AEB" w:rsidRPr="00B61B9D" w:rsidRDefault="000B3605" w:rsidP="00BE5AEB">
            <w:pPr>
              <w:ind w:left="0"/>
              <w:rPr>
                <w:i/>
                <w:iCs/>
              </w:rPr>
            </w:pPr>
            <w:r w:rsidRPr="00B61B9D">
              <w:rPr>
                <w:i/>
                <w:iCs/>
              </w:rPr>
              <w:t>Isturisa</w:t>
            </w:r>
            <w:r w:rsidR="00BE5AEB" w:rsidRPr="00B61B9D">
              <w:rPr>
                <w:i/>
                <w:iCs/>
              </w:rPr>
              <w:t xml:space="preserve"> is a cortisol synthesis inhibitor indicated for the treatment of adult patients with Cushing’s disease for whom pituitary surgery is not an option or has not been curative</w:t>
            </w:r>
            <w:r w:rsidR="001F1554" w:rsidRPr="00B61B9D">
              <w:rPr>
                <w:i/>
                <w:iCs/>
              </w:rPr>
              <w:t>.</w:t>
            </w:r>
          </w:p>
        </w:tc>
      </w:tr>
      <w:tr w:rsidR="00006FAB" w:rsidRPr="00B61B9D" w14:paraId="49F0812B" w14:textId="77777777" w:rsidTr="000B3605">
        <w:tc>
          <w:tcPr>
            <w:tcW w:w="1342" w:type="dxa"/>
          </w:tcPr>
          <w:p w14:paraId="2C909670" w14:textId="1D75D4C2" w:rsidR="00006FAB" w:rsidRPr="00B61B9D" w:rsidRDefault="000B3605" w:rsidP="00006FAB">
            <w:pPr>
              <w:ind w:left="0" w:right="0"/>
            </w:pPr>
            <w:r w:rsidRPr="00B61B9D">
              <w:t>Switzerland</w:t>
            </w:r>
          </w:p>
        </w:tc>
        <w:tc>
          <w:tcPr>
            <w:tcW w:w="1914" w:type="dxa"/>
          </w:tcPr>
          <w:p w14:paraId="41E81EA7" w14:textId="3FD7C9A7" w:rsidR="00006FAB" w:rsidRPr="00B61B9D" w:rsidRDefault="000B3605" w:rsidP="000B3605">
            <w:pPr>
              <w:ind w:left="0"/>
            </w:pPr>
            <w:r w:rsidRPr="00B61B9D">
              <w:t>30</w:t>
            </w:r>
            <w:r w:rsidR="001F1554" w:rsidRPr="00B61B9D">
              <w:t> </w:t>
            </w:r>
            <w:r w:rsidRPr="00B61B9D">
              <w:t>November</w:t>
            </w:r>
            <w:r w:rsidR="001F1554" w:rsidRPr="00B61B9D">
              <w:t> </w:t>
            </w:r>
            <w:r w:rsidRPr="00B61B9D">
              <w:t>2018</w:t>
            </w:r>
          </w:p>
        </w:tc>
        <w:tc>
          <w:tcPr>
            <w:tcW w:w="1559" w:type="dxa"/>
          </w:tcPr>
          <w:p w14:paraId="00ECCFF4" w14:textId="4A7D9E9A" w:rsidR="00006FAB" w:rsidRPr="00B61B9D" w:rsidRDefault="000B3605" w:rsidP="000B3605">
            <w:pPr>
              <w:ind w:left="0"/>
            </w:pPr>
            <w:r w:rsidRPr="00B61B9D">
              <w:t>Approved on 12</w:t>
            </w:r>
            <w:r w:rsidR="001F1554" w:rsidRPr="00B61B9D">
              <w:t> </w:t>
            </w:r>
            <w:r w:rsidRPr="00B61B9D">
              <w:t>October</w:t>
            </w:r>
            <w:r w:rsidR="001F1554" w:rsidRPr="00B61B9D">
              <w:t> </w:t>
            </w:r>
            <w:r w:rsidRPr="00B61B9D">
              <w:t>2020</w:t>
            </w:r>
          </w:p>
        </w:tc>
        <w:tc>
          <w:tcPr>
            <w:tcW w:w="3679" w:type="dxa"/>
          </w:tcPr>
          <w:p w14:paraId="17F26A9B" w14:textId="5EB184EB" w:rsidR="00006FAB" w:rsidRPr="00B61B9D" w:rsidRDefault="000B3605" w:rsidP="000B3605">
            <w:pPr>
              <w:ind w:left="0"/>
              <w:rPr>
                <w:i/>
                <w:iCs/>
              </w:rPr>
            </w:pPr>
            <w:r w:rsidRPr="00B61B9D">
              <w:rPr>
                <w:i/>
                <w:iCs/>
              </w:rPr>
              <w:t>Isturisa is indicated for the treatment of Cushing's syndrome and other causes of endogenous hypercortisolism (e.g. adrenal adenoma, bilateral adrenal hyperplasia, ectopic ACTH secretion) in adults provided that pharmacotherapy is indicated.</w:t>
            </w:r>
          </w:p>
        </w:tc>
      </w:tr>
      <w:tr w:rsidR="000B3605" w:rsidRPr="00B61B9D" w14:paraId="639FEE61" w14:textId="77777777" w:rsidTr="000B3605">
        <w:tc>
          <w:tcPr>
            <w:tcW w:w="1342" w:type="dxa"/>
          </w:tcPr>
          <w:p w14:paraId="0B1E0445" w14:textId="45C41BBE" w:rsidR="000B3605" w:rsidRPr="00B61B9D" w:rsidRDefault="000B3605" w:rsidP="000B3605">
            <w:pPr>
              <w:ind w:left="0"/>
            </w:pPr>
            <w:r w:rsidRPr="00B61B9D">
              <w:t>Japan</w:t>
            </w:r>
          </w:p>
        </w:tc>
        <w:tc>
          <w:tcPr>
            <w:tcW w:w="1914" w:type="dxa"/>
          </w:tcPr>
          <w:p w14:paraId="19968B22" w14:textId="0E73A00F" w:rsidR="000B3605" w:rsidRPr="00B61B9D" w:rsidRDefault="000B3605" w:rsidP="000B3605">
            <w:pPr>
              <w:ind w:left="0"/>
            </w:pPr>
            <w:r w:rsidRPr="00B61B9D">
              <w:t>26</w:t>
            </w:r>
            <w:r w:rsidR="001F1554" w:rsidRPr="00B61B9D">
              <w:t> </w:t>
            </w:r>
            <w:r w:rsidRPr="00B61B9D">
              <w:t>March</w:t>
            </w:r>
            <w:r w:rsidR="001F1554" w:rsidRPr="00B61B9D">
              <w:t> </w:t>
            </w:r>
            <w:r w:rsidRPr="00B61B9D">
              <w:t>2020</w:t>
            </w:r>
          </w:p>
        </w:tc>
        <w:tc>
          <w:tcPr>
            <w:tcW w:w="1559" w:type="dxa"/>
          </w:tcPr>
          <w:p w14:paraId="3F645671" w14:textId="4BF4D348" w:rsidR="000B3605" w:rsidRPr="00B61B9D" w:rsidRDefault="000B3605" w:rsidP="000B3605">
            <w:pPr>
              <w:ind w:left="0"/>
            </w:pPr>
            <w:r w:rsidRPr="00B61B9D">
              <w:t>Approved on 23</w:t>
            </w:r>
            <w:r w:rsidR="001F1554" w:rsidRPr="00B61B9D">
              <w:t> </w:t>
            </w:r>
            <w:r w:rsidRPr="00B61B9D">
              <w:t>March</w:t>
            </w:r>
            <w:r w:rsidR="001F1554" w:rsidRPr="00B61B9D">
              <w:t> </w:t>
            </w:r>
            <w:r w:rsidRPr="00B61B9D">
              <w:t>2021</w:t>
            </w:r>
          </w:p>
        </w:tc>
        <w:tc>
          <w:tcPr>
            <w:tcW w:w="3679" w:type="dxa"/>
          </w:tcPr>
          <w:p w14:paraId="075504A5" w14:textId="2B1045E3" w:rsidR="000B3605" w:rsidRPr="00B61B9D" w:rsidRDefault="000B3605" w:rsidP="000B3605">
            <w:pPr>
              <w:ind w:left="0"/>
              <w:rPr>
                <w:i/>
                <w:iCs/>
              </w:rPr>
            </w:pPr>
            <w:r w:rsidRPr="00B61B9D">
              <w:rPr>
                <w:i/>
                <w:iCs/>
              </w:rPr>
              <w:t>Cushing’s syndrome (when surgical treatment is insufficiently effective or difficult to perform.</w:t>
            </w:r>
          </w:p>
        </w:tc>
      </w:tr>
    </w:tbl>
    <w:p w14:paraId="2A983131" w14:textId="77777777" w:rsidR="008E7846" w:rsidRPr="00B61B9D" w:rsidRDefault="008E7846" w:rsidP="00940A89">
      <w:pPr>
        <w:pStyle w:val="Heading3"/>
      </w:pPr>
      <w:bookmarkStart w:id="25" w:name="_Toc117259880"/>
      <w:r w:rsidRPr="00B61B9D">
        <w:lastRenderedPageBreak/>
        <w:t>Product Information</w:t>
      </w:r>
      <w:bookmarkEnd w:id="22"/>
      <w:bookmarkEnd w:id="23"/>
      <w:bookmarkEnd w:id="25"/>
    </w:p>
    <w:p w14:paraId="2BA3E970" w14:textId="6997463B" w:rsidR="00332715" w:rsidRPr="00B61B9D" w:rsidRDefault="00332715" w:rsidP="00332715">
      <w:bookmarkStart w:id="26" w:name="_Toc504480011"/>
      <w:bookmarkStart w:id="27" w:name="_Toc247691506"/>
      <w:bookmarkStart w:id="28" w:name="_Toc314842487"/>
      <w:r w:rsidRPr="00B61B9D">
        <w:t xml:space="preserve">The Product Information (PI) approved with the submission which is described in this AusPAR can be found as Attachment 1. For the most recent PI, please refer to the TGA </w:t>
      </w:r>
      <w:hyperlink r:id="rId17" w:history="1">
        <w:r w:rsidRPr="00B61B9D">
          <w:rPr>
            <w:rStyle w:val="Hyperlink"/>
          </w:rPr>
          <w:t>PI/CMI search facility</w:t>
        </w:r>
        <w:r w:rsidRPr="00B61B9D">
          <w:rPr>
            <w:rStyle w:val="Hyperlink"/>
            <w:color w:val="auto"/>
            <w:u w:val="none"/>
          </w:rPr>
          <w:t>.</w:t>
        </w:r>
      </w:hyperlink>
    </w:p>
    <w:p w14:paraId="751B8094" w14:textId="77777777" w:rsidR="00500337" w:rsidRPr="00B61B9D" w:rsidRDefault="00500337" w:rsidP="00500337">
      <w:pPr>
        <w:pStyle w:val="Heading2"/>
      </w:pPr>
      <w:bookmarkStart w:id="29" w:name="_Toc117259881"/>
      <w:r w:rsidRPr="00B61B9D">
        <w:t>Registration timeline</w:t>
      </w:r>
      <w:bookmarkEnd w:id="26"/>
      <w:bookmarkEnd w:id="29"/>
    </w:p>
    <w:p w14:paraId="3B20AB6C" w14:textId="77777777" w:rsidR="0074163C" w:rsidRPr="00B61B9D" w:rsidRDefault="0074163C" w:rsidP="0074163C">
      <w:r w:rsidRPr="00B61B9D">
        <w:t xml:space="preserve">The following table captures the key steps and dates for this </w:t>
      </w:r>
      <w:r w:rsidR="00804D99" w:rsidRPr="00B61B9D">
        <w:t>submission</w:t>
      </w:r>
      <w:r w:rsidRPr="00B61B9D">
        <w:t>.</w:t>
      </w:r>
    </w:p>
    <w:p w14:paraId="28F0D3D3" w14:textId="154D9BB2" w:rsidR="0074163C" w:rsidRPr="00F05753" w:rsidRDefault="0074163C" w:rsidP="00F05753">
      <w:pPr>
        <w:pStyle w:val="TableTitle"/>
      </w:pPr>
      <w:r w:rsidRPr="00F05753">
        <w:t xml:space="preserve">Table </w:t>
      </w:r>
      <w:r w:rsidR="00A12D67">
        <w:fldChar w:fldCharType="begin"/>
      </w:r>
      <w:r w:rsidR="00A12D67">
        <w:instrText xml:space="preserve"> SEQ Tabl</w:instrText>
      </w:r>
      <w:r w:rsidR="00A12D67">
        <w:instrText xml:space="preserve">e \* ARABIC </w:instrText>
      </w:r>
      <w:r w:rsidR="00A12D67">
        <w:fldChar w:fldCharType="separate"/>
      </w:r>
      <w:r w:rsidR="009B4A87">
        <w:rPr>
          <w:noProof/>
        </w:rPr>
        <w:t>2</w:t>
      </w:r>
      <w:r w:rsidR="00A12D67">
        <w:rPr>
          <w:noProof/>
        </w:rPr>
        <w:fldChar w:fldCharType="end"/>
      </w:r>
      <w:r w:rsidRPr="00F05753">
        <w:t xml:space="preserve">: Timeline for Submission </w:t>
      </w:r>
      <w:r w:rsidR="00E641E6" w:rsidRPr="00F05753">
        <w:t>PM-2021-02641-1-5</w:t>
      </w:r>
    </w:p>
    <w:tbl>
      <w:tblPr>
        <w:tblStyle w:val="TableTGAblue"/>
        <w:tblW w:w="0" w:type="auto"/>
        <w:tblLook w:val="04A0" w:firstRow="1" w:lastRow="0" w:firstColumn="1" w:lastColumn="0" w:noHBand="0" w:noVBand="1"/>
      </w:tblPr>
      <w:tblGrid>
        <w:gridCol w:w="5125"/>
        <w:gridCol w:w="3369"/>
      </w:tblGrid>
      <w:tr w:rsidR="0074163C" w:rsidRPr="00B61B9D" w14:paraId="740EA7E7" w14:textId="77777777" w:rsidTr="00D7035A">
        <w:trPr>
          <w:cnfStyle w:val="100000000000" w:firstRow="1" w:lastRow="0" w:firstColumn="0" w:lastColumn="0" w:oddVBand="0" w:evenVBand="0" w:oddHBand="0" w:evenHBand="0" w:firstRowFirstColumn="0" w:firstRowLastColumn="0" w:lastRowFirstColumn="0" w:lastRowLastColumn="0"/>
        </w:trPr>
        <w:tc>
          <w:tcPr>
            <w:tcW w:w="5125" w:type="dxa"/>
            <w:tcBorders>
              <w:top w:val="single" w:sz="4" w:space="0" w:color="auto"/>
              <w:left w:val="single" w:sz="4" w:space="0" w:color="auto"/>
              <w:bottom w:val="single" w:sz="4" w:space="0" w:color="auto"/>
              <w:right w:val="single" w:sz="4" w:space="0" w:color="auto"/>
            </w:tcBorders>
          </w:tcPr>
          <w:p w14:paraId="30EBB6F0" w14:textId="77777777" w:rsidR="0074163C" w:rsidRPr="00B61B9D" w:rsidRDefault="0074163C" w:rsidP="009E5A87">
            <w:r w:rsidRPr="00B61B9D">
              <w:t>Description</w:t>
            </w:r>
          </w:p>
        </w:tc>
        <w:tc>
          <w:tcPr>
            <w:tcW w:w="3369" w:type="dxa"/>
            <w:tcBorders>
              <w:top w:val="single" w:sz="4" w:space="0" w:color="auto"/>
              <w:left w:val="single" w:sz="4" w:space="0" w:color="auto"/>
              <w:bottom w:val="single" w:sz="4" w:space="0" w:color="auto"/>
              <w:right w:val="single" w:sz="4" w:space="0" w:color="auto"/>
            </w:tcBorders>
          </w:tcPr>
          <w:p w14:paraId="5DD5F46B" w14:textId="77777777" w:rsidR="0074163C" w:rsidRPr="00B61B9D" w:rsidRDefault="0074163C" w:rsidP="009E5A87">
            <w:r w:rsidRPr="00B61B9D">
              <w:t>Date</w:t>
            </w:r>
          </w:p>
        </w:tc>
      </w:tr>
      <w:tr w:rsidR="006F5605" w:rsidRPr="00B61B9D" w14:paraId="38C7B6ED" w14:textId="77777777" w:rsidTr="00D7035A">
        <w:tc>
          <w:tcPr>
            <w:tcW w:w="5125" w:type="dxa"/>
            <w:tcBorders>
              <w:top w:val="single" w:sz="4" w:space="0" w:color="auto"/>
            </w:tcBorders>
          </w:tcPr>
          <w:p w14:paraId="6C7FB8DA" w14:textId="77777777" w:rsidR="006F5605" w:rsidRPr="00B61B9D" w:rsidRDefault="006F5605" w:rsidP="006F5605">
            <w:pPr>
              <w:pStyle w:val="Instructions"/>
              <w:rPr>
                <w:i w:val="0"/>
                <w:iCs/>
                <w:color w:val="000000" w:themeColor="text1"/>
              </w:rPr>
            </w:pPr>
            <w:r w:rsidRPr="00B61B9D">
              <w:rPr>
                <w:i w:val="0"/>
                <w:iCs/>
                <w:color w:val="000000" w:themeColor="text1"/>
              </w:rPr>
              <w:t>Designation (Orphan)</w:t>
            </w:r>
          </w:p>
          <w:p w14:paraId="787F7DB9" w14:textId="7B0750BA" w:rsidR="003E4BC4" w:rsidRPr="00B61B9D" w:rsidRDefault="00E641E6" w:rsidP="003E4BC4">
            <w:r w:rsidRPr="00B61B9D">
              <w:t>First e</w:t>
            </w:r>
            <w:r w:rsidR="003E4BC4" w:rsidRPr="00B61B9D">
              <w:t>xtension</w:t>
            </w:r>
          </w:p>
          <w:p w14:paraId="714C2C7F" w14:textId="30A79BB4" w:rsidR="00E641E6" w:rsidRPr="00B61B9D" w:rsidRDefault="00E641E6" w:rsidP="00E641E6">
            <w:r w:rsidRPr="00B61B9D">
              <w:t>Second extension</w:t>
            </w:r>
          </w:p>
        </w:tc>
        <w:tc>
          <w:tcPr>
            <w:tcW w:w="3369" w:type="dxa"/>
            <w:tcBorders>
              <w:top w:val="single" w:sz="4" w:space="0" w:color="auto"/>
            </w:tcBorders>
          </w:tcPr>
          <w:p w14:paraId="4100D7EB" w14:textId="319CCC76" w:rsidR="003E4BC4" w:rsidRPr="00B61B9D" w:rsidRDefault="003E4BC4" w:rsidP="006F5605">
            <w:r w:rsidRPr="00B61B9D">
              <w:t>14 April 2020</w:t>
            </w:r>
          </w:p>
          <w:p w14:paraId="7529A2A8" w14:textId="77777777" w:rsidR="003E4BC4" w:rsidRPr="00B61B9D" w:rsidRDefault="003E4BC4" w:rsidP="003E4BC4">
            <w:r w:rsidRPr="00B61B9D">
              <w:t>14 October 2020</w:t>
            </w:r>
          </w:p>
          <w:p w14:paraId="1253ED6A" w14:textId="05860777" w:rsidR="00E641E6" w:rsidRPr="00B61B9D" w:rsidRDefault="00E641E6" w:rsidP="003E4BC4">
            <w:r w:rsidRPr="00B61B9D">
              <w:t>29 April 2021</w:t>
            </w:r>
          </w:p>
        </w:tc>
      </w:tr>
      <w:tr w:rsidR="006F5605" w:rsidRPr="00B61B9D" w14:paraId="01904303" w14:textId="77777777" w:rsidTr="00D7035A">
        <w:tc>
          <w:tcPr>
            <w:tcW w:w="5125" w:type="dxa"/>
          </w:tcPr>
          <w:p w14:paraId="0EDABBB3" w14:textId="77777777" w:rsidR="006F5605" w:rsidRPr="00B61B9D" w:rsidRDefault="006F5605" w:rsidP="006F5605">
            <w:r w:rsidRPr="00B61B9D">
              <w:t>Submission dossier accepted and first round evaluation commenced</w:t>
            </w:r>
          </w:p>
        </w:tc>
        <w:tc>
          <w:tcPr>
            <w:tcW w:w="3369" w:type="dxa"/>
          </w:tcPr>
          <w:p w14:paraId="785F781F" w14:textId="4E041BE9" w:rsidR="006F5605" w:rsidRPr="00B61B9D" w:rsidRDefault="006F5605" w:rsidP="006F5605">
            <w:r w:rsidRPr="00B61B9D">
              <w:t>2 August 2021</w:t>
            </w:r>
          </w:p>
        </w:tc>
      </w:tr>
      <w:tr w:rsidR="006F5605" w:rsidRPr="00B61B9D" w14:paraId="2D6E0B53" w14:textId="77777777" w:rsidTr="00D7035A">
        <w:tc>
          <w:tcPr>
            <w:tcW w:w="5125" w:type="dxa"/>
          </w:tcPr>
          <w:p w14:paraId="16678669" w14:textId="77777777" w:rsidR="006F5605" w:rsidRPr="00B61B9D" w:rsidRDefault="006F5605" w:rsidP="006F5605">
            <w:r w:rsidRPr="00B61B9D">
              <w:t>First round evaluation completed</w:t>
            </w:r>
          </w:p>
        </w:tc>
        <w:tc>
          <w:tcPr>
            <w:tcW w:w="3369" w:type="dxa"/>
          </w:tcPr>
          <w:p w14:paraId="1C9C2617" w14:textId="0EAFA6F8" w:rsidR="006F5605" w:rsidRPr="00B61B9D" w:rsidRDefault="006F5605" w:rsidP="006F5605">
            <w:r w:rsidRPr="00B61B9D">
              <w:t>6 December 2021</w:t>
            </w:r>
          </w:p>
        </w:tc>
      </w:tr>
      <w:tr w:rsidR="006F5605" w:rsidRPr="00B61B9D" w14:paraId="5E549E70" w14:textId="77777777" w:rsidTr="00D7035A">
        <w:tc>
          <w:tcPr>
            <w:tcW w:w="5125" w:type="dxa"/>
          </w:tcPr>
          <w:p w14:paraId="71B52B81" w14:textId="77777777" w:rsidR="006F5605" w:rsidRPr="00B61B9D" w:rsidRDefault="006F5605" w:rsidP="006F5605">
            <w:r w:rsidRPr="00B61B9D">
              <w:t>Sponsor provides responses on questions raised in first round evaluation</w:t>
            </w:r>
          </w:p>
        </w:tc>
        <w:tc>
          <w:tcPr>
            <w:tcW w:w="3369" w:type="dxa"/>
          </w:tcPr>
          <w:p w14:paraId="4E52ECD6" w14:textId="03A52C19" w:rsidR="006F5605" w:rsidRPr="00B61B9D" w:rsidRDefault="006F5605" w:rsidP="006F5605">
            <w:r w:rsidRPr="00B61B9D">
              <w:t>9 February 2022</w:t>
            </w:r>
          </w:p>
        </w:tc>
      </w:tr>
      <w:tr w:rsidR="006F5605" w:rsidRPr="00B61B9D" w14:paraId="5A31B0D9" w14:textId="77777777" w:rsidTr="00D7035A">
        <w:tc>
          <w:tcPr>
            <w:tcW w:w="5125" w:type="dxa"/>
          </w:tcPr>
          <w:p w14:paraId="6F4F2093" w14:textId="77777777" w:rsidR="006F5605" w:rsidRPr="00B61B9D" w:rsidRDefault="006F5605" w:rsidP="006F5605">
            <w:r w:rsidRPr="00B61B9D">
              <w:t>Second round evaluation completed</w:t>
            </w:r>
          </w:p>
        </w:tc>
        <w:tc>
          <w:tcPr>
            <w:tcW w:w="3369" w:type="dxa"/>
          </w:tcPr>
          <w:p w14:paraId="49A1AB33" w14:textId="729970CE" w:rsidR="006F5605" w:rsidRPr="00B61B9D" w:rsidRDefault="006F5605" w:rsidP="006F5605">
            <w:r w:rsidRPr="00B61B9D">
              <w:t>11 April 2022</w:t>
            </w:r>
          </w:p>
        </w:tc>
      </w:tr>
      <w:tr w:rsidR="006F5605" w:rsidRPr="00B61B9D" w14:paraId="52123328" w14:textId="77777777" w:rsidTr="00D7035A">
        <w:tc>
          <w:tcPr>
            <w:tcW w:w="5125" w:type="dxa"/>
          </w:tcPr>
          <w:p w14:paraId="3F5A4F32" w14:textId="5CEB2E5D" w:rsidR="006F5605" w:rsidRPr="00B61B9D" w:rsidRDefault="006F5605" w:rsidP="006F5605">
            <w:r w:rsidRPr="00B61B9D">
              <w:t>Delegate’s Overall benefit-risk assessment</w:t>
            </w:r>
          </w:p>
        </w:tc>
        <w:tc>
          <w:tcPr>
            <w:tcW w:w="3369" w:type="dxa"/>
          </w:tcPr>
          <w:p w14:paraId="069D0D41" w14:textId="038971BF" w:rsidR="006F5605" w:rsidRPr="00B61B9D" w:rsidRDefault="006F5605" w:rsidP="006F5605">
            <w:r w:rsidRPr="00B61B9D">
              <w:t>21 April 2022</w:t>
            </w:r>
          </w:p>
        </w:tc>
      </w:tr>
      <w:tr w:rsidR="006F5605" w:rsidRPr="00B61B9D" w14:paraId="7570EE95" w14:textId="77777777" w:rsidTr="00D7035A">
        <w:tc>
          <w:tcPr>
            <w:tcW w:w="5125" w:type="dxa"/>
          </w:tcPr>
          <w:p w14:paraId="1F415662" w14:textId="77777777" w:rsidR="006F5605" w:rsidRPr="00B61B9D" w:rsidRDefault="006F5605" w:rsidP="006F5605">
            <w:r w:rsidRPr="00B61B9D">
              <w:t>Sponsor’s pre-Advisory Committee response</w:t>
            </w:r>
          </w:p>
        </w:tc>
        <w:tc>
          <w:tcPr>
            <w:tcW w:w="3369" w:type="dxa"/>
          </w:tcPr>
          <w:p w14:paraId="289BA0B4" w14:textId="4ADD56DF" w:rsidR="006F5605" w:rsidRPr="00B61B9D" w:rsidRDefault="006F5605" w:rsidP="006F5605">
            <w:r w:rsidRPr="00B61B9D">
              <w:t>Not Applicable</w:t>
            </w:r>
          </w:p>
        </w:tc>
      </w:tr>
      <w:tr w:rsidR="006F5605" w:rsidRPr="00B61B9D" w14:paraId="508DA72E" w14:textId="77777777" w:rsidTr="00D7035A">
        <w:tc>
          <w:tcPr>
            <w:tcW w:w="5125" w:type="dxa"/>
          </w:tcPr>
          <w:p w14:paraId="087DB821" w14:textId="77777777" w:rsidR="006F5605" w:rsidRPr="00B61B9D" w:rsidRDefault="006F5605" w:rsidP="006F5605">
            <w:r w:rsidRPr="00B61B9D">
              <w:t>Advisory Committee meeting</w:t>
            </w:r>
          </w:p>
        </w:tc>
        <w:tc>
          <w:tcPr>
            <w:tcW w:w="3369" w:type="dxa"/>
          </w:tcPr>
          <w:p w14:paraId="5A0D6FFA" w14:textId="285A827A" w:rsidR="006F5605" w:rsidRPr="00B61B9D" w:rsidRDefault="006F5605" w:rsidP="006F5605">
            <w:r w:rsidRPr="00B61B9D">
              <w:t>Not Applicable</w:t>
            </w:r>
          </w:p>
        </w:tc>
      </w:tr>
      <w:tr w:rsidR="006F5605" w:rsidRPr="00B61B9D" w14:paraId="7C1B2F6D" w14:textId="77777777" w:rsidTr="00D7035A">
        <w:tc>
          <w:tcPr>
            <w:tcW w:w="5125" w:type="dxa"/>
          </w:tcPr>
          <w:p w14:paraId="655375FC" w14:textId="77777777" w:rsidR="006F5605" w:rsidRPr="00B61B9D" w:rsidRDefault="006F5605" w:rsidP="006F5605">
            <w:r w:rsidRPr="00B61B9D">
              <w:t>Registration decision (Outcome)</w:t>
            </w:r>
          </w:p>
        </w:tc>
        <w:tc>
          <w:tcPr>
            <w:tcW w:w="3369" w:type="dxa"/>
          </w:tcPr>
          <w:p w14:paraId="4DE2426D" w14:textId="334C5784" w:rsidR="006F5605" w:rsidRPr="00B61B9D" w:rsidRDefault="006F5605" w:rsidP="006F5605">
            <w:r w:rsidRPr="00B61B9D">
              <w:t>6 May 2022</w:t>
            </w:r>
          </w:p>
        </w:tc>
      </w:tr>
      <w:tr w:rsidR="006F5605" w:rsidRPr="00B61B9D" w14:paraId="6A435ABF" w14:textId="77777777" w:rsidTr="00D7035A">
        <w:tc>
          <w:tcPr>
            <w:tcW w:w="5125" w:type="dxa"/>
          </w:tcPr>
          <w:p w14:paraId="39F77504" w14:textId="77777777" w:rsidR="006F5605" w:rsidRPr="00B61B9D" w:rsidRDefault="006F5605" w:rsidP="006F5605">
            <w:r w:rsidRPr="00B61B9D">
              <w:t>Completion of administrative activities and registration on the ARTG</w:t>
            </w:r>
          </w:p>
        </w:tc>
        <w:tc>
          <w:tcPr>
            <w:tcW w:w="3369" w:type="dxa"/>
          </w:tcPr>
          <w:p w14:paraId="6550DD36" w14:textId="12C62A96" w:rsidR="006F5605" w:rsidRPr="00B61B9D" w:rsidRDefault="006F5605" w:rsidP="006F5605">
            <w:r w:rsidRPr="00B61B9D">
              <w:t>12 May 2022</w:t>
            </w:r>
          </w:p>
        </w:tc>
      </w:tr>
      <w:tr w:rsidR="006F5605" w:rsidRPr="00B61B9D" w14:paraId="2712CF48" w14:textId="77777777" w:rsidTr="00D7035A">
        <w:tc>
          <w:tcPr>
            <w:tcW w:w="5125" w:type="dxa"/>
          </w:tcPr>
          <w:p w14:paraId="34FD5470" w14:textId="77777777" w:rsidR="006F5605" w:rsidRPr="00B61B9D" w:rsidRDefault="006F5605" w:rsidP="006F5605">
            <w:r w:rsidRPr="00B61B9D">
              <w:t>Number of working days from submission dossier acceptance to registration decision*</w:t>
            </w:r>
          </w:p>
        </w:tc>
        <w:tc>
          <w:tcPr>
            <w:tcW w:w="3369" w:type="dxa"/>
          </w:tcPr>
          <w:p w14:paraId="759D1A9C" w14:textId="575C88D8" w:rsidR="006F5605" w:rsidRPr="00B61B9D" w:rsidRDefault="006F5605" w:rsidP="006F5605">
            <w:r w:rsidRPr="00B61B9D">
              <w:t>122</w:t>
            </w:r>
          </w:p>
        </w:tc>
      </w:tr>
    </w:tbl>
    <w:p w14:paraId="6CE1BA21" w14:textId="77777777" w:rsidR="0074163C" w:rsidRPr="00B61B9D" w:rsidRDefault="0074163C" w:rsidP="0074163C">
      <w:pPr>
        <w:pStyle w:val="TableDescription"/>
      </w:pPr>
      <w:r w:rsidRPr="00B61B9D">
        <w:t>*The COR-B process has a 175 working day evaluation and decision timeframe.</w:t>
      </w:r>
    </w:p>
    <w:p w14:paraId="36F5B3DA" w14:textId="77777777" w:rsidR="008E7846" w:rsidRPr="00B61B9D" w:rsidRDefault="00006FAB" w:rsidP="008E7846">
      <w:pPr>
        <w:pStyle w:val="Heading2"/>
      </w:pPr>
      <w:bookmarkStart w:id="30" w:name="_Toc196046504"/>
      <w:bookmarkStart w:id="31" w:name="_Toc247691527"/>
      <w:bookmarkStart w:id="32" w:name="_Toc314842510"/>
      <w:bookmarkStart w:id="33" w:name="_Toc117259882"/>
      <w:bookmarkStart w:id="34" w:name="_Toc163441390"/>
      <w:bookmarkEnd w:id="27"/>
      <w:bookmarkEnd w:id="28"/>
      <w:bookmarkEnd w:id="1"/>
      <w:r w:rsidRPr="00B61B9D">
        <w:t xml:space="preserve">Submission overview </w:t>
      </w:r>
      <w:r w:rsidR="008E7846" w:rsidRPr="00B61B9D">
        <w:t>and risk/benefit assessment</w:t>
      </w:r>
      <w:bookmarkEnd w:id="30"/>
      <w:bookmarkEnd w:id="31"/>
      <w:bookmarkEnd w:id="32"/>
      <w:bookmarkEnd w:id="33"/>
    </w:p>
    <w:p w14:paraId="0B017436" w14:textId="77777777" w:rsidR="005A79F5" w:rsidRPr="00B61B9D" w:rsidRDefault="005A79F5" w:rsidP="0074163C">
      <w:pPr>
        <w:pStyle w:val="Instructions"/>
        <w:rPr>
          <w:i w:val="0"/>
          <w:color w:val="auto"/>
        </w:rPr>
      </w:pPr>
      <w:bookmarkStart w:id="35" w:name="_Toc247691528"/>
      <w:bookmarkStart w:id="36" w:name="_Toc314842511"/>
      <w:r w:rsidRPr="00B61B9D">
        <w:rPr>
          <w:i w:val="0"/>
          <w:color w:val="auto"/>
        </w:rPr>
        <w:t>A summary of the TGA’s assessment for this submission is provided below.</w:t>
      </w:r>
    </w:p>
    <w:p w14:paraId="4AAD9BB6" w14:textId="2285A807" w:rsidR="0074163C" w:rsidRPr="00B61B9D" w:rsidRDefault="0074163C" w:rsidP="0074163C">
      <w:r w:rsidRPr="00B61B9D">
        <w:t>This section is a TGA summary of wording used in TGA’s evaluation report, which discussed numerous aspects of overseas evaluation reports and included some information that was commercial-in-confidence.</w:t>
      </w:r>
    </w:p>
    <w:p w14:paraId="7C8BDA4C" w14:textId="0477B4FC" w:rsidR="00D5103B" w:rsidRPr="00B61B9D" w:rsidRDefault="00D5103B" w:rsidP="0074163C">
      <w:r w:rsidRPr="00B61B9D">
        <w:t>Relevant guidelines or guidance documents referred to by the Delegate are listed below:</w:t>
      </w:r>
    </w:p>
    <w:p w14:paraId="6EAF309B" w14:textId="77777777" w:rsidR="00D5103B" w:rsidRPr="00B61B9D" w:rsidRDefault="00D5103B" w:rsidP="00D5103B">
      <w:pPr>
        <w:pStyle w:val="ListBullet"/>
      </w:pPr>
      <w:r w:rsidRPr="00B61B9D">
        <w:lastRenderedPageBreak/>
        <w:t>European Medicine Agency (EMA), Committee for Medicinal Products for Human Use (CHMP), Guideline on the Reporting of Physiologically Based Pharmacokinetic (PBPK) Modelling and Simulation, EMA/CHMP/458101/2016, 13 December 2018.</w:t>
      </w:r>
    </w:p>
    <w:p w14:paraId="56723513" w14:textId="3EE50E9F" w:rsidR="00D5103B" w:rsidRPr="00B61B9D" w:rsidRDefault="00D5103B" w:rsidP="00D5103B">
      <w:pPr>
        <w:pStyle w:val="ListBullet"/>
      </w:pPr>
      <w:r w:rsidRPr="00B61B9D">
        <w:t>European Medicine Agency (EMA), Committee for Proprietary Medicinal Products (CPMP), ICH Guideline M3(R2) on Nonclinical Safety Studies for the Conduct of Human Clinical Trials and Marketing Authorisation for Pharmaceuticals, EMA/CPMP/ICH/286/1995, December 2009.</w:t>
      </w:r>
    </w:p>
    <w:p w14:paraId="75066FCF" w14:textId="77777777" w:rsidR="008E7846" w:rsidRPr="00B61B9D" w:rsidRDefault="008E7846" w:rsidP="008E7846">
      <w:pPr>
        <w:pStyle w:val="Heading3"/>
      </w:pPr>
      <w:bookmarkStart w:id="37" w:name="_Toc117259883"/>
      <w:r w:rsidRPr="00B61B9D">
        <w:t>Quality</w:t>
      </w:r>
      <w:bookmarkEnd w:id="35"/>
      <w:bookmarkEnd w:id="36"/>
      <w:bookmarkEnd w:id="37"/>
    </w:p>
    <w:p w14:paraId="0D9B0482" w14:textId="24E91FEF" w:rsidR="00CD55ED" w:rsidRPr="00B61B9D" w:rsidRDefault="00CD55ED" w:rsidP="001F1554">
      <w:r w:rsidRPr="00B61B9D">
        <w:t>The chemical structure of osilodrostat phosphate</w:t>
      </w:r>
      <w:r w:rsidR="00B0790D" w:rsidRPr="00B61B9D">
        <w:t xml:space="preserve"> (active ingredient of Isturisa)</w:t>
      </w:r>
      <w:r w:rsidRPr="00B61B9D">
        <w:t xml:space="preserve"> is shown in </w:t>
      </w:r>
      <w:r w:rsidRPr="00B61B9D">
        <w:fldChar w:fldCharType="begin"/>
      </w:r>
      <w:r w:rsidRPr="00B61B9D">
        <w:instrText xml:space="preserve"> REF _Ref112748900 \h  \* MERGEFORMAT </w:instrText>
      </w:r>
      <w:r w:rsidRPr="00B61B9D">
        <w:fldChar w:fldCharType="separate"/>
      </w:r>
      <w:r w:rsidR="009B4A87" w:rsidRPr="00F05753">
        <w:t xml:space="preserve">Figure </w:t>
      </w:r>
      <w:r w:rsidR="009B4A87">
        <w:t>1</w:t>
      </w:r>
      <w:r w:rsidRPr="00B61B9D">
        <w:fldChar w:fldCharType="end"/>
      </w:r>
      <w:r w:rsidRPr="00B61B9D">
        <w:t xml:space="preserve"> below.</w:t>
      </w:r>
    </w:p>
    <w:p w14:paraId="555C1B6B" w14:textId="18639860" w:rsidR="00CD55ED" w:rsidRPr="00F05753" w:rsidRDefault="00CD55ED" w:rsidP="00F05753">
      <w:pPr>
        <w:pStyle w:val="FigureTitle"/>
      </w:pPr>
      <w:bookmarkStart w:id="38" w:name="_Ref112748900"/>
      <w:r w:rsidRPr="00F05753">
        <w:t xml:space="preserve">Figure </w:t>
      </w:r>
      <w:r w:rsidR="00A12D67">
        <w:fldChar w:fldCharType="begin"/>
      </w:r>
      <w:r w:rsidR="00A12D67">
        <w:instrText xml:space="preserve"> SEQ Figure \* ARABIC </w:instrText>
      </w:r>
      <w:r w:rsidR="00A12D67">
        <w:fldChar w:fldCharType="separate"/>
      </w:r>
      <w:r w:rsidR="009B4A87">
        <w:rPr>
          <w:noProof/>
        </w:rPr>
        <w:t>1</w:t>
      </w:r>
      <w:r w:rsidR="00A12D67">
        <w:rPr>
          <w:noProof/>
        </w:rPr>
        <w:fldChar w:fldCharType="end"/>
      </w:r>
      <w:bookmarkEnd w:id="38"/>
      <w:r w:rsidRPr="00F05753">
        <w:t>: Chemical structure of osilodrostat phosphate</w:t>
      </w:r>
    </w:p>
    <w:p w14:paraId="128340B2" w14:textId="4CBDA3B8" w:rsidR="00CD55ED" w:rsidRPr="00B61B9D" w:rsidRDefault="00CD55ED" w:rsidP="00F05753">
      <w:r w:rsidRPr="00B61B9D">
        <w:rPr>
          <w:noProof/>
          <w:lang w:val="en-GB" w:eastAsia="en-GB"/>
        </w:rPr>
        <w:drawing>
          <wp:inline distT="0" distB="0" distL="0" distR="0" wp14:anchorId="0151C6B8" wp14:editId="03B0CD36">
            <wp:extent cx="1406236" cy="1533525"/>
            <wp:effectExtent l="0" t="0" r="3810" b="0"/>
            <wp:docPr id="2" name="Picture 2" descr="Figure 1: Chemical structure of osilodrostat 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Chemical structure of osilodrostat phosphate"/>
                    <pic:cNvPicPr/>
                  </pic:nvPicPr>
                  <pic:blipFill>
                    <a:blip r:embed="rId18"/>
                    <a:stretch>
                      <a:fillRect/>
                    </a:stretch>
                  </pic:blipFill>
                  <pic:spPr>
                    <a:xfrm>
                      <a:off x="0" y="0"/>
                      <a:ext cx="1413609" cy="1541565"/>
                    </a:xfrm>
                    <a:prstGeom prst="rect">
                      <a:avLst/>
                    </a:prstGeom>
                  </pic:spPr>
                </pic:pic>
              </a:graphicData>
            </a:graphic>
          </wp:inline>
        </w:drawing>
      </w:r>
    </w:p>
    <w:p w14:paraId="4DB50D95" w14:textId="0C792B3A" w:rsidR="00B0790D" w:rsidRPr="00B61B9D" w:rsidRDefault="00B0790D" w:rsidP="00B0790D">
      <w:r w:rsidRPr="00B61B9D">
        <w:t>Osilodrostat drug product was initially formulated as 0.25 mg, 0.5 mg, 1 mg, 5 mg and 50 mg hard gelatin capsules (clinical service form) which were used in first Phase I and Phase II clinical studies. They were later (in 2014) replaced by 1 mg, 5 mg, 10 mg and 20 mg film-coated tablets (final market image). The film-coated tablets contain compendial excipients, and the manufacturing process consists of standard operations commonly used in the manufacture of oral solid dosage forms. The intended commercial formulation of 1 mg, 5 mg and 10 mg film-coated tablets is identical to the formulation used in late Phase I, Phase II and the pivotal Phase III clinical trials. They have the same qualitative and quantitative composition and appearance. They represent an immediate release dosage form for oral administration.</w:t>
      </w:r>
    </w:p>
    <w:p w14:paraId="4CE2C6A9" w14:textId="77777777" w:rsidR="001B2D25" w:rsidRDefault="00CD55ED" w:rsidP="000F23D6">
      <w:r w:rsidRPr="00B61B9D">
        <w:t xml:space="preserve">The storage condition has been revised </w:t>
      </w:r>
      <w:r w:rsidR="001B2D25">
        <w:t xml:space="preserve">during evaluation </w:t>
      </w:r>
      <w:r w:rsidRPr="00B61B9D">
        <w:t>from ‘</w:t>
      </w:r>
      <w:r w:rsidR="00B0790D" w:rsidRPr="00B61B9D">
        <w:t>S</w:t>
      </w:r>
      <w:r w:rsidRPr="00B61B9D">
        <w:t>tore below 25°C. Store in the original package in order to protect from moisture’ to ‘</w:t>
      </w:r>
      <w:r w:rsidR="00B0790D" w:rsidRPr="00B61B9D">
        <w:t>S</w:t>
      </w:r>
      <w:r w:rsidRPr="00B61B9D">
        <w:t>tore below 30°C. Store in the original package in order to protect from moisture’</w:t>
      </w:r>
      <w:r w:rsidR="001B2D25">
        <w:t>.</w:t>
      </w:r>
    </w:p>
    <w:p w14:paraId="223EA03D" w14:textId="54E68BCC" w:rsidR="00CD55ED" w:rsidRPr="00B61B9D" w:rsidRDefault="001B2D25" w:rsidP="000F23D6">
      <w:r>
        <w:t>B</w:t>
      </w:r>
      <w:r w:rsidR="00CD55ED" w:rsidRPr="00B61B9D">
        <w:t>ased on the supplied data a shelf-life of 36 months when stored below 30°C. Store in the original packaging in order to protect from moisture is acceptable.</w:t>
      </w:r>
    </w:p>
    <w:p w14:paraId="044E92EE" w14:textId="003465EE" w:rsidR="00B2177B" w:rsidRPr="00B61B9D" w:rsidRDefault="00B2177B" w:rsidP="00B2177B">
      <w:r w:rsidRPr="00B61B9D">
        <w:t xml:space="preserve">The proposed commercial primary packaging configuration for </w:t>
      </w:r>
      <w:r w:rsidR="00B0790D" w:rsidRPr="00B61B9D">
        <w:t xml:space="preserve">osilodrostat </w:t>
      </w:r>
      <w:r w:rsidRPr="00B61B9D">
        <w:t>1 mg, 5</w:t>
      </w:r>
      <w:r w:rsidR="00B0790D" w:rsidRPr="00B61B9D">
        <w:t> </w:t>
      </w:r>
      <w:r w:rsidRPr="00B61B9D">
        <w:t xml:space="preserve">mg and 10 mg film-coated tablets </w:t>
      </w:r>
      <w:r w:rsidR="00B0790D" w:rsidRPr="00B61B9D">
        <w:t>consist</w:t>
      </w:r>
      <w:r w:rsidRPr="00B61B9D">
        <w:t xml:space="preserve"> of double</w:t>
      </w:r>
      <w:r w:rsidR="00B0790D" w:rsidRPr="00B61B9D">
        <w:t>-</w:t>
      </w:r>
      <w:r w:rsidRPr="00B61B9D">
        <w:t xml:space="preserve">sided </w:t>
      </w:r>
      <w:r w:rsidR="00B0790D" w:rsidRPr="00B61B9D">
        <w:t>aluminium</w:t>
      </w:r>
      <w:r w:rsidRPr="00B61B9D">
        <w:t xml:space="preserve"> blisters with PA/</w:t>
      </w:r>
      <w:r w:rsidR="008242FC" w:rsidRPr="008242FC">
        <w:t>aluminium</w:t>
      </w:r>
      <w:r w:rsidRPr="00B61B9D">
        <w:t>/</w:t>
      </w:r>
      <w:r w:rsidR="00B645CD" w:rsidRPr="00B61B9D">
        <w:t xml:space="preserve">polyvinyl chloride </w:t>
      </w:r>
      <w:r w:rsidRPr="00B61B9D">
        <w:t>foil as forming</w:t>
      </w:r>
      <w:r w:rsidR="005C46EC" w:rsidRPr="00B61B9D">
        <w:t xml:space="preserve"> </w:t>
      </w:r>
      <w:r w:rsidRPr="00B61B9D">
        <w:t xml:space="preserve">foil and </w:t>
      </w:r>
      <w:r w:rsidR="00B0790D" w:rsidRPr="00B61B9D">
        <w:t>aluminium</w:t>
      </w:r>
      <w:r w:rsidRPr="00B61B9D">
        <w:t xml:space="preserve"> foil with a heat seal lacquer as backing foil.</w:t>
      </w:r>
    </w:p>
    <w:p w14:paraId="234EF811" w14:textId="77777777" w:rsidR="00D25F84" w:rsidRPr="00B61B9D" w:rsidRDefault="00D25F84" w:rsidP="00B0790D">
      <w:r w:rsidRPr="00B61B9D">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p>
    <w:p w14:paraId="278F7999" w14:textId="644EA7F1" w:rsidR="00D25F84" w:rsidRPr="00B61B9D" w:rsidRDefault="00D25F84" w:rsidP="00B0790D">
      <w:r w:rsidRPr="00B61B9D">
        <w:t>A number of significant deficiencies in the application data were identified during the first</w:t>
      </w:r>
      <w:r w:rsidR="00B0790D" w:rsidRPr="00B61B9D">
        <w:t xml:space="preserve"> </w:t>
      </w:r>
      <w:r w:rsidRPr="00B61B9D">
        <w:t xml:space="preserve">round </w:t>
      </w:r>
      <w:r w:rsidR="00B0790D" w:rsidRPr="00B61B9D">
        <w:t xml:space="preserve">of </w:t>
      </w:r>
      <w:r w:rsidR="001B2D25">
        <w:t>evaluation</w:t>
      </w:r>
      <w:r w:rsidRPr="00B61B9D">
        <w:t xml:space="preserve">. Questions raised </w:t>
      </w:r>
      <w:r w:rsidR="00C16D68" w:rsidRPr="00B61B9D">
        <w:t>by the TGA</w:t>
      </w:r>
      <w:r w:rsidRPr="00B61B9D">
        <w:t xml:space="preserve"> were satisfactorily resolved</w:t>
      </w:r>
      <w:r w:rsidR="00C06350">
        <w:t xml:space="preserve"> by the </w:t>
      </w:r>
      <w:r w:rsidR="00C06350">
        <w:lastRenderedPageBreak/>
        <w:t>sponsor</w:t>
      </w:r>
      <w:r w:rsidRPr="00B61B9D">
        <w:t>. Minor questions raised</w:t>
      </w:r>
      <w:r w:rsidR="00B0790D" w:rsidRPr="00B61B9D">
        <w:t xml:space="preserve"> by the TGA</w:t>
      </w:r>
      <w:r w:rsidRPr="00B61B9D">
        <w:t xml:space="preserve"> during </w:t>
      </w:r>
      <w:r w:rsidR="000F23D6" w:rsidRPr="00B61B9D">
        <w:t xml:space="preserve">the second round of </w:t>
      </w:r>
      <w:r w:rsidR="00C06350">
        <w:t>evaluation</w:t>
      </w:r>
      <w:r w:rsidR="00C06350" w:rsidRPr="00B61B9D">
        <w:t xml:space="preserve"> </w:t>
      </w:r>
      <w:r w:rsidRPr="00B61B9D">
        <w:t>have also been resolved.</w:t>
      </w:r>
    </w:p>
    <w:p w14:paraId="201F1350" w14:textId="4EF39B37" w:rsidR="00B9526A" w:rsidRPr="00B61B9D" w:rsidRDefault="00D25F84" w:rsidP="00B0790D">
      <w:r w:rsidRPr="00B61B9D">
        <w:t xml:space="preserve">There are no outstanding </w:t>
      </w:r>
      <w:r w:rsidR="000F23D6" w:rsidRPr="00B61B9D">
        <w:t xml:space="preserve">quality </w:t>
      </w:r>
      <w:r w:rsidRPr="00B61B9D">
        <w:t>issues.</w:t>
      </w:r>
      <w:r w:rsidR="000F23D6" w:rsidRPr="00B61B9D">
        <w:t xml:space="preserve"> </w:t>
      </w:r>
      <w:r w:rsidR="00B9526A" w:rsidRPr="00B61B9D">
        <w:t>Approval is</w:t>
      </w:r>
      <w:r w:rsidR="00B0790D" w:rsidRPr="00B61B9D">
        <w:t xml:space="preserve"> recommended for</w:t>
      </w:r>
      <w:r w:rsidR="00B9526A" w:rsidRPr="00B61B9D">
        <w:t xml:space="preserve"> registration of the proposed product from a pharmaceutical chemistry perspective.</w:t>
      </w:r>
    </w:p>
    <w:p w14:paraId="560A7960" w14:textId="6A8FA51A" w:rsidR="008E7846" w:rsidRPr="00B61B9D" w:rsidRDefault="008E7846" w:rsidP="008E7846">
      <w:pPr>
        <w:pStyle w:val="Heading3"/>
      </w:pPr>
      <w:bookmarkStart w:id="39" w:name="_Toc314842512"/>
      <w:bookmarkStart w:id="40" w:name="_Toc117259884"/>
      <w:r w:rsidRPr="00B61B9D">
        <w:t>Nonclinical</w:t>
      </w:r>
      <w:bookmarkEnd w:id="39"/>
      <w:bookmarkEnd w:id="40"/>
    </w:p>
    <w:p w14:paraId="5A57D8ED" w14:textId="388DB353" w:rsidR="00D25F84" w:rsidRPr="00B61B9D" w:rsidRDefault="00D25F84" w:rsidP="00D25F84">
      <w:r w:rsidRPr="00B61B9D">
        <w:t>The proposed dosing regimen involves a starting oral dose of 2 mg twice dail</w:t>
      </w:r>
      <w:r w:rsidR="00C06350">
        <w:t xml:space="preserve">y </w:t>
      </w:r>
      <w:r w:rsidRPr="00B61B9D">
        <w:t>(</w:t>
      </w:r>
      <w:r w:rsidR="00C06350">
        <w:t xml:space="preserve">except </w:t>
      </w:r>
      <w:r w:rsidRPr="00B61B9D">
        <w:t xml:space="preserve">for patients of Asian ancestry, </w:t>
      </w:r>
      <w:r w:rsidR="00C06350">
        <w:t xml:space="preserve">in whom the proposed </w:t>
      </w:r>
      <w:r w:rsidRPr="00B61B9D">
        <w:t>starting dose is 1 mg twice daily) up to a maximum oral dose of 30</w:t>
      </w:r>
      <w:r w:rsidR="00E2184A" w:rsidRPr="00B61B9D">
        <w:t> </w:t>
      </w:r>
      <w:r w:rsidRPr="00B61B9D">
        <w:t>mg twice daily. The dose is recommended to be titrated with the aim to achieve normal cortisol levels and treatment is expected to be ongoing.</w:t>
      </w:r>
    </w:p>
    <w:p w14:paraId="7729D2B6" w14:textId="1B46CEB2" w:rsidR="00D25F84" w:rsidRPr="00B61B9D" w:rsidRDefault="00D25F84" w:rsidP="00D25F84">
      <w:r w:rsidRPr="00B61B9D">
        <w:t xml:space="preserve">The submitted </w:t>
      </w:r>
      <w:r w:rsidR="00E2184A" w:rsidRPr="00B61B9D">
        <w:t>nonclinical do</w:t>
      </w:r>
      <w:r w:rsidRPr="00B61B9D">
        <w:t xml:space="preserve">ssier was in accordance with the relevant </w:t>
      </w:r>
      <w:r w:rsidR="00B645CD" w:rsidRPr="00B61B9D">
        <w:t>International Council for Harmonisation (</w:t>
      </w:r>
      <w:r w:rsidRPr="00B61B9D">
        <w:t>ICH</w:t>
      </w:r>
      <w:r w:rsidR="00B645CD" w:rsidRPr="00B61B9D">
        <w:t>)</w:t>
      </w:r>
      <w:r w:rsidR="00D8071C" w:rsidRPr="00B61B9D">
        <w:rPr>
          <w:rStyle w:val="FootnoteReference"/>
        </w:rPr>
        <w:footnoteReference w:id="10"/>
      </w:r>
      <w:r w:rsidRPr="00B61B9D">
        <w:t xml:space="preserve"> guideline.</w:t>
      </w:r>
      <w:r w:rsidR="00E2184A" w:rsidRPr="00B61B9D">
        <w:rPr>
          <w:rStyle w:val="FootnoteReference"/>
        </w:rPr>
        <w:footnoteReference w:id="11"/>
      </w:r>
      <w:r w:rsidR="00E2184A" w:rsidRPr="00B61B9D">
        <w:t xml:space="preserve"> </w:t>
      </w:r>
      <w:r w:rsidRPr="00B61B9D">
        <w:t xml:space="preserve">The overall quality of the nonclinical dossier was adequate. All pivotal safety-related studies were </w:t>
      </w:r>
      <w:r w:rsidR="00EB5256" w:rsidRPr="00B61B9D">
        <w:t>Good Laboratory Practice;</w:t>
      </w:r>
      <w:r w:rsidR="00EB5256" w:rsidRPr="00B61B9D">
        <w:rPr>
          <w:rStyle w:val="FootnoteReference"/>
        </w:rPr>
        <w:footnoteReference w:id="12"/>
      </w:r>
      <w:r w:rsidRPr="00B61B9D">
        <w:t xml:space="preserve"> compliant.</w:t>
      </w:r>
    </w:p>
    <w:p w14:paraId="1A858F6C" w14:textId="63B68891" w:rsidR="00D25F84" w:rsidRPr="00B61B9D" w:rsidRDefault="00D25F84" w:rsidP="00D25F84">
      <w:r w:rsidRPr="00B61B9D">
        <w:t xml:space="preserve">The nonclinical data are broadly supportive of the proposed use. The </w:t>
      </w:r>
      <w:r w:rsidR="00D7035A">
        <w:t>half (50%) maximal inhibitory concentration (</w:t>
      </w:r>
      <w:r w:rsidRPr="00D7035A">
        <w:t>IC</w:t>
      </w:r>
      <w:r w:rsidRPr="00B61B9D">
        <w:rPr>
          <w:vertAlign w:val="subscript"/>
        </w:rPr>
        <w:t>50</w:t>
      </w:r>
      <w:r w:rsidR="00D7035A">
        <w:t>)</w:t>
      </w:r>
      <w:r w:rsidRPr="00B61B9D">
        <w:t xml:space="preserve"> for inhibition of human recombinant CYP11B1 was 2.5 nM for osilodrostat and within expected clinical plasma concentrations. Osilodrostat was active in a relevant rat model of Cushing’s syndrome.</w:t>
      </w:r>
    </w:p>
    <w:p w14:paraId="10DBED17" w14:textId="798E3558" w:rsidR="00D25F84" w:rsidRPr="00B61B9D" w:rsidRDefault="00D25F84" w:rsidP="00D25F84">
      <w:r w:rsidRPr="00B61B9D">
        <w:t>Clinically relevant off-target inhibition of aldosterone synthase (CYP11B2) is also anticipated (</w:t>
      </w:r>
      <w:r w:rsidR="00C06350">
        <w:t>with a</w:t>
      </w:r>
      <w:r w:rsidR="009861EF">
        <w:t>n</w:t>
      </w:r>
      <w:r w:rsidR="00C06350">
        <w:t xml:space="preserve"> </w:t>
      </w:r>
      <w:r w:rsidR="00A56F5C" w:rsidRPr="00B61B9D">
        <w:t>IC</w:t>
      </w:r>
      <w:r w:rsidR="00A56F5C" w:rsidRPr="00B61B9D">
        <w:rPr>
          <w:vertAlign w:val="subscript"/>
        </w:rPr>
        <w:t>50</w:t>
      </w:r>
      <w:r w:rsidR="00C06350">
        <w:t xml:space="preserve"> of</w:t>
      </w:r>
      <w:r w:rsidRPr="00B61B9D">
        <w:t xml:space="preserve"> 0.7</w:t>
      </w:r>
      <w:r w:rsidR="00E2184A" w:rsidRPr="00B61B9D">
        <w:t xml:space="preserve"> to </w:t>
      </w:r>
      <w:r w:rsidRPr="00B61B9D">
        <w:t>17 nM). Osilodrostat</w:t>
      </w:r>
      <w:r w:rsidR="00406BC8">
        <w:t xml:space="preserve"> </w:t>
      </w:r>
      <w:r w:rsidRPr="00B61B9D">
        <w:t xml:space="preserve">and its </w:t>
      </w:r>
      <w:r w:rsidR="00FA761A">
        <w:rPr>
          <w:i/>
        </w:rPr>
        <w:t>S</w:t>
      </w:r>
      <w:r w:rsidRPr="00B61B9D">
        <w:t>-enantiomer (LCI698)</w:t>
      </w:r>
      <w:r w:rsidR="00C06350">
        <w:t>;</w:t>
      </w:r>
      <w:bookmarkStart w:id="41" w:name="_Ref116986754"/>
      <w:r w:rsidR="00C06350">
        <w:rPr>
          <w:rStyle w:val="FootnoteReference"/>
        </w:rPr>
        <w:footnoteReference w:id="13"/>
      </w:r>
      <w:bookmarkEnd w:id="41"/>
      <w:r w:rsidRPr="00B61B9D">
        <w:t xml:space="preserve"> also inhibit aromatase, which catalyses the conversion of androstenedione to estrone and testosterone to estradiol (</w:t>
      </w:r>
      <w:r w:rsidR="00A56F5C" w:rsidRPr="00B61B9D">
        <w:t>IC</w:t>
      </w:r>
      <w:r w:rsidR="00A56F5C" w:rsidRPr="00B61B9D">
        <w:rPr>
          <w:vertAlign w:val="subscript"/>
        </w:rPr>
        <w:t>50</w:t>
      </w:r>
      <w:r w:rsidRPr="00B61B9D">
        <w:t xml:space="preserve"> = 1.7 μM and 9 nM, respectively).</w:t>
      </w:r>
      <w:r w:rsidR="00A36748">
        <w:t xml:space="preserve"> </w:t>
      </w:r>
      <w:r w:rsidRPr="00B61B9D">
        <w:t xml:space="preserve">Aromatase inhibition by osilodrostat and its enantiomer may be clinically significant. Osilodrostat activity at </w:t>
      </w:r>
      <w:r w:rsidR="007F46E1" w:rsidRPr="00B61B9D">
        <w:t xml:space="preserve">histamine </w:t>
      </w:r>
      <w:r w:rsidRPr="00B61B9D">
        <w:t>H1 receptors is also of potential clinical relevance, but no functional studies were submitted.</w:t>
      </w:r>
    </w:p>
    <w:p w14:paraId="60235070" w14:textId="6C71DBF7" w:rsidR="00D25F84" w:rsidRPr="00B61B9D" w:rsidRDefault="00D25F84" w:rsidP="00D25F84">
      <w:r w:rsidRPr="00B61B9D">
        <w:t>Safety pharmacology studies assessed effects on the cardiovascular, central nervous and respiratory systems. The main nonclinical concern arising from the safety pharmacology studies is the potential for QT</w:t>
      </w:r>
      <w:r w:rsidR="00EB5256" w:rsidRPr="00B61B9D">
        <w:t>;</w:t>
      </w:r>
      <w:bookmarkStart w:id="42" w:name="_Ref112926770"/>
      <w:r w:rsidR="00EB5256" w:rsidRPr="00B61B9D">
        <w:rPr>
          <w:rStyle w:val="FootnoteReference"/>
        </w:rPr>
        <w:footnoteReference w:id="14"/>
      </w:r>
      <w:bookmarkEnd w:id="42"/>
      <w:r w:rsidRPr="00B61B9D">
        <w:t xml:space="preserve"> prolongation, which has been observed clinically. The mechanism underlying this effect of osilodrostat is uncertain but may involve inhibition of multiple cardiac ion channels. Inhibition of hERG, Kir6.2/SUR2A and hKvLQT1/hminK channels was seen at high concentrations (</w:t>
      </w:r>
      <w:r w:rsidR="00A56F5C" w:rsidRPr="00B61B9D">
        <w:t>IC</w:t>
      </w:r>
      <w:r w:rsidR="00A56F5C" w:rsidRPr="00B61B9D">
        <w:rPr>
          <w:vertAlign w:val="subscript"/>
        </w:rPr>
        <w:t>50</w:t>
      </w:r>
      <w:r w:rsidRPr="00B61B9D">
        <w:t xml:space="preserve"> </w:t>
      </w:r>
      <w:r w:rsidR="008C3212" w:rsidRPr="00B61B9D">
        <w:t>=</w:t>
      </w:r>
      <w:r w:rsidRPr="00B61B9D">
        <w:t xml:space="preserve"> 54.0 μM, 103.6 μM and 95.0 μM respectively (</w:t>
      </w:r>
      <w:r w:rsidR="008242FC" w:rsidRPr="008242FC">
        <w:t xml:space="preserve">estimated exposure ratio at </w:t>
      </w:r>
      <w:r w:rsidR="008242FC">
        <w:t>m</w:t>
      </w:r>
      <w:r w:rsidR="008242FC" w:rsidRPr="008242FC">
        <w:t xml:space="preserve">aximum concentration </w:t>
      </w:r>
      <w:r w:rsidR="008242FC">
        <w:t>(</w:t>
      </w:r>
      <w:r w:rsidRPr="00B61B9D">
        <w:t>C</w:t>
      </w:r>
      <w:r w:rsidRPr="00B61B9D">
        <w:rPr>
          <w:vertAlign w:val="subscript"/>
        </w:rPr>
        <w:t>max</w:t>
      </w:r>
      <w:r w:rsidR="008242FC">
        <w:t xml:space="preserve">) </w:t>
      </w:r>
      <w:r w:rsidR="008C3212" w:rsidRPr="00B61B9D">
        <w:t>=</w:t>
      </w:r>
      <w:r w:rsidRPr="00B61B9D">
        <w:t xml:space="preserve"> 84</w:t>
      </w:r>
      <w:r w:rsidR="008C3212" w:rsidRPr="00B61B9D">
        <w:t xml:space="preserve"> to </w:t>
      </w:r>
      <w:r w:rsidRPr="00B61B9D">
        <w:t>150)</w:t>
      </w:r>
      <w:r w:rsidR="008C3212" w:rsidRPr="00B61B9D">
        <w:t>)</w:t>
      </w:r>
      <w:r w:rsidRPr="00B61B9D">
        <w:t>. No</w:t>
      </w:r>
      <w:r w:rsidR="00FA761A">
        <w:t> </w:t>
      </w:r>
      <w:r w:rsidRPr="00B61B9D">
        <w:t>adverse effects were seen on respiratory or central nervous system</w:t>
      </w:r>
      <w:r w:rsidR="008C3212" w:rsidRPr="00B61B9D">
        <w:t xml:space="preserve"> (CNS)</w:t>
      </w:r>
      <w:r w:rsidRPr="00B61B9D">
        <w:t xml:space="preserve"> function in </w:t>
      </w:r>
      <w:r w:rsidRPr="00B61B9D">
        <w:lastRenderedPageBreak/>
        <w:t>rats, but adverse CNS effects were seen in a cardiovascular safety study in monkeys and in repeat</w:t>
      </w:r>
      <w:r w:rsidR="008C3212" w:rsidRPr="00B61B9D">
        <w:t xml:space="preserve"> </w:t>
      </w:r>
      <w:r w:rsidRPr="00B61B9D">
        <w:t>dose toxicity studies in rodents and dogs.</w:t>
      </w:r>
    </w:p>
    <w:p w14:paraId="45D1C4A9" w14:textId="67A59CDD" w:rsidR="00D25F84" w:rsidRPr="00B61B9D" w:rsidRDefault="00D25F84" w:rsidP="00D25F84">
      <w:r w:rsidRPr="00B61B9D">
        <w:t xml:space="preserve">Overall, the pharmacokinetic profile in animals was qualitatively similar to that of humans. Osilodrostat was readily and rapidly absorbed with a similar </w:t>
      </w:r>
      <w:r w:rsidR="005A1805" w:rsidRPr="00B61B9D">
        <w:t xml:space="preserve">time </w:t>
      </w:r>
      <w:r w:rsidR="00614B22" w:rsidRPr="00B61B9D">
        <w:t>at</w:t>
      </w:r>
      <w:r w:rsidR="005A1805" w:rsidRPr="00B61B9D">
        <w:t xml:space="preserve"> maximum concentration (</w:t>
      </w:r>
      <w:r w:rsidRPr="00B61B9D">
        <w:t>T</w:t>
      </w:r>
      <w:r w:rsidRPr="00B61B9D">
        <w:rPr>
          <w:vertAlign w:val="subscript"/>
        </w:rPr>
        <w:t>max</w:t>
      </w:r>
      <w:r w:rsidR="005A1805" w:rsidRPr="00B61B9D">
        <w:t>)</w:t>
      </w:r>
      <w:r w:rsidRPr="00B61B9D">
        <w:t xml:space="preserve"> in all species. Half-life values were similar in rats, dogs and humans. Plasma protein binding of osilodrostat was low in all animal species and humans. Tissue distribution of osilodrostat was rapid and wide including penetration into brain and spinal cord. Osilodrostat shows affinity toward melanin containing tissues, but it does not show relevant light absorption properties. Metabolism is primarily via oxidation and glucuronidation (25 % by CYP3A4, </w:t>
      </w:r>
      <w:r w:rsidR="007F46E1" w:rsidRPr="00B61B9D">
        <w:t>CYP</w:t>
      </w:r>
      <w:r w:rsidRPr="00B61B9D">
        <w:t xml:space="preserve">2B6, </w:t>
      </w:r>
      <w:r w:rsidR="007F46E1" w:rsidRPr="00B61B9D">
        <w:t>CYP</w:t>
      </w:r>
      <w:r w:rsidRPr="00B61B9D">
        <w:t xml:space="preserve">2D6 and 17% by </w:t>
      </w:r>
      <w:r w:rsidR="007F46E1" w:rsidRPr="00B61B9D">
        <w:t>uridine 5'-diphospho-glucuronosyltransferases (</w:t>
      </w:r>
      <w:r w:rsidRPr="00B61B9D">
        <w:t>UGTs</w:t>
      </w:r>
      <w:r w:rsidR="007F46E1" w:rsidRPr="00B61B9D">
        <w:t>)</w:t>
      </w:r>
      <w:r w:rsidRPr="00B61B9D">
        <w:t>). The main (pharmacologically inactive) human metabolite M34.5 was a significant metabolite in rats but was not detected in dogs. Drug</w:t>
      </w:r>
      <w:r w:rsidR="00FA761A">
        <w:noBreakHyphen/>
      </w:r>
      <w:r w:rsidRPr="00B61B9D">
        <w:t>related material was excreted via urine and faeces, with urine as the predominant route of excretion in all species.</w:t>
      </w:r>
    </w:p>
    <w:p w14:paraId="1B72576C" w14:textId="12A00F36" w:rsidR="00D25F84" w:rsidRPr="00B61B9D" w:rsidRDefault="00D25F84" w:rsidP="00D25F84">
      <w:r w:rsidRPr="00B61B9D">
        <w:t xml:space="preserve">Based on </w:t>
      </w:r>
      <w:r w:rsidRPr="00B61B9D">
        <w:rPr>
          <w:i/>
          <w:iCs/>
        </w:rPr>
        <w:t>in vitro</w:t>
      </w:r>
      <w:r w:rsidRPr="00B61B9D">
        <w:t xml:space="preserve"> studies, osilodrostat and its major metabolite M34.5 show a potential for both inhibition and induction of CYP1A2, CYP2B6 and CYP3A4/5, a potential for time</w:t>
      </w:r>
      <w:r w:rsidR="008C3212" w:rsidRPr="00B61B9D">
        <w:noBreakHyphen/>
      </w:r>
      <w:r w:rsidRPr="00B61B9D">
        <w:t xml:space="preserve">dependent inhibition of CYP2C19, as well as inhibitory potential for CYP2D6, CYP2E1 and UGT1A1. Osilodrostat may be expected to affect the exposure of co-administered drugs that are substrates for these enzymes. Osilodrostat and/or M34.5 are inhibitors of </w:t>
      </w:r>
      <w:r w:rsidR="00EB527E" w:rsidRPr="00B61B9D">
        <w:t>organic anion transporter (</w:t>
      </w:r>
      <w:r w:rsidRPr="00B61B9D">
        <w:t>OAT</w:t>
      </w:r>
      <w:r w:rsidR="00EB527E" w:rsidRPr="00B61B9D">
        <w:t>)</w:t>
      </w:r>
      <w:r w:rsidRPr="00B61B9D">
        <w:t xml:space="preserve">P1B1, </w:t>
      </w:r>
      <w:r w:rsidR="00EB527E" w:rsidRPr="00B61B9D">
        <w:t>organic cation transporter (</w:t>
      </w:r>
      <w:r w:rsidRPr="00B61B9D">
        <w:t>OCT</w:t>
      </w:r>
      <w:r w:rsidR="00EB527E" w:rsidRPr="00B61B9D">
        <w:t>)</w:t>
      </w:r>
      <w:r w:rsidRPr="00B61B9D">
        <w:t>1, OCT2, OAT1 and OAT3. Osilodrostat may alter exposures of co</w:t>
      </w:r>
      <w:r w:rsidR="008C3212" w:rsidRPr="00B61B9D">
        <w:noBreakHyphen/>
      </w:r>
      <w:r w:rsidRPr="00B61B9D">
        <w:t xml:space="preserve">administered substrates of OCT1 and </w:t>
      </w:r>
      <w:r w:rsidR="00EB527E" w:rsidRPr="00B61B9D">
        <w:t xml:space="preserve">multidrug and toxin extrusion </w:t>
      </w:r>
      <w:r w:rsidR="00FA761A">
        <w:t xml:space="preserve">protein </w:t>
      </w:r>
      <w:r w:rsidRPr="00B61B9D">
        <w:t>1</w:t>
      </w:r>
      <w:r w:rsidR="00FA761A">
        <w:t xml:space="preserve"> (MATE1)</w:t>
      </w:r>
      <w:r w:rsidRPr="00B61B9D">
        <w:t>.</w:t>
      </w:r>
    </w:p>
    <w:p w14:paraId="0C907D6A" w14:textId="0AAF1594" w:rsidR="00D25F84" w:rsidRPr="00B61B9D" w:rsidRDefault="00D25F84" w:rsidP="00D25F84">
      <w:r w:rsidRPr="00B61B9D">
        <w:t>Osilodrostat had a moderate order of acute oral toxicity in mice. Repeat-dose toxicity studies by the clinical route (</w:t>
      </w:r>
      <w:r w:rsidR="008C3212" w:rsidRPr="00B61B9D">
        <w:t>oral)</w:t>
      </w:r>
      <w:r w:rsidRPr="00B61B9D">
        <w:t xml:space="preserve"> were conducted in mice (up to 13 weeks), rats (up to 6</w:t>
      </w:r>
      <w:r w:rsidR="008C3212" w:rsidRPr="00B61B9D">
        <w:t> </w:t>
      </w:r>
      <w:r w:rsidRPr="00B61B9D">
        <w:t>months) and dogs (up to 39 weeks). Maximum exposures (</w:t>
      </w:r>
      <w:r w:rsidR="00EB56F9" w:rsidRPr="00B61B9D">
        <w:t>area under the concentration</w:t>
      </w:r>
      <w:r w:rsidR="00FA761A">
        <w:noBreakHyphen/>
      </w:r>
      <w:r w:rsidR="00EB56F9" w:rsidRPr="00B61B9D">
        <w:t>time curve (</w:t>
      </w:r>
      <w:r w:rsidRPr="00B61B9D">
        <w:t>AUC</w:t>
      </w:r>
      <w:r w:rsidR="00EB56F9" w:rsidRPr="00B61B9D">
        <w:t>)</w:t>
      </w:r>
      <w:r w:rsidRPr="00B61B9D">
        <w:t>)</w:t>
      </w:r>
      <w:r w:rsidR="00FA761A">
        <w:t xml:space="preserve"> in plasma</w:t>
      </w:r>
      <w:r w:rsidRPr="00B61B9D">
        <w:t xml:space="preserve"> were moderate to high. Toxicity associated with reduced cortisol or corticosterone levels was not assessed in the animal studies.</w:t>
      </w:r>
    </w:p>
    <w:p w14:paraId="1E28014F" w14:textId="1E800AC1" w:rsidR="00D25F84" w:rsidRPr="00B61B9D" w:rsidRDefault="00D25F84" w:rsidP="00D25F84">
      <w:r w:rsidRPr="00B61B9D">
        <w:t>Targets organs for toxicity were the adrenal gland (increased adrenal weights; cortical hypertrophy of the zona fasciculata and/or vacuolation in rats, zona glomerulosa atrophy and increased vacuolation in dogs), female reproductive tissues in rodents (increased ovarian weights, follicular degeneration, prominent corpora lutea; increased vaginal mucification; uterine atrophy) rodent liver (increased weight, hypertrophy and vacuolation) and CNS (dilated pupils, disorientation, ataxia, ptosis, altered locomotor activity, muscle twitches, aggression and convulsions</w:t>
      </w:r>
      <w:r w:rsidR="005B68B0" w:rsidRPr="00B61B9D">
        <w:t xml:space="preserve"> or </w:t>
      </w:r>
      <w:r w:rsidRPr="00B61B9D">
        <w:t>tremors).</w:t>
      </w:r>
    </w:p>
    <w:p w14:paraId="7FC6F735" w14:textId="7DFDB734" w:rsidR="00D25F84" w:rsidRPr="00B61B9D" w:rsidRDefault="00D25F84" w:rsidP="00D25F84">
      <w:r w:rsidRPr="00B61B9D">
        <w:t xml:space="preserve">Osilodrostat was not mutagenic in the bacterial mutation assay. An </w:t>
      </w:r>
      <w:r w:rsidRPr="00B61B9D">
        <w:rPr>
          <w:i/>
          <w:iCs/>
        </w:rPr>
        <w:t>in vitro</w:t>
      </w:r>
      <w:r w:rsidRPr="00B61B9D">
        <w:t xml:space="preserve"> clastogenicity assay in mammalian cells was negative, but osilodrostat induced structural chromosome aberrations in cultured human peripheral blood lymphocytes. Osilodrostat was not mutagenic in two </w:t>
      </w:r>
      <w:r w:rsidRPr="00B61B9D">
        <w:rPr>
          <w:i/>
          <w:iCs/>
        </w:rPr>
        <w:t>in vivo</w:t>
      </w:r>
      <w:r w:rsidRPr="00B61B9D">
        <w:t xml:space="preserve"> assays (rat bone marrow micronucleus test and a </w:t>
      </w:r>
      <w:r w:rsidR="008C3212" w:rsidRPr="00B61B9D">
        <w:t xml:space="preserve">comet assay </w:t>
      </w:r>
      <w:r w:rsidRPr="00B61B9D">
        <w:t xml:space="preserve">for </w:t>
      </w:r>
      <w:r w:rsidR="00F554E6" w:rsidRPr="00B61B9D">
        <w:t>deoxyribonucleic</w:t>
      </w:r>
      <w:r w:rsidR="00EB56F9" w:rsidRPr="00B61B9D">
        <w:t xml:space="preserve"> acid</w:t>
      </w:r>
      <w:r w:rsidR="00F554E6">
        <w:t xml:space="preserve"> (</w:t>
      </w:r>
      <w:r w:rsidR="00FA761A">
        <w:t>DNA</w:t>
      </w:r>
      <w:r w:rsidR="00F554E6">
        <w:t>)</w:t>
      </w:r>
      <w:r w:rsidR="00EB56F9" w:rsidRPr="00B61B9D">
        <w:t xml:space="preserve"> </w:t>
      </w:r>
      <w:r w:rsidRPr="00B61B9D">
        <w:t>damage in hepatocytes and leukocytes). On balance, osilodrostat does not pose a genotoxic risk in humans.</w:t>
      </w:r>
    </w:p>
    <w:p w14:paraId="0F069F59" w14:textId="7B08B52A" w:rsidR="00D25F84" w:rsidRPr="00B61B9D" w:rsidRDefault="00D25F84" w:rsidP="00D25F84">
      <w:r w:rsidRPr="00B61B9D">
        <w:t>An increase in liver adenomas and/or carcinoma was seen in male mice (</w:t>
      </w:r>
      <w:r w:rsidR="00EB56F9" w:rsidRPr="00B61B9D">
        <w:t>exposure ratio</w:t>
      </w:r>
      <w:r w:rsidR="000A2DC1">
        <w:t>s,</w:t>
      </w:r>
      <w:r w:rsidR="00EB56F9" w:rsidRPr="00B61B9D">
        <w:t xml:space="preserve"> based on </w:t>
      </w:r>
      <w:r w:rsidR="000A2DC1">
        <w:t>AUC</w:t>
      </w:r>
      <w:r w:rsidR="00EB56F9" w:rsidRPr="00B61B9D">
        <w:t xml:space="preserve"> </w:t>
      </w:r>
      <w:r w:rsidR="008B3BBB">
        <w:t>(ERAUC)</w:t>
      </w:r>
      <w:r w:rsidRPr="00B61B9D">
        <w:t xml:space="preserve"> = 6) and at high exposures in rats (</w:t>
      </w:r>
      <w:r w:rsidR="008B3BBB">
        <w:t>ERAUC</w:t>
      </w:r>
      <w:r w:rsidRPr="00B61B9D">
        <w:t xml:space="preserve"> =23 and 74 in males and females, respectively). Thyroid follicular cell adenomas and/or combined adenoma and carcinoma were seen in male rats (ERAUC = 23). The tumour development in rodents is likely to be a species-specific effect mediated by </w:t>
      </w:r>
      <w:r w:rsidR="00EB56F9" w:rsidRPr="00B61B9D">
        <w:t>constitutive androstane receptor</w:t>
      </w:r>
      <w:r w:rsidRPr="00B61B9D">
        <w:t xml:space="preserve"> activation, and not relevant to humans.</w:t>
      </w:r>
    </w:p>
    <w:p w14:paraId="0C1BCCD0" w14:textId="7A73A235" w:rsidR="00D25F84" w:rsidRPr="00B61B9D" w:rsidRDefault="00D25F84" w:rsidP="00D25F84">
      <w:r w:rsidRPr="00B61B9D">
        <w:t xml:space="preserve">Adverse effects on female fertility and maintenance of pregnancy were seen at exposures 92-fold the clinical AUC (ERAUC at the </w:t>
      </w:r>
      <w:r w:rsidR="00EB56F9" w:rsidRPr="00B61B9D">
        <w:t>no observed adverse effect level (</w:t>
      </w:r>
      <w:r w:rsidRPr="00B61B9D">
        <w:t>NOAEL</w:t>
      </w:r>
      <w:r w:rsidR="00EB56F9" w:rsidRPr="00B61B9D">
        <w:t>)</w:t>
      </w:r>
      <w:r w:rsidRPr="00B61B9D">
        <w:t xml:space="preserve"> = 8). Osilodrostat exhibited embryofetal toxicity in rats and rabbits (ERAUC at the NOAEL = 0.5 to 0.6). Osilodrostat was teratogenic in rats at high exposures, and developmental variations were associated with maternotoxicity in rats and rabbits at </w:t>
      </w:r>
      <w:r w:rsidR="008B3BBB">
        <w:t>ER</w:t>
      </w:r>
      <w:r w:rsidRPr="00B61B9D">
        <w:t xml:space="preserve">AUC values of 86 </w:t>
      </w:r>
      <w:r w:rsidRPr="00B61B9D">
        <w:lastRenderedPageBreak/>
        <w:t>and 10, respectively (</w:t>
      </w:r>
      <w:r w:rsidR="008B3BBB">
        <w:t xml:space="preserve">ERAUC </w:t>
      </w:r>
      <w:r w:rsidRPr="00B61B9D">
        <w:t>at the NOAEL = 9 and 0.6, respectively). The pre-and postnatal toxicity study revealed prolonged gestation, dystocia and adverse effects on fetal viability (38-fold the clinical AUC).</w:t>
      </w:r>
    </w:p>
    <w:p w14:paraId="218CF2E0" w14:textId="70F22AFF" w:rsidR="00D25F84" w:rsidRPr="00B61B9D" w:rsidRDefault="00D25F84" w:rsidP="00D25F84">
      <w:r w:rsidRPr="00B61B9D">
        <w:t>The proposed limits for impurities in the drug substance</w:t>
      </w:r>
      <w:r w:rsidR="008C3212" w:rsidRPr="00B61B9D">
        <w:t xml:space="preserve"> and drug </w:t>
      </w:r>
      <w:r w:rsidRPr="00B61B9D">
        <w:t>product have been adequately qualified by submitted toxicity data.</w:t>
      </w:r>
    </w:p>
    <w:p w14:paraId="374E2E67" w14:textId="711626B8" w:rsidR="00D25F84" w:rsidRPr="00B61B9D" w:rsidRDefault="00D25F84" w:rsidP="00D25F84">
      <w:pPr>
        <w:pStyle w:val="Heading4"/>
      </w:pPr>
      <w:r w:rsidRPr="00B61B9D">
        <w:t>Conclusions and recommendation</w:t>
      </w:r>
    </w:p>
    <w:p w14:paraId="4D56F3A5" w14:textId="5FFE2742" w:rsidR="00D25F84" w:rsidRPr="00B61B9D" w:rsidRDefault="00D25F84" w:rsidP="00D25F84">
      <w:r w:rsidRPr="00B61B9D">
        <w:t>The pharmacology studies are generally supportive of the proposed use.</w:t>
      </w:r>
    </w:p>
    <w:p w14:paraId="1BCDCCB2" w14:textId="171C3CB8" w:rsidR="00D25F84" w:rsidRPr="00B61B9D" w:rsidRDefault="00D25F84" w:rsidP="00D25F84">
      <w:r w:rsidRPr="00B61B9D">
        <w:t xml:space="preserve">Clinically relevant reduction of aldosterone levels is likely. Osilodrostat may also lower estrogen concentrations secondary to aromatase inhibition. Activity at </w:t>
      </w:r>
      <w:r w:rsidR="000A2DC1">
        <w:t xml:space="preserve">histamine </w:t>
      </w:r>
      <w:r w:rsidRPr="00B61B9D">
        <w:t>H1 receptors is also of potential clinical relevance but was not fully investigated.</w:t>
      </w:r>
    </w:p>
    <w:p w14:paraId="413294A4" w14:textId="70D97D4C" w:rsidR="00D25F84" w:rsidRPr="00B61B9D" w:rsidRDefault="00D25F84" w:rsidP="00D25F84">
      <w:r w:rsidRPr="00B61B9D">
        <w:t>Safety pharmacology studies raise concerns for QT prolongation and arrhythmogenic potential in patients.</w:t>
      </w:r>
    </w:p>
    <w:p w14:paraId="4C7D3876" w14:textId="62A8BAD4" w:rsidR="00D25F84" w:rsidRPr="00B61B9D" w:rsidRDefault="00D25F84" w:rsidP="00D25F84">
      <w:r w:rsidRPr="00B61B9D">
        <w:t>Target organs for toxicity identified animal studies include the adrenal gland, female reproductive tract, liver, and CNS.</w:t>
      </w:r>
    </w:p>
    <w:p w14:paraId="7AEBDB62" w14:textId="7E143858" w:rsidR="00D25F84" w:rsidRPr="00B61B9D" w:rsidRDefault="00D25F84" w:rsidP="00D25F84">
      <w:r w:rsidRPr="00B61B9D">
        <w:t>Osilodrostat was not considered genotoxic based on a battery of genotoxicity assays, and tumour findings in animals are considered unlikely to be clinically relevant.</w:t>
      </w:r>
    </w:p>
    <w:p w14:paraId="454C3A9C" w14:textId="68C2864C" w:rsidR="00D25F84" w:rsidRPr="00B61B9D" w:rsidRDefault="00D25F84" w:rsidP="00D25F84">
      <w:r w:rsidRPr="00B61B9D">
        <w:t>Osilodrostat adversely affected female fertility and displayed embryofetal toxicity and teratogenicity.</w:t>
      </w:r>
    </w:p>
    <w:p w14:paraId="18713DD4" w14:textId="150806C5" w:rsidR="00D25F84" w:rsidRPr="00B61B9D" w:rsidRDefault="00D25F84" w:rsidP="00D25F84">
      <w:r w:rsidRPr="00B61B9D">
        <w:t xml:space="preserve">There are no objections on nonclinical grounds to the proposed registration of </w:t>
      </w:r>
      <w:r w:rsidR="000B3605" w:rsidRPr="00B61B9D">
        <w:t>Isturisa</w:t>
      </w:r>
    </w:p>
    <w:p w14:paraId="36223BAB" w14:textId="305440C0" w:rsidR="00D25F84" w:rsidRPr="00B61B9D" w:rsidRDefault="00D25F84" w:rsidP="00D25F84">
      <w:r w:rsidRPr="00B61B9D">
        <w:t>The draft P</w:t>
      </w:r>
      <w:r w:rsidR="008C3212" w:rsidRPr="00B61B9D">
        <w:t>I</w:t>
      </w:r>
      <w:r w:rsidRPr="00B61B9D">
        <w:t xml:space="preserve"> should be amended as directed in the report. The sponsor has made these recommended changes to the PI.</w:t>
      </w:r>
    </w:p>
    <w:p w14:paraId="45E32A13" w14:textId="77777777" w:rsidR="008E7846" w:rsidRPr="00B61B9D" w:rsidRDefault="008E7846" w:rsidP="008E7846">
      <w:pPr>
        <w:pStyle w:val="Heading3"/>
      </w:pPr>
      <w:bookmarkStart w:id="44" w:name="_Toc247691530"/>
      <w:bookmarkStart w:id="45" w:name="_Toc314842513"/>
      <w:bookmarkStart w:id="46" w:name="_Toc117259885"/>
      <w:r w:rsidRPr="00B61B9D">
        <w:t>Clinical</w:t>
      </w:r>
      <w:bookmarkEnd w:id="44"/>
      <w:bookmarkEnd w:id="45"/>
      <w:bookmarkEnd w:id="46"/>
    </w:p>
    <w:p w14:paraId="2DDB0364" w14:textId="77777777" w:rsidR="0074163C" w:rsidRPr="00B61B9D" w:rsidRDefault="0074163C" w:rsidP="0074163C">
      <w:pPr>
        <w:pStyle w:val="Heading4"/>
      </w:pPr>
      <w:bookmarkStart w:id="47" w:name="_Toc98931928"/>
      <w:r w:rsidRPr="00B61B9D">
        <w:t>Summary of clinical studies</w:t>
      </w:r>
      <w:bookmarkEnd w:id="47"/>
    </w:p>
    <w:p w14:paraId="461DCD8C" w14:textId="77777777" w:rsidR="0074163C" w:rsidRPr="00B61B9D" w:rsidRDefault="0074163C" w:rsidP="0074163C">
      <w:r w:rsidRPr="00B61B9D">
        <w:t>The clinical dossier consisted of</w:t>
      </w:r>
      <w:r w:rsidR="00EB36D6" w:rsidRPr="00B61B9D">
        <w:t>:</w:t>
      </w:r>
    </w:p>
    <w:p w14:paraId="006352DF" w14:textId="527B897A" w:rsidR="0074163C" w:rsidRPr="00B61B9D" w:rsidRDefault="00ED6319" w:rsidP="000F23D6">
      <w:pPr>
        <w:pStyle w:val="ListBullet"/>
      </w:pPr>
      <w:r>
        <w:t>four</w:t>
      </w:r>
      <w:r w:rsidR="000F23D6" w:rsidRPr="00B61B9D">
        <w:t xml:space="preserve"> Phase II</w:t>
      </w:r>
      <w:r w:rsidR="0074163C" w:rsidRPr="00B61B9D">
        <w:t xml:space="preserve"> studies</w:t>
      </w:r>
      <w:r w:rsidR="000F23D6" w:rsidRPr="00B61B9D">
        <w:t xml:space="preserve">: </w:t>
      </w:r>
      <w:r w:rsidR="008242FC">
        <w:t>Study A2101, Study A2102,</w:t>
      </w:r>
      <w:r w:rsidR="008242FC" w:rsidRPr="008242FC">
        <w:t xml:space="preserve"> </w:t>
      </w:r>
      <w:r w:rsidR="000F23D6" w:rsidRPr="00B61B9D">
        <w:t>Study C2201 (Part</w:t>
      </w:r>
      <w:r w:rsidR="005C46EC" w:rsidRPr="00B61B9D">
        <w:t>s</w:t>
      </w:r>
      <w:r w:rsidR="000F23D6" w:rsidRPr="00B61B9D">
        <w:t xml:space="preserve"> I and II) and Study</w:t>
      </w:r>
      <w:r w:rsidR="008242FC">
        <w:t> </w:t>
      </w:r>
      <w:r w:rsidR="000F23D6" w:rsidRPr="00B61B9D">
        <w:t>C1201</w:t>
      </w:r>
      <w:r>
        <w:t>;</w:t>
      </w:r>
      <w:r w:rsidR="008242FC">
        <w:t xml:space="preserve"> and</w:t>
      </w:r>
    </w:p>
    <w:p w14:paraId="28BA0B4D" w14:textId="0C6729F7" w:rsidR="000F23D6" w:rsidRDefault="000F23D6" w:rsidP="00B10611">
      <w:pPr>
        <w:pStyle w:val="ListBullet"/>
      </w:pPr>
      <w:r w:rsidRPr="00B61B9D">
        <w:t>one Phase III study: Study C2301 (pivotal study).</w:t>
      </w:r>
    </w:p>
    <w:p w14:paraId="0420486D" w14:textId="3DE38B39" w:rsidR="00FA0236" w:rsidRPr="00FA0236" w:rsidRDefault="00FA0236" w:rsidP="00D7035A">
      <w:r>
        <w:t>In addition, the sponsor supplied a number of studies supplying data in populations</w:t>
      </w:r>
      <w:r w:rsidR="00D16F6C">
        <w:t xml:space="preserve"> or at doses</w:t>
      </w:r>
      <w:r>
        <w:t xml:space="preserve"> </w:t>
      </w:r>
      <w:r w:rsidR="00D16F6C">
        <w:t>different to</w:t>
      </w:r>
      <w:r>
        <w:t xml:space="preserve"> </w:t>
      </w:r>
      <w:r w:rsidR="00D16F6C">
        <w:t xml:space="preserve">those </w:t>
      </w:r>
      <w:r>
        <w:t>for the indication with this submission.</w:t>
      </w:r>
    </w:p>
    <w:p w14:paraId="211D9C68" w14:textId="77777777" w:rsidR="00D25F84" w:rsidRPr="00B61B9D" w:rsidRDefault="00D25F84" w:rsidP="00BE4090">
      <w:pPr>
        <w:pStyle w:val="Heading4"/>
      </w:pPr>
      <w:r w:rsidRPr="00B61B9D">
        <w:t>Pharmacology</w:t>
      </w:r>
    </w:p>
    <w:p w14:paraId="080614CE" w14:textId="53A070FF" w:rsidR="00D25F84" w:rsidRPr="00B61B9D" w:rsidRDefault="00D25F84" w:rsidP="00BE4090">
      <w:pPr>
        <w:pStyle w:val="Heading5"/>
      </w:pPr>
      <w:r w:rsidRPr="00B61B9D">
        <w:t>Pharmacokinetic</w:t>
      </w:r>
      <w:r w:rsidR="00D56EB9" w:rsidRPr="00B61B9D">
        <w:t>s</w:t>
      </w:r>
    </w:p>
    <w:p w14:paraId="00CD9E48" w14:textId="77777777" w:rsidR="00BE4090" w:rsidRPr="00B61B9D" w:rsidRDefault="00D25F84" w:rsidP="00BE4090">
      <w:pPr>
        <w:pStyle w:val="Heading6"/>
      </w:pPr>
      <w:r w:rsidRPr="00B61B9D">
        <w:t>Bioanalysis</w:t>
      </w:r>
    </w:p>
    <w:p w14:paraId="6C58E033" w14:textId="2B3429D0" w:rsidR="00D25F84" w:rsidRPr="00B61B9D" w:rsidRDefault="00D25F84" w:rsidP="00BE4090">
      <w:r w:rsidRPr="00B61B9D">
        <w:t xml:space="preserve">Plasma concentrations of osilodrostat were determined, after protein precipitation, using a </w:t>
      </w:r>
      <w:r w:rsidR="00614B22" w:rsidRPr="00B61B9D">
        <w:t>high-performance liquid chromatography (</w:t>
      </w:r>
      <w:r w:rsidRPr="00B61B9D">
        <w:t>HPLC</w:t>
      </w:r>
      <w:r w:rsidR="00614B22" w:rsidRPr="00B61B9D">
        <w:t>)</w:t>
      </w:r>
      <w:r w:rsidRPr="00B61B9D">
        <w:t>-</w:t>
      </w:r>
      <w:r w:rsidR="00614B22" w:rsidRPr="00B61B9D">
        <w:t>mass spectrometry (</w:t>
      </w:r>
      <w:r w:rsidRPr="00B61B9D">
        <w:t>MS</w:t>
      </w:r>
      <w:r w:rsidR="00614B22" w:rsidRPr="00B61B9D">
        <w:t>)</w:t>
      </w:r>
      <w:r w:rsidRPr="00B61B9D">
        <w:t>/MS method. The calibration range was 1</w:t>
      </w:r>
      <w:r w:rsidR="00BF593F" w:rsidRPr="00B61B9D">
        <w:t xml:space="preserve"> to </w:t>
      </w:r>
      <w:r w:rsidRPr="00B61B9D">
        <w:t>1000 ng/m</w:t>
      </w:r>
      <w:r w:rsidR="00554DAA">
        <w:t>L</w:t>
      </w:r>
      <w:r w:rsidRPr="00B61B9D">
        <w:t xml:space="preserve"> using 50 μL Na-</w:t>
      </w:r>
      <w:r w:rsidR="007F46E1" w:rsidRPr="00B61B9D">
        <w:t>ethylenediaminetetraacetic acid (</w:t>
      </w:r>
      <w:r w:rsidRPr="00B61B9D">
        <w:t>EDTA</w:t>
      </w:r>
      <w:r w:rsidR="007F46E1" w:rsidRPr="00B61B9D">
        <w:t>)</w:t>
      </w:r>
      <w:r w:rsidRPr="00B61B9D">
        <w:t xml:space="preserve"> plasma. </w:t>
      </w:r>
      <w:r w:rsidR="00B81713" w:rsidRPr="00B61B9D">
        <w:t>(</w:t>
      </w:r>
      <w:r w:rsidRPr="00B61B9D">
        <w:t>13C</w:t>
      </w:r>
      <w:r w:rsidR="00B81713" w:rsidRPr="00B61B9D">
        <w:t>)</w:t>
      </w:r>
      <w:r w:rsidRPr="00B61B9D">
        <w:t>2H4</w:t>
      </w:r>
      <w:r w:rsidR="00B81713" w:rsidRPr="00B61B9D">
        <w:t>(</w:t>
      </w:r>
      <w:r w:rsidRPr="00B61B9D">
        <w:t>15N</w:t>
      </w:r>
      <w:r w:rsidR="00B81713" w:rsidRPr="00B61B9D">
        <w:t>)</w:t>
      </w:r>
      <w:r w:rsidRPr="00B61B9D">
        <w:t>-osilodrostat was used as internal standard. The assay was pre- and within study validated. The assay was further developed and cross</w:t>
      </w:r>
      <w:r w:rsidR="000A2DC1">
        <w:noBreakHyphen/>
      </w:r>
      <w:r w:rsidRPr="00B61B9D">
        <w:t xml:space="preserve">validated in the calibration range </w:t>
      </w:r>
      <w:r w:rsidR="00BF593F" w:rsidRPr="00B61B9D">
        <w:t xml:space="preserve">of </w:t>
      </w:r>
      <w:r w:rsidRPr="00B61B9D">
        <w:t>0.5</w:t>
      </w:r>
      <w:r w:rsidR="00BF593F" w:rsidRPr="00B61B9D">
        <w:t xml:space="preserve"> to </w:t>
      </w:r>
      <w:r w:rsidRPr="00B61B9D">
        <w:t>50 ng/m</w:t>
      </w:r>
      <w:r w:rsidR="000A2DC1">
        <w:t>L</w:t>
      </w:r>
      <w:r w:rsidRPr="00B61B9D">
        <w:t>.</w:t>
      </w:r>
    </w:p>
    <w:p w14:paraId="289DFBAA" w14:textId="7E83CF54" w:rsidR="00D25F84" w:rsidRPr="00B61B9D" w:rsidRDefault="00D25F84" w:rsidP="00BE4090">
      <w:r w:rsidRPr="00B61B9D">
        <w:t xml:space="preserve">The assay was further developed and validated in the concentration range </w:t>
      </w:r>
      <w:r w:rsidR="00BF593F" w:rsidRPr="00B61B9D">
        <w:t xml:space="preserve">of </w:t>
      </w:r>
      <w:r w:rsidRPr="00B61B9D">
        <w:t>0.1</w:t>
      </w:r>
      <w:r w:rsidR="00BF593F" w:rsidRPr="00B61B9D">
        <w:t xml:space="preserve"> to </w:t>
      </w:r>
      <w:r w:rsidRPr="00B61B9D">
        <w:t>100</w:t>
      </w:r>
      <w:r w:rsidR="00BF593F" w:rsidRPr="00B61B9D">
        <w:t> </w:t>
      </w:r>
      <w:r w:rsidRPr="00B61B9D">
        <w:t>ng/m</w:t>
      </w:r>
      <w:r w:rsidR="000A2DC1">
        <w:t>L</w:t>
      </w:r>
      <w:r w:rsidRPr="00B61B9D">
        <w:t xml:space="preserve"> osilodrostat, using K</w:t>
      </w:r>
      <w:r w:rsidRPr="00B61B9D">
        <w:rPr>
          <w:vertAlign w:val="subscript"/>
        </w:rPr>
        <w:t>2</w:t>
      </w:r>
      <w:r w:rsidRPr="00B61B9D">
        <w:t>-EDTA plasma and a sample volume of 100 μL.</w:t>
      </w:r>
    </w:p>
    <w:p w14:paraId="4FCC7B67" w14:textId="06EC1049" w:rsidR="00D25F84" w:rsidRPr="00B61B9D" w:rsidRDefault="00D25F84" w:rsidP="00BE4090">
      <w:r w:rsidRPr="00B61B9D">
        <w:lastRenderedPageBreak/>
        <w:t xml:space="preserve">A chiral </w:t>
      </w:r>
      <w:r w:rsidR="00614B22" w:rsidRPr="00B61B9D">
        <w:t>liquid chromatography (</w:t>
      </w:r>
      <w:r w:rsidRPr="00B61B9D">
        <w:t>LC</w:t>
      </w:r>
      <w:r w:rsidR="00614B22" w:rsidRPr="00B61B9D">
        <w:t>)</w:t>
      </w:r>
      <w:r w:rsidRPr="00B61B9D">
        <w:t xml:space="preserve">-MS/MS method was used for explorative determination of </w:t>
      </w:r>
      <w:r w:rsidRPr="00F554E6">
        <w:rPr>
          <w:i/>
        </w:rPr>
        <w:t>S</w:t>
      </w:r>
      <w:r w:rsidRPr="00B61B9D">
        <w:t>-osilodrostat in plasma. The assay consisted of protein precipitation followed by evaporation and analysis of reconstituted extracts. The calibration range was 0.5</w:t>
      </w:r>
      <w:r w:rsidR="00BF593F" w:rsidRPr="00B61B9D">
        <w:t xml:space="preserve"> to </w:t>
      </w:r>
      <w:r w:rsidRPr="00B61B9D">
        <w:t>500 ng/m</w:t>
      </w:r>
      <w:r w:rsidR="00554DAA">
        <w:t>L</w:t>
      </w:r>
      <w:r w:rsidRPr="00B61B9D">
        <w:t xml:space="preserve"> using 100 μL sample volumes. The method was qualified with a mean bias of ±30% and a precision of ≤</w:t>
      </w:r>
      <w:r w:rsidR="00BF593F" w:rsidRPr="00B61B9D">
        <w:t> </w:t>
      </w:r>
      <w:r w:rsidRPr="00B61B9D">
        <w:t>30%.</w:t>
      </w:r>
    </w:p>
    <w:p w14:paraId="72A705AB" w14:textId="1BD352EF" w:rsidR="00D25F84" w:rsidRPr="00B61B9D" w:rsidRDefault="00D25F84" w:rsidP="00BE4090">
      <w:r w:rsidRPr="00B61B9D">
        <w:t>Osilodrostat in the urine was determined after dilution and followed by analysis of the reconstituted samples by LC-MS/MS. The calibration range was 1</w:t>
      </w:r>
      <w:r w:rsidR="00BF593F" w:rsidRPr="00B61B9D">
        <w:t xml:space="preserve"> to </w:t>
      </w:r>
      <w:r w:rsidRPr="00B61B9D">
        <w:t>1000 ng/m</w:t>
      </w:r>
      <w:r w:rsidR="00554DAA">
        <w:t>L</w:t>
      </w:r>
      <w:r w:rsidRPr="00B61B9D">
        <w:t xml:space="preserve"> using a sample volume of 20 μL.</w:t>
      </w:r>
    </w:p>
    <w:p w14:paraId="0C915681" w14:textId="5C2BA0BF" w:rsidR="00D25F84" w:rsidRPr="00B61B9D" w:rsidRDefault="00614B22" w:rsidP="00BE4090">
      <w:r w:rsidRPr="00B61B9D">
        <w:t>Liquid chromatography (</w:t>
      </w:r>
      <w:r w:rsidR="00D25F84" w:rsidRPr="00B61B9D">
        <w:t>LC</w:t>
      </w:r>
      <w:r w:rsidRPr="00B61B9D">
        <w:t>)</w:t>
      </w:r>
      <w:r w:rsidR="00D25F84" w:rsidRPr="00B61B9D">
        <w:t>-MS/MS methods for determination of caffeine and paraxanthine, dextromethorphan and dextrophan, omeprazole and 5-hydroxy</w:t>
      </w:r>
      <w:r w:rsidR="00D8071C" w:rsidRPr="00B61B9D">
        <w:t>-</w:t>
      </w:r>
      <w:r w:rsidR="00D25F84" w:rsidRPr="00B61B9D">
        <w:t xml:space="preserve">omeprazole and midazolam, </w:t>
      </w:r>
      <w:r w:rsidR="00EB527E" w:rsidRPr="00B61B9D">
        <w:t>hydroxy</w:t>
      </w:r>
      <w:r w:rsidR="00D8071C" w:rsidRPr="00B61B9D">
        <w:t>-</w:t>
      </w:r>
      <w:r w:rsidR="00D25F84" w:rsidRPr="00B61B9D">
        <w:t>midazolam, ethinyl</w:t>
      </w:r>
      <w:r w:rsidR="00D8071C" w:rsidRPr="00B61B9D">
        <w:t>-</w:t>
      </w:r>
      <w:r w:rsidR="00D25F84" w:rsidRPr="00B61B9D">
        <w:t>estradiol and levonorgestrel were also developed and validated for intended purposes.</w:t>
      </w:r>
    </w:p>
    <w:p w14:paraId="79657A93" w14:textId="77777777" w:rsidR="00BE4090" w:rsidRPr="00B61B9D" w:rsidRDefault="00D25F84" w:rsidP="00BE4090">
      <w:pPr>
        <w:pStyle w:val="Heading6"/>
      </w:pPr>
      <w:r w:rsidRPr="00B61B9D">
        <w:t>Absorption</w:t>
      </w:r>
    </w:p>
    <w:p w14:paraId="3EB03D33" w14:textId="31922953" w:rsidR="00D25F84" w:rsidRPr="00B61B9D" w:rsidRDefault="00D25F84" w:rsidP="00BE4090">
      <w:r w:rsidRPr="00B61B9D">
        <w:t xml:space="preserve">Osilodrostat demonstrated a high permeability in </w:t>
      </w:r>
      <w:r w:rsidR="00B81713" w:rsidRPr="00B61B9D">
        <w:t>c</w:t>
      </w:r>
      <w:r w:rsidRPr="00B61B9D">
        <w:t>aco-2 cells and a high solubility and is characteri</w:t>
      </w:r>
      <w:r w:rsidR="00D56EB9" w:rsidRPr="00B61B9D">
        <w:t>s</w:t>
      </w:r>
      <w:r w:rsidRPr="00B61B9D">
        <w:t xml:space="preserve">ed as a </w:t>
      </w:r>
      <w:r w:rsidR="000268B2" w:rsidRPr="00B61B9D">
        <w:t>Biopharmaceutics Classification System (BCS)</w:t>
      </w:r>
      <w:r w:rsidR="000268B2" w:rsidRPr="00B61B9D">
        <w:rPr>
          <w:rStyle w:val="FootnoteReference"/>
        </w:rPr>
        <w:footnoteReference w:id="15"/>
      </w:r>
      <w:r w:rsidR="00BF593F" w:rsidRPr="00B61B9D">
        <w:t xml:space="preserve"> Class I</w:t>
      </w:r>
      <w:r w:rsidRPr="00B61B9D">
        <w:t xml:space="preserve"> compound. Active </w:t>
      </w:r>
      <w:r w:rsidR="00EB56F9" w:rsidRPr="00B61B9D">
        <w:t>P-glycoprotein</w:t>
      </w:r>
      <w:r w:rsidRPr="00B61B9D">
        <w:t xml:space="preserve"> and </w:t>
      </w:r>
      <w:r w:rsidR="00EB56F9" w:rsidRPr="00B61B9D">
        <w:t xml:space="preserve">multidrug resistance associated protein </w:t>
      </w:r>
      <w:r w:rsidRPr="00B61B9D">
        <w:t>transport seem to be only marginally involved.</w:t>
      </w:r>
    </w:p>
    <w:p w14:paraId="0A28990F" w14:textId="57EA1ADE" w:rsidR="00D25F84" w:rsidRPr="00B61B9D" w:rsidRDefault="00D25F84" w:rsidP="00BE4090">
      <w:r w:rsidRPr="00B61B9D">
        <w:t>An absolute bioavailability study was not performed.</w:t>
      </w:r>
    </w:p>
    <w:p w14:paraId="52848B85" w14:textId="21B5B9FC" w:rsidR="00D25F84" w:rsidRPr="00B61B9D" w:rsidRDefault="00D25F84" w:rsidP="00BE4090">
      <w:r w:rsidRPr="00B61B9D">
        <w:t xml:space="preserve">Osilodrostat was rapidly absorbed with a </w:t>
      </w:r>
      <w:r w:rsidR="00BF593F" w:rsidRPr="00B61B9D">
        <w:t>T</w:t>
      </w:r>
      <w:r w:rsidRPr="00B61B9D">
        <w:rPr>
          <w:vertAlign w:val="subscript"/>
        </w:rPr>
        <w:t>max</w:t>
      </w:r>
      <w:r w:rsidRPr="00B61B9D">
        <w:t xml:space="preserve"> of approximately </w:t>
      </w:r>
      <w:r w:rsidR="00BF593F" w:rsidRPr="00B61B9D">
        <w:t>one to two hours</w:t>
      </w:r>
      <w:r w:rsidRPr="00B61B9D">
        <w:t xml:space="preserve">, consistent at all doses studied. </w:t>
      </w:r>
      <w:r w:rsidR="000A2DC1">
        <w:t>The m</w:t>
      </w:r>
      <w:r w:rsidRPr="00B61B9D">
        <w:t>ajority of dose administered was eliminated in urine (91%), suggesting that osilodrostat oral absorption is nearly complete, as expected for BCS Class I compounds.</w:t>
      </w:r>
    </w:p>
    <w:p w14:paraId="41E95A90" w14:textId="53ACC4C0" w:rsidR="00D25F84" w:rsidRPr="00B61B9D" w:rsidRDefault="00D25F84" w:rsidP="00BE4090">
      <w:r w:rsidRPr="00B61B9D">
        <w:t>Concentration</w:t>
      </w:r>
      <w:r w:rsidR="000A2DC1">
        <w:noBreakHyphen/>
      </w:r>
      <w:r w:rsidRPr="00B61B9D">
        <w:t xml:space="preserve">dependent </w:t>
      </w:r>
      <w:r w:rsidR="000268B2" w:rsidRPr="00B61B9D">
        <w:t>pharmacokinetics (</w:t>
      </w:r>
      <w:r w:rsidRPr="00B61B9D">
        <w:t>PK</w:t>
      </w:r>
      <w:r w:rsidR="000268B2" w:rsidRPr="00B61B9D">
        <w:t>)</w:t>
      </w:r>
      <w:r w:rsidRPr="00B61B9D">
        <w:t>, with a more than dose-proportional increase in exposure, was seen following single oral doses of 0.5</w:t>
      </w:r>
      <w:r w:rsidR="00BF593F" w:rsidRPr="00B61B9D">
        <w:t xml:space="preserve"> to </w:t>
      </w:r>
      <w:r w:rsidRPr="00B61B9D">
        <w:t>200 mg. A fairly dose proportional increase in exposure was seen after 0.5</w:t>
      </w:r>
      <w:r w:rsidR="00BF593F" w:rsidRPr="00B61B9D">
        <w:t xml:space="preserve"> to </w:t>
      </w:r>
      <w:r w:rsidRPr="00B61B9D">
        <w:t xml:space="preserve">3 mg </w:t>
      </w:r>
      <w:r w:rsidR="00BF593F" w:rsidRPr="00B61B9D">
        <w:t>once daily</w:t>
      </w:r>
      <w:r w:rsidRPr="00B61B9D">
        <w:t>.</w:t>
      </w:r>
    </w:p>
    <w:p w14:paraId="304419B5" w14:textId="2604C92D" w:rsidR="00D25F84" w:rsidRPr="00B61B9D" w:rsidRDefault="00D25F84" w:rsidP="00BE4090">
      <w:r w:rsidRPr="00B61B9D">
        <w:t>Steady state</w:t>
      </w:r>
      <w:r w:rsidR="000A2DC1">
        <w:t xml:space="preserve"> concentrations</w:t>
      </w:r>
      <w:r w:rsidRPr="00B61B9D">
        <w:t xml:space="preserve"> w</w:t>
      </w:r>
      <w:r w:rsidR="000A2DC1">
        <w:t>ere</w:t>
      </w:r>
      <w:r w:rsidRPr="00B61B9D">
        <w:t xml:space="preserve"> reached at </w:t>
      </w:r>
      <w:r w:rsidR="00111716" w:rsidRPr="00B61B9D">
        <w:t>Day</w:t>
      </w:r>
      <w:r w:rsidRPr="00B61B9D">
        <w:t xml:space="preserve"> 2 following repeated dosing and the accumulation was 0.9</w:t>
      </w:r>
      <w:r w:rsidR="00BF593F" w:rsidRPr="00B61B9D">
        <w:t xml:space="preserve"> to </w:t>
      </w:r>
      <w:r w:rsidRPr="00B61B9D">
        <w:t xml:space="preserve">1.3 after </w:t>
      </w:r>
      <w:r w:rsidR="00BF593F" w:rsidRPr="00B61B9D">
        <w:t xml:space="preserve">once daily </w:t>
      </w:r>
      <w:r w:rsidRPr="00B61B9D">
        <w:t xml:space="preserve">dosing. An accumulation ratio of 1.3 was determined based on </w:t>
      </w:r>
      <w:r w:rsidR="000268B2" w:rsidRPr="00B61B9D">
        <w:t>population pharmacokinetic (</w:t>
      </w:r>
      <w:r w:rsidRPr="00B61B9D">
        <w:t>PopPK</w:t>
      </w:r>
      <w:r w:rsidR="000268B2" w:rsidRPr="00B61B9D">
        <w:t>)</w:t>
      </w:r>
      <w:r w:rsidRPr="00B61B9D">
        <w:t xml:space="preserve"> analysis following 2</w:t>
      </w:r>
      <w:r w:rsidR="00BF593F" w:rsidRPr="00B61B9D">
        <w:t xml:space="preserve"> to </w:t>
      </w:r>
      <w:r w:rsidRPr="00B61B9D">
        <w:t xml:space="preserve">30 mg </w:t>
      </w:r>
      <w:r w:rsidR="00BF593F" w:rsidRPr="00B61B9D">
        <w:t>twice daily</w:t>
      </w:r>
      <w:r w:rsidRPr="00B61B9D">
        <w:t>.</w:t>
      </w:r>
    </w:p>
    <w:p w14:paraId="3F9B14F6" w14:textId="748C994C" w:rsidR="00D25F84" w:rsidRPr="00B61B9D" w:rsidRDefault="00D25F84" w:rsidP="00BE4090">
      <w:r w:rsidRPr="00B61B9D">
        <w:t>A small decrease in exposure of osilodrostat was seen when co-administered with food (high fat meal), with a C</w:t>
      </w:r>
      <w:r w:rsidRPr="00B61B9D">
        <w:rPr>
          <w:vertAlign w:val="subscript"/>
        </w:rPr>
        <w:t>max</w:t>
      </w:r>
      <w:r w:rsidRPr="00B61B9D">
        <w:t xml:space="preserve"> of 0.8-fold and an AUC of 0.9-fold compared to when dosed alone.</w:t>
      </w:r>
    </w:p>
    <w:p w14:paraId="3B8003E6" w14:textId="2E5992EB" w:rsidR="00D25F84" w:rsidRPr="00B61B9D" w:rsidRDefault="00D25F84" w:rsidP="00BE4090">
      <w:r w:rsidRPr="00B61B9D">
        <w:t xml:space="preserve">A relative bioavailability comparison between the early capsule and the investigational tablet used in </w:t>
      </w:r>
      <w:r w:rsidR="00BF593F" w:rsidRPr="00B61B9D">
        <w:t>Phase</w:t>
      </w:r>
      <w:r w:rsidRPr="00B61B9D">
        <w:t xml:space="preserve"> </w:t>
      </w:r>
      <w:r w:rsidR="00BF593F" w:rsidRPr="00B61B9D">
        <w:t>III</w:t>
      </w:r>
      <w:r w:rsidRPr="00B61B9D">
        <w:t xml:space="preserve"> (equal to the to-be-marketed formulation) showed comparable exposure but with a lightly higher </w:t>
      </w:r>
      <w:r w:rsidR="00A56F5C" w:rsidRPr="00B61B9D">
        <w:t>C</w:t>
      </w:r>
      <w:r w:rsidR="00A56F5C" w:rsidRPr="00B61B9D">
        <w:rPr>
          <w:vertAlign w:val="subscript"/>
        </w:rPr>
        <w:t>max</w:t>
      </w:r>
      <w:r w:rsidRPr="00B61B9D">
        <w:t xml:space="preserve"> after the capsule.</w:t>
      </w:r>
    </w:p>
    <w:p w14:paraId="57A634E4" w14:textId="77777777" w:rsidR="00BE4090" w:rsidRPr="00B61B9D" w:rsidRDefault="00D25F84" w:rsidP="00BE4090">
      <w:pPr>
        <w:pStyle w:val="Heading6"/>
      </w:pPr>
      <w:r w:rsidRPr="00B61B9D">
        <w:t>Distribution</w:t>
      </w:r>
    </w:p>
    <w:p w14:paraId="392262ED" w14:textId="210C3D74" w:rsidR="00D25F84" w:rsidRPr="00B61B9D" w:rsidRDefault="00D25F84" w:rsidP="00BE4090">
      <w:r w:rsidRPr="00B61B9D">
        <w:t>The median apparent volume of distribution was approximately 100 L. Based on PopPK analysis, the apparent volume of distribution was estimated to be 107 L for the central compartment and to 326 L for the peripheral compartment.</w:t>
      </w:r>
    </w:p>
    <w:p w14:paraId="7739E5CD" w14:textId="735267CD" w:rsidR="00D25F84" w:rsidRPr="00B61B9D" w:rsidRDefault="00D25F84" w:rsidP="00BE4090">
      <w:r w:rsidRPr="00B61B9D">
        <w:t>The unbound fraction for osilodrostat was 0.63 and independent of plasma concentration in the studied concentration range 0.02</w:t>
      </w:r>
      <w:r w:rsidR="00BF593F" w:rsidRPr="00B61B9D">
        <w:t xml:space="preserve"> to </w:t>
      </w:r>
      <w:r w:rsidRPr="00B61B9D">
        <w:t>100 μg/m</w:t>
      </w:r>
      <w:r w:rsidR="000A2DC1">
        <w:t>L</w:t>
      </w:r>
      <w:r w:rsidRPr="00B61B9D">
        <w:t xml:space="preserve"> (0.09</w:t>
      </w:r>
      <w:r w:rsidR="00BF593F" w:rsidRPr="00B61B9D">
        <w:t xml:space="preserve"> to </w:t>
      </w:r>
      <w:r w:rsidRPr="00B61B9D">
        <w:t xml:space="preserve">440 μM). The </w:t>
      </w:r>
      <w:r w:rsidR="00FF3F94" w:rsidRPr="00B61B9D">
        <w:t>blood concentration of compound to plasma concentration of compound</w:t>
      </w:r>
      <w:r w:rsidRPr="00B61B9D">
        <w:t xml:space="preserve"> ratio was determined </w:t>
      </w:r>
      <w:r w:rsidRPr="00B61B9D">
        <w:lastRenderedPageBreak/>
        <w:t>to 0.85 and consistent with the blood</w:t>
      </w:r>
      <w:r w:rsidR="00BF593F" w:rsidRPr="00B61B9D">
        <w:t>-</w:t>
      </w:r>
      <w:r w:rsidRPr="00B61B9D">
        <w:t>to</w:t>
      </w:r>
      <w:r w:rsidR="00BF593F" w:rsidRPr="00B61B9D">
        <w:t>-</w:t>
      </w:r>
      <w:r w:rsidRPr="00B61B9D">
        <w:t>plasma ratio for total radioactivity 0.88 after an oral dose of [</w:t>
      </w:r>
      <w:r w:rsidRPr="00B61B9D">
        <w:rPr>
          <w:vertAlign w:val="superscript"/>
        </w:rPr>
        <w:t>14</w:t>
      </w:r>
      <w:r w:rsidRPr="00B61B9D">
        <w:t>C]osilodrostat.</w:t>
      </w:r>
    </w:p>
    <w:p w14:paraId="0331E329" w14:textId="6F3612AD" w:rsidR="00D25F84" w:rsidRPr="00B61B9D" w:rsidRDefault="00D25F84" w:rsidP="00BE4090">
      <w:r w:rsidRPr="00B61B9D">
        <w:t xml:space="preserve">The </w:t>
      </w:r>
      <w:r w:rsidR="00EF0366" w:rsidRPr="00B61B9D">
        <w:t xml:space="preserve">unbound fraction </w:t>
      </w:r>
      <w:r w:rsidRPr="00B61B9D">
        <w:t>for M34.5 was determined to 0.64.</w:t>
      </w:r>
    </w:p>
    <w:p w14:paraId="16606958" w14:textId="77777777" w:rsidR="00BE4090" w:rsidRPr="00B61B9D" w:rsidRDefault="00D25F84" w:rsidP="00BE4090">
      <w:pPr>
        <w:pStyle w:val="Heading6"/>
      </w:pPr>
      <w:r w:rsidRPr="00B61B9D">
        <w:t>Metabolism</w:t>
      </w:r>
    </w:p>
    <w:p w14:paraId="2BE44EC6" w14:textId="6AAC3F12" w:rsidR="00D25F84" w:rsidRPr="00B61B9D" w:rsidRDefault="00D25F84" w:rsidP="00BE4090">
      <w:r w:rsidRPr="00B61B9D">
        <w:t xml:space="preserve">No inter-conversion from administered </w:t>
      </w:r>
      <w:r w:rsidRPr="00F554E6">
        <w:rPr>
          <w:i/>
        </w:rPr>
        <w:t>R</w:t>
      </w:r>
      <w:r w:rsidRPr="00B61B9D">
        <w:t xml:space="preserve">-osilodrostat (active) to </w:t>
      </w:r>
      <w:r w:rsidRPr="00F554E6">
        <w:rPr>
          <w:i/>
        </w:rPr>
        <w:t>S</w:t>
      </w:r>
      <w:r w:rsidRPr="00B61B9D">
        <w:t>-osilodrostat was seen.</w:t>
      </w:r>
      <w:r w:rsidR="008B3BBB" w:rsidRPr="008B3BBB">
        <w:rPr>
          <w:vertAlign w:val="superscript"/>
        </w:rPr>
        <w:fldChar w:fldCharType="begin"/>
      </w:r>
      <w:r w:rsidR="008B3BBB" w:rsidRPr="008B3BBB">
        <w:rPr>
          <w:vertAlign w:val="superscript"/>
        </w:rPr>
        <w:instrText xml:space="preserve"> NOTEREF _Ref116986754 \h </w:instrText>
      </w:r>
      <w:r w:rsidR="008B3BBB">
        <w:rPr>
          <w:vertAlign w:val="superscript"/>
        </w:rPr>
        <w:instrText xml:space="preserve"> \* MERGEFORMAT </w:instrText>
      </w:r>
      <w:r w:rsidR="008B3BBB" w:rsidRPr="008B3BBB">
        <w:rPr>
          <w:vertAlign w:val="superscript"/>
        </w:rPr>
      </w:r>
      <w:r w:rsidR="008B3BBB" w:rsidRPr="008B3BBB">
        <w:rPr>
          <w:vertAlign w:val="superscript"/>
        </w:rPr>
        <w:fldChar w:fldCharType="separate"/>
      </w:r>
      <w:r w:rsidR="009B4A87">
        <w:rPr>
          <w:vertAlign w:val="superscript"/>
        </w:rPr>
        <w:t>13</w:t>
      </w:r>
      <w:r w:rsidR="008B3BBB" w:rsidRPr="008B3BBB">
        <w:rPr>
          <w:vertAlign w:val="superscript"/>
        </w:rPr>
        <w:fldChar w:fldCharType="end"/>
      </w:r>
    </w:p>
    <w:p w14:paraId="70AEC238" w14:textId="402B2B47" w:rsidR="00D25F84" w:rsidRPr="00B61B9D" w:rsidRDefault="00D25F84" w:rsidP="00BE4090">
      <w:r w:rsidRPr="00B61B9D">
        <w:t>Thirteen metabolites were characteri</w:t>
      </w:r>
      <w:r w:rsidR="00D56EB9" w:rsidRPr="00B61B9D">
        <w:t>s</w:t>
      </w:r>
      <w:r w:rsidRPr="00B61B9D">
        <w:t xml:space="preserve">ed in the urine. Three large metabolites M16.5, M22 and M24.9 were identified with 17, 13 and 11% of the dose, respectively. </w:t>
      </w:r>
      <w:r w:rsidR="007D35ED">
        <w:t xml:space="preserve">Metabolite </w:t>
      </w:r>
      <w:r w:rsidRPr="00B61B9D">
        <w:t>M22 was identified as M34.5-glucuronide.</w:t>
      </w:r>
    </w:p>
    <w:p w14:paraId="7B5DC957" w14:textId="3713ED93" w:rsidR="00D25F84" w:rsidRPr="00B61B9D" w:rsidRDefault="00D25F84" w:rsidP="00BE4090">
      <w:r w:rsidRPr="00B61B9D">
        <w:t xml:space="preserve">Osilodrostat represents </w:t>
      </w:r>
      <w:r w:rsidR="000268B2" w:rsidRPr="00B61B9D">
        <w:t>approximately</w:t>
      </w:r>
      <w:r w:rsidRPr="00B61B9D">
        <w:t xml:space="preserve"> 20% of the total radioactivity in plasma following a single oral dose of [</w:t>
      </w:r>
      <w:r w:rsidRPr="00B61B9D">
        <w:rPr>
          <w:vertAlign w:val="superscript"/>
        </w:rPr>
        <w:t>14</w:t>
      </w:r>
      <w:r w:rsidRPr="00B61B9D">
        <w:t xml:space="preserve">C]osilodrostat 50 mg (3.7 </w:t>
      </w:r>
      <w:r w:rsidR="00FF3F94" w:rsidRPr="00B61B9D">
        <w:t>megabecquerel (</w:t>
      </w:r>
      <w:r w:rsidRPr="00B61B9D">
        <w:t>MBq)</w:t>
      </w:r>
      <w:r w:rsidR="00FF3F94" w:rsidRPr="00B61B9D">
        <w:t>)</w:t>
      </w:r>
      <w:r w:rsidRPr="00B61B9D">
        <w:t>. Three large metabolites were identified</w:t>
      </w:r>
      <w:r w:rsidR="007D35ED">
        <w:t>, metabolites</w:t>
      </w:r>
      <w:r w:rsidRPr="00B61B9D">
        <w:t xml:space="preserve"> M34.5, M16.5 and M24.9 with about 51, 9 and 7% of total exposure of radioactivity, respectively.</w:t>
      </w:r>
    </w:p>
    <w:p w14:paraId="5801F721" w14:textId="1109EE41" w:rsidR="00D25F84" w:rsidRPr="00B61B9D" w:rsidRDefault="00D25F84" w:rsidP="00BE4090">
      <w:r w:rsidRPr="00B61B9D">
        <w:t xml:space="preserve">The current data indicate a longer </w:t>
      </w:r>
      <w:r w:rsidR="00FF3F94" w:rsidRPr="00B61B9D">
        <w:t>terminal drug half-life (</w:t>
      </w:r>
      <w:r w:rsidRPr="00B61B9D">
        <w:t>t</w:t>
      </w:r>
      <w:r w:rsidRPr="00B61B9D">
        <w:rPr>
          <w:vertAlign w:val="subscript"/>
        </w:rPr>
        <w:t>1/2</w:t>
      </w:r>
      <w:r w:rsidR="00FF3F94" w:rsidRPr="00B61B9D">
        <w:t>)</w:t>
      </w:r>
      <w:r w:rsidRPr="00B61B9D">
        <w:t xml:space="preserve"> of both </w:t>
      </w:r>
      <w:r w:rsidR="007D35ED">
        <w:t>metabolites</w:t>
      </w:r>
      <w:r w:rsidR="00F554E6">
        <w:t xml:space="preserve"> </w:t>
      </w:r>
      <w:r w:rsidRPr="00B61B9D">
        <w:t xml:space="preserve">M34.5 and M24.9 compared to osilodrostat, thus accumulation is expected at </w:t>
      </w:r>
      <w:r w:rsidR="00EF0366" w:rsidRPr="00B61B9D">
        <w:t>twice daily</w:t>
      </w:r>
      <w:r w:rsidRPr="00B61B9D">
        <w:t xml:space="preserve"> dosing. (</w:t>
      </w:r>
      <w:r w:rsidR="007D35ED">
        <w:t xml:space="preserve">metabolites </w:t>
      </w:r>
      <w:r w:rsidRPr="00B61B9D">
        <w:t xml:space="preserve">M34.5 and M16.5 showed weak/no inhibitory activity </w:t>
      </w:r>
      <w:r w:rsidRPr="00B61B9D">
        <w:rPr>
          <w:i/>
          <w:iCs/>
        </w:rPr>
        <w:t>in vitro</w:t>
      </w:r>
      <w:r w:rsidRPr="00B61B9D">
        <w:t xml:space="preserve"> but </w:t>
      </w:r>
      <w:r w:rsidR="007D35ED">
        <w:t xml:space="preserve">metabolite </w:t>
      </w:r>
      <w:r w:rsidRPr="00B61B9D">
        <w:t xml:space="preserve">M24.9 was active with an </w:t>
      </w:r>
      <w:r w:rsidR="00A56F5C" w:rsidRPr="00B61B9D">
        <w:t>IC</w:t>
      </w:r>
      <w:r w:rsidR="00A56F5C" w:rsidRPr="00B61B9D">
        <w:rPr>
          <w:vertAlign w:val="subscript"/>
        </w:rPr>
        <w:t>50</w:t>
      </w:r>
      <w:r w:rsidRPr="00B61B9D">
        <w:t xml:space="preserve"> of less than 12-fold as potent as osilodrostat (</w:t>
      </w:r>
      <w:r w:rsidR="00EF0366" w:rsidRPr="00B61B9D">
        <w:t>compares to n</w:t>
      </w:r>
      <w:r w:rsidRPr="00B61B9D">
        <w:t>onclinical assessment).</w:t>
      </w:r>
    </w:p>
    <w:p w14:paraId="5E7295D0" w14:textId="11A40AD2" w:rsidR="00D25F84" w:rsidRPr="00B61B9D" w:rsidRDefault="00D25F84" w:rsidP="00BE4090">
      <w:r w:rsidRPr="00B61B9D">
        <w:t>The formation of the largest metabolite in the urine</w:t>
      </w:r>
      <w:r w:rsidR="007D35ED">
        <w:t>, metabolite</w:t>
      </w:r>
      <w:r w:rsidR="00F554E6">
        <w:t xml:space="preserve"> </w:t>
      </w:r>
      <w:r w:rsidRPr="00B61B9D">
        <w:t xml:space="preserve">M16.5 (direct N-glucuronide) was catalysed by UGT1A4, </w:t>
      </w:r>
      <w:r w:rsidR="007F46E1" w:rsidRPr="00B61B9D">
        <w:t>UGT</w:t>
      </w:r>
      <w:r w:rsidRPr="00B61B9D">
        <w:t xml:space="preserve">2B7 and </w:t>
      </w:r>
      <w:r w:rsidR="007F46E1" w:rsidRPr="00B61B9D">
        <w:t>UGT</w:t>
      </w:r>
      <w:r w:rsidRPr="00B61B9D">
        <w:t>2B10.</w:t>
      </w:r>
    </w:p>
    <w:p w14:paraId="6CEA2AD2" w14:textId="5D3FCA51" w:rsidR="00D25F84" w:rsidRPr="00B61B9D" w:rsidRDefault="00D25F84" w:rsidP="00BE4090">
      <w:r w:rsidRPr="00B61B9D">
        <w:t xml:space="preserve">Twenty-four percent of the dose excreted in the urine as </w:t>
      </w:r>
      <w:r w:rsidR="007D35ED">
        <w:t>metabolite</w:t>
      </w:r>
      <w:r w:rsidR="00F554E6">
        <w:t xml:space="preserve"> </w:t>
      </w:r>
      <w:r w:rsidRPr="00B61B9D">
        <w:t xml:space="preserve">M24.9 (OH-osilodrostat) and its secondary metabolites M15 and M19.9 (11, 7 and 6% of the dose, respectively) was formed via CYP3A4, </w:t>
      </w:r>
      <w:r w:rsidR="007F46E1" w:rsidRPr="00B61B9D">
        <w:t>CYP</w:t>
      </w:r>
      <w:r w:rsidRPr="00B61B9D">
        <w:t xml:space="preserve">2B6 and </w:t>
      </w:r>
      <w:r w:rsidR="007F46E1" w:rsidRPr="00B61B9D">
        <w:t>CYP</w:t>
      </w:r>
      <w:r w:rsidRPr="00B61B9D">
        <w:t>2D6</w:t>
      </w:r>
      <w:r w:rsidR="00654828" w:rsidRPr="00B61B9D">
        <w:t>-</w:t>
      </w:r>
      <w:r w:rsidRPr="00B61B9D">
        <w:t>mediated metabolism.</w:t>
      </w:r>
    </w:p>
    <w:p w14:paraId="6E79A775" w14:textId="230F1FB2" w:rsidR="00D25F84" w:rsidRPr="00B61B9D" w:rsidRDefault="00D25F84" w:rsidP="00BE4090">
      <w:r w:rsidRPr="00B61B9D">
        <w:t xml:space="preserve">Less than 1% of the dose was excreted as </w:t>
      </w:r>
      <w:r w:rsidR="007D35ED">
        <w:t xml:space="preserve">metabolite </w:t>
      </w:r>
      <w:r w:rsidRPr="00B61B9D">
        <w:t>M34.5 (di-oxygenated osilodrostat) in the urine but 13% of the dose was identified as</w:t>
      </w:r>
      <w:r w:rsidR="007D35ED">
        <w:t xml:space="preserve"> metabolite</w:t>
      </w:r>
      <w:r w:rsidRPr="00B61B9D">
        <w:t xml:space="preserve"> M22 (M34.5-glucuronide). The formation of </w:t>
      </w:r>
      <w:r w:rsidR="007D35ED">
        <w:t xml:space="preserve">metabolite </w:t>
      </w:r>
      <w:r w:rsidRPr="00B61B9D">
        <w:t xml:space="preserve">M34.5 was concluded to be non-CYP-mediated as the metabolite was not identified </w:t>
      </w:r>
      <w:r w:rsidRPr="00B61B9D">
        <w:rPr>
          <w:i/>
          <w:iCs/>
        </w:rPr>
        <w:t>in vitro</w:t>
      </w:r>
      <w:r w:rsidRPr="00B61B9D">
        <w:t>. Thus 14% of the dose was eliminated via non-CYP-mediated metabolism that way.</w:t>
      </w:r>
    </w:p>
    <w:p w14:paraId="4C1A265E" w14:textId="354A9335" w:rsidR="00D25F84" w:rsidRPr="00B61B9D" w:rsidRDefault="00D25F84" w:rsidP="00BE4090">
      <w:r w:rsidRPr="00B61B9D">
        <w:t>Six metabolites in the urine were identified as oxidative metabolites (</w:t>
      </w:r>
      <w:r w:rsidR="007D35ED">
        <w:t xml:space="preserve">metabolites </w:t>
      </w:r>
      <w:r w:rsidRPr="00B61B9D">
        <w:t xml:space="preserve">M18B, M23.1, M16.4B, M6, M16 and M10), altogether 20% of the dose, but not identified </w:t>
      </w:r>
      <w:r w:rsidRPr="00B61B9D">
        <w:rPr>
          <w:i/>
          <w:iCs/>
        </w:rPr>
        <w:t>in vitro</w:t>
      </w:r>
      <w:r w:rsidRPr="00B61B9D">
        <w:t xml:space="preserve"> and were concluded to be formed via non-CYP-metabolism.</w:t>
      </w:r>
    </w:p>
    <w:p w14:paraId="5ECF4CAC" w14:textId="77777777" w:rsidR="00BE4090" w:rsidRPr="00B61B9D" w:rsidRDefault="00D25F84" w:rsidP="00BE4090">
      <w:pPr>
        <w:pStyle w:val="Heading6"/>
      </w:pPr>
      <w:r w:rsidRPr="00B61B9D">
        <w:t>Elimination</w:t>
      </w:r>
    </w:p>
    <w:p w14:paraId="223ECF86" w14:textId="2DC842CA" w:rsidR="00D25F84" w:rsidRPr="00B61B9D" w:rsidRDefault="00D25F84" w:rsidP="00BE4090">
      <w:r w:rsidRPr="00B61B9D">
        <w:t xml:space="preserve">The elimination </w:t>
      </w:r>
      <w:r w:rsidR="00EF0366" w:rsidRPr="00B61B9D">
        <w:t>t</w:t>
      </w:r>
      <w:r w:rsidR="00EF0366" w:rsidRPr="00B61B9D">
        <w:rPr>
          <w:vertAlign w:val="subscript"/>
        </w:rPr>
        <w:t>1/2</w:t>
      </w:r>
      <w:r w:rsidR="00EF0366" w:rsidRPr="00B61B9D">
        <w:t xml:space="preserve"> </w:t>
      </w:r>
      <w:r w:rsidRPr="00B61B9D">
        <w:t>was calculated to about 4</w:t>
      </w:r>
      <w:r w:rsidR="00EF0366" w:rsidRPr="00B61B9D">
        <w:t xml:space="preserve"> hours</w:t>
      </w:r>
      <w:r w:rsidRPr="00B61B9D">
        <w:t>.</w:t>
      </w:r>
    </w:p>
    <w:p w14:paraId="5EAC0651" w14:textId="73416FD2" w:rsidR="00D25F84" w:rsidRPr="00B61B9D" w:rsidRDefault="00D25F84" w:rsidP="00BE4090">
      <w:r w:rsidRPr="00B61B9D">
        <w:t>Ninety-one percent of a [</w:t>
      </w:r>
      <w:r w:rsidRPr="00B61B9D">
        <w:rPr>
          <w:vertAlign w:val="superscript"/>
        </w:rPr>
        <w:t>14</w:t>
      </w:r>
      <w:r w:rsidRPr="00B61B9D">
        <w:t>C]osilodrostat dose was excreted in the urine and &lt;</w:t>
      </w:r>
      <w:r w:rsidR="00EF0366" w:rsidRPr="00B61B9D">
        <w:t> </w:t>
      </w:r>
      <w:r w:rsidRPr="00B61B9D">
        <w:t xml:space="preserve">2% in faeces. </w:t>
      </w:r>
      <w:r w:rsidR="007D35ED">
        <w:t>Approximately</w:t>
      </w:r>
      <w:r w:rsidR="007D35ED" w:rsidRPr="00B61B9D">
        <w:t xml:space="preserve"> </w:t>
      </w:r>
      <w:r w:rsidRPr="00B61B9D">
        <w:t>5% of the dose was excreted as parent compound in the urine.</w:t>
      </w:r>
    </w:p>
    <w:p w14:paraId="1669496A" w14:textId="77777777" w:rsidR="00BE4090" w:rsidRPr="00B61B9D" w:rsidRDefault="00D25F84" w:rsidP="00BE4090">
      <w:pPr>
        <w:pStyle w:val="Heading6"/>
      </w:pPr>
      <w:r w:rsidRPr="00B61B9D">
        <w:t>Time-dependency</w:t>
      </w:r>
    </w:p>
    <w:p w14:paraId="087B4BF0" w14:textId="0263AA7B" w:rsidR="00D25F84" w:rsidRPr="00B61B9D" w:rsidRDefault="00D25F84" w:rsidP="00BE4090">
      <w:r w:rsidRPr="00B61B9D">
        <w:t>Based on population PK results, mean accumulation ratio (based on AUC) between single dose and steady state was approximately 1.3 and similar for all doses within therapeutic dose range 2</w:t>
      </w:r>
      <w:r w:rsidR="00654828" w:rsidRPr="00B61B9D">
        <w:t xml:space="preserve"> to </w:t>
      </w:r>
      <w:r w:rsidRPr="00B61B9D">
        <w:t xml:space="preserve">30 mg </w:t>
      </w:r>
      <w:r w:rsidR="00EF0366" w:rsidRPr="00B61B9D">
        <w:t>twice daily</w:t>
      </w:r>
      <w:r w:rsidRPr="00B61B9D">
        <w:t>.</w:t>
      </w:r>
    </w:p>
    <w:p w14:paraId="3984957E" w14:textId="0E52430D" w:rsidR="00BE4090" w:rsidRPr="00B61B9D" w:rsidRDefault="00EB56F9" w:rsidP="00BE4090">
      <w:pPr>
        <w:pStyle w:val="Heading6"/>
      </w:pPr>
      <w:r w:rsidRPr="00B61B9D">
        <w:t xml:space="preserve">Pharmacokinetics </w:t>
      </w:r>
      <w:r w:rsidR="00D25F84" w:rsidRPr="00B61B9D">
        <w:t>in the target population</w:t>
      </w:r>
    </w:p>
    <w:p w14:paraId="7D1CE8FC" w14:textId="680734B3" w:rsidR="00D25F84" w:rsidRPr="00B61B9D" w:rsidRDefault="00D25F84" w:rsidP="0081047E">
      <w:r w:rsidRPr="00B61B9D">
        <w:t>Between</w:t>
      </w:r>
      <w:r w:rsidR="00654828" w:rsidRPr="00B61B9D">
        <w:t xml:space="preserve"> </w:t>
      </w:r>
      <w:r w:rsidRPr="00B61B9D">
        <w:t>subject variability at steady</w:t>
      </w:r>
      <w:r w:rsidR="00654828" w:rsidRPr="00B61B9D">
        <w:t xml:space="preserve"> </w:t>
      </w:r>
      <w:r w:rsidRPr="00B61B9D">
        <w:t>state AUC and steady</w:t>
      </w:r>
      <w:r w:rsidR="00654828" w:rsidRPr="00B61B9D">
        <w:t xml:space="preserve"> </w:t>
      </w:r>
      <w:r w:rsidRPr="00B61B9D">
        <w:t xml:space="preserve">state </w:t>
      </w:r>
      <w:r w:rsidR="00A56F5C" w:rsidRPr="00B61B9D">
        <w:t>C</w:t>
      </w:r>
      <w:r w:rsidR="00A56F5C" w:rsidRPr="00B61B9D">
        <w:rPr>
          <w:vertAlign w:val="subscript"/>
        </w:rPr>
        <w:t>max</w:t>
      </w:r>
      <w:r w:rsidRPr="00B61B9D">
        <w:t xml:space="preserve"> were approximately 33 </w:t>
      </w:r>
      <w:r w:rsidR="00EB56F9" w:rsidRPr="00B61B9D">
        <w:t>coefficient of variation (</w:t>
      </w:r>
      <w:r w:rsidRPr="00B61B9D">
        <w:t>CV</w:t>
      </w:r>
      <w:r w:rsidR="00EB56F9" w:rsidRPr="00B61B9D">
        <w:t>)</w:t>
      </w:r>
      <w:r w:rsidRPr="00B61B9D">
        <w:t>% and 22 CV%, respectively, over the range of 2</w:t>
      </w:r>
      <w:r w:rsidR="00654828" w:rsidRPr="00B61B9D">
        <w:t xml:space="preserve"> to </w:t>
      </w:r>
      <w:r w:rsidRPr="00B61B9D">
        <w:t>30 mg.</w:t>
      </w:r>
    </w:p>
    <w:p w14:paraId="59231198" w14:textId="3DF0D077" w:rsidR="00D25F84" w:rsidRPr="00B61B9D" w:rsidRDefault="00D25F84" w:rsidP="0081047E">
      <w:r w:rsidRPr="00B61B9D">
        <w:t xml:space="preserve">The systemic exposure of osilodrostat was about 1.3-fold higher in Caucasian subjects compared to </w:t>
      </w:r>
      <w:r w:rsidR="007D35ED">
        <w:t>those of Japanese ethnicity</w:t>
      </w:r>
      <w:r w:rsidR="007D35ED" w:rsidRPr="00B61B9D">
        <w:t xml:space="preserve"> </w:t>
      </w:r>
      <w:r w:rsidRPr="00B61B9D">
        <w:t>at steady state.</w:t>
      </w:r>
    </w:p>
    <w:p w14:paraId="3166CC69" w14:textId="2E67C649" w:rsidR="00D25F84" w:rsidRPr="00B61B9D" w:rsidRDefault="00D25F84" w:rsidP="00BE4090">
      <w:pPr>
        <w:pStyle w:val="Heading6"/>
      </w:pPr>
      <w:r w:rsidRPr="00B61B9D">
        <w:lastRenderedPageBreak/>
        <w:t>Special populations</w:t>
      </w:r>
    </w:p>
    <w:p w14:paraId="4B901144" w14:textId="7395BEC2" w:rsidR="0081047E" w:rsidRPr="00B61B9D" w:rsidRDefault="00D25F84" w:rsidP="0081047E">
      <w:pPr>
        <w:pStyle w:val="Heading7"/>
        <w:rPr>
          <w:sz w:val="22"/>
          <w:szCs w:val="28"/>
        </w:rPr>
      </w:pPr>
      <w:r w:rsidRPr="00B61B9D">
        <w:rPr>
          <w:sz w:val="22"/>
          <w:szCs w:val="28"/>
        </w:rPr>
        <w:t>Renal impairment</w:t>
      </w:r>
    </w:p>
    <w:p w14:paraId="4FBCA9F7" w14:textId="2816F26A" w:rsidR="00D25F84" w:rsidRPr="00B61B9D" w:rsidRDefault="00D25F84" w:rsidP="0081047E">
      <w:r w:rsidRPr="00B61B9D">
        <w:t xml:space="preserve">Comparable systemic exposure of osilodrostat was seen in subjects with severe </w:t>
      </w:r>
      <w:r w:rsidR="00654828" w:rsidRPr="00B61B9D">
        <w:t>renal impairment</w:t>
      </w:r>
      <w:r w:rsidRPr="00B61B9D">
        <w:t xml:space="preserve">, </w:t>
      </w:r>
      <w:r w:rsidR="00654828" w:rsidRPr="00B61B9D">
        <w:t>end stage renal disease</w:t>
      </w:r>
      <w:r w:rsidRPr="00B61B9D">
        <w:t xml:space="preserve"> and normal renal function following a single dose of osilodrostat 30 mg.</w:t>
      </w:r>
    </w:p>
    <w:p w14:paraId="6675A0D6" w14:textId="77777777" w:rsidR="0081047E" w:rsidRPr="00B61B9D" w:rsidRDefault="00D25F84" w:rsidP="0081047E">
      <w:pPr>
        <w:pStyle w:val="Heading7"/>
        <w:rPr>
          <w:sz w:val="22"/>
          <w:szCs w:val="28"/>
        </w:rPr>
      </w:pPr>
      <w:r w:rsidRPr="00B61B9D">
        <w:rPr>
          <w:sz w:val="22"/>
          <w:szCs w:val="28"/>
        </w:rPr>
        <w:t>Hepatic impairment</w:t>
      </w:r>
    </w:p>
    <w:p w14:paraId="13D1500F" w14:textId="1CBBBF45" w:rsidR="00D25F84" w:rsidRPr="00B61B9D" w:rsidRDefault="00D25F84" w:rsidP="0081047E">
      <w:r w:rsidRPr="00B61B9D">
        <w:t xml:space="preserve">Total systemic exposure increased with decreasing liver function with an AUC of </w:t>
      </w:r>
      <w:r w:rsidR="007D35ED">
        <w:t>approximately</w:t>
      </w:r>
      <w:r w:rsidR="007D35ED" w:rsidRPr="00B61B9D">
        <w:t xml:space="preserve"> </w:t>
      </w:r>
      <w:r w:rsidRPr="00B61B9D">
        <w:t xml:space="preserve">1.4- and 2.7-fold in moderate and severe </w:t>
      </w:r>
      <w:r w:rsidR="00654828" w:rsidRPr="00B61B9D">
        <w:t>hepatic impairment</w:t>
      </w:r>
      <w:r w:rsidRPr="00B61B9D">
        <w:t xml:space="preserve"> compared to in healthy subjects. </w:t>
      </w:r>
      <w:r w:rsidR="00A56F5C" w:rsidRPr="00B61B9D">
        <w:t>C</w:t>
      </w:r>
      <w:r w:rsidR="00A56F5C" w:rsidRPr="00B61B9D">
        <w:rPr>
          <w:vertAlign w:val="subscript"/>
        </w:rPr>
        <w:t>max</w:t>
      </w:r>
      <w:r w:rsidRPr="00B61B9D">
        <w:t xml:space="preserve"> was </w:t>
      </w:r>
      <w:r w:rsidR="007D35ED">
        <w:t>approximately</w:t>
      </w:r>
      <w:r w:rsidRPr="00B61B9D">
        <w:t xml:space="preserve"> 0.8-fold for mild, moderate and severe </w:t>
      </w:r>
      <w:r w:rsidR="00654828" w:rsidRPr="00B61B9D">
        <w:t xml:space="preserve">hepatic impairment </w:t>
      </w:r>
      <w:r w:rsidRPr="00B61B9D">
        <w:t>compared to subjects with normal liver function.</w:t>
      </w:r>
    </w:p>
    <w:p w14:paraId="4ACBC885" w14:textId="77777777" w:rsidR="0081047E" w:rsidRPr="00B61B9D" w:rsidRDefault="00D25F84" w:rsidP="0081047E">
      <w:pPr>
        <w:pStyle w:val="Heading7"/>
        <w:rPr>
          <w:sz w:val="22"/>
          <w:szCs w:val="28"/>
        </w:rPr>
      </w:pPr>
      <w:r w:rsidRPr="00B61B9D">
        <w:rPr>
          <w:sz w:val="22"/>
          <w:szCs w:val="28"/>
        </w:rPr>
        <w:t>Co-variates</w:t>
      </w:r>
    </w:p>
    <w:p w14:paraId="5FF9156E" w14:textId="6AAEB111" w:rsidR="00D25F84" w:rsidRPr="00B61B9D" w:rsidRDefault="00D25F84" w:rsidP="0081047E">
      <w:r w:rsidRPr="00B61B9D">
        <w:t>Based on PopPK, no dose adjustment is required based on gender, age and weight factor. But an effect of the race has been identified. The drug has mainly been studied in the Caucasian and Asian populations.</w:t>
      </w:r>
    </w:p>
    <w:p w14:paraId="71B80FD3" w14:textId="61F64627" w:rsidR="00D25F84" w:rsidRPr="00B61B9D" w:rsidRDefault="00D25F84" w:rsidP="0081047E">
      <w:pPr>
        <w:pStyle w:val="Heading5"/>
      </w:pPr>
      <w:r w:rsidRPr="00B61B9D">
        <w:t xml:space="preserve">Population </w:t>
      </w:r>
      <w:r w:rsidR="000268B2" w:rsidRPr="00B61B9D">
        <w:t xml:space="preserve">pharmacokinetic </w:t>
      </w:r>
      <w:r w:rsidRPr="00B61B9D">
        <w:t>data</w:t>
      </w:r>
    </w:p>
    <w:p w14:paraId="3D43FCF3" w14:textId="313D4DE7" w:rsidR="00D25F84" w:rsidRPr="00B61B9D" w:rsidRDefault="00D25F84" w:rsidP="0081047E">
      <w:r w:rsidRPr="00B61B9D">
        <w:t>In addition to the PK analyses presented in the individual clinical study reports, a separate population PK analysis and dose</w:t>
      </w:r>
      <w:r w:rsidR="00654828" w:rsidRPr="00B61B9D">
        <w:t xml:space="preserve"> </w:t>
      </w:r>
      <w:r w:rsidRPr="00B61B9D">
        <w:t>response analyses were performed.</w:t>
      </w:r>
    </w:p>
    <w:p w14:paraId="744BD44F" w14:textId="6E65646A" w:rsidR="00D25F84" w:rsidRPr="00B61B9D" w:rsidRDefault="00D25F84" w:rsidP="0081047E">
      <w:r w:rsidRPr="00B61B9D">
        <w:t xml:space="preserve">Population PK analysis suggested similar </w:t>
      </w:r>
      <w:r w:rsidR="000268B2" w:rsidRPr="00B61B9D">
        <w:t>PK</w:t>
      </w:r>
      <w:r w:rsidRPr="00B61B9D">
        <w:t xml:space="preserve"> between healthy subjects and patients with Cushing</w:t>
      </w:r>
      <w:r w:rsidR="00A56F5C" w:rsidRPr="00B61B9D">
        <w:t>’</w:t>
      </w:r>
      <w:r w:rsidRPr="00B61B9D">
        <w:t>s disease.</w:t>
      </w:r>
    </w:p>
    <w:p w14:paraId="1C1CD955" w14:textId="0A3A413E" w:rsidR="00D25F84" w:rsidRPr="00B61B9D" w:rsidRDefault="00D25F84" w:rsidP="0081047E">
      <w:r w:rsidRPr="00B61B9D">
        <w:t xml:space="preserve">The clinical consequences of osilodrostat when co-administered with other products and the risk of changing their PK and effect have not been completely investigated. </w:t>
      </w:r>
      <w:r w:rsidR="00EB56F9" w:rsidRPr="00B61B9D">
        <w:t>Physiologically based pharmacokinetic (</w:t>
      </w:r>
      <w:r w:rsidRPr="00B61B9D">
        <w:t>PBPK</w:t>
      </w:r>
      <w:r w:rsidR="00EB56F9" w:rsidRPr="00B61B9D">
        <w:t>)</w:t>
      </w:r>
      <w:r w:rsidRPr="00B61B9D">
        <w:t xml:space="preserve"> modelling and simulation have been used to predict potential </w:t>
      </w:r>
      <w:r w:rsidRPr="00B61B9D">
        <w:rPr>
          <w:i/>
          <w:iCs/>
        </w:rPr>
        <w:t>in vivo</w:t>
      </w:r>
      <w:r w:rsidRPr="00B61B9D">
        <w:t xml:space="preserve"> interactions with osilodrostat. This approach is </w:t>
      </w:r>
      <w:r w:rsidR="00554DAA" w:rsidRPr="00B61B9D">
        <w:t>acceptable</w:t>
      </w:r>
      <w:r w:rsidRPr="00B61B9D">
        <w:t>; however, the platform cannot be considered qualified according to the EMA PBPK guideline.</w:t>
      </w:r>
      <w:r w:rsidR="00654828" w:rsidRPr="00B61B9D">
        <w:rPr>
          <w:rStyle w:val="FootnoteReference"/>
        </w:rPr>
        <w:footnoteReference w:id="16"/>
      </w:r>
    </w:p>
    <w:p w14:paraId="19CA4475" w14:textId="5BDD7A6F" w:rsidR="00D25F84" w:rsidRPr="00B61B9D" w:rsidRDefault="00A07235" w:rsidP="0081047E">
      <w:r w:rsidRPr="00B61B9D">
        <w:t>Cytochrome P450 (CYP) 3A4</w:t>
      </w:r>
      <w:r w:rsidR="00654828" w:rsidRPr="00B61B9D">
        <w:t>-</w:t>
      </w:r>
      <w:r w:rsidR="00D25F84" w:rsidRPr="00B61B9D">
        <w:t>mediated metabolism is very common, and polypharmacy is common in the targeted patient population. Potential clinical consequences following co</w:t>
      </w:r>
      <w:r w:rsidR="007D35ED">
        <w:noBreakHyphen/>
      </w:r>
      <w:r w:rsidR="00D25F84" w:rsidRPr="00B61B9D">
        <w:t xml:space="preserve">treatment with osilodrostat and sensitive CYP3A4 substrates should be able to predict. A small increase (1.5-fold) was seen in systemic exposure of midazolam (sensitive CYP3A4 substrate) when dosed together with osilodrostat compared to when dosed alone. However, the single dose </w:t>
      </w:r>
      <w:r w:rsidR="00EB56F9" w:rsidRPr="00B61B9D">
        <w:t>drug-drug interaction</w:t>
      </w:r>
      <w:r w:rsidR="00D25F84" w:rsidRPr="00B61B9D">
        <w:t xml:space="preserve"> study is not predictable for the potential induction signal on CYP3A4 (</w:t>
      </w:r>
      <w:r w:rsidR="00EB56F9" w:rsidRPr="00B61B9D">
        <w:t>pregnane X receptor (</w:t>
      </w:r>
      <w:r w:rsidR="00D25F84" w:rsidRPr="00B61B9D">
        <w:t>PXR</w:t>
      </w:r>
      <w:r w:rsidR="00EB56F9" w:rsidRPr="00B61B9D">
        <w:t>)</w:t>
      </w:r>
      <w:r w:rsidR="00D25F84" w:rsidRPr="00B61B9D">
        <w:t xml:space="preserve"> coupled enzymes). Osilodrostat did not show any clinically relevant effect on a combined oral contraceptive (estradiol</w:t>
      </w:r>
      <w:r w:rsidR="005B68B0" w:rsidRPr="00B61B9D">
        <w:t xml:space="preserve"> or </w:t>
      </w:r>
      <w:r w:rsidR="00D25F84" w:rsidRPr="00B61B9D">
        <w:t>levonorgestrel CYP3A4</w:t>
      </w:r>
      <w:r w:rsidR="005B68B0" w:rsidRPr="00B61B9D">
        <w:t xml:space="preserve"> or </w:t>
      </w:r>
      <w:r w:rsidR="00D25F84" w:rsidRPr="00B61B9D">
        <w:t>UGT substrate) following osilodrostat 30</w:t>
      </w:r>
      <w:r w:rsidR="00654828" w:rsidRPr="00B61B9D">
        <w:t> </w:t>
      </w:r>
      <w:r w:rsidR="00D25F84" w:rsidRPr="00B61B9D">
        <w:t xml:space="preserve">mg </w:t>
      </w:r>
      <w:r w:rsidR="00EF0366" w:rsidRPr="00B61B9D">
        <w:t>twice daily</w:t>
      </w:r>
      <w:r w:rsidR="00D25F84" w:rsidRPr="00B61B9D">
        <w:t xml:space="preserve"> for 7</w:t>
      </w:r>
      <w:r w:rsidR="00045566">
        <w:t> </w:t>
      </w:r>
      <w:r w:rsidR="00D25F84" w:rsidRPr="00B61B9D">
        <w:t>days. Thus, it can be concluded that osilodrostat is not a potent PXR-inducer (not a sensitive substrate) but i</w:t>
      </w:r>
      <w:r w:rsidR="00045566">
        <w:t xml:space="preserve">t’s status as </w:t>
      </w:r>
      <w:r w:rsidR="00D25F84" w:rsidRPr="00B61B9D">
        <w:t>a weak PXR-inducer is unknown.</w:t>
      </w:r>
    </w:p>
    <w:p w14:paraId="7FB10747" w14:textId="4CFABC67" w:rsidR="00D25F84" w:rsidRPr="00F05753" w:rsidRDefault="00813A96" w:rsidP="00F05753">
      <w:pPr>
        <w:pStyle w:val="Tabletitle0"/>
      </w:pPr>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3</w:t>
      </w:r>
      <w:r w:rsidR="00A12D67">
        <w:rPr>
          <w:noProof/>
        </w:rPr>
        <w:fldChar w:fldCharType="end"/>
      </w:r>
      <w:r w:rsidR="00D25F84" w:rsidRPr="00F05753">
        <w:t xml:space="preserve">: </w:t>
      </w:r>
      <w:r w:rsidR="005F6EE5" w:rsidRPr="00F05753">
        <w:t xml:space="preserve">Study A2101 </w:t>
      </w:r>
      <w:r w:rsidR="00D25F84" w:rsidRPr="00F05753">
        <w:t>Overall predicted exposure metrics (</w:t>
      </w:r>
      <w:r w:rsidR="005F6EE5" w:rsidRPr="00F05753">
        <w:t>area under the plasma concentration time curve</w:t>
      </w:r>
      <w:r w:rsidR="00045566" w:rsidRPr="00F05753">
        <w:t>;</w:t>
      </w:r>
      <w:r w:rsidR="005F6EE5" w:rsidRPr="00F05753">
        <w:t xml:space="preserve"> </w:t>
      </w:r>
      <w:r w:rsidR="00D25F84" w:rsidRPr="00F05753">
        <w:t xml:space="preserve">and </w:t>
      </w:r>
      <w:r w:rsidR="005F6EE5" w:rsidRPr="00F05753">
        <w:t>maximum concentration</w:t>
      </w:r>
      <w:r w:rsidR="00045566" w:rsidRPr="00F05753">
        <w:t>,</w:t>
      </w:r>
      <w:r w:rsidR="005F6EE5" w:rsidRPr="00F05753">
        <w:t xml:space="preserve"> at steady state</w:t>
      </w:r>
      <w:r w:rsidR="00D25F84" w:rsidRPr="00F05753">
        <w:t xml:space="preserve">) for patients included in the population </w:t>
      </w:r>
      <w:r w:rsidR="005F47D9" w:rsidRPr="00F05753">
        <w:t xml:space="preserve">pharmacokinetic </w:t>
      </w:r>
      <w:r w:rsidR="00D25F84" w:rsidRPr="00F05753">
        <w:t>analysis (analysis dataset)</w:t>
      </w:r>
    </w:p>
    <w:p w14:paraId="457139A3" w14:textId="3A11B3EA" w:rsidR="00D25F84" w:rsidRDefault="005F6EE5" w:rsidP="00F05753">
      <w:r>
        <w:rPr>
          <w:noProof/>
          <w:lang w:val="en-GB" w:eastAsia="en-GB"/>
        </w:rPr>
        <w:drawing>
          <wp:inline distT="0" distB="0" distL="0" distR="0" wp14:anchorId="6B63A59F" wp14:editId="55A57B01">
            <wp:extent cx="5366657" cy="2430780"/>
            <wp:effectExtent l="0" t="0" r="5715" b="7620"/>
            <wp:docPr id="40" name="Picture 40" descr="Table 3: Study A2101 Overall predicted exposure metrics (area under the plasma concentration time curve; and maximum concentration, at steady state) for patients included in the population pharmacokinetic analysis (analys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3: Study A2101 Overall predicted exposure metrics (area under the plasma concentration time curve; and maximum concentration, at steady state) for patients included in the population pharmacokinetic analysis (analysis dataset)"/>
                    <pic:cNvPicPr/>
                  </pic:nvPicPr>
                  <pic:blipFill>
                    <a:blip r:embed="rId19"/>
                    <a:stretch>
                      <a:fillRect/>
                    </a:stretch>
                  </pic:blipFill>
                  <pic:spPr>
                    <a:xfrm>
                      <a:off x="0" y="0"/>
                      <a:ext cx="5368195" cy="2431477"/>
                    </a:xfrm>
                    <a:prstGeom prst="rect">
                      <a:avLst/>
                    </a:prstGeom>
                  </pic:spPr>
                </pic:pic>
              </a:graphicData>
            </a:graphic>
          </wp:inline>
        </w:drawing>
      </w:r>
    </w:p>
    <w:p w14:paraId="4439443E" w14:textId="39BFF1E7" w:rsidR="005F6EE5" w:rsidRPr="00F05753" w:rsidRDefault="005F6EE5" w:rsidP="00F05753">
      <w:pPr>
        <w:pStyle w:val="TableDescription"/>
      </w:pPr>
      <w:r w:rsidRPr="00F05753">
        <w:t>Abbreviations: AUCss = area under the plasma concentration time curve at steady state; Cmax,ss</w:t>
      </w:r>
      <w:r w:rsidR="00045566" w:rsidRPr="00F05753">
        <w:t> </w:t>
      </w:r>
      <w:r w:rsidRPr="00F05753">
        <w:t>=</w:t>
      </w:r>
      <w:r w:rsidR="00045566" w:rsidRPr="00F05753">
        <w:t> </w:t>
      </w:r>
      <w:r w:rsidRPr="00F05753">
        <w:t>maximum concentration at steady state; CV = coefficient of variation; Max = maximum; Min = minimum.</w:t>
      </w:r>
    </w:p>
    <w:p w14:paraId="23BCEC05" w14:textId="0B3253CC" w:rsidR="00D25F84" w:rsidRPr="00B61B9D" w:rsidRDefault="00D25F84" w:rsidP="0081047E">
      <w:pPr>
        <w:pStyle w:val="Heading5"/>
      </w:pPr>
      <w:r w:rsidRPr="00B61B9D">
        <w:t>Pharmacodynamics</w:t>
      </w:r>
    </w:p>
    <w:p w14:paraId="21B75270" w14:textId="02EFA6B1" w:rsidR="00D25F84" w:rsidRPr="00B61B9D" w:rsidRDefault="00D25F84" w:rsidP="0081047E">
      <w:r w:rsidRPr="00B61B9D">
        <w:t xml:space="preserve">The </w:t>
      </w:r>
      <w:r w:rsidR="00EB5256" w:rsidRPr="00B61B9D">
        <w:t>pharmacodynamics (</w:t>
      </w:r>
      <w:r w:rsidRPr="00B61B9D">
        <w:t>PD</w:t>
      </w:r>
      <w:r w:rsidR="00EB5256" w:rsidRPr="00B61B9D">
        <w:t>)</w:t>
      </w:r>
      <w:r w:rsidRPr="00B61B9D">
        <w:t xml:space="preserve"> of osilodrostat was investigated in healthy volunteers (</w:t>
      </w:r>
      <w:r w:rsidR="00654828" w:rsidRPr="00B61B9D">
        <w:t xml:space="preserve">Studies </w:t>
      </w:r>
      <w:r w:rsidRPr="00B61B9D">
        <w:t>A2101 and A2102, the latter compared the PD in Japanese and Caucasian subjects) and in patients with Cushing’s disease (</w:t>
      </w:r>
      <w:r w:rsidR="00242DBE" w:rsidRPr="00B61B9D">
        <w:t xml:space="preserve">Study </w:t>
      </w:r>
      <w:r w:rsidRPr="00B61B9D">
        <w:t>C2201). In addition, a thorough QT study (</w:t>
      </w:r>
      <w:r w:rsidR="00C46D71" w:rsidRPr="00B61B9D">
        <w:t xml:space="preserve">Study </w:t>
      </w:r>
      <w:r w:rsidRPr="00B61B9D">
        <w:t>C2105) was conducted.</w:t>
      </w:r>
    </w:p>
    <w:p w14:paraId="10E24544" w14:textId="77777777" w:rsidR="00D25F84" w:rsidRPr="00B61B9D" w:rsidRDefault="00D25F84" w:rsidP="0081047E">
      <w:pPr>
        <w:pStyle w:val="Heading6"/>
      </w:pPr>
      <w:r w:rsidRPr="00B61B9D">
        <w:t>Mechanism of action</w:t>
      </w:r>
    </w:p>
    <w:p w14:paraId="53880C7B" w14:textId="1D900C73" w:rsidR="00D25F84" w:rsidRPr="00B61B9D" w:rsidRDefault="00D25F84" w:rsidP="0081047E">
      <w:r w:rsidRPr="00B61B9D">
        <w:t>Osilodrostat</w:t>
      </w:r>
      <w:r w:rsidR="00A36748">
        <w:t xml:space="preserve"> </w:t>
      </w:r>
      <w:r w:rsidRPr="00B61B9D">
        <w:t>is a potent, oral inhibitor of 11β-hydroxylase (CYP11B1), the enzyme that catalyses the last step in the biosynthesis of cortisol in the adrenal gland, thereby inhibiting cortisol synthesis.</w:t>
      </w:r>
    </w:p>
    <w:p w14:paraId="2553AF2A" w14:textId="1DDEE9BD" w:rsidR="00D25F84" w:rsidRPr="00B61B9D" w:rsidRDefault="00D25F84" w:rsidP="0081047E">
      <w:r w:rsidRPr="00B61B9D">
        <w:t xml:space="preserve">Osilodrostat blocks both the synthesis of cortisol and aldosterone and was originally developed to treat patients with hyperaldosteronism but showed a larger effect on the </w:t>
      </w:r>
      <w:r w:rsidR="00EB56F9" w:rsidRPr="00B61B9D">
        <w:t>hypothalamus</w:t>
      </w:r>
      <w:r w:rsidR="000352ED">
        <w:t>-</w:t>
      </w:r>
      <w:r w:rsidR="00EB56F9" w:rsidRPr="00B61B9D">
        <w:t>pituitary</w:t>
      </w:r>
      <w:r w:rsidR="000352ED">
        <w:t>-</w:t>
      </w:r>
      <w:r w:rsidR="00EB56F9" w:rsidRPr="00B61B9D">
        <w:t>adrenal (</w:t>
      </w:r>
      <w:r w:rsidRPr="00B61B9D">
        <w:t>HPA</w:t>
      </w:r>
      <w:r w:rsidR="00EB56F9" w:rsidRPr="00B61B9D">
        <w:t xml:space="preserve">) </w:t>
      </w:r>
      <w:r w:rsidRPr="00B61B9D">
        <w:t>axis and was further developed for the treatment of endogenous hypercortisolism. Due to the mechanism of action, a build-up of precursor may be expected. The mechanism of action for osilodrostat has been adequately described.</w:t>
      </w:r>
    </w:p>
    <w:p w14:paraId="1673A7FD" w14:textId="13B00C8D" w:rsidR="00D25F84" w:rsidRPr="00B61B9D" w:rsidRDefault="00D25F84" w:rsidP="0081047E">
      <w:r w:rsidRPr="00B61B9D">
        <w:t>In healthy subjects (</w:t>
      </w:r>
      <w:r w:rsidR="00C46D71" w:rsidRPr="00B61B9D">
        <w:t>Study</w:t>
      </w:r>
      <w:r w:rsidRPr="00B61B9D">
        <w:t xml:space="preserve"> A2101), single doses of osilodrostat ≥</w:t>
      </w:r>
      <w:r w:rsidR="00260870" w:rsidRPr="00B61B9D">
        <w:t xml:space="preserve"> </w:t>
      </w:r>
      <w:r w:rsidRPr="00B61B9D">
        <w:t>30</w:t>
      </w:r>
      <w:r w:rsidR="00260870" w:rsidRPr="00B61B9D">
        <w:t xml:space="preserve"> </w:t>
      </w:r>
      <w:r w:rsidRPr="00B61B9D">
        <w:t>mg resulted in a reduction in urine cortisol, notably the urine cortisol increased in the placebo-treated group. The diurnal rhythm of cortisol was not affected. An increase in the precursor 11</w:t>
      </w:r>
      <w:r w:rsidR="00260870" w:rsidRPr="00B61B9D">
        <w:noBreakHyphen/>
      </w:r>
      <w:r w:rsidRPr="00B61B9D">
        <w:t xml:space="preserve">deoxycortisol was increased. In the </w:t>
      </w:r>
      <w:r w:rsidR="008242FC" w:rsidRPr="008242FC">
        <w:t>multiple ascending dose</w:t>
      </w:r>
      <w:r w:rsidR="008242FC" w:rsidRPr="00B61B9D">
        <w:t xml:space="preserve"> </w:t>
      </w:r>
      <w:r w:rsidRPr="00B61B9D">
        <w:t xml:space="preserve">part of </w:t>
      </w:r>
      <w:r w:rsidR="00C46D71" w:rsidRPr="00B61B9D">
        <w:t>Study</w:t>
      </w:r>
      <w:r w:rsidRPr="00B61B9D">
        <w:t xml:space="preserve"> A2101, repeated doses of 10</w:t>
      </w:r>
      <w:r w:rsidR="00260870" w:rsidRPr="00B61B9D">
        <w:t> </w:t>
      </w:r>
      <w:r w:rsidRPr="00B61B9D">
        <w:t xml:space="preserve">mg osilodrostat resulted in a decrease in the diurnal cortisol pattern. At the 1 mg dose, there was an attenuated response to </w:t>
      </w:r>
      <w:r w:rsidR="00E630F0" w:rsidRPr="00B61B9D">
        <w:t>adrenocorticotropic hormone (</w:t>
      </w:r>
      <w:r w:rsidRPr="00B61B9D">
        <w:t>ACTH</w:t>
      </w:r>
      <w:r w:rsidR="00E630F0" w:rsidRPr="00B61B9D">
        <w:t>)</w:t>
      </w:r>
      <w:r w:rsidRPr="00B61B9D">
        <w:t xml:space="preserve"> stimulation. This was observed although osilodrostat was given once daily. A build-up of 11-deoxycortisol was observed as well as an increase in ACTH at a dose of 10</w:t>
      </w:r>
      <w:r w:rsidR="00045566">
        <w:t> </w:t>
      </w:r>
      <w:r w:rsidRPr="00B61B9D">
        <w:t>mg.</w:t>
      </w:r>
    </w:p>
    <w:p w14:paraId="6E00648E" w14:textId="2EC97EF5" w:rsidR="00D25F84" w:rsidRPr="00B61B9D" w:rsidRDefault="00D25F84" w:rsidP="0081047E">
      <w:r w:rsidRPr="00B61B9D">
        <w:t xml:space="preserve">In </w:t>
      </w:r>
      <w:r w:rsidR="00C46D71" w:rsidRPr="00B61B9D">
        <w:t>Study</w:t>
      </w:r>
      <w:r w:rsidRPr="00B61B9D">
        <w:t xml:space="preserve"> A2102, the doses were lower than in </w:t>
      </w:r>
      <w:r w:rsidR="00C46D71" w:rsidRPr="00B61B9D">
        <w:t>Study</w:t>
      </w:r>
      <w:r w:rsidRPr="00B61B9D">
        <w:t xml:space="preserve"> A2101. There appeared to be a stronger effect of osilodrostat in Japanese subjects than in Caucasian subjects, otherwise the results were in line with the data obtained in </w:t>
      </w:r>
      <w:r w:rsidR="00C46D71" w:rsidRPr="00B61B9D">
        <w:t>Study</w:t>
      </w:r>
      <w:r w:rsidRPr="00B61B9D">
        <w:t xml:space="preserve"> A2101. This is in line with the higher exposure observed in Japanese subjects.</w:t>
      </w:r>
    </w:p>
    <w:p w14:paraId="201E9F03" w14:textId="70C77D44" w:rsidR="00D25F84" w:rsidRPr="00B61B9D" w:rsidRDefault="00D25F84" w:rsidP="0081047E">
      <w:r w:rsidRPr="00B61B9D">
        <w:t xml:space="preserve">Effects on aldosterone and the renin-angiotensin system as well as effects on the </w:t>
      </w:r>
      <w:r w:rsidR="00EB56F9" w:rsidRPr="00B61B9D">
        <w:t xml:space="preserve">hypothalamic pituitary gonadal </w:t>
      </w:r>
      <w:r w:rsidRPr="00B61B9D">
        <w:t>axis are considered as secondary pharmacology effects.</w:t>
      </w:r>
    </w:p>
    <w:p w14:paraId="51C700A5" w14:textId="63DE4AB2" w:rsidR="00D25F84" w:rsidRPr="00B61B9D" w:rsidRDefault="00D25F84" w:rsidP="0081047E">
      <w:r w:rsidRPr="00B61B9D">
        <w:lastRenderedPageBreak/>
        <w:t xml:space="preserve">In the single dose part of </w:t>
      </w:r>
      <w:r w:rsidR="00C46D71" w:rsidRPr="00B61B9D">
        <w:t>Study</w:t>
      </w:r>
      <w:r w:rsidRPr="00B61B9D">
        <w:t xml:space="preserve"> A2101, plasma aldosterone levels were decreased in both actively and placebo-treated groups, but to a larger extent in subjects treated with osilodrostat. There was no apparent dose response. In the </w:t>
      </w:r>
      <w:r w:rsidR="00A3653C" w:rsidRPr="00A3653C">
        <w:t xml:space="preserve">multiple ascending dose </w:t>
      </w:r>
      <w:r w:rsidRPr="00B61B9D">
        <w:t>part of the study, osilodrostat was given once daily. With this regimen, aldosterone was decreased over the 12</w:t>
      </w:r>
      <w:r w:rsidR="00260870" w:rsidRPr="00B61B9D">
        <w:noBreakHyphen/>
      </w:r>
      <w:r w:rsidRPr="00B61B9D">
        <w:t xml:space="preserve">hour post-dose period and then subsequently rose above the baseline level at Day 7. A significant increase in </w:t>
      </w:r>
      <w:r w:rsidR="00EB56F9" w:rsidRPr="00B61B9D">
        <w:t xml:space="preserve">plasma renin activity </w:t>
      </w:r>
      <w:r w:rsidRPr="00B61B9D">
        <w:t>levels was observed. There was a modest increase in sodium excretion. A build-up of precursors, both 11</w:t>
      </w:r>
      <w:r w:rsidR="00045566">
        <w:noBreakHyphen/>
      </w:r>
      <w:r w:rsidR="00EB56F9" w:rsidRPr="00B61B9D">
        <w:t xml:space="preserve">deoxycorticosterone </w:t>
      </w:r>
      <w:r w:rsidRPr="00B61B9D">
        <w:t>and 11-deoxycortisol, was observed at doses exceeding 3 mg. ACTH was also increased at doses above 3 mg.</w:t>
      </w:r>
    </w:p>
    <w:p w14:paraId="5A708984" w14:textId="6E8706AB" w:rsidR="00D25F84" w:rsidRPr="00B61B9D" w:rsidRDefault="00D25F84" w:rsidP="0081047E">
      <w:r w:rsidRPr="00B61B9D">
        <w:t xml:space="preserve">Study C2201 Part I was the </w:t>
      </w:r>
      <w:r w:rsidR="00EB527E" w:rsidRPr="00B61B9D">
        <w:t>proof-of-concept</w:t>
      </w:r>
      <w:r w:rsidRPr="00B61B9D">
        <w:t xml:space="preserve"> study in patients with </w:t>
      </w:r>
      <w:r w:rsidR="00CA27DB" w:rsidRPr="00B61B9D">
        <w:t>Cushing’s disease</w:t>
      </w:r>
      <w:r w:rsidRPr="00B61B9D">
        <w:t>, the efficacy data from this study is further discussed in the efficacy part of this report. In this study, the effect of osilodrostat on the HPA-axis, thyroid hormones and sex hormones was evaluated. There was a marked decrease in aldosterone and renin. Due to the blocked cortisol synthesis, a build-up of precursors is expected and was indeed observed.</w:t>
      </w:r>
    </w:p>
    <w:p w14:paraId="2A58630C" w14:textId="1AA1D6D9" w:rsidR="00D25F84" w:rsidRPr="00B61B9D" w:rsidRDefault="00D25F84" w:rsidP="0081047E">
      <w:r w:rsidRPr="00B61B9D">
        <w:t>The exposure</w:t>
      </w:r>
      <w:r w:rsidR="00260870" w:rsidRPr="00B61B9D">
        <w:t xml:space="preserve"> </w:t>
      </w:r>
      <w:r w:rsidRPr="00B61B9D">
        <w:t xml:space="preserve">efficacy and safety analyses based on data from </w:t>
      </w:r>
      <w:r w:rsidR="00242DBE" w:rsidRPr="00B61B9D">
        <w:t xml:space="preserve">Study </w:t>
      </w:r>
      <w:r w:rsidRPr="00B61B9D">
        <w:t>C2301 is of limited value as the exposure is conditioned on the cortisol response, and the exposure can thereby not be considered independent to the responses. Due to this limitation, the exposure</w:t>
      </w:r>
      <w:r w:rsidR="00260870" w:rsidRPr="00B61B9D">
        <w:t xml:space="preserve"> </w:t>
      </w:r>
      <w:r w:rsidRPr="00B61B9D">
        <w:t>response analyses of cortisol response and ACTH are not assessed.</w:t>
      </w:r>
    </w:p>
    <w:p w14:paraId="1BDC91E3" w14:textId="36CECBDB" w:rsidR="00D25F84" w:rsidRPr="00B61B9D" w:rsidRDefault="00D25F84" w:rsidP="0081047E">
      <w:r w:rsidRPr="00B61B9D">
        <w:t xml:space="preserve">Overall, ACTH levels were increased and although mean levels show modest increases below the threshold of clinical concern, individual patients may have ACTH values that are above the </w:t>
      </w:r>
      <w:r w:rsidR="00EB56F9" w:rsidRPr="00B61B9D">
        <w:t>upper limit of normal (</w:t>
      </w:r>
      <w:r w:rsidRPr="00B61B9D">
        <w:t>ULN</w:t>
      </w:r>
      <w:r w:rsidR="00EB56F9" w:rsidRPr="00B61B9D">
        <w:t>)</w:t>
      </w:r>
      <w:r w:rsidRPr="00B61B9D">
        <w:t xml:space="preserve">. The data further indicate an increase in testosterone in both males and females whereas there was a decrease in estrogen in females and an increase in estrogen in males. In male patients the increase in testosterone rather represents a normalisation of testosterone levels, whereas in female patients the increase in testosterone resulted in a mean level above ULN and associated events such as hirsutism and acne. These </w:t>
      </w:r>
      <w:r w:rsidR="00EB56F9" w:rsidRPr="00B61B9D">
        <w:t xml:space="preserve">adverse drug reactions </w:t>
      </w:r>
      <w:r w:rsidRPr="00B61B9D">
        <w:t>did not lead to discontinuations during the study.</w:t>
      </w:r>
    </w:p>
    <w:p w14:paraId="77D572B9" w14:textId="77777777" w:rsidR="00D25F84" w:rsidRPr="00B61B9D" w:rsidRDefault="00D25F84" w:rsidP="0081047E">
      <w:pPr>
        <w:pStyle w:val="Heading4"/>
      </w:pPr>
      <w:r w:rsidRPr="00B61B9D">
        <w:t>Efficacy</w:t>
      </w:r>
    </w:p>
    <w:p w14:paraId="529F2B6D" w14:textId="6CA7D979" w:rsidR="00D25F84" w:rsidRPr="00B61B9D" w:rsidRDefault="00D25F84" w:rsidP="0081047E">
      <w:pPr>
        <w:pStyle w:val="Heading5"/>
      </w:pPr>
      <w:r w:rsidRPr="00B61B9D">
        <w:t>Dose response studies</w:t>
      </w:r>
    </w:p>
    <w:p w14:paraId="3F51D721" w14:textId="6B811B89" w:rsidR="00D25F84" w:rsidRPr="00B61B9D" w:rsidRDefault="00D25F84" w:rsidP="0081047E">
      <w:r w:rsidRPr="00B61B9D">
        <w:t xml:space="preserve">No formal dose response study was conducted. Modelling of PK exposure estimated that a dose of 4 to 5 mg </w:t>
      </w:r>
      <w:r w:rsidR="00EF0366" w:rsidRPr="00B61B9D">
        <w:t>twice daily</w:t>
      </w:r>
      <w:r w:rsidRPr="00B61B9D">
        <w:t xml:space="preserve"> is expected to achieve a plasma concentration above the </w:t>
      </w:r>
      <w:r w:rsidRPr="00B61B9D">
        <w:rPr>
          <w:i/>
          <w:iCs/>
        </w:rPr>
        <w:t>in</w:t>
      </w:r>
      <w:r w:rsidR="00260870" w:rsidRPr="00B61B9D">
        <w:rPr>
          <w:i/>
          <w:iCs/>
        </w:rPr>
        <w:t> </w:t>
      </w:r>
      <w:r w:rsidRPr="00B61B9D">
        <w:rPr>
          <w:i/>
          <w:iCs/>
        </w:rPr>
        <w:t>vitro</w:t>
      </w:r>
      <w:r w:rsidRPr="00B61B9D">
        <w:t xml:space="preserve"> </w:t>
      </w:r>
      <w:r w:rsidR="00A56F5C" w:rsidRPr="00B61B9D">
        <w:t>IC</w:t>
      </w:r>
      <w:r w:rsidR="00A56F5C" w:rsidRPr="00B61B9D">
        <w:rPr>
          <w:vertAlign w:val="subscript"/>
        </w:rPr>
        <w:t>50</w:t>
      </w:r>
      <w:r w:rsidRPr="00B61B9D">
        <w:t xml:space="preserve"> for CYP11B1 inhibition (2.5 nM) for a full 24 hours for efficacy consideration. However, in Study C2201, a starting dose of 2 mg </w:t>
      </w:r>
      <w:r w:rsidR="00EF0366" w:rsidRPr="00B61B9D">
        <w:t>twice daily</w:t>
      </w:r>
      <w:r w:rsidRPr="00B61B9D">
        <w:t xml:space="preserve"> followed by individual dose titration was chosen based on </w:t>
      </w:r>
      <w:r w:rsidR="00E72CD4" w:rsidRPr="00B61B9D">
        <w:t>mean urinary free cortisol (</w:t>
      </w:r>
      <w:r w:rsidRPr="00B61B9D">
        <w:t>UFC</w:t>
      </w:r>
      <w:r w:rsidR="00E72CD4" w:rsidRPr="00B61B9D">
        <w:t>)</w:t>
      </w:r>
      <w:r w:rsidRPr="00B61B9D">
        <w:t xml:space="preserve"> response, tolerability, and safety considerations, </w:t>
      </w:r>
      <w:r w:rsidR="00111716" w:rsidRPr="00B61B9D">
        <w:t>that is</w:t>
      </w:r>
      <w:r w:rsidRPr="00B61B9D">
        <w:t xml:space="preserve">, to reduce the risks associated with potential hypocortisolism-related </w:t>
      </w:r>
      <w:r w:rsidR="005F47D9" w:rsidRPr="00B61B9D">
        <w:t>adverse event</w:t>
      </w:r>
      <w:r w:rsidRPr="00B61B9D">
        <w:t>s</w:t>
      </w:r>
      <w:r w:rsidR="005F47D9" w:rsidRPr="00B61B9D">
        <w:t xml:space="preserve"> (AEs)</w:t>
      </w:r>
      <w:r w:rsidRPr="00B61B9D">
        <w:t>. This starting dose was also supported by the observations in the initial studies with normo-cortisolaemic subjects, where a notable reduction of ACTH</w:t>
      </w:r>
      <w:r w:rsidR="00A36748">
        <w:t>-</w:t>
      </w:r>
      <w:r w:rsidRPr="00B61B9D">
        <w:t xml:space="preserve">stimulated cortisol secretion was seen already at 2 mg/day (given as either 2 mg </w:t>
      </w:r>
      <w:r w:rsidR="00EB56F9" w:rsidRPr="00B61B9D">
        <w:t>once daily</w:t>
      </w:r>
      <w:r w:rsidRPr="00B61B9D">
        <w:t xml:space="preserve"> or 1 mg </w:t>
      </w:r>
      <w:r w:rsidR="00EF0366" w:rsidRPr="00B61B9D">
        <w:t>twice daily</w:t>
      </w:r>
      <w:r w:rsidRPr="00B61B9D">
        <w:t>).</w:t>
      </w:r>
    </w:p>
    <w:p w14:paraId="41B6E15C" w14:textId="78589C98" w:rsidR="00D25F84" w:rsidRPr="00B61B9D" w:rsidRDefault="00D25F84" w:rsidP="0081047E">
      <w:r w:rsidRPr="00B61B9D">
        <w:t xml:space="preserve">The rationale for </w:t>
      </w:r>
      <w:r w:rsidR="00EF0366" w:rsidRPr="00B61B9D">
        <w:t>twice daily</w:t>
      </w:r>
      <w:r w:rsidRPr="00B61B9D">
        <w:t xml:space="preserve"> dosing of osilodrostat is based on its half-life of 3 to 5 hours. The 10-week analysis of Study C2201 showed that the dose of osilodrostat required for normali</w:t>
      </w:r>
      <w:r w:rsidR="00D56EB9" w:rsidRPr="00B61B9D">
        <w:t>s</w:t>
      </w:r>
      <w:r w:rsidRPr="00B61B9D">
        <w:t>ation of m</w:t>
      </w:r>
      <w:r w:rsidR="00F35281">
        <w:t xml:space="preserve">ean </w:t>
      </w:r>
      <w:r w:rsidRPr="00B61B9D">
        <w:t xml:space="preserve">UFC ranged from 2 mg </w:t>
      </w:r>
      <w:r w:rsidR="00EF0366" w:rsidRPr="00B61B9D">
        <w:t>twice daily</w:t>
      </w:r>
      <w:r w:rsidRPr="00B61B9D">
        <w:t xml:space="preserve"> to 50 mg </w:t>
      </w:r>
      <w:r w:rsidR="00EF0366" w:rsidRPr="00B61B9D">
        <w:t>twice daily</w:t>
      </w:r>
      <w:r w:rsidRPr="00B61B9D">
        <w:t xml:space="preserve"> after individual dose titration, with nearly all patients (11</w:t>
      </w:r>
      <w:r w:rsidR="00260870" w:rsidRPr="00B61B9D">
        <w:t xml:space="preserve"> of </w:t>
      </w:r>
      <w:r w:rsidRPr="00B61B9D">
        <w:t>12) achieving m</w:t>
      </w:r>
      <w:r w:rsidR="00F35281">
        <w:t xml:space="preserve">ean </w:t>
      </w:r>
      <w:r w:rsidRPr="00B61B9D">
        <w:t>UFC normali</w:t>
      </w:r>
      <w:r w:rsidR="00D56EB9" w:rsidRPr="00B61B9D">
        <w:t>s</w:t>
      </w:r>
      <w:r w:rsidRPr="00B61B9D">
        <w:t>ation at &gt;</w:t>
      </w:r>
      <w:r w:rsidR="00260870" w:rsidRPr="00B61B9D">
        <w:t> </w:t>
      </w:r>
      <w:r w:rsidRPr="00B61B9D">
        <w:t xml:space="preserve">2 mg </w:t>
      </w:r>
      <w:r w:rsidR="00EF0366" w:rsidRPr="00B61B9D">
        <w:t>twice daily</w:t>
      </w:r>
      <w:r w:rsidRPr="00B61B9D">
        <w:t>. Trough concentrations at m</w:t>
      </w:r>
      <w:r w:rsidR="00F35281">
        <w:t xml:space="preserve">ean </w:t>
      </w:r>
      <w:r w:rsidRPr="00B61B9D">
        <w:t>UFC normali</w:t>
      </w:r>
      <w:r w:rsidR="00D56EB9" w:rsidRPr="00B61B9D">
        <w:t>s</w:t>
      </w:r>
      <w:r w:rsidRPr="00B61B9D">
        <w:t>ation also varied widely, ranging from 0.336 to 204 ng/mL. This indicated that there was a broad range (up to 25-fold in osilodrostat dose) of inter-patient sensitivity to osilodrostat with respect to normali</w:t>
      </w:r>
      <w:r w:rsidR="00D56EB9" w:rsidRPr="00B61B9D">
        <w:t>s</w:t>
      </w:r>
      <w:r w:rsidRPr="00B61B9D">
        <w:t>ation of m</w:t>
      </w:r>
      <w:r w:rsidR="00F35281">
        <w:t xml:space="preserve">ean </w:t>
      </w:r>
      <w:r w:rsidRPr="00B61B9D">
        <w:t xml:space="preserve">UFC, and there was no apparent relation between the therapeutic dose or exposure (trough concentrations) needed for </w:t>
      </w:r>
      <w:r w:rsidR="00554DAA">
        <w:t xml:space="preserve">UFC </w:t>
      </w:r>
      <w:r w:rsidRPr="00B61B9D">
        <w:t>normali</w:t>
      </w:r>
      <w:r w:rsidR="00D56EB9" w:rsidRPr="00B61B9D">
        <w:t>s</w:t>
      </w:r>
      <w:r w:rsidRPr="00B61B9D">
        <w:t>ation and the baseline m</w:t>
      </w:r>
      <w:r w:rsidR="00F35281">
        <w:t xml:space="preserve">ean </w:t>
      </w:r>
      <w:r w:rsidRPr="00B61B9D">
        <w:t xml:space="preserve">UFC. Thus, individual dose titration was required due to high inter-patient variability in effective dose and the potential for resulting AEs in sensitive patients </w:t>
      </w:r>
      <w:r w:rsidRPr="00B61B9D">
        <w:lastRenderedPageBreak/>
        <w:t xml:space="preserve">(potential risk of hypocortisolism or acute adrenal insufficiency). Based on the available data, an individual dose titration starting at 2 mg </w:t>
      </w:r>
      <w:r w:rsidR="00EF0366" w:rsidRPr="00B61B9D">
        <w:t>twice daily</w:t>
      </w:r>
      <w:r w:rsidRPr="00B61B9D">
        <w:t xml:space="preserve"> was an appropriate method to assess the efficacy and safety of osilodrostat. The original titration plan was to escalate to a maximum of 50 mg </w:t>
      </w:r>
      <w:r w:rsidR="00EF0366" w:rsidRPr="00B61B9D">
        <w:t>twice daily</w:t>
      </w:r>
      <w:r w:rsidRPr="00B61B9D">
        <w:t xml:space="preserve"> in Study C2201. An exploratory post-hoc analysis of </w:t>
      </w:r>
      <w:r w:rsidR="00EB5256" w:rsidRPr="00B61B9D">
        <w:t>QT interval corrected using Fridericia’s formula (</w:t>
      </w:r>
      <w:r w:rsidRPr="00B61B9D">
        <w:t>QTcF</w:t>
      </w:r>
      <w:r w:rsidR="00EB5256" w:rsidRPr="00B61B9D">
        <w:t>);</w:t>
      </w:r>
      <w:r w:rsidR="00EB5256" w:rsidRPr="00B61B9D">
        <w:rPr>
          <w:vertAlign w:val="superscript"/>
        </w:rPr>
        <w:fldChar w:fldCharType="begin"/>
      </w:r>
      <w:r w:rsidR="00EB5256" w:rsidRPr="00B61B9D">
        <w:rPr>
          <w:vertAlign w:val="superscript"/>
        </w:rPr>
        <w:instrText xml:space="preserve"> NOTEREF _Ref112926770 \h  \* MERGEFORMAT </w:instrText>
      </w:r>
      <w:r w:rsidR="00EB5256" w:rsidRPr="00B61B9D">
        <w:rPr>
          <w:vertAlign w:val="superscript"/>
        </w:rPr>
      </w:r>
      <w:r w:rsidR="00EB5256" w:rsidRPr="00B61B9D">
        <w:rPr>
          <w:vertAlign w:val="superscript"/>
        </w:rPr>
        <w:fldChar w:fldCharType="separate"/>
      </w:r>
      <w:r w:rsidR="009B4A87">
        <w:rPr>
          <w:vertAlign w:val="superscript"/>
        </w:rPr>
        <w:t>14</w:t>
      </w:r>
      <w:r w:rsidR="00EB5256" w:rsidRPr="00B61B9D">
        <w:rPr>
          <w:vertAlign w:val="superscript"/>
        </w:rPr>
        <w:fldChar w:fldCharType="end"/>
      </w:r>
      <w:r w:rsidRPr="00B61B9D">
        <w:t xml:space="preserve"> in relation to osilodrostat dose from an earlier Phase</w:t>
      </w:r>
      <w:r w:rsidR="00260870" w:rsidRPr="00B61B9D">
        <w:t xml:space="preserve"> </w:t>
      </w:r>
      <w:r w:rsidRPr="00B61B9D">
        <w:t>I study (Study A2101) found substantial QTcF changes (some patients with QTcF prolongation &gt;</w:t>
      </w:r>
      <w:r w:rsidR="00260870" w:rsidRPr="00B61B9D">
        <w:t xml:space="preserve"> </w:t>
      </w:r>
      <w:r w:rsidRPr="00B61B9D">
        <w:t>30</w:t>
      </w:r>
      <w:r w:rsidR="00260870" w:rsidRPr="00B61B9D">
        <w:t xml:space="preserve"> </w:t>
      </w:r>
      <w:r w:rsidRPr="00B61B9D">
        <w:t>ms) at single doses of 100 and 200</w:t>
      </w:r>
      <w:r w:rsidR="00F35281">
        <w:t> </w:t>
      </w:r>
      <w:r w:rsidRPr="00B61B9D">
        <w:t xml:space="preserve">mg. As a precaution, the maxim dose was lowered from 50 mg </w:t>
      </w:r>
      <w:r w:rsidR="00EF0366" w:rsidRPr="00B61B9D">
        <w:t>twice daily</w:t>
      </w:r>
      <w:r w:rsidRPr="00B61B9D">
        <w:t xml:space="preserve"> dose to 30</w:t>
      </w:r>
      <w:r w:rsidR="00F35281">
        <w:t> </w:t>
      </w:r>
      <w:r w:rsidRPr="00B61B9D">
        <w:t xml:space="preserve">mg </w:t>
      </w:r>
      <w:r w:rsidR="00EF0366" w:rsidRPr="00B61B9D">
        <w:t>twice daily</w:t>
      </w:r>
      <w:r w:rsidRPr="00B61B9D">
        <w:t>.</w:t>
      </w:r>
    </w:p>
    <w:p w14:paraId="1FF04E21" w14:textId="0EE7E2A0" w:rsidR="00D25F84" w:rsidRPr="00B61B9D" w:rsidRDefault="00D25F84" w:rsidP="0081047E">
      <w:r w:rsidRPr="00B61B9D">
        <w:t xml:space="preserve">In Study C2301, the osilodrostat dosing regimen was up titrated following a 2 mg </w:t>
      </w:r>
      <w:r w:rsidR="00EF0366" w:rsidRPr="00B61B9D">
        <w:t>twice daily</w:t>
      </w:r>
      <w:r w:rsidRPr="00B61B9D">
        <w:t xml:space="preserve">, 5 mg </w:t>
      </w:r>
      <w:r w:rsidR="00EF0366" w:rsidRPr="00B61B9D">
        <w:t>twice daily</w:t>
      </w:r>
      <w:r w:rsidRPr="00B61B9D">
        <w:t xml:space="preserve">, 10 mg </w:t>
      </w:r>
      <w:r w:rsidR="00EF0366" w:rsidRPr="00B61B9D">
        <w:t>twice daily</w:t>
      </w:r>
      <w:r w:rsidRPr="00B61B9D">
        <w:t xml:space="preserve">, 20 mg </w:t>
      </w:r>
      <w:r w:rsidR="00EF0366" w:rsidRPr="00B61B9D">
        <w:t>twice daily</w:t>
      </w:r>
      <w:r w:rsidRPr="00B61B9D">
        <w:t xml:space="preserve">, and 30 mg </w:t>
      </w:r>
      <w:r w:rsidR="00EF0366" w:rsidRPr="00B61B9D">
        <w:t>twice daily</w:t>
      </w:r>
      <w:r w:rsidRPr="00B61B9D">
        <w:t xml:space="preserve"> escalation sequence with the maximum dose of osilodrostat being 30 mg </w:t>
      </w:r>
      <w:r w:rsidR="00EF0366" w:rsidRPr="00B61B9D">
        <w:t>twice daily</w:t>
      </w:r>
      <w:r w:rsidRPr="00B61B9D">
        <w:t>. The individual dose titration was required for the same reasons of high inter-patient variability seen in Study C2201. Dose increases were determined by the mean UFC based on three 24-hour UFC values collected every two weeks during the dose</w:t>
      </w:r>
      <w:r w:rsidR="0067375F" w:rsidRPr="00B61B9D">
        <w:t xml:space="preserve"> </w:t>
      </w:r>
      <w:r w:rsidRPr="00B61B9D">
        <w:t>titration period. The up</w:t>
      </w:r>
      <w:r w:rsidR="0067375F" w:rsidRPr="00B61B9D">
        <w:t>-</w:t>
      </w:r>
      <w:r w:rsidRPr="00B61B9D">
        <w:t xml:space="preserve">titration scheme was also governed by the desire to apply a limited number of uniform dose escalation steps in the confirmatory clinical trial setting while still allowing all patients the possibility to reach the 30 mg maximum dose if needed as well as the goal to achieve UFC control in all patients by </w:t>
      </w:r>
      <w:r w:rsidR="00111716" w:rsidRPr="00B61B9D">
        <w:t>Week</w:t>
      </w:r>
      <w:r w:rsidRPr="00B61B9D">
        <w:t xml:space="preserve"> 12 while still allowing up titration to be based on central laboratory UFC values.</w:t>
      </w:r>
    </w:p>
    <w:p w14:paraId="430E7EF0" w14:textId="6962A327" w:rsidR="00D25F84" w:rsidRPr="00B61B9D" w:rsidRDefault="0067375F" w:rsidP="0081047E">
      <w:pPr>
        <w:pStyle w:val="Heading5"/>
      </w:pPr>
      <w:r w:rsidRPr="00B61B9D">
        <w:t xml:space="preserve">Study C2301 </w:t>
      </w:r>
      <w:r w:rsidR="00D25F84" w:rsidRPr="00B61B9D">
        <w:t>(</w:t>
      </w:r>
      <w:r w:rsidR="00F35281">
        <w:t>p</w:t>
      </w:r>
      <w:r w:rsidR="00D25F84" w:rsidRPr="00B61B9D">
        <w:t>ivotal clinical study)</w:t>
      </w:r>
    </w:p>
    <w:p w14:paraId="656DF4F1" w14:textId="57C2E694" w:rsidR="00F35281" w:rsidRPr="00B61B9D" w:rsidRDefault="0067375F" w:rsidP="00AA7B66">
      <w:r w:rsidRPr="00B61B9D">
        <w:t>Study C2301 is a</w:t>
      </w:r>
      <w:r w:rsidR="00D25F84" w:rsidRPr="00B61B9D">
        <w:t xml:space="preserve"> Phase III, multi-centre, double-blind, randomi</w:t>
      </w:r>
      <w:r w:rsidR="00D56EB9" w:rsidRPr="00B61B9D">
        <w:t>s</w:t>
      </w:r>
      <w:r w:rsidR="00D25F84" w:rsidRPr="00B61B9D">
        <w:t xml:space="preserve">ed withdrawal study of </w:t>
      </w:r>
      <w:r w:rsidRPr="00B61B9D">
        <w:t>osilodrostat</w:t>
      </w:r>
      <w:r w:rsidR="00D25F84" w:rsidRPr="00B61B9D">
        <w:t xml:space="preserve"> following a 24</w:t>
      </w:r>
      <w:r w:rsidRPr="00B61B9D">
        <w:t>-</w:t>
      </w:r>
      <w:r w:rsidR="00D25F84" w:rsidRPr="00B61B9D">
        <w:t>week, single</w:t>
      </w:r>
      <w:r w:rsidRPr="00B61B9D">
        <w:t xml:space="preserve"> </w:t>
      </w:r>
      <w:r w:rsidR="00D25F84" w:rsidRPr="00B61B9D">
        <w:t>arm, open</w:t>
      </w:r>
      <w:r w:rsidRPr="00B61B9D">
        <w:t xml:space="preserve"> </w:t>
      </w:r>
      <w:r w:rsidR="00D25F84" w:rsidRPr="00B61B9D">
        <w:t xml:space="preserve">label dose titration and treatment period to evaluate the safety and efficacy of </w:t>
      </w:r>
      <w:r w:rsidRPr="00B61B9D">
        <w:t>osilodrostat</w:t>
      </w:r>
      <w:r w:rsidR="00D25F84" w:rsidRPr="00B61B9D">
        <w:t xml:space="preserve"> for the treatment of patients with Cushing’s disease.</w:t>
      </w:r>
    </w:p>
    <w:p w14:paraId="4C1CFEA0" w14:textId="1E59DF2C" w:rsidR="00D25F84" w:rsidRPr="00F05753" w:rsidRDefault="00813A96" w:rsidP="00AA7B66">
      <w:pPr>
        <w:pStyle w:val="FigureTitle"/>
        <w:pageBreakBefore/>
      </w:pPr>
      <w:r w:rsidRPr="00F05753">
        <w:lastRenderedPageBreak/>
        <w:t xml:space="preserve">Figure </w:t>
      </w:r>
      <w:r w:rsidR="00A12D67">
        <w:fldChar w:fldCharType="begin"/>
      </w:r>
      <w:r w:rsidR="00A12D67">
        <w:instrText xml:space="preserve"> SEQ Figure \* ARABIC </w:instrText>
      </w:r>
      <w:r w:rsidR="00A12D67">
        <w:fldChar w:fldCharType="separate"/>
      </w:r>
      <w:r w:rsidR="009B4A87">
        <w:rPr>
          <w:noProof/>
        </w:rPr>
        <w:t>2</w:t>
      </w:r>
      <w:r w:rsidR="00A12D67">
        <w:rPr>
          <w:noProof/>
        </w:rPr>
        <w:fldChar w:fldCharType="end"/>
      </w:r>
      <w:r w:rsidR="00D25F84" w:rsidRPr="00F05753">
        <w:t xml:space="preserve">: </w:t>
      </w:r>
      <w:r w:rsidR="00C6664F" w:rsidRPr="00F05753">
        <w:t xml:space="preserve">Study C2301 </w:t>
      </w:r>
      <w:r w:rsidR="00D25F84" w:rsidRPr="00F05753">
        <w:t>Schematic of core study design</w:t>
      </w:r>
    </w:p>
    <w:p w14:paraId="1EC3AA78" w14:textId="0674E4A1" w:rsidR="00C6664F" w:rsidRPr="00B61B9D" w:rsidRDefault="00C6664F" w:rsidP="00F05753">
      <w:r w:rsidRPr="00C6664F">
        <w:rPr>
          <w:noProof/>
          <w:lang w:val="en-GB" w:eastAsia="en-GB"/>
        </w:rPr>
        <w:drawing>
          <wp:inline distT="0" distB="0" distL="0" distR="0" wp14:anchorId="65E49D56" wp14:editId="1A64A1BF">
            <wp:extent cx="5400040" cy="2682875"/>
            <wp:effectExtent l="0" t="0" r="0" b="3175"/>
            <wp:docPr id="3" name="Picture 3" descr="Figure 2: Study C2301 Schematic of core study design&#10;&#10;Study C2301 is a Phase III, multi-centre, double blind, randomised withdrawal study of osilodrostat following a 24 week, single arm, open label dose titration and treatment period to evaluate the efficacy and safety of osilodrostat for the treatment of patients with Cushing’s disease.&#10;&#10;Period 1 was a single arm, open label, individual patient dose titration period with 130 patients completing Week 12.&#10;&#10;Period 2 assessed the efficacy and safety of osilodrostat at the therapeutic dose determined during the dose titration period with 118 patients completing Week 24,&#10;&#10;Period 3 was a double blind, placebo controlled randomised withdrawal period (Week 26 to Week 34). Patients were randomised in a double blinded fashion at Week 26 at a 1:1 ratio either to continue treatment with osilodrostat at the same dose or to placebo.&#10;There were total 71 patients (1:1 randomisation: 36 in the osilodrostat arm, 35 in placebo arm). Patients were stratified at randomisation according to: osilodrostat dose at Week 24 (≤ 5mg twice a day versus &gt; 5mg twice a day); and history of pituitary irradiation (yes/no).&#10;&#10;Period 4 was a single arm, open label therapy (Week 34 to Week 48). At Week 35, patients continue open label treatment until Week 48 based on mean urinary free cortiso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tudy C2301 Schematic of core study design&#10;&#10;Study C2301 is a Phase III, multi-centre, double blind, randomised withdrawal study of osilodrostat following a 24 week, single arm, open label dose titration and treatment period to evaluate the efficacy and safety of osilodrostat for the treatment of patients with Cushing’s disease.&#10;&#10;Period 1 was a single arm, open label, individual patient dose titration period with 130 patients completing Week 12.&#10;&#10;Period 2 assessed the efficacy and safety of osilodrostat at the therapeutic dose determined during the dose titration period with 118 patients completing Week 24,&#10;&#10;Period 3 was a double blind, placebo controlled randomised withdrawal period (Week 26 to Week 34). Patients were randomised in a double blinded fashion at Week 26 at a 1:1 ratio either to continue treatment with osilodrostat at the same dose or to placebo.&#10;There were total 71 patients (1:1 randomisation: 36 in the osilodrostat arm, 35 in placebo arm). Patients were stratified at randomisation according to: osilodrostat dose at Week 24 (≤ 5mg twice a day versus &gt; 5mg twice a day); and history of pituitary irradiation (yes/no).&#10;&#10;Period 4 was a single arm, open label therapy (Week 34 to Week 48). At Week 35, patients continue open label treatment until Week 48 based on mean urinary free cortisol resul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682875"/>
                    </a:xfrm>
                    <a:prstGeom prst="rect">
                      <a:avLst/>
                    </a:prstGeom>
                    <a:noFill/>
                    <a:ln>
                      <a:noFill/>
                    </a:ln>
                  </pic:spPr>
                </pic:pic>
              </a:graphicData>
            </a:graphic>
          </wp:inline>
        </w:drawing>
      </w:r>
    </w:p>
    <w:p w14:paraId="0F61134C" w14:textId="4C980243" w:rsidR="00D25F84" w:rsidRPr="00F05753" w:rsidRDefault="00C6664F" w:rsidP="00F05753">
      <w:pPr>
        <w:pStyle w:val="FigureDescription"/>
      </w:pPr>
      <w:r w:rsidRPr="00F05753">
        <w:t>Abbreviation: W = Week.</w:t>
      </w:r>
    </w:p>
    <w:p w14:paraId="5E9CA867" w14:textId="4E6A2701" w:rsidR="00C6664F" w:rsidRPr="00F05753" w:rsidRDefault="00C6664F" w:rsidP="00F05753">
      <w:pPr>
        <w:pStyle w:val="FigureDescription"/>
      </w:pPr>
      <w:r w:rsidRPr="00F05753">
        <w:t>* To be eligible for randomi</w:t>
      </w:r>
      <w:r w:rsidR="00E61481" w:rsidRPr="00F05753">
        <w:t>s</w:t>
      </w:r>
      <w:r w:rsidRPr="00F05753">
        <w:t xml:space="preserve">ation, the patient must have </w:t>
      </w:r>
      <w:r w:rsidR="00E61481" w:rsidRPr="00F05753">
        <w:t>mean urinary</w:t>
      </w:r>
      <w:r w:rsidR="00614EBD" w:rsidRPr="00F05753">
        <w:t xml:space="preserve"> </w:t>
      </w:r>
      <w:r w:rsidR="00E61481" w:rsidRPr="00F05753">
        <w:t xml:space="preserve">free cortisol </w:t>
      </w:r>
      <w:r w:rsidRPr="00F05753">
        <w:t>≤</w:t>
      </w:r>
      <w:r w:rsidR="00E61481" w:rsidRPr="00F05753">
        <w:t xml:space="preserve"> upper limit of normal</w:t>
      </w:r>
      <w:r w:rsidRPr="00F05753">
        <w:t xml:space="preserve"> at Week 24, and no further dose increase after Week 12.</w:t>
      </w:r>
    </w:p>
    <w:p w14:paraId="7E9BA615" w14:textId="4C1BF4C4" w:rsidR="00C6664F" w:rsidRPr="00F05753" w:rsidRDefault="00C6664F" w:rsidP="00F05753">
      <w:pPr>
        <w:pStyle w:val="FigureDescription"/>
      </w:pPr>
      <w:r w:rsidRPr="00F05753">
        <w:t>** Strata were determined by the combination of two stratification factors at randomi</w:t>
      </w:r>
      <w:r w:rsidR="00E61481" w:rsidRPr="00F05753">
        <w:t>s</w:t>
      </w:r>
      <w:r w:rsidRPr="00F05753">
        <w:t>ation</w:t>
      </w:r>
      <w:r w:rsidR="00E61481" w:rsidRPr="00F05753">
        <w:t xml:space="preserve">. </w:t>
      </w:r>
      <w:r w:rsidRPr="00F05753">
        <w:t>Osilodrostat dose at Week 24 (</w:t>
      </w:r>
      <w:r w:rsidR="00E61481" w:rsidRPr="00F05753">
        <w:t xml:space="preserve">≤ </w:t>
      </w:r>
      <w:r w:rsidRPr="00F05753">
        <w:t xml:space="preserve">5 mg </w:t>
      </w:r>
      <w:r w:rsidR="00E61481" w:rsidRPr="00F05753">
        <w:t>twice a day versus</w:t>
      </w:r>
      <w:r w:rsidRPr="00F05753">
        <w:t xml:space="preserve"> &gt;</w:t>
      </w:r>
      <w:r w:rsidR="00E61481" w:rsidRPr="00F05753">
        <w:t xml:space="preserve"> </w:t>
      </w:r>
      <w:r w:rsidRPr="00F05753">
        <w:t xml:space="preserve">5 mg </w:t>
      </w:r>
      <w:r w:rsidR="00E61481" w:rsidRPr="00F05753">
        <w:t>twice a day</w:t>
      </w:r>
      <w:r w:rsidRPr="00F05753">
        <w:t>) and history of pituitary irradiation (yes/no).</w:t>
      </w:r>
    </w:p>
    <w:p w14:paraId="1A2E15EA" w14:textId="67F821C6" w:rsidR="00D25F84" w:rsidRPr="00B61B9D" w:rsidRDefault="00F35281" w:rsidP="0081047E">
      <w:pPr>
        <w:pStyle w:val="Heading6"/>
      </w:pPr>
      <w:r>
        <w:t>S</w:t>
      </w:r>
      <w:r w:rsidR="00D25F84" w:rsidRPr="00B61B9D">
        <w:t>tudy periods</w:t>
      </w:r>
    </w:p>
    <w:p w14:paraId="31755A13" w14:textId="7CD53AE5" w:rsidR="0081047E" w:rsidRPr="00B61B9D" w:rsidRDefault="00D25F84" w:rsidP="0081047E">
      <w:pPr>
        <w:pStyle w:val="Heading7"/>
        <w:rPr>
          <w:sz w:val="22"/>
          <w:szCs w:val="28"/>
        </w:rPr>
      </w:pPr>
      <w:r w:rsidRPr="00B61B9D">
        <w:rPr>
          <w:sz w:val="22"/>
          <w:szCs w:val="28"/>
        </w:rPr>
        <w:t>Period 1 (Week 1 to Week 12) (dose</w:t>
      </w:r>
      <w:r w:rsidR="0067375F" w:rsidRPr="00B61B9D">
        <w:rPr>
          <w:sz w:val="22"/>
          <w:szCs w:val="28"/>
        </w:rPr>
        <w:t xml:space="preserve"> </w:t>
      </w:r>
      <w:r w:rsidRPr="00B61B9D">
        <w:rPr>
          <w:sz w:val="22"/>
          <w:szCs w:val="28"/>
        </w:rPr>
        <w:t>titration period)</w:t>
      </w:r>
    </w:p>
    <w:p w14:paraId="750B7A89" w14:textId="72537AAB" w:rsidR="00D25F84" w:rsidRPr="00B61B9D" w:rsidRDefault="00D25F84" w:rsidP="0081047E">
      <w:r w:rsidRPr="00B61B9D">
        <w:t>Patients were assessed for m</w:t>
      </w:r>
      <w:r w:rsidR="00F35281">
        <w:t xml:space="preserve">ean </w:t>
      </w:r>
      <w:r w:rsidRPr="00B61B9D">
        <w:t>UFC during the first two weeks of the dose</w:t>
      </w:r>
      <w:r w:rsidR="0067375F" w:rsidRPr="00B61B9D">
        <w:t xml:space="preserve"> </w:t>
      </w:r>
      <w:r w:rsidRPr="00B61B9D">
        <w:t>titration period and the dose of osilodrostat was adjusted accordingly. The dose was increased if m</w:t>
      </w:r>
      <w:r w:rsidR="00F35281">
        <w:t xml:space="preserve">ean </w:t>
      </w:r>
      <w:r w:rsidRPr="00B61B9D">
        <w:t>UFC was above the &gt;</w:t>
      </w:r>
      <w:r w:rsidR="0067375F" w:rsidRPr="00B61B9D">
        <w:t xml:space="preserve"> </w:t>
      </w:r>
      <w:r w:rsidRPr="00B61B9D">
        <w:t>ULN and was reduced if m</w:t>
      </w:r>
      <w:r w:rsidR="00F35281">
        <w:t xml:space="preserve">ean </w:t>
      </w:r>
      <w:r w:rsidRPr="00B61B9D">
        <w:t>UFC was below the lower limit of normal (LLN), or if the patient was symptomatic and m</w:t>
      </w:r>
      <w:r w:rsidR="00F35281">
        <w:t xml:space="preserve">ean </w:t>
      </w:r>
      <w:r w:rsidRPr="00B61B9D">
        <w:t>UFC was in the lower part of the normal range. The dose was maintained if m</w:t>
      </w:r>
      <w:r w:rsidR="00F35281">
        <w:t xml:space="preserve">ean </w:t>
      </w:r>
      <w:r w:rsidRPr="00B61B9D">
        <w:t>UFC was within the normal range and the patient did not have signs or symptoms of hypocortisolism or adrenal insufficiency. At Week 0 and Week</w:t>
      </w:r>
      <w:r w:rsidR="0067375F" w:rsidRPr="00B61B9D">
        <w:t> </w:t>
      </w:r>
      <w:r w:rsidRPr="00B61B9D">
        <w:t>2, dose increases were not permitted.</w:t>
      </w:r>
    </w:p>
    <w:p w14:paraId="258E9AC7" w14:textId="69B54FA7" w:rsidR="0081047E" w:rsidRPr="00B61B9D" w:rsidRDefault="00D25F84" w:rsidP="0081047E">
      <w:pPr>
        <w:pStyle w:val="Heading7"/>
        <w:rPr>
          <w:sz w:val="22"/>
          <w:szCs w:val="28"/>
        </w:rPr>
      </w:pPr>
      <w:r w:rsidRPr="00B61B9D">
        <w:rPr>
          <w:sz w:val="22"/>
          <w:szCs w:val="28"/>
        </w:rPr>
        <w:t>Period 2 (Week 13 to Week 24) (dose</w:t>
      </w:r>
      <w:r w:rsidR="0067375F" w:rsidRPr="00B61B9D">
        <w:rPr>
          <w:sz w:val="22"/>
          <w:szCs w:val="28"/>
        </w:rPr>
        <w:t xml:space="preserve"> </w:t>
      </w:r>
      <w:r w:rsidRPr="00B61B9D">
        <w:rPr>
          <w:sz w:val="22"/>
          <w:szCs w:val="28"/>
        </w:rPr>
        <w:t>titration and treatment period)</w:t>
      </w:r>
    </w:p>
    <w:p w14:paraId="5468D361" w14:textId="1FB428A1" w:rsidR="00D25F84" w:rsidRPr="00B61B9D" w:rsidRDefault="00D25F84" w:rsidP="0081047E">
      <w:r w:rsidRPr="00B61B9D">
        <w:t>During this period, the efficacy and safety of osilodrostat were assessed at the therapeutic dose as determined for attaining m</w:t>
      </w:r>
      <w:r w:rsidR="00F35281">
        <w:t xml:space="preserve">ean </w:t>
      </w:r>
      <w:r w:rsidRPr="00B61B9D">
        <w:t>UFC ≤</w:t>
      </w:r>
      <w:r w:rsidR="0067375F" w:rsidRPr="00B61B9D">
        <w:t xml:space="preserve"> </w:t>
      </w:r>
      <w:r w:rsidRPr="00B61B9D">
        <w:t>ULN during the dose</w:t>
      </w:r>
      <w:r w:rsidR="0067375F" w:rsidRPr="00B61B9D">
        <w:t xml:space="preserve"> </w:t>
      </w:r>
      <w:r w:rsidRPr="00B61B9D">
        <w:t>titration period in Period</w:t>
      </w:r>
      <w:r w:rsidR="0067375F" w:rsidRPr="00B61B9D">
        <w:t> </w:t>
      </w:r>
      <w:r w:rsidRPr="00B61B9D">
        <w:t>1. Patients with m</w:t>
      </w:r>
      <w:r w:rsidR="00F35281">
        <w:t xml:space="preserve">ean </w:t>
      </w:r>
      <w:r w:rsidRPr="00B61B9D">
        <w:t>UFC</w:t>
      </w:r>
      <w:r w:rsidR="0067375F" w:rsidRPr="00B61B9D">
        <w:t xml:space="preserve"> </w:t>
      </w:r>
      <w:r w:rsidRPr="00B61B9D">
        <w:t>&gt;</w:t>
      </w:r>
      <w:r w:rsidR="0067375F" w:rsidRPr="00B61B9D">
        <w:t xml:space="preserve"> </w:t>
      </w:r>
      <w:r w:rsidRPr="00B61B9D">
        <w:t xml:space="preserve">ULN had their osilodrostat dose increased as tolerated and the maximum dose of 30 mg </w:t>
      </w:r>
      <w:r w:rsidR="00EF0366" w:rsidRPr="00B61B9D">
        <w:t>twice daily</w:t>
      </w:r>
      <w:r w:rsidRPr="00B61B9D">
        <w:t xml:space="preserve"> had not yet been reached. These patients were followed for long-term efficacy and were not considered responders for the key secondary endpoint, hence were not randomi</w:t>
      </w:r>
      <w:r w:rsidR="00D56EB9" w:rsidRPr="00B61B9D">
        <w:t>s</w:t>
      </w:r>
      <w:r w:rsidRPr="00B61B9D">
        <w:t>ed in Study Period 3.</w:t>
      </w:r>
    </w:p>
    <w:p w14:paraId="63148A3A" w14:textId="336D2049" w:rsidR="0081047E" w:rsidRPr="00B61B9D" w:rsidRDefault="00D25F84" w:rsidP="0081047E">
      <w:pPr>
        <w:pStyle w:val="Heading7"/>
        <w:rPr>
          <w:sz w:val="22"/>
          <w:szCs w:val="28"/>
        </w:rPr>
      </w:pPr>
      <w:r w:rsidRPr="00B61B9D">
        <w:rPr>
          <w:sz w:val="22"/>
          <w:szCs w:val="28"/>
        </w:rPr>
        <w:t>Period 3 (Week 26 to Week 34) (</w:t>
      </w:r>
      <w:r w:rsidR="007B7183" w:rsidRPr="00B61B9D">
        <w:rPr>
          <w:sz w:val="22"/>
          <w:szCs w:val="28"/>
        </w:rPr>
        <w:t>randomisation withdrawal</w:t>
      </w:r>
      <w:r w:rsidRPr="00B61B9D">
        <w:rPr>
          <w:sz w:val="22"/>
          <w:szCs w:val="28"/>
        </w:rPr>
        <w:t xml:space="preserve"> period)</w:t>
      </w:r>
    </w:p>
    <w:p w14:paraId="54820295" w14:textId="41D2C199" w:rsidR="00D25F84" w:rsidRPr="00B61B9D" w:rsidRDefault="00D25F84" w:rsidP="0081047E">
      <w:r w:rsidRPr="00B61B9D">
        <w:t>Patients were eligible for randomisation (either to continue with osilodrostat or to switch to placebo) if they had completed the dose titration during study Period 1 and were classified as complete responders at Week 24 with no dose increase between Week 13 and Week 24. Randomisation was implemented at the Week 26 visit. Patients not eligible for randomisation received open</w:t>
      </w:r>
      <w:r w:rsidR="0067375F" w:rsidRPr="00B61B9D">
        <w:t xml:space="preserve"> </w:t>
      </w:r>
      <w:r w:rsidRPr="00B61B9D">
        <w:t xml:space="preserve">label osilodrostat until the end of the </w:t>
      </w:r>
      <w:r w:rsidR="00EF0366" w:rsidRPr="00B61B9D">
        <w:t>core period</w:t>
      </w:r>
      <w:r w:rsidRPr="00B61B9D">
        <w:t xml:space="preserve"> (Week</w:t>
      </w:r>
      <w:r w:rsidR="0067375F" w:rsidRPr="00B61B9D">
        <w:t> </w:t>
      </w:r>
      <w:r w:rsidRPr="00B61B9D">
        <w:t>48), unless there was a reason to discontinue from the study prematurely.</w:t>
      </w:r>
    </w:p>
    <w:p w14:paraId="7577F2C4" w14:textId="77777777" w:rsidR="0081047E" w:rsidRPr="00B61B9D" w:rsidRDefault="00D25F84" w:rsidP="0081047E">
      <w:pPr>
        <w:pStyle w:val="Heading7"/>
        <w:rPr>
          <w:sz w:val="22"/>
          <w:szCs w:val="28"/>
        </w:rPr>
      </w:pPr>
      <w:r w:rsidRPr="00B61B9D">
        <w:rPr>
          <w:sz w:val="22"/>
          <w:szCs w:val="28"/>
        </w:rPr>
        <w:lastRenderedPageBreak/>
        <w:t>Period 4 (Week 34 to Week 48)</w:t>
      </w:r>
    </w:p>
    <w:p w14:paraId="1AA9FFDF" w14:textId="20C3B069" w:rsidR="00D25F84" w:rsidRPr="00B61B9D" w:rsidRDefault="00D25F84" w:rsidP="0081047E">
      <w:r w:rsidRPr="00B61B9D">
        <w:t>At the end of Week 34, all patients received open</w:t>
      </w:r>
      <w:r w:rsidR="0067375F" w:rsidRPr="00B61B9D">
        <w:t xml:space="preserve"> </w:t>
      </w:r>
      <w:r w:rsidRPr="00B61B9D">
        <w:t xml:space="preserve">label osilodrostat treatment at a dose selected at the discretion of the </w:t>
      </w:r>
      <w:r w:rsidR="0067375F" w:rsidRPr="00B61B9D">
        <w:t>investigator</w:t>
      </w:r>
      <w:r w:rsidRPr="00B61B9D">
        <w:t>. Dosing could also be adjusted based on the m</w:t>
      </w:r>
      <w:r w:rsidR="00F35281">
        <w:t xml:space="preserve">ean </w:t>
      </w:r>
      <w:r w:rsidRPr="00B61B9D">
        <w:t>UFC levels during this treatment period.</w:t>
      </w:r>
    </w:p>
    <w:p w14:paraId="543EFD00" w14:textId="77777777" w:rsidR="0081047E" w:rsidRPr="00B61B9D" w:rsidRDefault="00D25F84" w:rsidP="0081047E">
      <w:pPr>
        <w:pStyle w:val="Heading7"/>
        <w:rPr>
          <w:sz w:val="22"/>
          <w:szCs w:val="28"/>
        </w:rPr>
      </w:pPr>
      <w:r w:rsidRPr="00B61B9D">
        <w:rPr>
          <w:sz w:val="22"/>
          <w:szCs w:val="28"/>
        </w:rPr>
        <w:t>Open extension period</w:t>
      </w:r>
    </w:p>
    <w:p w14:paraId="06C9DD84" w14:textId="75772CC2" w:rsidR="00D25F84" w:rsidRPr="00B61B9D" w:rsidRDefault="00D25F84" w:rsidP="0081047E">
      <w:r w:rsidRPr="00B61B9D">
        <w:t xml:space="preserve">Patients who continued to receive clinical benefit, as assessed by the study </w:t>
      </w:r>
      <w:r w:rsidR="0067375F" w:rsidRPr="00B61B9D">
        <w:t>investigator</w:t>
      </w:r>
      <w:r w:rsidRPr="00B61B9D">
        <w:t xml:space="preserve"> and who wished to enter the extension period, had to be re-consented at Week</w:t>
      </w:r>
      <w:r w:rsidR="0067375F" w:rsidRPr="00B61B9D">
        <w:t> </w:t>
      </w:r>
      <w:r w:rsidRPr="00B61B9D">
        <w:t>48. Patients who entered the extension period did so without interruption of study drug or scheduled assessments. The optional extension period will end after all patients have completed Week 72 or discontinued prior to Week 72.</w:t>
      </w:r>
    </w:p>
    <w:p w14:paraId="0943B9B8" w14:textId="51AFF33C" w:rsidR="00D25F84" w:rsidRPr="00B61B9D" w:rsidRDefault="00D25F84" w:rsidP="0081047E">
      <w:pPr>
        <w:pStyle w:val="Heading6"/>
        <w:rPr>
          <w:sz w:val="24"/>
          <w:szCs w:val="24"/>
        </w:rPr>
      </w:pPr>
      <w:r w:rsidRPr="00B61B9D">
        <w:t>Methods</w:t>
      </w:r>
    </w:p>
    <w:p w14:paraId="06387421" w14:textId="7D6BDE20" w:rsidR="00D25F84" w:rsidRPr="00B61B9D" w:rsidRDefault="00D25F84" w:rsidP="0081047E">
      <w:r w:rsidRPr="00B61B9D">
        <w:t>Study C2301 is a Phase III, multi-centre, double</w:t>
      </w:r>
      <w:r w:rsidR="0067375F" w:rsidRPr="00B61B9D">
        <w:t xml:space="preserve"> </w:t>
      </w:r>
      <w:r w:rsidRPr="00B61B9D">
        <w:t xml:space="preserve">blind, </w:t>
      </w:r>
      <w:r w:rsidR="007B7183" w:rsidRPr="00B61B9D">
        <w:t xml:space="preserve">randomisation withdrawal </w:t>
      </w:r>
      <w:r w:rsidRPr="00B61B9D">
        <w:t>study of osilodrostat following a 24-week, single</w:t>
      </w:r>
      <w:r w:rsidR="0067375F" w:rsidRPr="00B61B9D">
        <w:t xml:space="preserve"> </w:t>
      </w:r>
      <w:r w:rsidRPr="00B61B9D">
        <w:t>arm, open</w:t>
      </w:r>
      <w:r w:rsidR="0067375F" w:rsidRPr="00B61B9D">
        <w:t xml:space="preserve"> </w:t>
      </w:r>
      <w:r w:rsidRPr="00B61B9D">
        <w:t xml:space="preserve">label dose titration and treatment period to evaluate the efficacy and safety of osilodrostat for the treatment of patients with </w:t>
      </w:r>
      <w:r w:rsidR="00CA27DB" w:rsidRPr="00B61B9D">
        <w:t>Cushing’s disease</w:t>
      </w:r>
      <w:r w:rsidRPr="00B61B9D">
        <w:t>.</w:t>
      </w:r>
    </w:p>
    <w:p w14:paraId="3ECBD6E0" w14:textId="661328F9" w:rsidR="00D25F84" w:rsidRPr="00B61B9D" w:rsidRDefault="00D25F84" w:rsidP="0081047E">
      <w:pPr>
        <w:pStyle w:val="Heading6"/>
      </w:pPr>
      <w:r w:rsidRPr="00B61B9D">
        <w:t>Key inclusion criteria</w:t>
      </w:r>
    </w:p>
    <w:p w14:paraId="2CFF34C1" w14:textId="44BD96B0" w:rsidR="00D25F84" w:rsidRPr="00B61B9D" w:rsidRDefault="009043CD" w:rsidP="0081047E">
      <w:r>
        <w:t>Key inclusion criteria were, m</w:t>
      </w:r>
      <w:r w:rsidR="00D25F84" w:rsidRPr="00B61B9D">
        <w:t xml:space="preserve">ale or female patients 18 to 75 years old with confirmed persistent or recurrent </w:t>
      </w:r>
      <w:r w:rsidR="00CA27DB" w:rsidRPr="00B61B9D">
        <w:t>Cushing’s disease</w:t>
      </w:r>
      <w:r w:rsidR="00D25F84" w:rsidRPr="00B61B9D">
        <w:t xml:space="preserve"> as evidenced by m</w:t>
      </w:r>
      <w:r w:rsidR="00F35281">
        <w:t xml:space="preserve">ean </w:t>
      </w:r>
      <w:r w:rsidR="00D25F84" w:rsidRPr="00B61B9D">
        <w:t>UFC &gt;</w:t>
      </w:r>
      <w:r w:rsidR="0067375F" w:rsidRPr="00B61B9D">
        <w:t xml:space="preserve"> </w:t>
      </w:r>
      <w:r w:rsidR="00D25F84" w:rsidRPr="00B61B9D">
        <w:t>1.5</w:t>
      </w:r>
      <w:r w:rsidR="0067375F" w:rsidRPr="00B61B9D">
        <w:t xml:space="preserve"> </w:t>
      </w:r>
      <w:r w:rsidR="00633A16" w:rsidRPr="00B61B9D">
        <w:t>x</w:t>
      </w:r>
      <w:r w:rsidR="0067375F" w:rsidRPr="00B61B9D">
        <w:t xml:space="preserve"> </w:t>
      </w:r>
      <w:r w:rsidR="00D25F84" w:rsidRPr="00B61B9D">
        <w:t>ULN at screening, morning plasma ACTH above the</w:t>
      </w:r>
      <w:r w:rsidR="00554DAA">
        <w:t xml:space="preserve"> LLN </w:t>
      </w:r>
      <w:r w:rsidR="00D25F84" w:rsidRPr="00B61B9D">
        <w:t>and confirmed pituitary source of excess ACTH were included.</w:t>
      </w:r>
    </w:p>
    <w:p w14:paraId="7F1A30AD" w14:textId="645CAA31" w:rsidR="009043CD" w:rsidRDefault="00D25F84" w:rsidP="0081047E">
      <w:r w:rsidRPr="00B61B9D">
        <w:t xml:space="preserve">Patients with </w:t>
      </w:r>
      <w:r w:rsidRPr="00B61B9D">
        <w:rPr>
          <w:i/>
          <w:iCs/>
        </w:rPr>
        <w:t>de novo</w:t>
      </w:r>
      <w:r w:rsidRPr="00B61B9D">
        <w:t xml:space="preserve"> </w:t>
      </w:r>
      <w:r w:rsidR="00CA27DB" w:rsidRPr="00B61B9D">
        <w:t>Cushing’s disease</w:t>
      </w:r>
      <w:r w:rsidRPr="00B61B9D">
        <w:t xml:space="preserve"> </w:t>
      </w:r>
      <w:r w:rsidR="00A36748">
        <w:t xml:space="preserve">were </w:t>
      </w:r>
      <w:r w:rsidR="009043CD">
        <w:t>included</w:t>
      </w:r>
      <w:r w:rsidR="00A36748">
        <w:t xml:space="preserve"> </w:t>
      </w:r>
      <w:r w:rsidRPr="00B61B9D">
        <w:t>only if they were not considered candidates for surgery (</w:t>
      </w:r>
      <w:r w:rsidR="00111716" w:rsidRPr="00B61B9D">
        <w:t>for example,</w:t>
      </w:r>
      <w:r w:rsidRPr="00B61B9D">
        <w:t xml:space="preserve"> poor surgical candidates, surgically unapproachable tumours, patients who refuse to have surgical treatment, or surgical treatment was not available).</w:t>
      </w:r>
    </w:p>
    <w:p w14:paraId="2C7157E8" w14:textId="384AB23C" w:rsidR="009043CD" w:rsidRDefault="00D25F84" w:rsidP="0081047E">
      <w:r w:rsidRPr="00B61B9D">
        <w:t>Patients with a history of pituitary irradiation were included, provided that at least 2 years (for stereotactic radiosurgery) or 3 years (for conventional radiation) had elapsed from the time of last radiation treatment to the time of enrolment into this study.</w:t>
      </w:r>
    </w:p>
    <w:p w14:paraId="5597A0BC" w14:textId="24A46889" w:rsidR="00D25F84" w:rsidRPr="00B61B9D" w:rsidRDefault="00D25F84" w:rsidP="0081047E">
      <w:r w:rsidRPr="00B61B9D">
        <w:t xml:space="preserve">Patients were permitted to washout current drug therapy to meet these entry criteria if they had known diagnosis of </w:t>
      </w:r>
      <w:r w:rsidR="00CA27DB" w:rsidRPr="00B61B9D">
        <w:t>Cushing’s disease</w:t>
      </w:r>
      <w:r w:rsidRPr="00B61B9D">
        <w:t>. Rescreening was used as needed to ensure washout was complete.</w:t>
      </w:r>
    </w:p>
    <w:p w14:paraId="34FE3738" w14:textId="6D8A3BFB" w:rsidR="00D25F84" w:rsidRDefault="00D25F84" w:rsidP="0081047E">
      <w:pPr>
        <w:pStyle w:val="Heading6"/>
      </w:pPr>
      <w:r w:rsidRPr="00B61B9D">
        <w:t>Key exclusion criteria</w:t>
      </w:r>
    </w:p>
    <w:p w14:paraId="6B2BF3F5" w14:textId="1AB9B7AD" w:rsidR="009043CD" w:rsidRPr="00D7035A" w:rsidRDefault="004D54FB" w:rsidP="008B3BBB">
      <w:r>
        <w:t>The following were excluded at enrolment:</w:t>
      </w:r>
    </w:p>
    <w:p w14:paraId="179940E7" w14:textId="55C5B134" w:rsidR="00D25F84" w:rsidRPr="00B61B9D" w:rsidRDefault="009043CD" w:rsidP="0081047E">
      <w:pPr>
        <w:pStyle w:val="ListBullet"/>
      </w:pPr>
      <w:r>
        <w:t xml:space="preserve">Patients </w:t>
      </w:r>
      <w:r w:rsidR="00D25F84" w:rsidRPr="00B61B9D">
        <w:t>with compression of the optic chiasm due to a macroadenoma or patients at high risk of compression of the optic chiasm were excluded.</w:t>
      </w:r>
    </w:p>
    <w:p w14:paraId="6D5BA46C" w14:textId="1C2C0464" w:rsidR="00D25F84" w:rsidRPr="00B61B9D" w:rsidRDefault="009043CD" w:rsidP="0081047E">
      <w:pPr>
        <w:pStyle w:val="ListBullet"/>
      </w:pPr>
      <w:r>
        <w:t xml:space="preserve">Patients </w:t>
      </w:r>
      <w:r w:rsidR="00D25F84" w:rsidRPr="00B61B9D">
        <w:t xml:space="preserve">who had a known inherited syndrome as the cause for hormone over secretion and patients with Cushing’s syndrome due to ectopic ACTH secretion or ACTH-independent (adrenal) </w:t>
      </w:r>
      <w:r w:rsidR="00541304" w:rsidRPr="00B61B9D">
        <w:t>Cushing’s syndrome</w:t>
      </w:r>
      <w:r w:rsidR="00D25F84" w:rsidRPr="00B61B9D">
        <w:t xml:space="preserve"> were excluded.</w:t>
      </w:r>
    </w:p>
    <w:p w14:paraId="6FBFC083" w14:textId="6249DEED" w:rsidR="00D25F84" w:rsidRPr="00B61B9D" w:rsidRDefault="004D54FB" w:rsidP="0081047E">
      <w:pPr>
        <w:pStyle w:val="ListBullet"/>
      </w:pPr>
      <w:r>
        <w:t>Patients who</w:t>
      </w:r>
      <w:r w:rsidR="009043CD">
        <w:t xml:space="preserve"> had </w:t>
      </w:r>
      <w:r w:rsidR="00D25F84" w:rsidRPr="00B61B9D">
        <w:t xml:space="preserve">risk factors for </w:t>
      </w:r>
      <w:r w:rsidR="00EB5256" w:rsidRPr="00B61B9D">
        <w:t>corrected QT interval (QTc)</w:t>
      </w:r>
      <w:r w:rsidR="00EB5256" w:rsidRPr="00B61B9D">
        <w:rPr>
          <w:vertAlign w:val="superscript"/>
        </w:rPr>
        <w:fldChar w:fldCharType="begin"/>
      </w:r>
      <w:r w:rsidR="00EB5256" w:rsidRPr="00B61B9D">
        <w:rPr>
          <w:vertAlign w:val="superscript"/>
        </w:rPr>
        <w:instrText xml:space="preserve"> NOTEREF _Ref112926770 \h  \* MERGEFORMAT </w:instrText>
      </w:r>
      <w:r w:rsidR="00EB5256" w:rsidRPr="00B61B9D">
        <w:rPr>
          <w:vertAlign w:val="superscript"/>
        </w:rPr>
      </w:r>
      <w:r w:rsidR="00EB5256" w:rsidRPr="00B61B9D">
        <w:rPr>
          <w:vertAlign w:val="superscript"/>
        </w:rPr>
        <w:fldChar w:fldCharType="separate"/>
      </w:r>
      <w:r w:rsidR="009B4A87">
        <w:rPr>
          <w:vertAlign w:val="superscript"/>
        </w:rPr>
        <w:t>14</w:t>
      </w:r>
      <w:r w:rsidR="00EB5256" w:rsidRPr="00B61B9D">
        <w:rPr>
          <w:vertAlign w:val="superscript"/>
        </w:rPr>
        <w:fldChar w:fldCharType="end"/>
      </w:r>
      <w:r w:rsidR="00EB5256" w:rsidRPr="00B61B9D">
        <w:t xml:space="preserve"> </w:t>
      </w:r>
      <w:r w:rsidR="00D25F84" w:rsidRPr="00B61B9D">
        <w:t>prolongation or Torsade de Pointes</w:t>
      </w:r>
      <w:r w:rsidR="002B1401" w:rsidRPr="00B61B9D">
        <w:t>;</w:t>
      </w:r>
      <w:r w:rsidR="002B1401" w:rsidRPr="00B61B9D">
        <w:rPr>
          <w:rStyle w:val="FootnoteReference"/>
        </w:rPr>
        <w:footnoteReference w:id="17"/>
      </w:r>
      <w:r w:rsidR="00D25F84" w:rsidRPr="00B61B9D">
        <w:t xml:space="preserve"> were excluded.</w:t>
      </w:r>
    </w:p>
    <w:p w14:paraId="2A495668" w14:textId="07C9EF4C" w:rsidR="00D25F84" w:rsidRPr="00B61B9D" w:rsidRDefault="004D54FB" w:rsidP="0081047E">
      <w:pPr>
        <w:pStyle w:val="ListBullet"/>
      </w:pPr>
      <w:r>
        <w:t>Hypertensive patients</w:t>
      </w:r>
      <w:r w:rsidR="008B3BBB">
        <w:t xml:space="preserve"> </w:t>
      </w:r>
      <w:r w:rsidR="00D25F84" w:rsidRPr="00B61B9D">
        <w:t>with uncontrolled blood pressure</w:t>
      </w:r>
      <w:r>
        <w:t>;</w:t>
      </w:r>
      <w:r w:rsidR="00D25F84" w:rsidRPr="00B61B9D">
        <w:t xml:space="preserve"> diabetic patients with poorly controlled diabetes</w:t>
      </w:r>
      <w:r>
        <w:t>;</w:t>
      </w:r>
      <w:r w:rsidR="00D25F84" w:rsidRPr="00B61B9D">
        <w:t xml:space="preserve"> and patients who were not euthyroid were to be excluded.</w:t>
      </w:r>
    </w:p>
    <w:p w14:paraId="5A848E26" w14:textId="77777777" w:rsidR="00D25F84" w:rsidRPr="00B61B9D" w:rsidRDefault="00D25F84" w:rsidP="0081047E">
      <w:pPr>
        <w:pStyle w:val="ListBullet"/>
      </w:pPr>
      <w:r w:rsidRPr="00B61B9D">
        <w:lastRenderedPageBreak/>
        <w:t>Patients with a history of significant cardiovascular disease, moderate to severe renal impairment or significant liver disease were also excluded.</w:t>
      </w:r>
    </w:p>
    <w:p w14:paraId="154A87A3" w14:textId="200213A1" w:rsidR="00D25F84" w:rsidRPr="00B61B9D" w:rsidRDefault="00D25F84" w:rsidP="00554DAA">
      <w:pPr>
        <w:pStyle w:val="Heading6"/>
        <w:rPr>
          <w:szCs w:val="28"/>
        </w:rPr>
      </w:pPr>
      <w:r w:rsidRPr="00B61B9D">
        <w:rPr>
          <w:szCs w:val="28"/>
        </w:rPr>
        <w:t>Primary objective</w:t>
      </w:r>
    </w:p>
    <w:p w14:paraId="6742428B" w14:textId="37C674F2" w:rsidR="00D25F84" w:rsidRPr="00B61B9D" w:rsidRDefault="00D25F84" w:rsidP="0081047E">
      <w:r w:rsidRPr="00B61B9D">
        <w:t>The primary objective was to compare the complete response rate at the end of the 8-week period of randomi</w:t>
      </w:r>
      <w:r w:rsidR="00D56EB9" w:rsidRPr="00B61B9D">
        <w:t>s</w:t>
      </w:r>
      <w:r w:rsidRPr="00B61B9D">
        <w:t>ation withdrawal</w:t>
      </w:r>
      <w:r w:rsidR="007B7183" w:rsidRPr="00B61B9D">
        <w:t xml:space="preserve"> </w:t>
      </w:r>
      <w:r w:rsidRPr="00B61B9D">
        <w:t>(Week 34) between patients randomi</w:t>
      </w:r>
      <w:r w:rsidR="00D56EB9" w:rsidRPr="00B61B9D">
        <w:t>s</w:t>
      </w:r>
      <w:r w:rsidRPr="00B61B9D">
        <w:t xml:space="preserve">ed to continued osilodrostat therapy </w:t>
      </w:r>
      <w:r w:rsidR="007B7183" w:rsidRPr="00B61B9D">
        <w:t>versus</w:t>
      </w:r>
      <w:r w:rsidRPr="00B61B9D">
        <w:t xml:space="preserve"> placebo.</w:t>
      </w:r>
    </w:p>
    <w:p w14:paraId="73FFAF86" w14:textId="4A189E87" w:rsidR="00D25F84" w:rsidRPr="00B61B9D" w:rsidRDefault="00D25F84" w:rsidP="00554DAA">
      <w:pPr>
        <w:pStyle w:val="Heading6"/>
      </w:pPr>
      <w:r w:rsidRPr="00B61B9D">
        <w:t>Key secondary objective</w:t>
      </w:r>
    </w:p>
    <w:p w14:paraId="32FDB080" w14:textId="0739AB27" w:rsidR="00D25F84" w:rsidRPr="00B61B9D" w:rsidRDefault="00D25F84" w:rsidP="0081047E">
      <w:r w:rsidRPr="00B61B9D">
        <w:t>To assess the complete response rate at the end of individual dose</w:t>
      </w:r>
      <w:r w:rsidR="0067375F" w:rsidRPr="00B61B9D">
        <w:t xml:space="preserve"> </w:t>
      </w:r>
      <w:r w:rsidRPr="00B61B9D">
        <w:t>titration and treatment with osilodrostat in the initial single</w:t>
      </w:r>
      <w:r w:rsidR="007B7183" w:rsidRPr="00B61B9D">
        <w:t xml:space="preserve"> </w:t>
      </w:r>
      <w:r w:rsidRPr="00B61B9D">
        <w:t>arm, open label period (Week 24).</w:t>
      </w:r>
    </w:p>
    <w:p w14:paraId="6A481635" w14:textId="282C1B7C" w:rsidR="00D25F84" w:rsidRDefault="004D54FB" w:rsidP="0081047E">
      <w:pPr>
        <w:pStyle w:val="Heading6"/>
      </w:pPr>
      <w:r>
        <w:t>Study e</w:t>
      </w:r>
      <w:r w:rsidR="00D25F84" w:rsidRPr="00B61B9D">
        <w:t>ndpoints</w:t>
      </w:r>
    </w:p>
    <w:p w14:paraId="48A2A6E7" w14:textId="7E26A2D4" w:rsidR="004D54FB" w:rsidRPr="00D7035A" w:rsidRDefault="004D54FB" w:rsidP="00554DAA">
      <w:r>
        <w:t xml:space="preserve">Study efficacy assessments and endpoints are given in </w:t>
      </w:r>
      <w:r>
        <w:fldChar w:fldCharType="begin"/>
      </w:r>
      <w:r>
        <w:instrText xml:space="preserve"> REF _Ref116989479 \h </w:instrText>
      </w:r>
      <w:r>
        <w:fldChar w:fldCharType="separate"/>
      </w:r>
      <w:r w:rsidR="009B4A87" w:rsidRPr="00F05753">
        <w:t xml:space="preserve">Table </w:t>
      </w:r>
      <w:r w:rsidR="009B4A87">
        <w:rPr>
          <w:noProof/>
        </w:rPr>
        <w:t>4</w:t>
      </w:r>
      <w:r>
        <w:fldChar w:fldCharType="end"/>
      </w:r>
      <w:r>
        <w:t>, below.</w:t>
      </w:r>
    </w:p>
    <w:p w14:paraId="6A88E4F7" w14:textId="4C92A204" w:rsidR="00D25F84" w:rsidRPr="00F05753" w:rsidRDefault="00813A96" w:rsidP="00F05753">
      <w:pPr>
        <w:pStyle w:val="TableTitle"/>
      </w:pPr>
      <w:bookmarkStart w:id="48" w:name="_Ref116989479"/>
      <w:r w:rsidRPr="00F05753">
        <w:t xml:space="preserve">Table </w:t>
      </w:r>
      <w:r w:rsidR="00A12D67">
        <w:fldChar w:fldCharType="begin"/>
      </w:r>
      <w:r w:rsidR="00A12D67">
        <w:instrText xml:space="preserve"> SEQ Table \* ARABIC </w:instrText>
      </w:r>
      <w:r w:rsidR="00A12D67">
        <w:fldChar w:fldCharType="separate"/>
      </w:r>
      <w:r w:rsidR="009B4A87">
        <w:rPr>
          <w:noProof/>
        </w:rPr>
        <w:t>4</w:t>
      </w:r>
      <w:r w:rsidR="00A12D67">
        <w:rPr>
          <w:noProof/>
        </w:rPr>
        <w:fldChar w:fldCharType="end"/>
      </w:r>
      <w:bookmarkEnd w:id="48"/>
      <w:r w:rsidR="00D25F84" w:rsidRPr="00F05753">
        <w:t xml:space="preserve">: </w:t>
      </w:r>
      <w:r w:rsidR="005F47D9" w:rsidRPr="00F05753">
        <w:t xml:space="preserve">Study C2301 </w:t>
      </w:r>
      <w:r w:rsidR="00D25F84" w:rsidRPr="00F05753">
        <w:t>Description of efficacy assessments and endpoints</w:t>
      </w:r>
    </w:p>
    <w:p w14:paraId="71A33958" w14:textId="02FAF38D" w:rsidR="00614EBD" w:rsidRPr="00614EBD" w:rsidRDefault="00614EBD" w:rsidP="00F05753">
      <w:r>
        <w:rPr>
          <w:noProof/>
          <w:lang w:val="en-GB" w:eastAsia="en-GB"/>
        </w:rPr>
        <w:drawing>
          <wp:inline distT="0" distB="0" distL="0" distR="0" wp14:anchorId="705E1519" wp14:editId="54B86EBB">
            <wp:extent cx="5400040" cy="3395345"/>
            <wp:effectExtent l="0" t="0" r="0" b="0"/>
            <wp:docPr id="7" name="Picture 7" descr="Table 4: Study C2301 Description of efficacy assessment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4: Study C2301 Description of efficacy assessments and endpoints"/>
                    <pic:cNvPicPr/>
                  </pic:nvPicPr>
                  <pic:blipFill>
                    <a:blip r:embed="rId21"/>
                    <a:stretch>
                      <a:fillRect/>
                    </a:stretch>
                  </pic:blipFill>
                  <pic:spPr>
                    <a:xfrm>
                      <a:off x="0" y="0"/>
                      <a:ext cx="5400040" cy="3395345"/>
                    </a:xfrm>
                    <a:prstGeom prst="rect">
                      <a:avLst/>
                    </a:prstGeom>
                  </pic:spPr>
                </pic:pic>
              </a:graphicData>
            </a:graphic>
          </wp:inline>
        </w:drawing>
      </w:r>
    </w:p>
    <w:p w14:paraId="2FB314EE" w14:textId="3A36AF53" w:rsidR="00E61481" w:rsidRPr="00F05753" w:rsidRDefault="00614EBD" w:rsidP="00F05753">
      <w:pPr>
        <w:pStyle w:val="TableDescription"/>
      </w:pPr>
      <w:r w:rsidRPr="00F05753">
        <w:t>A</w:t>
      </w:r>
      <w:r w:rsidR="00E61481" w:rsidRPr="00F05753">
        <w:t>bbreviations: EOT = end of treatment; LC-MS/MS = liquid chromatography-tandem mass spectrometry assay; LLN = lower limit of normal; mUFC = mean urinary</w:t>
      </w:r>
      <w:r w:rsidRPr="00F05753">
        <w:t xml:space="preserve"> </w:t>
      </w:r>
      <w:r w:rsidR="00E61481" w:rsidRPr="00F05753">
        <w:t>free cortisol; QoL = quality of life; ULN = upper limit of normal; RW = randomi</w:t>
      </w:r>
      <w:r w:rsidR="00554DAA" w:rsidRPr="00F05753">
        <w:t>s</w:t>
      </w:r>
      <w:r w:rsidR="00E61481" w:rsidRPr="00F05753">
        <w:t>ed withdrawal.</w:t>
      </w:r>
    </w:p>
    <w:p w14:paraId="30325C0C" w14:textId="44436D6D" w:rsidR="00E61481" w:rsidRPr="00F05753" w:rsidRDefault="00E61481" w:rsidP="00F05753">
      <w:pPr>
        <w:pStyle w:val="TableDescription"/>
      </w:pPr>
      <w:r w:rsidRPr="00F05753">
        <w:t>1</w:t>
      </w:r>
      <w:r w:rsidR="004D54FB" w:rsidRPr="00F05753">
        <w:t>.</w:t>
      </w:r>
      <w:r w:rsidRPr="00F05753">
        <w:t xml:space="preserve"> Also apply to the key secondary endpoint</w:t>
      </w:r>
    </w:p>
    <w:p w14:paraId="3C1126A7" w14:textId="141A553A" w:rsidR="00E61481" w:rsidRPr="00F05753" w:rsidRDefault="00E61481" w:rsidP="00F05753">
      <w:pPr>
        <w:pStyle w:val="TableDescription"/>
      </w:pPr>
      <w:r w:rsidRPr="00F05753">
        <w:t>2</w:t>
      </w:r>
      <w:r w:rsidR="004D54FB" w:rsidRPr="00F05753">
        <w:t>.</w:t>
      </w:r>
      <w:r w:rsidRPr="00F05753">
        <w:t xml:space="preserve"> Two photographs, one frontal and one lateral from the shoulders up will be taken to assess facial plethora (rubor), supraclavicular and dorsal fat pads. Two photographs, frontal and dorsal of the trunk with patient in standing position will be taken to assess hirsutism (females only), striae, proximal muscle wasting (atrophy), central (abdominal) obesity, and ecchymoses (bruising)</w:t>
      </w:r>
      <w:r w:rsidR="00F05753" w:rsidRPr="00F05753">
        <w:t>.</w:t>
      </w:r>
    </w:p>
    <w:p w14:paraId="71A0747F" w14:textId="77777777" w:rsidR="00D25F84" w:rsidRPr="00B61B9D" w:rsidRDefault="00D25F84" w:rsidP="0081047E">
      <w:pPr>
        <w:pStyle w:val="Heading6"/>
      </w:pPr>
      <w:r w:rsidRPr="00B61B9D">
        <w:t>Statistical methods</w:t>
      </w:r>
    </w:p>
    <w:p w14:paraId="1E434850" w14:textId="77777777" w:rsidR="0081047E" w:rsidRPr="00B61B9D" w:rsidRDefault="00D25F84" w:rsidP="0081047E">
      <w:pPr>
        <w:pStyle w:val="Heading7"/>
        <w:rPr>
          <w:sz w:val="22"/>
          <w:szCs w:val="28"/>
        </w:rPr>
      </w:pPr>
      <w:r w:rsidRPr="00B61B9D">
        <w:rPr>
          <w:sz w:val="22"/>
          <w:szCs w:val="28"/>
        </w:rPr>
        <w:t>Analysis populations</w:t>
      </w:r>
    </w:p>
    <w:p w14:paraId="33A2188F" w14:textId="447434F6" w:rsidR="00D25F84" w:rsidRPr="00B61B9D" w:rsidRDefault="00D25F84" w:rsidP="0081047E">
      <w:r w:rsidRPr="00B61B9D">
        <w:t>The following analysis populations were defined</w:t>
      </w:r>
      <w:r w:rsidR="0081047E" w:rsidRPr="00B61B9D">
        <w:t>:</w:t>
      </w:r>
    </w:p>
    <w:p w14:paraId="5D5C1012" w14:textId="703A2138" w:rsidR="0081047E" w:rsidRPr="00B61B9D" w:rsidRDefault="00D25F84" w:rsidP="0081047E">
      <w:pPr>
        <w:pStyle w:val="Heading7"/>
        <w:rPr>
          <w:sz w:val="22"/>
          <w:szCs w:val="28"/>
        </w:rPr>
      </w:pPr>
      <w:r w:rsidRPr="00B61B9D">
        <w:rPr>
          <w:sz w:val="22"/>
          <w:szCs w:val="28"/>
        </w:rPr>
        <w:t>Randomised analysis set</w:t>
      </w:r>
    </w:p>
    <w:p w14:paraId="6C94F97E" w14:textId="175EFFBC" w:rsidR="00D25F84" w:rsidRPr="00B61B9D" w:rsidRDefault="007B7183" w:rsidP="0081047E">
      <w:r w:rsidRPr="00B61B9D">
        <w:t xml:space="preserve">Randomised analysis set (RAS) </w:t>
      </w:r>
      <w:r w:rsidR="00D25F84" w:rsidRPr="00B61B9D">
        <w:t>comprised all randomised patients who had received at least one dose of randomised drug (osilodrostat or placebo). Following the intent-to-treat</w:t>
      </w:r>
      <w:r w:rsidRPr="00B61B9D">
        <w:t xml:space="preserve"> </w:t>
      </w:r>
      <w:r w:rsidRPr="00B61B9D">
        <w:lastRenderedPageBreak/>
        <w:t>(ITT)</w:t>
      </w:r>
      <w:r w:rsidR="00EB56F9" w:rsidRPr="00B61B9D">
        <w:rPr>
          <w:rStyle w:val="FootnoteReference"/>
        </w:rPr>
        <w:footnoteReference w:id="18"/>
      </w:r>
      <w:r w:rsidR="00D25F84" w:rsidRPr="00B61B9D">
        <w:t xml:space="preserve"> principle, patients were analysed according to the treatment and stratum they have been assigned to during the randomisation.</w:t>
      </w:r>
    </w:p>
    <w:p w14:paraId="68A437A7" w14:textId="6A51F4BE" w:rsidR="0081047E" w:rsidRPr="00B61B9D" w:rsidRDefault="00D25F84" w:rsidP="0081047E">
      <w:pPr>
        <w:pStyle w:val="Heading7"/>
        <w:rPr>
          <w:sz w:val="22"/>
          <w:szCs w:val="28"/>
        </w:rPr>
      </w:pPr>
      <w:r w:rsidRPr="00B61B9D">
        <w:rPr>
          <w:sz w:val="22"/>
          <w:szCs w:val="28"/>
        </w:rPr>
        <w:t>Full analysis set</w:t>
      </w:r>
    </w:p>
    <w:p w14:paraId="2A3444EB" w14:textId="415CB7EB" w:rsidR="00D25F84" w:rsidRPr="00B61B9D" w:rsidRDefault="007B7183" w:rsidP="007B7183">
      <w:r w:rsidRPr="00B61B9D">
        <w:t xml:space="preserve">Full analysis set (FAS) </w:t>
      </w:r>
      <w:r w:rsidR="00D25F84" w:rsidRPr="00B61B9D">
        <w:t>comprises all enrolled patients who received at least one dose of osilodrostat.</w:t>
      </w:r>
    </w:p>
    <w:p w14:paraId="5EE8AB4B" w14:textId="77777777" w:rsidR="0081047E" w:rsidRPr="00B61B9D" w:rsidRDefault="00D25F84" w:rsidP="0081047E">
      <w:pPr>
        <w:pStyle w:val="Heading7"/>
        <w:rPr>
          <w:sz w:val="22"/>
          <w:szCs w:val="28"/>
        </w:rPr>
      </w:pPr>
      <w:r w:rsidRPr="00B61B9D">
        <w:rPr>
          <w:sz w:val="22"/>
          <w:szCs w:val="28"/>
        </w:rPr>
        <w:t>Safety set</w:t>
      </w:r>
    </w:p>
    <w:p w14:paraId="3244C5D0" w14:textId="2E03B2A2" w:rsidR="00D25F84" w:rsidRPr="00B61B9D" w:rsidRDefault="00D25F84" w:rsidP="0081047E">
      <w:r w:rsidRPr="00B61B9D">
        <w:t>There were two safety sets defined in this study.</w:t>
      </w:r>
    </w:p>
    <w:p w14:paraId="13657942" w14:textId="349AD76C" w:rsidR="00D25F84" w:rsidRPr="00B61B9D" w:rsidRDefault="00D25F84" w:rsidP="0081047E">
      <w:pPr>
        <w:pStyle w:val="ListBullet"/>
      </w:pPr>
      <w:r w:rsidRPr="00B61B9D">
        <w:t>Safety analysis set comprises all enrolled patients who received at least one dose of osilodrostat and had at least one valid post-baseline safety assessment.</w:t>
      </w:r>
    </w:p>
    <w:p w14:paraId="36E99166" w14:textId="1D2993AD" w:rsidR="00D25F84" w:rsidRPr="00B61B9D" w:rsidRDefault="00D25F84" w:rsidP="0081047E">
      <w:pPr>
        <w:pStyle w:val="ListBullet"/>
      </w:pPr>
      <w:r w:rsidRPr="00B61B9D">
        <w:t xml:space="preserve">Safety </w:t>
      </w:r>
      <w:r w:rsidR="007B7183" w:rsidRPr="00B61B9D">
        <w:t xml:space="preserve">analysis set </w:t>
      </w:r>
      <w:r w:rsidRPr="00B61B9D">
        <w:t>for randomi</w:t>
      </w:r>
      <w:r w:rsidR="00D56EB9" w:rsidRPr="00B61B9D">
        <w:t>s</w:t>
      </w:r>
      <w:r w:rsidRPr="00B61B9D">
        <w:t>ed withdrawal period comprises only randomi</w:t>
      </w:r>
      <w:r w:rsidR="00D56EB9" w:rsidRPr="00B61B9D">
        <w:t>s</w:t>
      </w:r>
      <w:r w:rsidRPr="00B61B9D">
        <w:t>ed patients who received at least one dose of randomi</w:t>
      </w:r>
      <w:r w:rsidR="00D56EB9" w:rsidRPr="00B61B9D">
        <w:t>s</w:t>
      </w:r>
      <w:r w:rsidRPr="00B61B9D">
        <w:t>ed treatment (osilodrostat or placebo) and had at least one valid safety assessment during the randomi</w:t>
      </w:r>
      <w:r w:rsidR="00D56EB9" w:rsidRPr="00B61B9D">
        <w:t>s</w:t>
      </w:r>
      <w:r w:rsidRPr="00B61B9D">
        <w:t>ed withdrawal period.</w:t>
      </w:r>
    </w:p>
    <w:p w14:paraId="334E8098" w14:textId="0C9534A9" w:rsidR="0081047E" w:rsidRPr="00B61B9D" w:rsidRDefault="00D25F84" w:rsidP="0081047E">
      <w:pPr>
        <w:pStyle w:val="Heading7"/>
        <w:rPr>
          <w:sz w:val="22"/>
          <w:szCs w:val="28"/>
        </w:rPr>
      </w:pPr>
      <w:r w:rsidRPr="00B61B9D">
        <w:rPr>
          <w:sz w:val="22"/>
          <w:szCs w:val="28"/>
        </w:rPr>
        <w:t>Per-</w:t>
      </w:r>
      <w:r w:rsidR="007B7183" w:rsidRPr="00B61B9D">
        <w:rPr>
          <w:sz w:val="22"/>
          <w:szCs w:val="28"/>
        </w:rPr>
        <w:t>protocol set</w:t>
      </w:r>
    </w:p>
    <w:p w14:paraId="397BC747" w14:textId="4DB936FA" w:rsidR="00D25F84" w:rsidRPr="00B61B9D" w:rsidRDefault="00D25F84" w:rsidP="0081047E">
      <w:r w:rsidRPr="00B61B9D">
        <w:t>There were two per-protocol sets defined in this study.</w:t>
      </w:r>
    </w:p>
    <w:p w14:paraId="5C98C4BC" w14:textId="02B7D1E7" w:rsidR="00D25F84" w:rsidRPr="00B61B9D" w:rsidRDefault="00D25F84" w:rsidP="0081047E">
      <w:pPr>
        <w:pStyle w:val="ListBullet"/>
      </w:pPr>
      <w:r w:rsidRPr="00B61B9D">
        <w:t>Per-</w:t>
      </w:r>
      <w:r w:rsidR="007B7183" w:rsidRPr="00B61B9D">
        <w:t>protocol</w:t>
      </w:r>
      <w:r w:rsidR="00877939" w:rsidRPr="00B61B9D">
        <w:t>;</w:t>
      </w:r>
      <w:r w:rsidR="00877939" w:rsidRPr="00B61B9D">
        <w:rPr>
          <w:rStyle w:val="FootnoteReference"/>
        </w:rPr>
        <w:footnoteReference w:id="19"/>
      </w:r>
      <w:r w:rsidR="007B7183" w:rsidRPr="00B61B9D">
        <w:t xml:space="preserve"> set </w:t>
      </w:r>
      <w:r w:rsidRPr="00B61B9D">
        <w:t xml:space="preserve">for </w:t>
      </w:r>
      <w:r w:rsidR="00EB56F9" w:rsidRPr="00B61B9D">
        <w:t xml:space="preserve">randomised analysis set </w:t>
      </w:r>
      <w:r w:rsidRPr="00B61B9D">
        <w:t>(PPRAS) consists of a subset of the patients in the RAS who had no selected clinical study report</w:t>
      </w:r>
      <w:r w:rsidR="007B7183" w:rsidRPr="00B61B9D">
        <w:t>-</w:t>
      </w:r>
      <w:r w:rsidRPr="00B61B9D">
        <w:t>reportable protocol deviation.</w:t>
      </w:r>
    </w:p>
    <w:p w14:paraId="6BC0473F" w14:textId="1E5D05FB" w:rsidR="00D25F84" w:rsidRPr="00B61B9D" w:rsidRDefault="00D25F84" w:rsidP="0081047E">
      <w:pPr>
        <w:pStyle w:val="ListBullet"/>
      </w:pPr>
      <w:r w:rsidRPr="00B61B9D">
        <w:t>Per-</w:t>
      </w:r>
      <w:r w:rsidR="007B7183" w:rsidRPr="00B61B9D">
        <w:t xml:space="preserve">protocol set </w:t>
      </w:r>
      <w:r w:rsidRPr="00B61B9D">
        <w:t xml:space="preserve">for </w:t>
      </w:r>
      <w:r w:rsidR="00877939" w:rsidRPr="00B61B9D">
        <w:t>full analysis set</w:t>
      </w:r>
      <w:r w:rsidRPr="00B61B9D">
        <w:t xml:space="preserve"> </w:t>
      </w:r>
      <w:r w:rsidR="00877939" w:rsidRPr="00B61B9D">
        <w:t xml:space="preserve">(PPFAS) </w:t>
      </w:r>
      <w:r w:rsidRPr="00B61B9D">
        <w:t xml:space="preserve">of a subset of the patients in the FAS who had no selected </w:t>
      </w:r>
      <w:r w:rsidR="00F61150" w:rsidRPr="00F61150">
        <w:t>clinical study report</w:t>
      </w:r>
      <w:r w:rsidRPr="00B61B9D">
        <w:t>-reportable protocol deviation.</w:t>
      </w:r>
    </w:p>
    <w:p w14:paraId="0FF47887" w14:textId="71123F99" w:rsidR="0081047E" w:rsidRPr="00B61B9D" w:rsidRDefault="00D25F84" w:rsidP="0081047E">
      <w:pPr>
        <w:pStyle w:val="Heading7"/>
        <w:rPr>
          <w:sz w:val="22"/>
          <w:szCs w:val="28"/>
        </w:rPr>
      </w:pPr>
      <w:r w:rsidRPr="00B61B9D">
        <w:rPr>
          <w:sz w:val="22"/>
          <w:szCs w:val="28"/>
        </w:rPr>
        <w:t>Pharmacokinetic analysis set</w:t>
      </w:r>
    </w:p>
    <w:p w14:paraId="4A7A2BC1" w14:textId="417F8F35" w:rsidR="00D25F84" w:rsidRPr="00B61B9D" w:rsidRDefault="001B6214" w:rsidP="0081047E">
      <w:r w:rsidRPr="00B61B9D">
        <w:t xml:space="preserve">Pharmacokinetic analysis set </w:t>
      </w:r>
      <w:r w:rsidR="00D25F84" w:rsidRPr="00B61B9D">
        <w:t xml:space="preserve">consists of all enrolled patients who receive at least one dose of osilodrostat and have at least one evaluable post-dosing </w:t>
      </w:r>
      <w:r w:rsidR="000268B2" w:rsidRPr="00B61B9D">
        <w:t>PK</w:t>
      </w:r>
      <w:r w:rsidR="00D25F84" w:rsidRPr="00B61B9D">
        <w:t xml:space="preserve"> assessment.</w:t>
      </w:r>
    </w:p>
    <w:p w14:paraId="4BED6C4B" w14:textId="09FA60EA" w:rsidR="00D25F84" w:rsidRPr="00B61B9D" w:rsidRDefault="00D25F84" w:rsidP="0081047E">
      <w:r w:rsidRPr="00B61B9D">
        <w:rPr>
          <w:i/>
          <w:iCs/>
        </w:rPr>
        <w:t>Analysis of the primary endpoint</w:t>
      </w:r>
      <w:r w:rsidRPr="00B61B9D">
        <w:t>:</w:t>
      </w:r>
      <w:r w:rsidR="0081047E" w:rsidRPr="00B61B9D">
        <w:t xml:space="preserve"> </w:t>
      </w:r>
      <w:r w:rsidRPr="00B61B9D">
        <w:t>The primary efficacy variable was the proportion of randomi</w:t>
      </w:r>
      <w:r w:rsidR="00D56EB9" w:rsidRPr="00B61B9D">
        <w:t>s</w:t>
      </w:r>
      <w:r w:rsidRPr="00B61B9D">
        <w:t>ed patients in each treatment arm that are complete responders at the end of the 8</w:t>
      </w:r>
      <w:r w:rsidR="001B6214" w:rsidRPr="00B61B9D">
        <w:t> </w:t>
      </w:r>
      <w:r w:rsidRPr="00B61B9D">
        <w:t>weeks of the randomi</w:t>
      </w:r>
      <w:r w:rsidR="00D56EB9" w:rsidRPr="00B61B9D">
        <w:t>s</w:t>
      </w:r>
      <w:r w:rsidRPr="00B61B9D">
        <w:t>ed withdrawal period (Week 34). A Cochran–Mantel–Haenszel exact test stratified by the two stratification factors at randomi</w:t>
      </w:r>
      <w:r w:rsidR="00111716" w:rsidRPr="00B61B9D">
        <w:t>s</w:t>
      </w:r>
      <w:r w:rsidRPr="00B61B9D">
        <w:t xml:space="preserve">ation was performed using the RAS following the </w:t>
      </w:r>
      <w:r w:rsidR="001B6214" w:rsidRPr="00B61B9D">
        <w:t>ITT</w:t>
      </w:r>
      <w:r w:rsidRPr="00B61B9D">
        <w:t xml:space="preserve"> principle. The test was performed at a 2-sided alpha of 0.05. Patients who discontinued during the randomi</w:t>
      </w:r>
      <w:r w:rsidR="00111716" w:rsidRPr="00B61B9D">
        <w:t>s</w:t>
      </w:r>
      <w:r w:rsidRPr="00B61B9D">
        <w:t>ed withdrawal period will be counted as non-responders for the primary endpoint. Patients with mean UFC &gt; 1.5 x ULN (with at least 2 of the 3 individual UFC levels &gt; 1.5 x ULN) during the randomi</w:t>
      </w:r>
      <w:r w:rsidR="00111716" w:rsidRPr="00B61B9D">
        <w:t>s</w:t>
      </w:r>
      <w:r w:rsidRPr="00B61B9D">
        <w:t>ed withdrawal period were to be discontinued from randomi</w:t>
      </w:r>
      <w:r w:rsidR="00111716" w:rsidRPr="00B61B9D">
        <w:t>s</w:t>
      </w:r>
      <w:r w:rsidRPr="00B61B9D">
        <w:t>ed withdrawal and changed to open</w:t>
      </w:r>
      <w:r w:rsidR="007B7183" w:rsidRPr="00B61B9D">
        <w:t xml:space="preserve"> </w:t>
      </w:r>
      <w:r w:rsidRPr="00B61B9D">
        <w:t xml:space="preserve">label treatment with </w:t>
      </w:r>
      <w:r w:rsidR="0067375F" w:rsidRPr="00B61B9D">
        <w:t>osilodrostat</w:t>
      </w:r>
      <w:r w:rsidRPr="00B61B9D">
        <w:t xml:space="preserve">. The applicant was asked to provide more information on patients that fulfilled these criteria and clarified that two patients (one was withdrawn, and one was not) randomised to osilodrostat and 21 patients (10 were withdrawn (including </w:t>
      </w:r>
      <w:r w:rsidR="001B6214" w:rsidRPr="00B61B9D">
        <w:t xml:space="preserve">one </w:t>
      </w:r>
      <w:r w:rsidRPr="00B61B9D">
        <w:t>patient who withdrew from the study) and 11 were not) randomised to placebo met the criteria.</w:t>
      </w:r>
    </w:p>
    <w:p w14:paraId="6E6069A3" w14:textId="601E2531" w:rsidR="00D25F84" w:rsidRPr="00B61B9D" w:rsidRDefault="00D25F84" w:rsidP="0081047E">
      <w:r w:rsidRPr="00B61B9D">
        <w:rPr>
          <w:i/>
          <w:iCs/>
        </w:rPr>
        <w:t>Key secondary endpoint</w:t>
      </w:r>
      <w:r w:rsidRPr="00B61B9D">
        <w:t>: The key secondary efficacy variable was the proportion of complete responders at the end of 24 weeks of dose</w:t>
      </w:r>
      <w:r w:rsidR="0067375F" w:rsidRPr="00B61B9D">
        <w:t xml:space="preserve"> </w:t>
      </w:r>
      <w:r w:rsidRPr="00B61B9D">
        <w:t xml:space="preserve">titration and treatment with </w:t>
      </w:r>
      <w:r w:rsidR="0067375F" w:rsidRPr="00B61B9D">
        <w:t>osilodrostat</w:t>
      </w:r>
      <w:r w:rsidRPr="00B61B9D">
        <w:t xml:space="preserve"> in the initial single</w:t>
      </w:r>
      <w:r w:rsidR="007B7183" w:rsidRPr="00B61B9D">
        <w:t xml:space="preserve"> </w:t>
      </w:r>
      <w:r w:rsidRPr="00B61B9D">
        <w:t xml:space="preserve">arm, open label part of the trial, using the FAS. The analysis of the key secondary objective was based on the 2-sided 95% exact confidence interval </w:t>
      </w:r>
      <w:r w:rsidRPr="00B61B9D">
        <w:lastRenderedPageBreak/>
        <w:t xml:space="preserve">(Clopper-Pearson method), which was compared with the limit 30%, to be able to state that the complete response rate is considered at least 30% after 24 weeks of treatment with </w:t>
      </w:r>
      <w:r w:rsidR="0067375F" w:rsidRPr="00B61B9D">
        <w:t>osilodrostat</w:t>
      </w:r>
      <w:r w:rsidRPr="00B61B9D">
        <w:t xml:space="preserve">. This endpoint was tested sequentially after the primary endpoint, to preserve of the overall 2-sided </w:t>
      </w:r>
      <w:r w:rsidR="001B6214" w:rsidRPr="00B61B9D">
        <w:t>T</w:t>
      </w:r>
      <w:r w:rsidRPr="00B61B9D">
        <w:t>ype 1 error at 5%.</w:t>
      </w:r>
    </w:p>
    <w:p w14:paraId="03C17DBE" w14:textId="062C0D66" w:rsidR="00D25F84" w:rsidRPr="00B61B9D" w:rsidRDefault="00D25F84" w:rsidP="0081047E">
      <w:r w:rsidRPr="00B61B9D">
        <w:rPr>
          <w:i/>
          <w:iCs/>
        </w:rPr>
        <w:t>Supportive and sensitivity analyses</w:t>
      </w:r>
      <w:r w:rsidRPr="00B61B9D">
        <w:t xml:space="preserve">: An un-stratified Fisher’s exact test of the primary endpoint using RAS was performed as a supportive analysis to the primary analysis. In addition, both stratified </w:t>
      </w:r>
      <w:r w:rsidR="00D56EB9" w:rsidRPr="00B61B9D">
        <w:t xml:space="preserve">Cochran-Mantel-Haenszel </w:t>
      </w:r>
      <w:r w:rsidRPr="00B61B9D">
        <w:t>exact test and un-stratified Fisher’s exact test of the primary endpoint were performed using PPRAS. The key secondary endpoint was also analysed using PPFAS.</w:t>
      </w:r>
    </w:p>
    <w:p w14:paraId="31018850" w14:textId="77777777" w:rsidR="00D25F84" w:rsidRPr="00B61B9D" w:rsidRDefault="00D25F84" w:rsidP="0081047E">
      <w:r w:rsidRPr="00B61B9D">
        <w:rPr>
          <w:i/>
          <w:iCs/>
        </w:rPr>
        <w:t>Interim analyses</w:t>
      </w:r>
      <w:r w:rsidRPr="00B61B9D">
        <w:t>: The current study report is based on interim data, with long term safety follow up still ongoing. The study had no interim analysis for purpose of adaptation of the study.</w:t>
      </w:r>
    </w:p>
    <w:p w14:paraId="22D737EF" w14:textId="5074DB76" w:rsidR="00D25F84" w:rsidRPr="00B61B9D" w:rsidRDefault="00D25F84" w:rsidP="0081047E">
      <w:pPr>
        <w:pStyle w:val="Heading6"/>
      </w:pPr>
      <w:r w:rsidRPr="00B61B9D">
        <w:t>Participant flow</w:t>
      </w:r>
    </w:p>
    <w:p w14:paraId="3589A19E" w14:textId="3F2727DB" w:rsidR="00D25F84" w:rsidRPr="00B61B9D" w:rsidRDefault="00D25F84" w:rsidP="0081047E">
      <w:r w:rsidRPr="00B61B9D">
        <w:t xml:space="preserve">This study was conducted in 66 </w:t>
      </w:r>
      <w:r w:rsidR="001B6214" w:rsidRPr="00B61B9D">
        <w:t>centres</w:t>
      </w:r>
      <w:r w:rsidRPr="00B61B9D">
        <w:t xml:space="preserve"> across 19 countries. A total of 202 patients were screened for the study, of which 137 were enrolled and 65 patients were screening failures. Nineteen patients discontinued at or prior to Week 26. Of the remaining 118</w:t>
      </w:r>
      <w:r w:rsidR="004D54FB">
        <w:t> </w:t>
      </w:r>
      <w:r w:rsidRPr="00B61B9D">
        <w:t>patients, 71 patients were randomi</w:t>
      </w:r>
      <w:r w:rsidR="00111716" w:rsidRPr="00B61B9D">
        <w:t>s</w:t>
      </w:r>
      <w:r w:rsidRPr="00B61B9D">
        <w:t>ed (36 to osilodrostat and 35 to placebo) and 47</w:t>
      </w:r>
      <w:r w:rsidR="001B6214" w:rsidRPr="00B61B9D">
        <w:t> </w:t>
      </w:r>
      <w:r w:rsidRPr="00B61B9D">
        <w:t>patients who were not randomi</w:t>
      </w:r>
      <w:r w:rsidR="00111716" w:rsidRPr="00B61B9D">
        <w:t>s</w:t>
      </w:r>
      <w:r w:rsidRPr="00B61B9D">
        <w:t xml:space="preserve">ed continued on </w:t>
      </w:r>
      <w:r w:rsidR="001B6214" w:rsidRPr="00B61B9D">
        <w:t xml:space="preserve">the </w:t>
      </w:r>
      <w:r w:rsidRPr="00B61B9D">
        <w:t>open</w:t>
      </w:r>
      <w:r w:rsidR="007B7183" w:rsidRPr="00B61B9D">
        <w:t xml:space="preserve"> </w:t>
      </w:r>
      <w:r w:rsidRPr="00B61B9D">
        <w:t>label osilodrostat treatment.</w:t>
      </w:r>
    </w:p>
    <w:p w14:paraId="7C0A0369" w14:textId="3F665AA2" w:rsidR="00D25F84" w:rsidRPr="00B61B9D" w:rsidRDefault="00D25F84" w:rsidP="0081047E">
      <w:r w:rsidRPr="00B61B9D">
        <w:t>Patients were not randomi</w:t>
      </w:r>
      <w:r w:rsidR="00111716" w:rsidRPr="00B61B9D">
        <w:t>s</w:t>
      </w:r>
      <w:r w:rsidRPr="00B61B9D">
        <w:t>ed for the following reasons:</w:t>
      </w:r>
    </w:p>
    <w:p w14:paraId="2731CB42" w14:textId="24AAFDD9" w:rsidR="00D25F84" w:rsidRPr="00B61B9D" w:rsidRDefault="00D25F84" w:rsidP="0081047E">
      <w:pPr>
        <w:pStyle w:val="ListBullet"/>
      </w:pPr>
      <w:r w:rsidRPr="00B61B9D">
        <w:t>19 patients had their dose increased beyond the established one at Week 12 (</w:t>
      </w:r>
      <w:r w:rsidR="00111716" w:rsidRPr="00B61B9D">
        <w:t>that is</w:t>
      </w:r>
      <w:r w:rsidRPr="00B61B9D">
        <w:t>, the end of the dose titration period) although they met the m</w:t>
      </w:r>
      <w:r w:rsidR="004D54FB">
        <w:t xml:space="preserve">ean </w:t>
      </w:r>
      <w:r w:rsidRPr="00B61B9D">
        <w:t>UFC normali</w:t>
      </w:r>
      <w:r w:rsidR="00111716" w:rsidRPr="00B61B9D">
        <w:t>s</w:t>
      </w:r>
      <w:r w:rsidRPr="00B61B9D">
        <w:t>ation criteria,</w:t>
      </w:r>
    </w:p>
    <w:p w14:paraId="3C4F5D0C" w14:textId="493BB051" w:rsidR="00D25F84" w:rsidRPr="00B61B9D" w:rsidRDefault="00D25F84" w:rsidP="0081047E">
      <w:pPr>
        <w:pStyle w:val="ListBullet"/>
      </w:pPr>
      <w:r w:rsidRPr="00B61B9D">
        <w:t>20 patients did not meet the m</w:t>
      </w:r>
      <w:r w:rsidR="004D54FB">
        <w:t xml:space="preserve">ean </w:t>
      </w:r>
      <w:r w:rsidRPr="00B61B9D">
        <w:t>UFC normali</w:t>
      </w:r>
      <w:r w:rsidR="00111716" w:rsidRPr="00B61B9D">
        <w:t>s</w:t>
      </w:r>
      <w:r w:rsidRPr="00B61B9D">
        <w:t>ation criteria at Week 26,</w:t>
      </w:r>
    </w:p>
    <w:p w14:paraId="4BB1666E" w14:textId="5C820C5A" w:rsidR="00D25F84" w:rsidRPr="00B61B9D" w:rsidRDefault="00D25F84" w:rsidP="0081047E">
      <w:pPr>
        <w:pStyle w:val="ListBullet"/>
      </w:pPr>
      <w:r w:rsidRPr="00B61B9D">
        <w:t>7 patients did not meet both previous criteria</w:t>
      </w:r>
      <w:r w:rsidR="001B6214" w:rsidRPr="00B61B9D">
        <w:t>,</w:t>
      </w:r>
      <w:r w:rsidRPr="00B61B9D">
        <w:t xml:space="preserve"> and</w:t>
      </w:r>
    </w:p>
    <w:p w14:paraId="6FB37854" w14:textId="471543A2" w:rsidR="00D25F84" w:rsidRPr="00B61B9D" w:rsidRDefault="001B6214" w:rsidP="0081047E">
      <w:pPr>
        <w:pStyle w:val="ListBullet"/>
      </w:pPr>
      <w:r w:rsidRPr="00B61B9D">
        <w:t>one</w:t>
      </w:r>
      <w:r w:rsidR="00D25F84" w:rsidRPr="00B61B9D">
        <w:t xml:space="preserve"> patient was not randomi</w:t>
      </w:r>
      <w:r w:rsidR="00111716" w:rsidRPr="00B61B9D">
        <w:t>s</w:t>
      </w:r>
      <w:r w:rsidR="00D25F84" w:rsidRPr="00B61B9D">
        <w:t xml:space="preserve">ed due to </w:t>
      </w:r>
      <w:r w:rsidR="0067375F" w:rsidRPr="00B61B9D">
        <w:t>investigator</w:t>
      </w:r>
      <w:r w:rsidR="00D25F84" w:rsidRPr="00B61B9D">
        <w:t xml:space="preserve"> decision.</w:t>
      </w:r>
    </w:p>
    <w:p w14:paraId="78AC97DF" w14:textId="2F38FA55" w:rsidR="00D25F84" w:rsidRPr="00B61B9D" w:rsidRDefault="00D25F84" w:rsidP="0081047E">
      <w:r w:rsidRPr="00B61B9D">
        <w:t xml:space="preserve">At the time of data cut-off date, 35 patients had discontinued the study (24 during the </w:t>
      </w:r>
      <w:r w:rsidR="00EF0366" w:rsidRPr="00B61B9D">
        <w:t>core period</w:t>
      </w:r>
      <w:r w:rsidRPr="00B61B9D">
        <w:t xml:space="preserve"> and 11 during the </w:t>
      </w:r>
      <w:r w:rsidR="00EF0366" w:rsidRPr="00B61B9D">
        <w:t>extension period</w:t>
      </w:r>
      <w:r w:rsidRPr="00B61B9D">
        <w:t>).</w:t>
      </w:r>
    </w:p>
    <w:p w14:paraId="104B2E2A" w14:textId="54F0A1E6" w:rsidR="00D25F84" w:rsidRPr="00B61B9D" w:rsidRDefault="00D25F84" w:rsidP="0081047E">
      <w:r w:rsidRPr="00B61B9D">
        <w:t xml:space="preserve">During the </w:t>
      </w:r>
      <w:r w:rsidR="00EF0366" w:rsidRPr="00B61B9D">
        <w:t>core period</w:t>
      </w:r>
      <w:r w:rsidRPr="00B61B9D">
        <w:t>, 5 patients discontinued after Week 26 but prior to Week 48. Of note, only one patient, who was randomi</w:t>
      </w:r>
      <w:r w:rsidR="00111716" w:rsidRPr="00B61B9D">
        <w:t>s</w:t>
      </w:r>
      <w:r w:rsidRPr="00B61B9D">
        <w:t xml:space="preserve">ed to placebo, withdrew from study during the </w:t>
      </w:r>
      <w:r w:rsidR="007B7183" w:rsidRPr="00B61B9D">
        <w:t>randomisation withdrawal</w:t>
      </w:r>
      <w:r w:rsidRPr="00B61B9D">
        <w:t xml:space="preserve"> </w:t>
      </w:r>
      <w:r w:rsidR="00EF0366" w:rsidRPr="00B61B9D">
        <w:t xml:space="preserve">period </w:t>
      </w:r>
      <w:r w:rsidRPr="00B61B9D">
        <w:t xml:space="preserve">on Day 220. The most common reasons for discontinuation during the </w:t>
      </w:r>
      <w:r w:rsidR="00EF0366" w:rsidRPr="00B61B9D">
        <w:t>core period</w:t>
      </w:r>
      <w:r w:rsidRPr="00B61B9D">
        <w:t xml:space="preserve"> were</w:t>
      </w:r>
      <w:r w:rsidR="004D54FB">
        <w:t xml:space="preserve">, due to an </w:t>
      </w:r>
      <w:r w:rsidR="00A36748">
        <w:t>AE</w:t>
      </w:r>
      <w:r w:rsidRPr="00B61B9D">
        <w:t xml:space="preserve"> (10.9%, 15</w:t>
      </w:r>
      <w:r w:rsidR="001B6214" w:rsidRPr="00B61B9D">
        <w:t xml:space="preserve"> of </w:t>
      </w:r>
      <w:r w:rsidRPr="00B61B9D">
        <w:t>137), followed by patient withdrew consent (2.9%, 4</w:t>
      </w:r>
      <w:r w:rsidR="001B6214" w:rsidRPr="00B61B9D">
        <w:t xml:space="preserve"> of </w:t>
      </w:r>
      <w:r w:rsidRPr="00B61B9D">
        <w:t>137), and physician’s decision (2.2%, 3</w:t>
      </w:r>
      <w:r w:rsidR="004D54FB">
        <w:t> </w:t>
      </w:r>
      <w:r w:rsidR="001B6214" w:rsidRPr="00B61B9D">
        <w:t xml:space="preserve">of </w:t>
      </w:r>
      <w:r w:rsidRPr="00B61B9D">
        <w:t>137) (</w:t>
      </w:r>
      <w:r w:rsidR="004D54FB">
        <w:t xml:space="preserve">see </w:t>
      </w:r>
      <w:r w:rsidR="00813A96" w:rsidRPr="00B61B9D">
        <w:fldChar w:fldCharType="begin"/>
      </w:r>
      <w:r w:rsidR="00813A96" w:rsidRPr="00B61B9D">
        <w:instrText xml:space="preserve"> REF _Ref111836979 \h </w:instrText>
      </w:r>
      <w:r w:rsidR="001E6C75" w:rsidRPr="00B61B9D">
        <w:instrText xml:space="preserve"> \* MERGEFORMAT </w:instrText>
      </w:r>
      <w:r w:rsidR="00813A96" w:rsidRPr="00B61B9D">
        <w:fldChar w:fldCharType="separate"/>
      </w:r>
      <w:r w:rsidR="009B4A87" w:rsidRPr="00F05753">
        <w:t xml:space="preserve">Table </w:t>
      </w:r>
      <w:r w:rsidR="009B4A87">
        <w:rPr>
          <w:noProof/>
        </w:rPr>
        <w:t>15</w:t>
      </w:r>
      <w:r w:rsidR="00813A96" w:rsidRPr="00B61B9D">
        <w:fldChar w:fldCharType="end"/>
      </w:r>
      <w:r w:rsidRPr="00B61B9D">
        <w:t>). A total of 106 patients (77.4%) entered the optional extension, of which 95 (69.3%) patients were still on treatment at the time of the data cut</w:t>
      </w:r>
      <w:r w:rsidR="001B6214" w:rsidRPr="00B61B9D">
        <w:t>-</w:t>
      </w:r>
      <w:r w:rsidRPr="00B61B9D">
        <w:t>off date.</w:t>
      </w:r>
    </w:p>
    <w:p w14:paraId="2F36C751" w14:textId="4B771103" w:rsidR="00D25F84" w:rsidRPr="00F05753" w:rsidRDefault="00813A96" w:rsidP="00F05753">
      <w:pPr>
        <w:pStyle w:val="FigureTitle"/>
      </w:pPr>
      <w:r w:rsidRPr="00F05753">
        <w:lastRenderedPageBreak/>
        <w:t xml:space="preserve">Figure </w:t>
      </w:r>
      <w:r w:rsidR="00A12D67">
        <w:fldChar w:fldCharType="begin"/>
      </w:r>
      <w:r w:rsidR="00A12D67">
        <w:instrText xml:space="preserve"> SEQ Figure</w:instrText>
      </w:r>
      <w:r w:rsidR="00A12D67">
        <w:instrText xml:space="preserve"> \* ARABIC </w:instrText>
      </w:r>
      <w:r w:rsidR="00A12D67">
        <w:fldChar w:fldCharType="separate"/>
      </w:r>
      <w:r w:rsidR="009B4A87">
        <w:rPr>
          <w:noProof/>
        </w:rPr>
        <w:t>3</w:t>
      </w:r>
      <w:r w:rsidR="00A12D67">
        <w:rPr>
          <w:noProof/>
        </w:rPr>
        <w:fldChar w:fldCharType="end"/>
      </w:r>
      <w:r w:rsidR="00D25F84" w:rsidRPr="00F05753">
        <w:t xml:space="preserve">: </w:t>
      </w:r>
      <w:r w:rsidR="0058513A" w:rsidRPr="00F05753">
        <w:t xml:space="preserve">Study C2301 </w:t>
      </w:r>
      <w:r w:rsidR="00D25F84" w:rsidRPr="00F05753">
        <w:t>Patient disposition by randomi</w:t>
      </w:r>
      <w:r w:rsidR="00111716" w:rsidRPr="00F05753">
        <w:t>s</w:t>
      </w:r>
      <w:r w:rsidR="00D25F84" w:rsidRPr="00F05753">
        <w:t>ed treatment group (</w:t>
      </w:r>
      <w:r w:rsidR="005F47D9" w:rsidRPr="00F05753">
        <w:t>full analysis set</w:t>
      </w:r>
      <w:r w:rsidR="00D25F84" w:rsidRPr="00F05753">
        <w:t>)</w:t>
      </w:r>
    </w:p>
    <w:p w14:paraId="108964AE" w14:textId="270A2B6B" w:rsidR="001C03E0" w:rsidRDefault="001C03E0" w:rsidP="00F05753">
      <w:r>
        <w:rPr>
          <w:noProof/>
          <w:lang w:val="en-GB" w:eastAsia="en-GB"/>
        </w:rPr>
        <w:drawing>
          <wp:inline distT="0" distB="0" distL="0" distR="0" wp14:anchorId="34B10022" wp14:editId="6B0A59D5">
            <wp:extent cx="5300980" cy="4419600"/>
            <wp:effectExtent l="0" t="0" r="0" b="0"/>
            <wp:docPr id="4" name="Picture 4" descr="Figure 3: Study C2301 Patient disposition by randomised treatment group (full analysis set)&#10;&#10;Of the 137 patients enrolled and treated in the study, 113 (82.5%) completed the core phase of the study at Week 48. Of the 137 patients, 71 eligible patients were randomised, 36 patients to the osilodrostat arm and 35 patients to the placebo arm; 66 patients were non-randomised.&#10;&#10;All 36 patients in the osilodrostat arm and 33 patients (94.3%) of 35 randomised to placebo during the randomised withdrawal period completed the core phase of the study (Week 48).&#10;&#10;A total of 106 (77.4%) patients entered the optional extension with 95 (69.3%) patients are still on treatment at the time of the data cut-off date of 21 Febr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tudy C2301 Patient disposition by randomised treatment group (full analysis set)&#10;&#10;Of the 137 patients enrolled and treated in the study, 113 (82.5%) completed the core phase of the study at Week 48. Of the 137 patients, 71 eligible patients were randomised, 36 patients to the osilodrostat arm and 35 patients to the placebo arm; 66 patients were non-randomised.&#10;&#10;All 36 patients in the osilodrostat arm and 33 patients (94.3%) of 35 randomised to placebo during the randomised withdrawal period completed the core phase of the study (Week 48).&#10;&#10;A total of 106 (77.4%) patients entered the optional extension with 95 (69.3%) patients are still on treatment at the time of the data cut-off date of 21 February 2018."/>
                    <pic:cNvPicPr/>
                  </pic:nvPicPr>
                  <pic:blipFill>
                    <a:blip r:embed="rId22"/>
                    <a:stretch>
                      <a:fillRect/>
                    </a:stretch>
                  </pic:blipFill>
                  <pic:spPr>
                    <a:xfrm>
                      <a:off x="0" y="0"/>
                      <a:ext cx="5305818" cy="4423634"/>
                    </a:xfrm>
                    <a:prstGeom prst="rect">
                      <a:avLst/>
                    </a:prstGeom>
                  </pic:spPr>
                </pic:pic>
              </a:graphicData>
            </a:graphic>
          </wp:inline>
        </w:drawing>
      </w:r>
    </w:p>
    <w:p w14:paraId="23B1D55F" w14:textId="35CE99FF" w:rsidR="00D25F84" w:rsidRPr="00F05753" w:rsidRDefault="001C03E0" w:rsidP="00F05753">
      <w:pPr>
        <w:pStyle w:val="FigureDescription"/>
      </w:pPr>
      <w:r w:rsidRPr="00F05753">
        <w:t>Abbreviations: N = number of subjects; OL = open label.</w:t>
      </w:r>
    </w:p>
    <w:p w14:paraId="3AA8F3CC" w14:textId="77777777" w:rsidR="00D25F84" w:rsidRPr="00B61B9D" w:rsidRDefault="00D25F84" w:rsidP="00554DAA">
      <w:pPr>
        <w:pStyle w:val="Heading6"/>
        <w:rPr>
          <w:szCs w:val="28"/>
        </w:rPr>
      </w:pPr>
      <w:r w:rsidRPr="00B61B9D">
        <w:rPr>
          <w:szCs w:val="28"/>
        </w:rPr>
        <w:lastRenderedPageBreak/>
        <w:t>Patient disposition</w:t>
      </w:r>
    </w:p>
    <w:p w14:paraId="7E9DBC76" w14:textId="514CE25B" w:rsidR="00D25F84" w:rsidRPr="00F05753" w:rsidRDefault="00813A96" w:rsidP="00F05753">
      <w:pPr>
        <w:pStyle w:val="TableTitle"/>
      </w:pPr>
      <w:bookmarkStart w:id="49" w:name="_Ref116990224"/>
      <w:r w:rsidRPr="00F05753">
        <w:t xml:space="preserve">Table </w:t>
      </w:r>
      <w:r w:rsidR="00A12D67">
        <w:fldChar w:fldCharType="begin"/>
      </w:r>
      <w:r w:rsidR="00A12D67">
        <w:instrText xml:space="preserve"> SEQ Table \* ARABIC </w:instrText>
      </w:r>
      <w:r w:rsidR="00A12D67">
        <w:fldChar w:fldCharType="separate"/>
      </w:r>
      <w:r w:rsidR="009B4A87">
        <w:rPr>
          <w:noProof/>
        </w:rPr>
        <w:t>5</w:t>
      </w:r>
      <w:r w:rsidR="00A12D67">
        <w:rPr>
          <w:noProof/>
        </w:rPr>
        <w:fldChar w:fldCharType="end"/>
      </w:r>
      <w:bookmarkEnd w:id="49"/>
      <w:r w:rsidR="00D25F84" w:rsidRPr="00F05753">
        <w:t xml:space="preserve">: </w:t>
      </w:r>
      <w:r w:rsidR="00986EAD" w:rsidRPr="00F05753">
        <w:t xml:space="preserve">Study C2301 </w:t>
      </w:r>
      <w:r w:rsidR="00D25F84" w:rsidRPr="00F05753">
        <w:t>Patient disposition by randomi</w:t>
      </w:r>
      <w:r w:rsidR="00111716" w:rsidRPr="00F05753">
        <w:t>s</w:t>
      </w:r>
      <w:r w:rsidR="00D25F84" w:rsidRPr="00F05753">
        <w:t>ed treatment group (</w:t>
      </w:r>
      <w:r w:rsidR="005F47D9" w:rsidRPr="00F05753">
        <w:t>full analysis set</w:t>
      </w:r>
      <w:r w:rsidR="00D25F84" w:rsidRPr="00F05753">
        <w:t>)</w:t>
      </w:r>
    </w:p>
    <w:p w14:paraId="78611427" w14:textId="1F782228" w:rsidR="00986EAD" w:rsidRPr="00B61B9D" w:rsidRDefault="00986EAD" w:rsidP="00F05753">
      <w:r>
        <w:rPr>
          <w:noProof/>
          <w:lang w:val="en-GB" w:eastAsia="en-GB"/>
        </w:rPr>
        <w:drawing>
          <wp:inline distT="0" distB="0" distL="0" distR="0" wp14:anchorId="5EC32D6C" wp14:editId="5CAD880D">
            <wp:extent cx="5026121" cy="6937513"/>
            <wp:effectExtent l="0" t="0" r="3175" b="0"/>
            <wp:docPr id="41" name="Picture 41" descr="Table 5: Study C2301 Patient disposition by randomised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 5: Study C2301 Patient disposition by randomised treatment group (full analysis set)"/>
                    <pic:cNvPicPr/>
                  </pic:nvPicPr>
                  <pic:blipFill>
                    <a:blip r:embed="rId23"/>
                    <a:stretch>
                      <a:fillRect/>
                    </a:stretch>
                  </pic:blipFill>
                  <pic:spPr>
                    <a:xfrm>
                      <a:off x="0" y="0"/>
                      <a:ext cx="5036792" cy="6952242"/>
                    </a:xfrm>
                    <a:prstGeom prst="rect">
                      <a:avLst/>
                    </a:prstGeom>
                  </pic:spPr>
                </pic:pic>
              </a:graphicData>
            </a:graphic>
          </wp:inline>
        </w:drawing>
      </w:r>
    </w:p>
    <w:p w14:paraId="258F694F" w14:textId="3428149D" w:rsidR="00986EAD" w:rsidRPr="00F05753" w:rsidRDefault="00986EAD" w:rsidP="00F05753">
      <w:pPr>
        <w:pStyle w:val="TableDescription"/>
      </w:pPr>
      <w:r w:rsidRPr="00F05753">
        <w:t>Abbreviations: N = total number of patients enrolled and treated; n = number of subjects in subgroups</w:t>
      </w:r>
      <w:r w:rsidR="002D2F7D" w:rsidRPr="00F05753">
        <w:t>;</w:t>
      </w:r>
      <w:r w:rsidRPr="00F05753">
        <w:t xml:space="preserve"> RW = randomised withdrawal.</w:t>
      </w:r>
    </w:p>
    <w:p w14:paraId="5063B74F" w14:textId="526CD389" w:rsidR="00986EAD" w:rsidRPr="00F05753" w:rsidRDefault="00986EAD" w:rsidP="00F05753">
      <w:pPr>
        <w:pStyle w:val="TableDescription"/>
      </w:pPr>
      <w:r w:rsidRPr="00F05753">
        <w:t xml:space="preserve">% is based on </w:t>
      </w:r>
      <w:r w:rsidR="0071736D" w:rsidRPr="00F05753">
        <w:t>the total number of patients enrolled and treated.</w:t>
      </w:r>
    </w:p>
    <w:p w14:paraId="1C7C1F41" w14:textId="77777777" w:rsidR="00986EAD" w:rsidRPr="00F05753" w:rsidRDefault="00986EAD" w:rsidP="00F05753">
      <w:pPr>
        <w:pStyle w:val="TableDescription"/>
      </w:pPr>
      <w:r w:rsidRPr="00F05753">
        <w:t>$ Patients who completed Week 48 and did not enter extension phase are not counted as discontinuations.</w:t>
      </w:r>
    </w:p>
    <w:p w14:paraId="23FEFCDC" w14:textId="33FC1DAA" w:rsidR="00D25F84" w:rsidRPr="00F05753" w:rsidRDefault="00986EAD" w:rsidP="00F05753">
      <w:pPr>
        <w:pStyle w:val="TableDescription"/>
      </w:pPr>
      <w:r w:rsidRPr="00F05753">
        <w:t>* For patients randomi</w:t>
      </w:r>
      <w:r w:rsidR="0071736D" w:rsidRPr="00F05753">
        <w:t>s</w:t>
      </w:r>
      <w:r w:rsidRPr="00F05753">
        <w:t xml:space="preserve">ed to placebo during the </w:t>
      </w:r>
      <w:r w:rsidR="0071736D" w:rsidRPr="00F05753">
        <w:t xml:space="preserve">randomised withdrawal </w:t>
      </w:r>
      <w:r w:rsidRPr="00F05753">
        <w:t>period and including all data while on either osilodrostat or placebo.</w:t>
      </w:r>
    </w:p>
    <w:p w14:paraId="08373BF9" w14:textId="77777777" w:rsidR="00D25F84" w:rsidRPr="00B61B9D" w:rsidRDefault="00D25F84" w:rsidP="0081047E">
      <w:pPr>
        <w:pStyle w:val="Heading6"/>
      </w:pPr>
      <w:r w:rsidRPr="00B61B9D">
        <w:lastRenderedPageBreak/>
        <w:t>Baseline data</w:t>
      </w:r>
    </w:p>
    <w:p w14:paraId="4A046DD6" w14:textId="33616348" w:rsidR="00D25F84" w:rsidRDefault="0071736D" w:rsidP="0081047E">
      <w:r>
        <w:t>A total of 137 patients were enrolled, consisting of 106 female and 31 male patients. M</w:t>
      </w:r>
      <w:r w:rsidR="00D25F84" w:rsidRPr="00B61B9D">
        <w:t xml:space="preserve">ost patients were Caucasian (65.0%) or Asian (28.5%). </w:t>
      </w:r>
      <w:r>
        <w:t xml:space="preserve">The </w:t>
      </w:r>
      <w:r w:rsidR="00D25F84" w:rsidRPr="00B61B9D">
        <w:t>median</w:t>
      </w:r>
      <w:r>
        <w:t xml:space="preserve"> patient age</w:t>
      </w:r>
      <w:r w:rsidR="00D25F84" w:rsidRPr="00B61B9D">
        <w:t xml:space="preserve"> was 40</w:t>
      </w:r>
      <w:r w:rsidR="00B4519B">
        <w:t> </w:t>
      </w:r>
      <w:r w:rsidR="00D25F84" w:rsidRPr="00B61B9D">
        <w:t>years (range: 19.0</w:t>
      </w:r>
      <w:r w:rsidR="001B6214" w:rsidRPr="00B61B9D">
        <w:t xml:space="preserve"> to </w:t>
      </w:r>
      <w:r w:rsidR="00D25F84" w:rsidRPr="00B61B9D">
        <w:t>70.0</w:t>
      </w:r>
      <w:r>
        <w:t xml:space="preserve"> years</w:t>
      </w:r>
      <w:r w:rsidR="00D25F84" w:rsidRPr="00B61B9D">
        <w:t xml:space="preserve">); </w:t>
      </w:r>
      <w:r>
        <w:t xml:space="preserve">and the </w:t>
      </w:r>
      <w:r w:rsidR="00D25F84" w:rsidRPr="00B61B9D">
        <w:t>median body-mass index was 28.8 (range: 18.8</w:t>
      </w:r>
      <w:r w:rsidR="001B6214" w:rsidRPr="00B61B9D">
        <w:t xml:space="preserve"> to </w:t>
      </w:r>
      <w:r w:rsidR="00D25F84" w:rsidRPr="00B61B9D">
        <w:t xml:space="preserve">56.4). The median time to first osilodrostat dose since initial </w:t>
      </w:r>
      <w:r w:rsidR="00CA27DB" w:rsidRPr="00B61B9D">
        <w:t>Cushing’s disease</w:t>
      </w:r>
      <w:r w:rsidR="00D25F84" w:rsidRPr="00B61B9D">
        <w:t xml:space="preserve"> diagnosis was 47.2</w:t>
      </w:r>
      <w:r>
        <w:t> </w:t>
      </w:r>
      <w:r w:rsidR="00D25F84" w:rsidRPr="00B61B9D">
        <w:t>months (range: 2.1</w:t>
      </w:r>
      <w:r w:rsidR="001B6214" w:rsidRPr="00B61B9D">
        <w:t xml:space="preserve"> to </w:t>
      </w:r>
      <w:r w:rsidR="00D25F84" w:rsidRPr="00B61B9D">
        <w:t>286.7</w:t>
      </w:r>
      <w:r>
        <w:t xml:space="preserve"> months</w:t>
      </w:r>
      <w:r w:rsidR="00D25F84" w:rsidRPr="00B61B9D">
        <w:t>) and most patients (87.6%) had persistent</w:t>
      </w:r>
      <w:r w:rsidR="001B6214" w:rsidRPr="00B61B9D">
        <w:t xml:space="preserve"> or </w:t>
      </w:r>
      <w:r w:rsidR="00D25F84" w:rsidRPr="00B61B9D">
        <w:t xml:space="preserve">recurrent </w:t>
      </w:r>
      <w:r w:rsidR="00CA27DB" w:rsidRPr="00B61B9D">
        <w:t>Cushing’s disease</w:t>
      </w:r>
      <w:r w:rsidR="00D25F84" w:rsidRPr="00B61B9D">
        <w:t>. The mean standard deviation (SD) m</w:t>
      </w:r>
      <w:r>
        <w:t xml:space="preserve">ean </w:t>
      </w:r>
      <w:r w:rsidR="00D25F84" w:rsidRPr="00B61B9D">
        <w:t>UFC was 1006.0</w:t>
      </w:r>
      <w:r w:rsidR="00B4519B">
        <w:t> </w:t>
      </w:r>
      <w:r w:rsidR="00D25F84" w:rsidRPr="00B61B9D">
        <w:t>nmol/24</w:t>
      </w:r>
      <w:r w:rsidR="00111502" w:rsidRPr="00B61B9D">
        <w:t xml:space="preserve"> </w:t>
      </w:r>
      <w:r w:rsidR="00D25F84" w:rsidRPr="00B61B9D">
        <w:t>h (1589.86); this corresponds to approximately 7</w:t>
      </w:r>
      <w:r>
        <w:t> </w:t>
      </w:r>
      <w:r w:rsidR="00633A16" w:rsidRPr="00B61B9D">
        <w:t>x</w:t>
      </w:r>
      <w:r>
        <w:t> </w:t>
      </w:r>
      <w:r w:rsidR="00D25F84" w:rsidRPr="00B61B9D">
        <w:t>ULN. The median m</w:t>
      </w:r>
      <w:r>
        <w:t xml:space="preserve">ean </w:t>
      </w:r>
      <w:r w:rsidR="00D25F84" w:rsidRPr="00B61B9D">
        <w:t xml:space="preserve">UFC at </w:t>
      </w:r>
      <w:r w:rsidR="00111716" w:rsidRPr="00B61B9D">
        <w:t>Baseline</w:t>
      </w:r>
      <w:r w:rsidR="00D25F84" w:rsidRPr="00B61B9D">
        <w:t xml:space="preserve"> was 476.4 </w:t>
      </w:r>
      <w:r w:rsidRPr="00B61B9D">
        <w:t>nmol/24 h</w:t>
      </w:r>
      <w:r w:rsidRPr="00B61B9D" w:rsidDel="0071736D">
        <w:t xml:space="preserve"> </w:t>
      </w:r>
      <w:r w:rsidR="00D25F84" w:rsidRPr="00B61B9D">
        <w:t>(range: 35.6 to 9611.6); this corresponds to approximately 3.5</w:t>
      </w:r>
      <w:r w:rsidR="001B6214" w:rsidRPr="00B61B9D">
        <w:t xml:space="preserve"> </w:t>
      </w:r>
      <w:r w:rsidR="00633A16" w:rsidRPr="00B61B9D">
        <w:t>x</w:t>
      </w:r>
      <w:r w:rsidR="001B6214" w:rsidRPr="00B61B9D">
        <w:t xml:space="preserve"> </w:t>
      </w:r>
      <w:r w:rsidR="00D25F84" w:rsidRPr="00B61B9D">
        <w:t>ULN.</w:t>
      </w:r>
      <w:r w:rsidR="001B6214" w:rsidRPr="00B61B9D">
        <w:t xml:space="preserve"> </w:t>
      </w:r>
      <w:r w:rsidR="00D25F84" w:rsidRPr="00B61B9D">
        <w:t xml:space="preserve">The demographic and baseline disease characteristics were representative of a patient population with </w:t>
      </w:r>
      <w:r w:rsidR="00CA27DB" w:rsidRPr="00B61B9D">
        <w:t>Cushing’s disease</w:t>
      </w:r>
      <w:r w:rsidR="00D25F84" w:rsidRPr="00B61B9D">
        <w:t>. The disease history and other baseline characteristics were generally well balanced in the patients who were later randomi</w:t>
      </w:r>
      <w:r w:rsidR="00111716" w:rsidRPr="00B61B9D">
        <w:t>s</w:t>
      </w:r>
      <w:r w:rsidR="00D25F84" w:rsidRPr="00B61B9D">
        <w:t xml:space="preserve">ed to osilodrostat or placebo treatment groups during the </w:t>
      </w:r>
      <w:r w:rsidR="007B7183" w:rsidRPr="00B61B9D">
        <w:t>randomisation withdrawal</w:t>
      </w:r>
      <w:r w:rsidR="00D25F84" w:rsidRPr="00B61B9D">
        <w:t xml:space="preserve"> </w:t>
      </w:r>
      <w:r w:rsidR="00EF0366" w:rsidRPr="00B61B9D">
        <w:t>period</w:t>
      </w:r>
      <w:r w:rsidR="00D25F84" w:rsidRPr="00B61B9D">
        <w:t>.</w:t>
      </w:r>
    </w:p>
    <w:p w14:paraId="5CEBAC34" w14:textId="7FABAE91" w:rsidR="0071736D" w:rsidRPr="00B61B9D" w:rsidRDefault="0071736D" w:rsidP="0081047E">
      <w:r>
        <w:t xml:space="preserve">Further baseline data is shown in </w:t>
      </w:r>
      <w:r w:rsidR="009B4A87">
        <w:fldChar w:fldCharType="begin"/>
      </w:r>
      <w:r w:rsidR="009B4A87">
        <w:instrText xml:space="preserve"> REF _Ref117259803 \h </w:instrText>
      </w:r>
      <w:r w:rsidR="009B4A87">
        <w:fldChar w:fldCharType="separate"/>
      </w:r>
      <w:r w:rsidR="009B4A87" w:rsidRPr="00F05753">
        <w:t xml:space="preserve">Table </w:t>
      </w:r>
      <w:r w:rsidR="009B4A87">
        <w:rPr>
          <w:noProof/>
        </w:rPr>
        <w:t>6</w:t>
      </w:r>
      <w:r w:rsidR="009B4A87">
        <w:fldChar w:fldCharType="end"/>
      </w:r>
      <w:r w:rsidR="009B4A87">
        <w:t>,</w:t>
      </w:r>
      <w:r>
        <w:t xml:space="preserve"> below.</w:t>
      </w:r>
    </w:p>
    <w:p w14:paraId="7DED81C0" w14:textId="3F333CDC" w:rsidR="00813A96" w:rsidRPr="00F05753" w:rsidRDefault="00813A96" w:rsidP="00F05753">
      <w:pPr>
        <w:pStyle w:val="TableTitle"/>
      </w:pPr>
      <w:bookmarkStart w:id="50" w:name="_Ref117259803"/>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6</w:t>
      </w:r>
      <w:r w:rsidR="00A12D67">
        <w:rPr>
          <w:noProof/>
        </w:rPr>
        <w:fldChar w:fldCharType="end"/>
      </w:r>
      <w:bookmarkEnd w:id="50"/>
      <w:r w:rsidR="00D25F84" w:rsidRPr="00F05753">
        <w:t xml:space="preserve">: </w:t>
      </w:r>
      <w:r w:rsidR="005F47D9" w:rsidRPr="00F05753">
        <w:t xml:space="preserve">Study C2301 </w:t>
      </w:r>
      <w:r w:rsidR="00D25F84" w:rsidRPr="00F05753">
        <w:t>Demographics summary by randomi</w:t>
      </w:r>
      <w:r w:rsidR="00111716" w:rsidRPr="00F05753">
        <w:t>s</w:t>
      </w:r>
      <w:r w:rsidR="00D25F84" w:rsidRPr="00F05753">
        <w:t>ed treatment group (</w:t>
      </w:r>
      <w:r w:rsidR="005F47D9" w:rsidRPr="00F05753">
        <w:t>full analysis set</w:t>
      </w:r>
      <w:r w:rsidR="00D25F84" w:rsidRPr="00F05753">
        <w:t>)</w:t>
      </w:r>
    </w:p>
    <w:p w14:paraId="627C78F3" w14:textId="6CC132CA" w:rsidR="002D2F7D" w:rsidRPr="00B61B9D" w:rsidRDefault="002D2F7D" w:rsidP="00F05753">
      <w:r>
        <w:rPr>
          <w:noProof/>
          <w:lang w:val="en-GB" w:eastAsia="en-GB"/>
        </w:rPr>
        <w:drawing>
          <wp:inline distT="0" distB="0" distL="0" distR="0" wp14:anchorId="4AC66F6F" wp14:editId="324907BD">
            <wp:extent cx="5064020" cy="7489438"/>
            <wp:effectExtent l="0" t="0" r="3810" b="0"/>
            <wp:docPr id="1" name="Picture 1" descr="Table 6: Study C2301 Demographics summary by randomised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6: Study C2301 Demographics summary by randomised treatment group (full analysis set)"/>
                    <pic:cNvPicPr/>
                  </pic:nvPicPr>
                  <pic:blipFill>
                    <a:blip r:embed="rId24"/>
                    <a:stretch>
                      <a:fillRect/>
                    </a:stretch>
                  </pic:blipFill>
                  <pic:spPr>
                    <a:xfrm>
                      <a:off x="0" y="0"/>
                      <a:ext cx="5076868" cy="7508440"/>
                    </a:xfrm>
                    <a:prstGeom prst="rect">
                      <a:avLst/>
                    </a:prstGeom>
                  </pic:spPr>
                </pic:pic>
              </a:graphicData>
            </a:graphic>
          </wp:inline>
        </w:drawing>
      </w:r>
    </w:p>
    <w:p w14:paraId="5CCA1CF6" w14:textId="7473B276" w:rsidR="00D25F84" w:rsidRPr="00F05753" w:rsidRDefault="002D2F7D" w:rsidP="00F05753">
      <w:pPr>
        <w:pStyle w:val="TableDescription"/>
      </w:pPr>
      <w:r w:rsidRPr="00F05753">
        <w:t>Abbreviations: N = total number of patients enrolled and treated; Max = maximum; Min = minimum; n</w:t>
      </w:r>
      <w:r w:rsidR="0071736D" w:rsidRPr="00F05753">
        <w:t> </w:t>
      </w:r>
      <w:r w:rsidRPr="00F05753">
        <w:t>=</w:t>
      </w:r>
      <w:r w:rsidR="0071736D" w:rsidRPr="00F05753">
        <w:t> </w:t>
      </w:r>
      <w:r w:rsidRPr="00F05753">
        <w:t>number of subjects in subgroups; RW = randomised withdrawal; SD = standard deviation.</w:t>
      </w:r>
    </w:p>
    <w:p w14:paraId="50C5E47B" w14:textId="5CEA3790" w:rsidR="00D25F84" w:rsidRPr="00B61B9D" w:rsidRDefault="00D25F84" w:rsidP="00680EEF">
      <w:pPr>
        <w:pStyle w:val="Heading7"/>
        <w:rPr>
          <w:sz w:val="22"/>
          <w:szCs w:val="28"/>
        </w:rPr>
      </w:pPr>
      <w:r w:rsidRPr="00B61B9D">
        <w:rPr>
          <w:sz w:val="22"/>
          <w:szCs w:val="28"/>
        </w:rPr>
        <w:lastRenderedPageBreak/>
        <w:t>Disease history characteristics</w:t>
      </w:r>
    </w:p>
    <w:p w14:paraId="52DB17BA" w14:textId="72162871" w:rsidR="00D25F84" w:rsidRPr="00B61B9D" w:rsidRDefault="00D25F84" w:rsidP="00680EEF">
      <w:r w:rsidRPr="00B61B9D">
        <w:t xml:space="preserve">The median time to the first osilodrostat dose since initial </w:t>
      </w:r>
      <w:r w:rsidR="00CA27DB" w:rsidRPr="00B61B9D">
        <w:t>Cushing’s disease</w:t>
      </w:r>
      <w:r w:rsidRPr="00B61B9D">
        <w:t xml:space="preserve"> diagnosis was 47.2</w:t>
      </w:r>
      <w:r w:rsidR="001B6214" w:rsidRPr="00B61B9D">
        <w:t> </w:t>
      </w:r>
      <w:r w:rsidRPr="00B61B9D">
        <w:t>months (range: 2.1</w:t>
      </w:r>
      <w:r w:rsidR="001B6214" w:rsidRPr="00B61B9D">
        <w:t xml:space="preserve"> to </w:t>
      </w:r>
      <w:r w:rsidRPr="00B61B9D">
        <w:t>286.7) and most patients (87.6%) had persistent</w:t>
      </w:r>
      <w:r w:rsidR="001B6214" w:rsidRPr="00B61B9D">
        <w:t xml:space="preserve"> or </w:t>
      </w:r>
      <w:r w:rsidRPr="00B61B9D">
        <w:t xml:space="preserve">recurrent </w:t>
      </w:r>
      <w:r w:rsidR="00CA27DB" w:rsidRPr="00B61B9D">
        <w:t>Cushing’s disease</w:t>
      </w:r>
      <w:r w:rsidRPr="00B61B9D">
        <w:t>.</w:t>
      </w:r>
    </w:p>
    <w:p w14:paraId="3A2A1AA1" w14:textId="13550745" w:rsidR="00D25F84" w:rsidRPr="00B61B9D" w:rsidRDefault="00D25F84" w:rsidP="00680EEF">
      <w:r w:rsidRPr="00B61B9D">
        <w:t xml:space="preserve">Overall, 95.6% had received treatment for </w:t>
      </w:r>
      <w:r w:rsidR="00CA27DB" w:rsidRPr="00B61B9D">
        <w:t>Cushing’s disease</w:t>
      </w:r>
      <w:r w:rsidRPr="00B61B9D">
        <w:t xml:space="preserve"> prior to study entry, and 87.6% of patients had previously undergone surgery. </w:t>
      </w:r>
      <w:r w:rsidR="0071736D">
        <w:t>For related surgical history, 45 </w:t>
      </w:r>
      <w:r w:rsidRPr="00B61B9D">
        <w:t xml:space="preserve">patients (32.85%) had at least two previous neurosurgeries and 9 patients (6.57%) had at least three previous neurosurgeries. A large proportion of patients (74.5%) had been treated with other medication for </w:t>
      </w:r>
      <w:r w:rsidR="00CA27DB" w:rsidRPr="00B61B9D">
        <w:t>Cushing’s disease</w:t>
      </w:r>
      <w:r w:rsidRPr="00B61B9D">
        <w:t xml:space="preserve"> prior to study entry (such as ketoconazole, metyrapone, cabergoline and pasireotide.</w:t>
      </w:r>
    </w:p>
    <w:p w14:paraId="7C4C6714" w14:textId="108E8E8B" w:rsidR="00D25F84" w:rsidRPr="00B61B9D" w:rsidRDefault="00D25F84" w:rsidP="00680EEF">
      <w:r w:rsidRPr="00B61B9D">
        <w:t>The mean (SD) m</w:t>
      </w:r>
      <w:r w:rsidR="0071736D">
        <w:t xml:space="preserve">ean </w:t>
      </w:r>
      <w:r w:rsidRPr="00B61B9D">
        <w:t xml:space="preserve">UFC at </w:t>
      </w:r>
      <w:r w:rsidR="00111716" w:rsidRPr="00B61B9D">
        <w:t>Baseline</w:t>
      </w:r>
      <w:r w:rsidRPr="00B61B9D">
        <w:t xml:space="preserve"> was 1006.0 nmol/24</w:t>
      </w:r>
      <w:r w:rsidR="001B6214" w:rsidRPr="00B61B9D">
        <w:t xml:space="preserve"> </w:t>
      </w:r>
      <w:r w:rsidRPr="00B61B9D">
        <w:t>h (1589.86); this corresponds to approximately 7</w:t>
      </w:r>
      <w:r w:rsidR="001B6214" w:rsidRPr="00B61B9D">
        <w:t xml:space="preserve"> </w:t>
      </w:r>
      <w:r w:rsidR="00633A16" w:rsidRPr="00B61B9D">
        <w:t>x</w:t>
      </w:r>
      <w:r w:rsidR="001B6214" w:rsidRPr="00B61B9D">
        <w:t xml:space="preserve"> </w:t>
      </w:r>
      <w:r w:rsidRPr="00B61B9D">
        <w:t>ULN. The median m</w:t>
      </w:r>
      <w:r w:rsidR="0071736D">
        <w:t xml:space="preserve">ean </w:t>
      </w:r>
      <w:r w:rsidRPr="00B61B9D">
        <w:t xml:space="preserve">UFC at </w:t>
      </w:r>
      <w:r w:rsidR="00111716" w:rsidRPr="00B61B9D">
        <w:t>Baseline</w:t>
      </w:r>
      <w:r w:rsidRPr="00B61B9D">
        <w:t xml:space="preserve"> was 476.4</w:t>
      </w:r>
      <w:r w:rsidR="008B3BBB">
        <w:t> </w:t>
      </w:r>
      <w:r w:rsidRPr="00B61B9D">
        <w:t>nmol/24</w:t>
      </w:r>
      <w:r w:rsidR="00DF422D" w:rsidRPr="00B61B9D">
        <w:t xml:space="preserve"> </w:t>
      </w:r>
      <w:r w:rsidRPr="00B61B9D">
        <w:t>h (range:</w:t>
      </w:r>
      <w:r w:rsidR="0071736D">
        <w:t> </w:t>
      </w:r>
      <w:r w:rsidRPr="00B61B9D">
        <w:t>35.6 to 9611.6); this corresponds to approximately 3.5</w:t>
      </w:r>
      <w:r w:rsidR="00DF422D" w:rsidRPr="00B61B9D">
        <w:t xml:space="preserve"> </w:t>
      </w:r>
      <w:r w:rsidR="00633A16" w:rsidRPr="00B61B9D">
        <w:t>x</w:t>
      </w:r>
      <w:r w:rsidR="00DF422D" w:rsidRPr="00B61B9D">
        <w:t xml:space="preserve"> </w:t>
      </w:r>
      <w:r w:rsidRPr="00B61B9D">
        <w:t>ULN.</w:t>
      </w:r>
    </w:p>
    <w:p w14:paraId="1A1B6D3E" w14:textId="7C379A04" w:rsidR="00D25F84" w:rsidRPr="00B61B9D" w:rsidRDefault="00D25F84" w:rsidP="00680EEF">
      <w:pPr>
        <w:pStyle w:val="Heading7"/>
        <w:rPr>
          <w:sz w:val="22"/>
          <w:szCs w:val="28"/>
        </w:rPr>
      </w:pPr>
      <w:r w:rsidRPr="00B61B9D">
        <w:rPr>
          <w:sz w:val="22"/>
          <w:szCs w:val="28"/>
        </w:rPr>
        <w:t>Relevant medical history and current medical conditions</w:t>
      </w:r>
    </w:p>
    <w:p w14:paraId="293AAA7B" w14:textId="3D834E5B" w:rsidR="00D25F84" w:rsidRPr="00B61B9D" w:rsidRDefault="00D25F84" w:rsidP="00680EEF">
      <w:r w:rsidRPr="00B61B9D">
        <w:t>All patients (N</w:t>
      </w:r>
      <w:r w:rsidR="00DF422D" w:rsidRPr="00B61B9D">
        <w:t xml:space="preserve"> </w:t>
      </w:r>
      <w:r w:rsidRPr="00B61B9D">
        <w:t>=</w:t>
      </w:r>
      <w:r w:rsidR="00DF422D" w:rsidRPr="00B61B9D">
        <w:t xml:space="preserve"> </w:t>
      </w:r>
      <w:r w:rsidRPr="00B61B9D">
        <w:t>137) reported at least one relevant medical history</w:t>
      </w:r>
      <w:r w:rsidR="00DF422D" w:rsidRPr="00B61B9D">
        <w:t xml:space="preserve"> or </w:t>
      </w:r>
      <w:r w:rsidRPr="00B61B9D">
        <w:t>current medical condition. Overall, the most common conditions were hypertension (93</w:t>
      </w:r>
      <w:r w:rsidR="00DF422D" w:rsidRPr="00B61B9D">
        <w:t xml:space="preserve"> of </w:t>
      </w:r>
      <w:r w:rsidRPr="00B61B9D">
        <w:t>137, 67.9%), obesity (41</w:t>
      </w:r>
      <w:r w:rsidR="00DF422D" w:rsidRPr="00B61B9D">
        <w:t xml:space="preserve"> of </w:t>
      </w:r>
      <w:r w:rsidRPr="00B61B9D">
        <w:t>137, 29.9%), osteoporosis (38</w:t>
      </w:r>
      <w:r w:rsidR="00DF422D" w:rsidRPr="00B61B9D">
        <w:t xml:space="preserve"> of </w:t>
      </w:r>
      <w:r w:rsidRPr="00B61B9D">
        <w:t>137, 27.7%), diabetes mellitus (30</w:t>
      </w:r>
      <w:r w:rsidR="00DF422D" w:rsidRPr="00B61B9D">
        <w:t xml:space="preserve"> of </w:t>
      </w:r>
      <w:r w:rsidRPr="00B61B9D">
        <w:t>137, 21.9%), depression (27</w:t>
      </w:r>
      <w:r w:rsidR="00DF422D" w:rsidRPr="00B61B9D">
        <w:t xml:space="preserve"> of </w:t>
      </w:r>
      <w:r w:rsidRPr="00B61B9D">
        <w:t>137, 19.7%) and hypothyroidism (25</w:t>
      </w:r>
      <w:r w:rsidR="00DF422D" w:rsidRPr="00B61B9D">
        <w:t xml:space="preserve"> of </w:t>
      </w:r>
      <w:r w:rsidRPr="00B61B9D">
        <w:t>137, 18.2%).</w:t>
      </w:r>
    </w:p>
    <w:p w14:paraId="4AAB0B0C" w14:textId="3FC7733D" w:rsidR="00D25F84" w:rsidRPr="00B61B9D" w:rsidRDefault="00D25F84" w:rsidP="00680EEF">
      <w:r w:rsidRPr="00B61B9D">
        <w:t>Relevant medical histories and current medical conditions were similar in the patients who were later randomi</w:t>
      </w:r>
      <w:r w:rsidR="00111716" w:rsidRPr="00B61B9D">
        <w:t>s</w:t>
      </w:r>
      <w:r w:rsidRPr="00B61B9D">
        <w:t xml:space="preserve">ed to osilodrostat or placebo treatment groups during the </w:t>
      </w:r>
      <w:r w:rsidR="007B7183" w:rsidRPr="00B61B9D">
        <w:t>randomisation withdrawal</w:t>
      </w:r>
      <w:r w:rsidRPr="00B61B9D">
        <w:t xml:space="preserve"> </w:t>
      </w:r>
      <w:r w:rsidR="00EF0366" w:rsidRPr="00B61B9D">
        <w:t>period</w:t>
      </w:r>
      <w:r w:rsidRPr="00B61B9D">
        <w:t>.</w:t>
      </w:r>
    </w:p>
    <w:p w14:paraId="1ED3A773" w14:textId="77777777" w:rsidR="00D25F84" w:rsidRPr="00B61B9D" w:rsidRDefault="00D25F84" w:rsidP="00680EEF">
      <w:pPr>
        <w:pStyle w:val="Heading7"/>
        <w:rPr>
          <w:sz w:val="22"/>
          <w:szCs w:val="28"/>
        </w:rPr>
      </w:pPr>
      <w:r w:rsidRPr="00B61B9D">
        <w:rPr>
          <w:sz w:val="22"/>
          <w:szCs w:val="28"/>
        </w:rPr>
        <w:t>Numbers analysed</w:t>
      </w:r>
    </w:p>
    <w:p w14:paraId="38CBA352" w14:textId="1B832F72" w:rsidR="00D25F84" w:rsidRPr="00F05753" w:rsidRDefault="00813A96" w:rsidP="00F05753">
      <w:pPr>
        <w:pStyle w:val="TableTitle"/>
      </w:pPr>
      <w:r w:rsidRPr="00F05753">
        <w:t xml:space="preserve">Table </w:t>
      </w:r>
      <w:r w:rsidR="00A12D67">
        <w:fldChar w:fldCharType="begin"/>
      </w:r>
      <w:r w:rsidR="00A12D67">
        <w:instrText xml:space="preserve"> SEQ Table \* ARABIC </w:instrText>
      </w:r>
      <w:r w:rsidR="00A12D67">
        <w:fldChar w:fldCharType="separate"/>
      </w:r>
      <w:r w:rsidR="009B4A87">
        <w:rPr>
          <w:noProof/>
        </w:rPr>
        <w:t>7</w:t>
      </w:r>
      <w:r w:rsidR="00A12D67">
        <w:rPr>
          <w:noProof/>
        </w:rPr>
        <w:fldChar w:fldCharType="end"/>
      </w:r>
      <w:r w:rsidR="00D25F84" w:rsidRPr="00F05753">
        <w:t xml:space="preserve">: </w:t>
      </w:r>
      <w:r w:rsidR="002D2F7D" w:rsidRPr="00F05753">
        <w:t xml:space="preserve">Study C2301 </w:t>
      </w:r>
      <w:r w:rsidR="00D25F84" w:rsidRPr="00F05753">
        <w:t>Analysis patient sets by stratum and randomi</w:t>
      </w:r>
      <w:r w:rsidR="00111716" w:rsidRPr="00F05753">
        <w:t>s</w:t>
      </w:r>
      <w:r w:rsidR="00D25F84" w:rsidRPr="00F05753">
        <w:t>ed treatment group (all randomi</w:t>
      </w:r>
      <w:r w:rsidR="00111716" w:rsidRPr="00F05753">
        <w:t>s</w:t>
      </w:r>
      <w:r w:rsidR="00D25F84" w:rsidRPr="00F05753">
        <w:t>ed patients)</w:t>
      </w:r>
    </w:p>
    <w:p w14:paraId="4FB87C93" w14:textId="2DB08E74" w:rsidR="002D2F7D" w:rsidRDefault="002D2F7D" w:rsidP="00F05753">
      <w:r>
        <w:rPr>
          <w:noProof/>
          <w:lang w:val="en-GB" w:eastAsia="en-GB"/>
        </w:rPr>
        <w:drawing>
          <wp:inline distT="0" distB="0" distL="0" distR="0" wp14:anchorId="68E6EBD4" wp14:editId="45E03DA4">
            <wp:extent cx="5317671" cy="1888490"/>
            <wp:effectExtent l="0" t="0" r="0" b="0"/>
            <wp:docPr id="42" name="Picture 42" descr="Table 7: Study C2301 Analysis patient sets by stratum and randomised treatment group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7: Study C2301 Analysis patient sets by stratum and randomised treatment group (all randomised patients)"/>
                    <pic:cNvPicPr/>
                  </pic:nvPicPr>
                  <pic:blipFill>
                    <a:blip r:embed="rId25"/>
                    <a:stretch>
                      <a:fillRect/>
                    </a:stretch>
                  </pic:blipFill>
                  <pic:spPr>
                    <a:xfrm>
                      <a:off x="0" y="0"/>
                      <a:ext cx="5319471" cy="1889129"/>
                    </a:xfrm>
                    <a:prstGeom prst="rect">
                      <a:avLst/>
                    </a:prstGeom>
                  </pic:spPr>
                </pic:pic>
              </a:graphicData>
            </a:graphic>
          </wp:inline>
        </w:drawing>
      </w:r>
    </w:p>
    <w:p w14:paraId="774551A2" w14:textId="151B4C44" w:rsidR="00D25F84" w:rsidRPr="00F05753" w:rsidRDefault="002D2F7D" w:rsidP="00F05753">
      <w:pPr>
        <w:pStyle w:val="TableDescription"/>
      </w:pPr>
      <w:r w:rsidRPr="00F05753">
        <w:t>Abbreviations: FAS = full analysis set; N = total number of patients enrolled and treated; n = number of subjects in subgroups; RAS = randomised analysis set; RW = randomised withdrawal.</w:t>
      </w:r>
    </w:p>
    <w:p w14:paraId="3F0AC7FD" w14:textId="2D35A576" w:rsidR="002D2F7D" w:rsidRPr="00F05753" w:rsidRDefault="002D2F7D" w:rsidP="00F05753">
      <w:pPr>
        <w:pStyle w:val="TableDescription"/>
      </w:pPr>
      <w:r w:rsidRPr="00F05753">
        <w:t xml:space="preserve">One patient was randomised to placebo, never received treatment and withdrew from the study during the </w:t>
      </w:r>
      <w:r w:rsidR="00ED6319" w:rsidRPr="00F05753">
        <w:t xml:space="preserve">randomised withdrawal </w:t>
      </w:r>
      <w:r w:rsidRPr="00F05753">
        <w:t>period on Day 220.</w:t>
      </w:r>
    </w:p>
    <w:p w14:paraId="04252A2A" w14:textId="1AC21B0D" w:rsidR="002D2F7D" w:rsidRPr="00F05753" w:rsidRDefault="002D2F7D" w:rsidP="00F05753">
      <w:pPr>
        <w:pStyle w:val="TableDescription"/>
      </w:pPr>
      <w:r w:rsidRPr="00F05753">
        <w:t>Randomised strata are based on assignment from interactive voice response.</w:t>
      </w:r>
    </w:p>
    <w:p w14:paraId="3959B3AE" w14:textId="76CAA25A" w:rsidR="00D25F84" w:rsidRPr="00B61B9D" w:rsidRDefault="00D25F84" w:rsidP="00680EEF">
      <w:pPr>
        <w:pStyle w:val="Heading6"/>
      </w:pPr>
      <w:r w:rsidRPr="00B61B9D">
        <w:t xml:space="preserve">Primary efficacy results </w:t>
      </w:r>
      <w:r w:rsidR="00DF422D" w:rsidRPr="00B61B9D">
        <w:t>(</w:t>
      </w:r>
      <w:r w:rsidRPr="00B61B9D">
        <w:t>Week 34 complete response rate</w:t>
      </w:r>
      <w:r w:rsidR="00DF422D" w:rsidRPr="00B61B9D">
        <w:t xml:space="preserve"> of </w:t>
      </w:r>
      <w:r w:rsidRPr="00B61B9D">
        <w:t>Study C2301</w:t>
      </w:r>
      <w:r w:rsidR="00DF422D" w:rsidRPr="00B61B9D">
        <w:t>)</w:t>
      </w:r>
    </w:p>
    <w:p w14:paraId="414EEF8E" w14:textId="0772F429" w:rsidR="00D25F84" w:rsidRPr="00B61B9D" w:rsidRDefault="00D25F84" w:rsidP="00680EEF">
      <w:r w:rsidRPr="00B61B9D">
        <w:t xml:space="preserve">The primary efficacy endpoint was met. The null hypothesis that the complete response rates at the end of 8-week </w:t>
      </w:r>
      <w:r w:rsidR="007B7183" w:rsidRPr="00B61B9D">
        <w:t>randomisation withdrawal</w:t>
      </w:r>
      <w:r w:rsidRPr="00B61B9D">
        <w:t xml:space="preserve"> </w:t>
      </w:r>
      <w:r w:rsidR="00EF0366" w:rsidRPr="00B61B9D">
        <w:t>period</w:t>
      </w:r>
      <w:r w:rsidRPr="00B61B9D">
        <w:t xml:space="preserve"> (</w:t>
      </w:r>
      <w:r w:rsidR="00111716" w:rsidRPr="00B61B9D">
        <w:t>that is</w:t>
      </w:r>
      <w:r w:rsidRPr="00B61B9D">
        <w:t>, at Week 34) were the same between the two randomi</w:t>
      </w:r>
      <w:r w:rsidR="00111716" w:rsidRPr="00B61B9D">
        <w:t>s</w:t>
      </w:r>
      <w:r w:rsidRPr="00B61B9D">
        <w:t>ed groups was rejected.</w:t>
      </w:r>
    </w:p>
    <w:p w14:paraId="0C48F028" w14:textId="6C116B30" w:rsidR="00D25F84" w:rsidRPr="00B61B9D" w:rsidRDefault="00D25F84" w:rsidP="00680EEF">
      <w:r w:rsidRPr="00B61B9D">
        <w:t xml:space="preserve">Osilodrostat was superior to placebo at Week 34, the end of the </w:t>
      </w:r>
      <w:r w:rsidR="007B7183" w:rsidRPr="00B61B9D">
        <w:t>randomisation withdrawal</w:t>
      </w:r>
      <w:r w:rsidRPr="00B61B9D">
        <w:t xml:space="preserve"> period, in maintaining biochemical control (m</w:t>
      </w:r>
      <w:r w:rsidR="0071736D">
        <w:t xml:space="preserve">ean </w:t>
      </w:r>
      <w:r w:rsidRPr="00B61B9D">
        <w:t xml:space="preserve">UFC to ≤ ULN) in patients with </w:t>
      </w:r>
      <w:r w:rsidR="00CA27DB" w:rsidRPr="00B61B9D">
        <w:t>Cushing’s disease</w:t>
      </w:r>
      <w:r w:rsidRPr="00B61B9D">
        <w:t xml:space="preserve"> showing statistical significance (Cochran-Mantel-Haenszel exact test 2-sided </w:t>
      </w:r>
      <w:r w:rsidRPr="00B61B9D">
        <w:lastRenderedPageBreak/>
        <w:t>p</w:t>
      </w:r>
      <w:r w:rsidR="00DF422D" w:rsidRPr="00B61B9D">
        <w:t> </w:t>
      </w:r>
      <w:r w:rsidRPr="00B61B9D">
        <w:t>&lt;</w:t>
      </w:r>
      <w:r w:rsidR="00DF422D" w:rsidRPr="00B61B9D">
        <w:t> </w:t>
      </w:r>
      <w:r w:rsidRPr="00B61B9D">
        <w:t>0.001)</w:t>
      </w:r>
      <w:r w:rsidR="00D5103B" w:rsidRPr="00B61B9D">
        <w:rPr>
          <w:rStyle w:val="CommentReference"/>
        </w:rPr>
        <w:t>.</w:t>
      </w:r>
      <w:r w:rsidRPr="00B61B9D">
        <w:t xml:space="preserve"> The complete response rate in the osilodrostat arm was higher at 86.1% (95%</w:t>
      </w:r>
      <w:r w:rsidR="0071736D">
        <w:t> </w:t>
      </w:r>
      <w:r w:rsidR="00877939" w:rsidRPr="00B61B9D">
        <w:t>confidence interval (</w:t>
      </w:r>
      <w:r w:rsidRPr="00B61B9D">
        <w:t>CI</w:t>
      </w:r>
      <w:r w:rsidR="00877939" w:rsidRPr="00B61B9D">
        <w:t>)</w:t>
      </w:r>
      <w:r w:rsidRPr="00B61B9D">
        <w:t>: 70.5, 95.3) than that in the placebo arm at 29.4% (95%</w:t>
      </w:r>
      <w:r w:rsidR="0071736D">
        <w:t> </w:t>
      </w:r>
      <w:r w:rsidRPr="00B61B9D">
        <w:t>CI:</w:t>
      </w:r>
      <w:r w:rsidR="0071736D">
        <w:t> </w:t>
      </w:r>
      <w:r w:rsidRPr="00B61B9D">
        <w:t xml:space="preserve">15.1, 47.5) (odds ratio of osilodrostat </w:t>
      </w:r>
      <w:r w:rsidR="007B7183" w:rsidRPr="00B61B9D">
        <w:t>versus</w:t>
      </w:r>
      <w:r w:rsidRPr="00B61B9D">
        <w:t xml:space="preserve"> placebo = 13.7; 95% CI: 3.7, 53.4). Ten patients in the placebo arm (29.4%) did not lose m</w:t>
      </w:r>
      <w:r w:rsidR="0071736D">
        <w:t xml:space="preserve">ean </w:t>
      </w:r>
      <w:r w:rsidRPr="00B61B9D">
        <w:t xml:space="preserve">UFC control at the end of the </w:t>
      </w:r>
      <w:r w:rsidR="007B7183" w:rsidRPr="00B61B9D">
        <w:t>randomisation withdrawal</w:t>
      </w:r>
      <w:r w:rsidRPr="00B61B9D">
        <w:t xml:space="preserve"> </w:t>
      </w:r>
      <w:r w:rsidR="00EF0366" w:rsidRPr="00B61B9D">
        <w:t>period</w:t>
      </w:r>
      <w:r w:rsidRPr="00B61B9D">
        <w:t>. In 9</w:t>
      </w:r>
      <w:r w:rsidR="00DF422D" w:rsidRPr="00B61B9D">
        <w:t xml:space="preserve"> of </w:t>
      </w:r>
      <w:r w:rsidRPr="00B61B9D">
        <w:t>10 patients, m</w:t>
      </w:r>
      <w:r w:rsidR="0071736D">
        <w:t xml:space="preserve">ean </w:t>
      </w:r>
      <w:r w:rsidRPr="00B61B9D">
        <w:t>UFC increased at the end of Week 34 close to the ULN. This finding was expected considering the individual response in m</w:t>
      </w:r>
      <w:r w:rsidR="0071736D">
        <w:t xml:space="preserve">ean </w:t>
      </w:r>
      <w:r w:rsidRPr="00B61B9D">
        <w:t>UFC. This is also consistent with the observation in Study C2201 where mean m</w:t>
      </w:r>
      <w:r w:rsidR="0071736D">
        <w:t xml:space="preserve">ean </w:t>
      </w:r>
      <w:r w:rsidRPr="00B61B9D">
        <w:t xml:space="preserve">UFC returned to </w:t>
      </w:r>
      <w:r w:rsidR="00111716" w:rsidRPr="00B61B9D">
        <w:t>Baseline</w:t>
      </w:r>
      <w:r w:rsidRPr="00B61B9D">
        <w:t xml:space="preserve"> after 2</w:t>
      </w:r>
      <w:r w:rsidR="00DF422D" w:rsidRPr="00B61B9D">
        <w:t> </w:t>
      </w:r>
      <w:r w:rsidRPr="00B61B9D">
        <w:t>weeks following discontinuation of osilodrostat, although some patients-maintained UFC</w:t>
      </w:r>
      <w:r w:rsidR="00DF422D" w:rsidRPr="00B61B9D">
        <w:t> </w:t>
      </w:r>
      <w:r w:rsidRPr="00B61B9D">
        <w:t>&lt;</w:t>
      </w:r>
      <w:r w:rsidR="00DF422D" w:rsidRPr="00B61B9D">
        <w:t> </w:t>
      </w:r>
      <w:r w:rsidRPr="00B61B9D">
        <w:t>ULN for a longer period.</w:t>
      </w:r>
    </w:p>
    <w:p w14:paraId="6531F2A4" w14:textId="1108774C" w:rsidR="00D25F84" w:rsidRPr="00F05753" w:rsidRDefault="00813A96" w:rsidP="00F05753">
      <w:pPr>
        <w:pStyle w:val="TableTitle"/>
      </w:pPr>
      <w:r w:rsidRPr="00F05753">
        <w:t xml:space="preserve">Table </w:t>
      </w:r>
      <w:r w:rsidR="00A12D67">
        <w:fldChar w:fldCharType="begin"/>
      </w:r>
      <w:r w:rsidR="00A12D67">
        <w:instrText xml:space="preserve"> SEQ Table \* ARABIC </w:instrText>
      </w:r>
      <w:r w:rsidR="00A12D67">
        <w:fldChar w:fldCharType="separate"/>
      </w:r>
      <w:r w:rsidR="009B4A87">
        <w:rPr>
          <w:noProof/>
        </w:rPr>
        <w:t>8</w:t>
      </w:r>
      <w:r w:rsidR="00A12D67">
        <w:rPr>
          <w:noProof/>
        </w:rPr>
        <w:fldChar w:fldCharType="end"/>
      </w:r>
      <w:r w:rsidR="00D25F84" w:rsidRPr="00F05753">
        <w:t xml:space="preserve">: </w:t>
      </w:r>
      <w:r w:rsidR="005F47D9" w:rsidRPr="00F05753">
        <w:t xml:space="preserve">Study C2301 </w:t>
      </w:r>
      <w:r w:rsidR="00D25F84" w:rsidRPr="00F05753">
        <w:t>Proportion of primary efficacy responder at Week 34 (end of randomi</w:t>
      </w:r>
      <w:r w:rsidR="00111716" w:rsidRPr="00F05753">
        <w:t>s</w:t>
      </w:r>
      <w:r w:rsidR="00D25F84" w:rsidRPr="00F05753">
        <w:t>ed withdrawal) by randomi</w:t>
      </w:r>
      <w:r w:rsidR="00111716" w:rsidRPr="00F05753">
        <w:t>s</w:t>
      </w:r>
      <w:r w:rsidR="00D25F84" w:rsidRPr="00F05753">
        <w:t>ed treatment and strata (</w:t>
      </w:r>
      <w:r w:rsidR="00614EBD" w:rsidRPr="00F05753">
        <w:t>r</w:t>
      </w:r>
      <w:r w:rsidR="005F47D9" w:rsidRPr="00F05753">
        <w:t>andomised analysis set</w:t>
      </w:r>
      <w:r w:rsidR="00D25F84" w:rsidRPr="00F05753">
        <w:t>)</w:t>
      </w:r>
    </w:p>
    <w:p w14:paraId="5CD5692D" w14:textId="75069975" w:rsidR="00614EBD" w:rsidRDefault="00614EBD" w:rsidP="00F05753">
      <w:r>
        <w:rPr>
          <w:noProof/>
          <w:lang w:val="en-GB" w:eastAsia="en-GB"/>
        </w:rPr>
        <w:drawing>
          <wp:inline distT="0" distB="0" distL="0" distR="0" wp14:anchorId="3513ADA7" wp14:editId="378C433A">
            <wp:extent cx="5400040" cy="975995"/>
            <wp:effectExtent l="0" t="0" r="0" b="0"/>
            <wp:docPr id="8" name="Picture 8" descr="Table 8: Study C2301 Proportion of primary efficacy responder at Week 34 (end of randomised withdrawal) by randomised treatment and strata (randomis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8: Study C2301 Proportion of primary efficacy responder at Week 34 (end of randomised withdrawal) by randomised treatment and strata (randomised analysis set)"/>
                    <pic:cNvPicPr/>
                  </pic:nvPicPr>
                  <pic:blipFill>
                    <a:blip r:embed="rId26"/>
                    <a:stretch>
                      <a:fillRect/>
                    </a:stretch>
                  </pic:blipFill>
                  <pic:spPr>
                    <a:xfrm>
                      <a:off x="0" y="0"/>
                      <a:ext cx="5400040" cy="975995"/>
                    </a:xfrm>
                    <a:prstGeom prst="rect">
                      <a:avLst/>
                    </a:prstGeom>
                  </pic:spPr>
                </pic:pic>
              </a:graphicData>
            </a:graphic>
          </wp:inline>
        </w:drawing>
      </w:r>
    </w:p>
    <w:p w14:paraId="7FE64F9D" w14:textId="7BCC10FB" w:rsidR="00614EBD" w:rsidRPr="00F05753" w:rsidRDefault="00614EBD" w:rsidP="00F05753">
      <w:pPr>
        <w:pStyle w:val="TableDescription"/>
      </w:pPr>
      <w:r w:rsidRPr="00F05753">
        <w:t>Abbreviations: CI = confidence interval; CMH = Cochran-Mantel-Haenszel; N = number of subjects; RAS</w:t>
      </w:r>
      <w:r w:rsidR="00732EAB" w:rsidRPr="00F05753">
        <w:t> </w:t>
      </w:r>
      <w:r w:rsidRPr="00F05753">
        <w:t>=</w:t>
      </w:r>
      <w:r w:rsidR="00732EAB" w:rsidRPr="00F05753">
        <w:t> </w:t>
      </w:r>
      <w:r w:rsidRPr="00F05753">
        <w:t>randomised analysis set.</w:t>
      </w:r>
    </w:p>
    <w:p w14:paraId="6A556945" w14:textId="6139E80D" w:rsidR="00614EBD" w:rsidRPr="00F05753" w:rsidRDefault="00614EBD" w:rsidP="00F05753">
      <w:pPr>
        <w:pStyle w:val="TableDescription"/>
      </w:pPr>
      <w:r w:rsidRPr="00F05753">
        <w:t>1</w:t>
      </w:r>
      <w:r w:rsidR="00732EAB" w:rsidRPr="00F05753">
        <w:t>.</w:t>
      </w:r>
      <w:r w:rsidRPr="00F05753">
        <w:t xml:space="preserve"> Two-sided 95% CIs are based on the exact (Clopper-Pearson) method.</w:t>
      </w:r>
    </w:p>
    <w:p w14:paraId="491055B9" w14:textId="023669DB" w:rsidR="00614EBD" w:rsidRPr="00F05753" w:rsidRDefault="00614EBD" w:rsidP="00F05753">
      <w:pPr>
        <w:pStyle w:val="TableDescription"/>
      </w:pPr>
      <w:r w:rsidRPr="00F05753">
        <w:t>A primary efficacy responder is defined as a randomi</w:t>
      </w:r>
      <w:r w:rsidR="00554DAA" w:rsidRPr="00F05753">
        <w:t>s</w:t>
      </w:r>
      <w:r w:rsidRPr="00F05753">
        <w:t xml:space="preserve">ed patient who has </w:t>
      </w:r>
      <w:r w:rsidR="001438B5" w:rsidRPr="00F05753">
        <w:t xml:space="preserve">mean </w:t>
      </w:r>
      <w:r w:rsidRPr="00F05753">
        <w:t>urinary free cortisol ≤</w:t>
      </w:r>
      <w:r w:rsidR="001438B5" w:rsidRPr="00F05753">
        <w:t> </w:t>
      </w:r>
      <w:r w:rsidRPr="00F05753">
        <w:t>upper limit of normal at Week 34 and who was neither discontinued (study or randomised withdrawal treatment) nor had osilodrostat dose increase above the level at Week 26 during the randomised withdrawal period of the study. Patients who discontinued during the randomi</w:t>
      </w:r>
      <w:r w:rsidR="00554DAA" w:rsidRPr="00F05753">
        <w:t>s</w:t>
      </w:r>
      <w:r w:rsidRPr="00F05753">
        <w:t>ed withdrawal period were counted as non-responders for primary efficacy.</w:t>
      </w:r>
    </w:p>
    <w:p w14:paraId="048BC2A8" w14:textId="6211B9C6" w:rsidR="00D25F84" w:rsidRPr="00B61B9D" w:rsidRDefault="00D25F84" w:rsidP="00680EEF">
      <w:pPr>
        <w:pStyle w:val="Heading7"/>
        <w:rPr>
          <w:sz w:val="22"/>
          <w:szCs w:val="28"/>
        </w:rPr>
      </w:pPr>
      <w:r w:rsidRPr="00B61B9D">
        <w:rPr>
          <w:sz w:val="22"/>
          <w:szCs w:val="28"/>
        </w:rPr>
        <w:t>Supportive analysis for the primary endpoint</w:t>
      </w:r>
    </w:p>
    <w:p w14:paraId="00B76440" w14:textId="06E67A72" w:rsidR="00D25F84" w:rsidRPr="00B61B9D" w:rsidRDefault="00D25F84" w:rsidP="00680EEF">
      <w:r w:rsidRPr="00B61B9D">
        <w:t>The robustness of the primary analysis was confirmed by the predefined supportive analyses, one based on the RAS and one based on the PPRAS, further supporting the efficacy of osilodrostat in controlling the notably high m</w:t>
      </w:r>
      <w:r w:rsidR="00732EAB">
        <w:t xml:space="preserve">ean </w:t>
      </w:r>
      <w:r w:rsidRPr="00B61B9D">
        <w:t xml:space="preserve">UFC values in patients with </w:t>
      </w:r>
      <w:r w:rsidR="00CA27DB" w:rsidRPr="00B61B9D">
        <w:t>Cushing’s disease</w:t>
      </w:r>
      <w:r w:rsidRPr="00B61B9D">
        <w:t>.</w:t>
      </w:r>
    </w:p>
    <w:p w14:paraId="168DAE17" w14:textId="067E671B" w:rsidR="00D25F84" w:rsidRPr="00B61B9D" w:rsidRDefault="00D25F84" w:rsidP="00680EEF">
      <w:pPr>
        <w:pStyle w:val="Heading6"/>
      </w:pPr>
      <w:r w:rsidRPr="00B61B9D">
        <w:t xml:space="preserve">Key secondary results </w:t>
      </w:r>
      <w:r w:rsidR="00DF422D" w:rsidRPr="00B61B9D">
        <w:t>(</w:t>
      </w:r>
      <w:r w:rsidRPr="00B61B9D">
        <w:t>Week 24 complete response rate</w:t>
      </w:r>
      <w:r w:rsidR="00DF422D" w:rsidRPr="00B61B9D">
        <w:t xml:space="preserve"> of </w:t>
      </w:r>
      <w:r w:rsidRPr="00B61B9D">
        <w:t>Study C2301</w:t>
      </w:r>
      <w:r w:rsidR="00DF422D" w:rsidRPr="00B61B9D">
        <w:t>)</w:t>
      </w:r>
    </w:p>
    <w:p w14:paraId="545C5CBB" w14:textId="3496A626" w:rsidR="00D25F84" w:rsidRPr="00B61B9D" w:rsidRDefault="00D25F84" w:rsidP="00680EEF">
      <w:r w:rsidRPr="00B61B9D">
        <w:t>The study also met its key secondary objective. At Week 24, 72 patients (52.6%) were responders in the FAS (95% 2-sided CI: 43.9, 61.1). The lower bound of the 95% CI was above the pre-specified threshold for significant clinical benefit (</w:t>
      </w:r>
      <w:r w:rsidR="00111716" w:rsidRPr="00B61B9D">
        <w:t>that is</w:t>
      </w:r>
      <w:r w:rsidRPr="00B61B9D">
        <w:t>, ≥</w:t>
      </w:r>
      <w:r w:rsidR="00732EAB">
        <w:t> </w:t>
      </w:r>
      <w:r w:rsidRPr="00B61B9D">
        <w:t>30%). However, the number of controlled patients at Week 24 was 93</w:t>
      </w:r>
      <w:r w:rsidR="00DF422D" w:rsidRPr="00B61B9D">
        <w:t xml:space="preserve"> of </w:t>
      </w:r>
      <w:r w:rsidRPr="00B61B9D">
        <w:t>137 (67.9%). Hence an additional 21</w:t>
      </w:r>
      <w:r w:rsidR="00DF422D" w:rsidRPr="00B61B9D">
        <w:t> </w:t>
      </w:r>
      <w:r w:rsidRPr="00B61B9D">
        <w:t>patients had normal m</w:t>
      </w:r>
      <w:r w:rsidR="00732EAB">
        <w:t xml:space="preserve">ean </w:t>
      </w:r>
      <w:r w:rsidRPr="00B61B9D">
        <w:t>UFC at Week 24, but they were not considered eligible for randomi</w:t>
      </w:r>
      <w:r w:rsidR="00111716" w:rsidRPr="00B61B9D">
        <w:t>s</w:t>
      </w:r>
      <w:r w:rsidRPr="00B61B9D">
        <w:t>ation.</w:t>
      </w:r>
    </w:p>
    <w:p w14:paraId="1C161AEA" w14:textId="79CCBD56" w:rsidR="00D25F84" w:rsidRPr="00B61B9D" w:rsidRDefault="00D25F84" w:rsidP="00680EEF">
      <w:pPr>
        <w:pStyle w:val="Heading7"/>
        <w:rPr>
          <w:sz w:val="22"/>
          <w:szCs w:val="28"/>
        </w:rPr>
      </w:pPr>
      <w:r w:rsidRPr="00B61B9D">
        <w:rPr>
          <w:sz w:val="22"/>
          <w:szCs w:val="28"/>
        </w:rPr>
        <w:t xml:space="preserve">Main </w:t>
      </w:r>
      <w:r w:rsidR="00DF422D" w:rsidRPr="00B61B9D">
        <w:rPr>
          <w:sz w:val="22"/>
          <w:szCs w:val="28"/>
        </w:rPr>
        <w:t>secondary efficacy results (</w:t>
      </w:r>
      <w:r w:rsidRPr="00B61B9D">
        <w:rPr>
          <w:sz w:val="22"/>
          <w:szCs w:val="28"/>
        </w:rPr>
        <w:t>Study C2301</w:t>
      </w:r>
      <w:r w:rsidR="00DF422D" w:rsidRPr="00B61B9D">
        <w:rPr>
          <w:sz w:val="22"/>
          <w:szCs w:val="28"/>
        </w:rPr>
        <w:t>)</w:t>
      </w:r>
    </w:p>
    <w:p w14:paraId="17133F7A" w14:textId="24AB63C9" w:rsidR="00D25F84" w:rsidRPr="00B61B9D" w:rsidRDefault="00D25F84" w:rsidP="00680EEF">
      <w:pPr>
        <w:pStyle w:val="Heading7"/>
        <w:rPr>
          <w:sz w:val="22"/>
          <w:szCs w:val="28"/>
        </w:rPr>
      </w:pPr>
      <w:r w:rsidRPr="00B61B9D">
        <w:rPr>
          <w:sz w:val="22"/>
          <w:szCs w:val="28"/>
        </w:rPr>
        <w:t>Proportion of m</w:t>
      </w:r>
      <w:r w:rsidR="00732EAB">
        <w:rPr>
          <w:sz w:val="22"/>
          <w:szCs w:val="28"/>
        </w:rPr>
        <w:t xml:space="preserve">ean </w:t>
      </w:r>
      <w:r w:rsidR="001438B5" w:rsidRPr="001438B5">
        <w:rPr>
          <w:sz w:val="22"/>
          <w:szCs w:val="28"/>
        </w:rPr>
        <w:t xml:space="preserve">urinary free cortisol </w:t>
      </w:r>
      <w:r w:rsidRPr="00B61B9D">
        <w:rPr>
          <w:sz w:val="22"/>
          <w:szCs w:val="28"/>
        </w:rPr>
        <w:t>responders over time</w:t>
      </w:r>
    </w:p>
    <w:p w14:paraId="5876F533" w14:textId="5E1FDCD3" w:rsidR="00D25F84" w:rsidRPr="00B61B9D" w:rsidRDefault="00D25F84" w:rsidP="00680EEF">
      <w:r w:rsidRPr="00B61B9D">
        <w:t>The proportion of patients with m</w:t>
      </w:r>
      <w:r w:rsidR="00732EAB">
        <w:t xml:space="preserve">ean </w:t>
      </w:r>
      <w:r w:rsidRPr="00B61B9D">
        <w:t>UFC ≤ ULN responding to treatment with osilodrostat remained consistent over time for ‘</w:t>
      </w:r>
      <w:r w:rsidR="00DF422D" w:rsidRPr="00B61B9D">
        <w:t>all patients’</w:t>
      </w:r>
      <w:r w:rsidRPr="00B61B9D">
        <w:t>, patients without prior surgery and patients in the non-randomi</w:t>
      </w:r>
      <w:r w:rsidR="00111716" w:rsidRPr="00B61B9D">
        <w:t>s</w:t>
      </w:r>
      <w:r w:rsidRPr="00B61B9D">
        <w:t>ed arm</w:t>
      </w:r>
      <w:r w:rsidR="001438B5">
        <w:t>.</w:t>
      </w:r>
    </w:p>
    <w:p w14:paraId="591E2D0A" w14:textId="2D44F9E2" w:rsidR="00D25F84" w:rsidRPr="00F05753" w:rsidRDefault="00813A96" w:rsidP="00F05753">
      <w:pPr>
        <w:pStyle w:val="TableTitle"/>
      </w:pPr>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9</w:t>
      </w:r>
      <w:r w:rsidR="00A12D67">
        <w:rPr>
          <w:noProof/>
        </w:rPr>
        <w:fldChar w:fldCharType="end"/>
      </w:r>
      <w:r w:rsidR="00D25F84" w:rsidRPr="00F05753">
        <w:t xml:space="preserve">: </w:t>
      </w:r>
      <w:r w:rsidR="00A427A8" w:rsidRPr="00F05753">
        <w:t xml:space="preserve">Study C2301 </w:t>
      </w:r>
      <w:r w:rsidR="00D25F84" w:rsidRPr="00F05753">
        <w:t xml:space="preserve">Proportion of </w:t>
      </w:r>
      <w:r w:rsidR="00E72CD4" w:rsidRPr="00F05753">
        <w:t>mean urinary free cortisol</w:t>
      </w:r>
      <w:r w:rsidR="00D25F84" w:rsidRPr="00F05753">
        <w:t xml:space="preserve"> responders over time</w:t>
      </w:r>
    </w:p>
    <w:p w14:paraId="2FD5D9F9" w14:textId="46406DA8" w:rsidR="00A427A8" w:rsidRDefault="00A427A8" w:rsidP="00F05753">
      <w:r>
        <w:rPr>
          <w:noProof/>
          <w:lang w:val="en-GB" w:eastAsia="en-GB"/>
        </w:rPr>
        <w:drawing>
          <wp:inline distT="0" distB="0" distL="0" distR="0" wp14:anchorId="1AEC832C" wp14:editId="1E898D80">
            <wp:extent cx="4834551" cy="4655397"/>
            <wp:effectExtent l="0" t="0" r="4445" b="0"/>
            <wp:docPr id="43" name="Picture 43" descr="Table 9: Study C2301 Proportion of mean urinary free cortisol responder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9: Study C2301 Proportion of mean urinary free cortisol responders over time"/>
                    <pic:cNvPicPr/>
                  </pic:nvPicPr>
                  <pic:blipFill>
                    <a:blip r:embed="rId27"/>
                    <a:stretch>
                      <a:fillRect/>
                    </a:stretch>
                  </pic:blipFill>
                  <pic:spPr>
                    <a:xfrm>
                      <a:off x="0" y="0"/>
                      <a:ext cx="4842079" cy="4662646"/>
                    </a:xfrm>
                    <a:prstGeom prst="rect">
                      <a:avLst/>
                    </a:prstGeom>
                  </pic:spPr>
                </pic:pic>
              </a:graphicData>
            </a:graphic>
          </wp:inline>
        </w:drawing>
      </w:r>
    </w:p>
    <w:p w14:paraId="30BBACFC" w14:textId="41B34CCC" w:rsidR="00A427A8" w:rsidRPr="00F05753" w:rsidRDefault="00A427A8" w:rsidP="00F05753">
      <w:pPr>
        <w:pStyle w:val="TableDescription"/>
      </w:pPr>
      <w:r w:rsidRPr="00F05753">
        <w:t>Abbreviations: CI = confidence interval; N = total number of patients enrolled and treated; n = number of subjects in subgroups; N/A = not available.</w:t>
      </w:r>
    </w:p>
    <w:p w14:paraId="644D33ED" w14:textId="28EB7BCF" w:rsidR="00D25F84" w:rsidRPr="00B61B9D" w:rsidRDefault="00D25F84" w:rsidP="00A427A8">
      <w:pPr>
        <w:jc w:val="both"/>
      </w:pPr>
      <w:r w:rsidRPr="00B61B9D">
        <w:t>Up to the time of the last available assessment, response rates were consistent with those for ‘</w:t>
      </w:r>
      <w:r w:rsidR="00DF422D" w:rsidRPr="00B61B9D">
        <w:t xml:space="preserve">all patients’ </w:t>
      </w:r>
      <w:r w:rsidRPr="00B61B9D">
        <w:t>at Week 12. An overall response rate of 88.3% (95% CI: 81.73, 93.18) with 71.5% (98</w:t>
      </w:r>
      <w:r w:rsidR="00DF422D" w:rsidRPr="00B61B9D">
        <w:t xml:space="preserve"> of </w:t>
      </w:r>
      <w:r w:rsidRPr="00B61B9D">
        <w:t>137) (95% CI: 63.20, 78.91) being complete responders and 16.8% (23</w:t>
      </w:r>
      <w:r w:rsidR="00DF422D" w:rsidRPr="00B61B9D">
        <w:t xml:space="preserve"> of </w:t>
      </w:r>
      <w:r w:rsidRPr="00B61B9D">
        <w:t>137) being partial responders (95% CI: 10.95, 24.12).</w:t>
      </w:r>
    </w:p>
    <w:p w14:paraId="00CE08C2" w14:textId="52F0D406" w:rsidR="00D25F84" w:rsidRPr="00B61B9D" w:rsidRDefault="00D25F84" w:rsidP="00680EEF">
      <w:r w:rsidRPr="00B61B9D">
        <w:t>The durability of response rate was evident with 64 patients (66.0%) in the FAS who had initial normali</w:t>
      </w:r>
      <w:r w:rsidR="00111716" w:rsidRPr="00B61B9D">
        <w:t>s</w:t>
      </w:r>
      <w:r w:rsidRPr="00B61B9D">
        <w:t xml:space="preserve">ation of </w:t>
      </w:r>
      <w:r w:rsidR="009861EF">
        <w:t xml:space="preserve">mean </w:t>
      </w:r>
      <w:r w:rsidRPr="00B61B9D">
        <w:t>UFC were still considered to be responders after at least 6</w:t>
      </w:r>
      <w:r w:rsidR="00DF422D" w:rsidRPr="00B61B9D">
        <w:t> </w:t>
      </w:r>
      <w:r w:rsidRPr="00B61B9D">
        <w:t>months (95%: 55.7, 75.3).</w:t>
      </w:r>
    </w:p>
    <w:p w14:paraId="7B329F0A" w14:textId="3913ABFE" w:rsidR="00D25F84" w:rsidRPr="00B61B9D" w:rsidRDefault="00D25F84" w:rsidP="00680EEF">
      <w:pPr>
        <w:pStyle w:val="Heading7"/>
        <w:rPr>
          <w:sz w:val="22"/>
          <w:szCs w:val="28"/>
        </w:rPr>
      </w:pPr>
      <w:r w:rsidRPr="00B61B9D">
        <w:rPr>
          <w:sz w:val="22"/>
          <w:szCs w:val="28"/>
        </w:rPr>
        <w:t xml:space="preserve">Change in </w:t>
      </w:r>
      <w:r w:rsidR="00E72CD4" w:rsidRPr="00B61B9D">
        <w:rPr>
          <w:sz w:val="22"/>
          <w:szCs w:val="28"/>
        </w:rPr>
        <w:t>mean urinary free cortisol</w:t>
      </w:r>
      <w:r w:rsidRPr="00B61B9D">
        <w:rPr>
          <w:sz w:val="22"/>
          <w:szCs w:val="28"/>
        </w:rPr>
        <w:t xml:space="preserve"> from </w:t>
      </w:r>
      <w:r w:rsidR="00111716" w:rsidRPr="00B61B9D">
        <w:rPr>
          <w:sz w:val="22"/>
          <w:szCs w:val="28"/>
        </w:rPr>
        <w:t>Baseline</w:t>
      </w:r>
      <w:r w:rsidRPr="00B61B9D">
        <w:rPr>
          <w:sz w:val="22"/>
          <w:szCs w:val="28"/>
        </w:rPr>
        <w:t xml:space="preserve"> during the study</w:t>
      </w:r>
    </w:p>
    <w:p w14:paraId="600C350C" w14:textId="2806D40A" w:rsidR="00D25F84" w:rsidRPr="00B61B9D" w:rsidRDefault="00D25F84" w:rsidP="00680EEF">
      <w:r w:rsidRPr="00B61B9D">
        <w:t>In Study C2301, m</w:t>
      </w:r>
      <w:r w:rsidR="00732EAB">
        <w:t xml:space="preserve">ean </w:t>
      </w:r>
      <w:r w:rsidRPr="00B61B9D">
        <w:t>UFC levels (≤ ULN) were maintained without any consistent dose increase as evidenced by the total daily dose of osilodrostat with the range of doses consistent between 10 mg/day to 12 mg/day.</w:t>
      </w:r>
    </w:p>
    <w:p w14:paraId="4F5C00D3" w14:textId="119120B5" w:rsidR="00D25F84" w:rsidRPr="00B61B9D" w:rsidRDefault="00D25F84" w:rsidP="00680EEF">
      <w:r w:rsidRPr="00B61B9D">
        <w:t xml:space="preserve">During treatment with osilodrostat, the </w:t>
      </w:r>
      <w:r w:rsidR="00732EAB">
        <w:t xml:space="preserve">mean </w:t>
      </w:r>
      <w:r w:rsidRPr="00B61B9D">
        <w:t>UFC levels decreased from high baseline values stabili</w:t>
      </w:r>
      <w:r w:rsidR="00111716" w:rsidRPr="00B61B9D">
        <w:t>s</w:t>
      </w:r>
      <w:r w:rsidRPr="00B61B9D">
        <w:t>ing to a normal level (m</w:t>
      </w:r>
      <w:r w:rsidR="00732EAB">
        <w:t xml:space="preserve">ean </w:t>
      </w:r>
      <w:r w:rsidRPr="00B61B9D">
        <w:t>UFC ≤ UFC) around Week 6 in most patients at an average total daily dose of 8.6 mg/day. After Week 6, normal m</w:t>
      </w:r>
      <w:r w:rsidR="00732EAB">
        <w:t xml:space="preserve">ean </w:t>
      </w:r>
      <w:r w:rsidRPr="00B61B9D">
        <w:t>UFC (≤ ULN) levels were observed in most patients except for non-randomi</w:t>
      </w:r>
      <w:r w:rsidR="00111716" w:rsidRPr="00B61B9D">
        <w:t>s</w:t>
      </w:r>
      <w:r w:rsidRPr="00B61B9D">
        <w:t>ed patients at Week 20 to Week 24 and patients randomi</w:t>
      </w:r>
      <w:r w:rsidR="00111716" w:rsidRPr="00B61B9D">
        <w:t>s</w:t>
      </w:r>
      <w:r w:rsidRPr="00B61B9D">
        <w:t>ed to placebo at Week 28 to Week 34. Normali</w:t>
      </w:r>
      <w:r w:rsidR="00111716" w:rsidRPr="00B61B9D">
        <w:t>s</w:t>
      </w:r>
      <w:r w:rsidRPr="00B61B9D">
        <w:t>ed m</w:t>
      </w:r>
      <w:r w:rsidR="00732EAB">
        <w:t xml:space="preserve">ean </w:t>
      </w:r>
      <w:r w:rsidRPr="00B61B9D">
        <w:t>UFC (≤</w:t>
      </w:r>
      <w:r w:rsidR="00732EAB">
        <w:t> </w:t>
      </w:r>
      <w:r w:rsidRPr="00B61B9D">
        <w:t>ULN) levels were maintained at Week 24 at an average total daily dose of 10.7 mg/day and at Week</w:t>
      </w:r>
      <w:r w:rsidR="00DF422D" w:rsidRPr="00B61B9D">
        <w:t> </w:t>
      </w:r>
      <w:r w:rsidRPr="00B61B9D">
        <w:t>48 at 11.0 mg/day.</w:t>
      </w:r>
    </w:p>
    <w:p w14:paraId="179874F9" w14:textId="66A63DA1" w:rsidR="00D25F84" w:rsidRPr="00B61B9D" w:rsidRDefault="00D25F84" w:rsidP="00680EEF">
      <w:r w:rsidRPr="00B61B9D">
        <w:lastRenderedPageBreak/>
        <w:t>A repeated measures analysis of m</w:t>
      </w:r>
      <w:r w:rsidR="00732EAB">
        <w:t xml:space="preserve">ean </w:t>
      </w:r>
      <w:r w:rsidRPr="00B61B9D">
        <w:t xml:space="preserve">UFC shows a consistent biochemical effect of osilodrostat during the study. At Week 2, there was approximately a 42% reduction in the adjusted mean UFC value from </w:t>
      </w:r>
      <w:r w:rsidR="00111716" w:rsidRPr="00B61B9D">
        <w:t>Baseline</w:t>
      </w:r>
      <w:r w:rsidRPr="00B61B9D">
        <w:t>. After the dose</w:t>
      </w:r>
      <w:r w:rsidR="0067375F" w:rsidRPr="00B61B9D">
        <w:t xml:space="preserve"> </w:t>
      </w:r>
      <w:r w:rsidRPr="00B61B9D">
        <w:t xml:space="preserve">titration period (Week 12), there was approximately an 85% reduction that was maintained until the end of the </w:t>
      </w:r>
      <w:r w:rsidR="00EF0366" w:rsidRPr="00B61B9D">
        <w:t>core period</w:t>
      </w:r>
      <w:r w:rsidRPr="00B61B9D">
        <w:t xml:space="preserve"> (89%).</w:t>
      </w:r>
    </w:p>
    <w:p w14:paraId="4ECC3186" w14:textId="02AF6AA0" w:rsidR="00D25F84" w:rsidRPr="00B61B9D" w:rsidRDefault="00D25F84" w:rsidP="00680EEF">
      <w:pPr>
        <w:pStyle w:val="Heading7"/>
        <w:rPr>
          <w:sz w:val="22"/>
          <w:szCs w:val="28"/>
        </w:rPr>
      </w:pPr>
      <w:r w:rsidRPr="00B61B9D">
        <w:rPr>
          <w:sz w:val="22"/>
          <w:szCs w:val="28"/>
        </w:rPr>
        <w:t xml:space="preserve">Change in </w:t>
      </w:r>
      <w:r w:rsidR="00E72CD4" w:rsidRPr="00B61B9D">
        <w:rPr>
          <w:sz w:val="22"/>
          <w:szCs w:val="28"/>
        </w:rPr>
        <w:t>mean urinary free cortisol</w:t>
      </w:r>
      <w:r w:rsidRPr="00B61B9D">
        <w:rPr>
          <w:sz w:val="22"/>
          <w:szCs w:val="28"/>
        </w:rPr>
        <w:t xml:space="preserve"> from randomi</w:t>
      </w:r>
      <w:r w:rsidR="00111716" w:rsidRPr="00B61B9D">
        <w:rPr>
          <w:sz w:val="22"/>
          <w:szCs w:val="28"/>
        </w:rPr>
        <w:t>s</w:t>
      </w:r>
      <w:r w:rsidRPr="00B61B9D">
        <w:rPr>
          <w:sz w:val="22"/>
          <w:szCs w:val="28"/>
        </w:rPr>
        <w:t xml:space="preserve">ation during the </w:t>
      </w:r>
      <w:r w:rsidR="007B7183" w:rsidRPr="00B61B9D">
        <w:rPr>
          <w:sz w:val="22"/>
          <w:szCs w:val="28"/>
        </w:rPr>
        <w:t>randomisation withdrawal</w:t>
      </w:r>
      <w:r w:rsidRPr="00B61B9D">
        <w:rPr>
          <w:sz w:val="22"/>
          <w:szCs w:val="28"/>
        </w:rPr>
        <w:t xml:space="preserve"> </w:t>
      </w:r>
      <w:r w:rsidR="00EF0366" w:rsidRPr="00B61B9D">
        <w:rPr>
          <w:sz w:val="22"/>
          <w:szCs w:val="28"/>
        </w:rPr>
        <w:t>period</w:t>
      </w:r>
    </w:p>
    <w:p w14:paraId="0A94BCF2" w14:textId="423E32A4" w:rsidR="00D25F84" w:rsidRPr="00B61B9D" w:rsidRDefault="00D25F84" w:rsidP="00680EEF">
      <w:r w:rsidRPr="00B61B9D">
        <w:t>At randomi</w:t>
      </w:r>
      <w:r w:rsidR="00111716" w:rsidRPr="00B61B9D">
        <w:t>s</w:t>
      </w:r>
      <w:r w:rsidRPr="00B61B9D">
        <w:t>ation (Week 26), mean (SD) m</w:t>
      </w:r>
      <w:r w:rsidR="00732EAB">
        <w:t xml:space="preserve">ean </w:t>
      </w:r>
      <w:r w:rsidRPr="00B61B9D">
        <w:t>UFC levels were similar in the osilodrostat arm (70.9 nmol/24</w:t>
      </w:r>
      <w:r w:rsidR="00111502" w:rsidRPr="00B61B9D">
        <w:t xml:space="preserve"> </w:t>
      </w:r>
      <w:r w:rsidRPr="00B61B9D">
        <w:t>h, SD</w:t>
      </w:r>
      <w:r w:rsidR="00111502" w:rsidRPr="00B61B9D">
        <w:t xml:space="preserve"> </w:t>
      </w:r>
      <w:r w:rsidRPr="00B61B9D">
        <w:t>=</w:t>
      </w:r>
      <w:r w:rsidR="00111502" w:rsidRPr="00B61B9D">
        <w:t xml:space="preserve"> </w:t>
      </w:r>
      <w:r w:rsidRPr="00B61B9D">
        <w:t>43.53) and placebo arm (79.1 nmol/24</w:t>
      </w:r>
      <w:r w:rsidR="00111502" w:rsidRPr="00B61B9D">
        <w:t xml:space="preserve"> </w:t>
      </w:r>
      <w:r w:rsidRPr="00B61B9D">
        <w:t>h (57.90). Once patients stopped treatment with osilodrostat at Week 26 and were randomi</w:t>
      </w:r>
      <w:r w:rsidR="00111716" w:rsidRPr="00B61B9D">
        <w:t>s</w:t>
      </w:r>
      <w:r w:rsidRPr="00B61B9D">
        <w:t>ed to receive placebo, m</w:t>
      </w:r>
      <w:r w:rsidR="00732EAB">
        <w:t xml:space="preserve">ean </w:t>
      </w:r>
      <w:r w:rsidRPr="00B61B9D">
        <w:t xml:space="preserve">UFC levels increased rapidly. Only data while the patients were on </w:t>
      </w:r>
      <w:r w:rsidR="007B7183" w:rsidRPr="00B61B9D">
        <w:t>randomisation withdrawal</w:t>
      </w:r>
      <w:r w:rsidRPr="00B61B9D">
        <w:t xml:space="preserve"> medication are included. At the end the </w:t>
      </w:r>
      <w:r w:rsidR="007B7183" w:rsidRPr="00B61B9D">
        <w:t>randomisation withdrawal</w:t>
      </w:r>
      <w:r w:rsidRPr="00B61B9D">
        <w:t xml:space="preserve"> period and when patients resumed treatment with osilodrostat, m</w:t>
      </w:r>
      <w:r w:rsidR="00732EAB">
        <w:t xml:space="preserve">ean </w:t>
      </w:r>
      <w:r w:rsidRPr="00B61B9D">
        <w:t>UFC levels decreased quickly.</w:t>
      </w:r>
    </w:p>
    <w:p w14:paraId="07214C89" w14:textId="598CDB30" w:rsidR="00D25F84" w:rsidRPr="00B61B9D" w:rsidRDefault="00D25F84" w:rsidP="00680EEF">
      <w:r w:rsidRPr="00B61B9D">
        <w:t xml:space="preserve">At the end of the 8-week </w:t>
      </w:r>
      <w:r w:rsidR="007B7183" w:rsidRPr="00B61B9D">
        <w:t>randomisation withdrawal</w:t>
      </w:r>
      <w:r w:rsidRPr="00B61B9D">
        <w:t xml:space="preserve"> </w:t>
      </w:r>
      <w:r w:rsidR="00EF0366" w:rsidRPr="00B61B9D">
        <w:t>period</w:t>
      </w:r>
      <w:r w:rsidRPr="00B61B9D">
        <w:t xml:space="preserve"> (Week 34), the median m</w:t>
      </w:r>
      <w:r w:rsidR="00732EAB">
        <w:t xml:space="preserve">ean </w:t>
      </w:r>
      <w:r w:rsidRPr="00B61B9D">
        <w:t>UFC levels were lower in the osilodrostat arm (50.1 nmol/24</w:t>
      </w:r>
      <w:r w:rsidR="00111502" w:rsidRPr="00B61B9D">
        <w:t xml:space="preserve"> </w:t>
      </w:r>
      <w:r w:rsidRPr="00B61B9D">
        <w:t>h; range: 11.9 to 610.8) compared with the placebo arm (139.7 nmol/24</w:t>
      </w:r>
      <w:r w:rsidR="00111502" w:rsidRPr="00B61B9D">
        <w:t xml:space="preserve"> </w:t>
      </w:r>
      <w:r w:rsidRPr="00B61B9D">
        <w:t>h; range: 29.8 to 849.5). This corresponded to a median percent change from randomi</w:t>
      </w:r>
      <w:r w:rsidR="00111716" w:rsidRPr="00B61B9D">
        <w:t>s</w:t>
      </w:r>
      <w:r w:rsidRPr="00B61B9D">
        <w:t>ation of -13.9% (-70.1 to 1019.9) in the osilodrostat arm and 174.6% (-58.1 to 2588.8) in the placebo arm.</w:t>
      </w:r>
    </w:p>
    <w:p w14:paraId="2381D539" w14:textId="1FE8CF62" w:rsidR="00D25F84" w:rsidRPr="00B61B9D" w:rsidRDefault="00D25F84" w:rsidP="00680EEF">
      <w:r w:rsidRPr="00B61B9D">
        <w:t>The repeated measures analysis of change in m</w:t>
      </w:r>
      <w:r w:rsidR="00732EAB">
        <w:t xml:space="preserve">ean </w:t>
      </w:r>
      <w:r w:rsidRPr="00B61B9D">
        <w:t xml:space="preserve">UFC shows a consistent biochemical effect of osilodrostat over placebo during the </w:t>
      </w:r>
      <w:r w:rsidR="007B7183" w:rsidRPr="00B61B9D">
        <w:t>randomisation withdrawal</w:t>
      </w:r>
      <w:r w:rsidRPr="00B61B9D">
        <w:t xml:space="preserve"> </w:t>
      </w:r>
      <w:r w:rsidR="00EF0366" w:rsidRPr="00B61B9D">
        <w:t>period</w:t>
      </w:r>
      <w:r w:rsidRPr="00B61B9D">
        <w:t>. In the osilodrostat arm there was approximately a 10% reduction from the mean UFC at randomi</w:t>
      </w:r>
      <w:r w:rsidR="00111716" w:rsidRPr="00B61B9D">
        <w:t>s</w:t>
      </w:r>
      <w:r w:rsidRPr="00B61B9D">
        <w:t xml:space="preserve">ation </w:t>
      </w:r>
      <w:r w:rsidR="00111716" w:rsidRPr="00B61B9D">
        <w:t>Baseline</w:t>
      </w:r>
      <w:r w:rsidRPr="00B61B9D">
        <w:t xml:space="preserve"> during the </w:t>
      </w:r>
      <w:r w:rsidR="007B7183" w:rsidRPr="00B61B9D">
        <w:t>randomisation withdrawal</w:t>
      </w:r>
      <w:r w:rsidRPr="00B61B9D">
        <w:t xml:space="preserve"> period. However, in the placebo arm, there was up to a 200% increase in the mean</w:t>
      </w:r>
      <w:r w:rsidR="00732EAB">
        <w:t xml:space="preserve"> </w:t>
      </w:r>
      <w:r w:rsidRPr="00B61B9D">
        <w:t>UFC from randomi</w:t>
      </w:r>
      <w:r w:rsidR="00111716" w:rsidRPr="00B61B9D">
        <w:t>s</w:t>
      </w:r>
      <w:r w:rsidRPr="00B61B9D">
        <w:t>ation during the same period.</w:t>
      </w:r>
    </w:p>
    <w:p w14:paraId="46DDC10D" w14:textId="5CE919F9" w:rsidR="00D25F84" w:rsidRPr="00B61B9D" w:rsidRDefault="00D25F84" w:rsidP="00680EEF">
      <w:pPr>
        <w:pStyle w:val="Heading7"/>
        <w:rPr>
          <w:sz w:val="22"/>
          <w:szCs w:val="28"/>
        </w:rPr>
      </w:pPr>
      <w:r w:rsidRPr="00B61B9D">
        <w:rPr>
          <w:sz w:val="22"/>
          <w:szCs w:val="28"/>
        </w:rPr>
        <w:t>Time to first</w:t>
      </w:r>
      <w:r w:rsidR="00111502" w:rsidRPr="00B61B9D">
        <w:rPr>
          <w:sz w:val="22"/>
          <w:szCs w:val="28"/>
        </w:rPr>
        <w:t xml:space="preserve"> </w:t>
      </w:r>
      <w:r w:rsidRPr="00B61B9D">
        <w:rPr>
          <w:sz w:val="22"/>
          <w:szCs w:val="28"/>
        </w:rPr>
        <w:t xml:space="preserve">controlled </w:t>
      </w:r>
      <w:r w:rsidR="00E72CD4" w:rsidRPr="00B61B9D">
        <w:rPr>
          <w:sz w:val="22"/>
          <w:szCs w:val="28"/>
        </w:rPr>
        <w:t>mean urinary free cortisol</w:t>
      </w:r>
      <w:r w:rsidRPr="00B61B9D">
        <w:rPr>
          <w:sz w:val="22"/>
          <w:szCs w:val="28"/>
        </w:rPr>
        <w:t xml:space="preserve"> response</w:t>
      </w:r>
    </w:p>
    <w:p w14:paraId="4443E54A" w14:textId="0F91437B" w:rsidR="00D25F84" w:rsidRPr="00B61B9D" w:rsidRDefault="00D25F84" w:rsidP="00680EEF">
      <w:r w:rsidRPr="00B61B9D">
        <w:t>During the study, 132 patients of 137 (96.4%) achieved biochemical control (m</w:t>
      </w:r>
      <w:r w:rsidR="00732EAB">
        <w:t xml:space="preserve">ean </w:t>
      </w:r>
      <w:r w:rsidRPr="00B61B9D">
        <w:t>UFC</w:t>
      </w:r>
      <w:r w:rsidR="00111502" w:rsidRPr="00B61B9D">
        <w:t> </w:t>
      </w:r>
      <w:r w:rsidRPr="00B61B9D">
        <w:t>≤</w:t>
      </w:r>
      <w:r w:rsidR="00111502" w:rsidRPr="00B61B9D">
        <w:t> </w:t>
      </w:r>
      <w:r w:rsidRPr="00B61B9D">
        <w:t>ULN) at least once while on study treatment. The median time from the start of treatment with osilodrostat to the first-controlled m</w:t>
      </w:r>
      <w:r w:rsidR="00732EAB">
        <w:t xml:space="preserve">ean </w:t>
      </w:r>
      <w:r w:rsidRPr="00B61B9D">
        <w:t>UFC response was 41 days (95% CI: 30.0, 42.0) for all patients with similar first-control in patients in the osilodrostat arm (41.0 days, 95% CI: 28.0, 47.0) and in the non-randomi</w:t>
      </w:r>
      <w:r w:rsidR="00111716" w:rsidRPr="00B61B9D">
        <w:t>s</w:t>
      </w:r>
      <w:r w:rsidRPr="00B61B9D">
        <w:t>ed arm (42.0 days, 95% CI: 37.0, 55.0).</w:t>
      </w:r>
    </w:p>
    <w:p w14:paraId="7BC0325A" w14:textId="33060589" w:rsidR="00D25F84" w:rsidRPr="00B61B9D" w:rsidRDefault="00D25F84" w:rsidP="00680EEF">
      <w:pPr>
        <w:pStyle w:val="Heading7"/>
        <w:rPr>
          <w:sz w:val="22"/>
          <w:szCs w:val="28"/>
        </w:rPr>
      </w:pPr>
      <w:r w:rsidRPr="00B61B9D">
        <w:rPr>
          <w:sz w:val="22"/>
          <w:szCs w:val="28"/>
        </w:rPr>
        <w:t>Time to loss of control during the randomi</w:t>
      </w:r>
      <w:r w:rsidR="00111716" w:rsidRPr="00B61B9D">
        <w:rPr>
          <w:sz w:val="22"/>
          <w:szCs w:val="28"/>
        </w:rPr>
        <w:t>s</w:t>
      </w:r>
      <w:r w:rsidRPr="00B61B9D">
        <w:rPr>
          <w:sz w:val="22"/>
          <w:szCs w:val="28"/>
        </w:rPr>
        <w:t>ed withdrawal period</w:t>
      </w:r>
    </w:p>
    <w:p w14:paraId="1758AB2C" w14:textId="6C319598" w:rsidR="00D25F84" w:rsidRPr="00B61B9D" w:rsidRDefault="00D25F84" w:rsidP="00680EEF">
      <w:r w:rsidRPr="00B61B9D">
        <w:t xml:space="preserve">During the </w:t>
      </w:r>
      <w:r w:rsidR="007B7183" w:rsidRPr="00B61B9D">
        <w:t>randomisation withdrawal</w:t>
      </w:r>
      <w:r w:rsidRPr="00B61B9D">
        <w:t xml:space="preserve"> period, two (5.6%) patients of 36 in the osilodrostat arm had a loss of m</w:t>
      </w:r>
      <w:r w:rsidR="00732EAB">
        <w:t xml:space="preserve">ean </w:t>
      </w:r>
      <w:r w:rsidRPr="00B61B9D">
        <w:t xml:space="preserve">UFC control (of the two patients, one patient required a dose interruption due to </w:t>
      </w:r>
      <w:r w:rsidR="00A36748">
        <w:t>AEs</w:t>
      </w:r>
      <w:r w:rsidRPr="00B61B9D">
        <w:t>) compared with 20 patients (58.8%) of 34 in the placebo arm. The median time to loss of control of m</w:t>
      </w:r>
      <w:r w:rsidR="00732EAB">
        <w:t xml:space="preserve">ean </w:t>
      </w:r>
      <w:r w:rsidRPr="00B61B9D">
        <w:t>UFC was not estimable in the osilodrostat arm and was 28 days in the placebo arm.</w:t>
      </w:r>
    </w:p>
    <w:p w14:paraId="3FAB6FDB" w14:textId="38DBEEB9" w:rsidR="00D25F84" w:rsidRPr="00B61B9D" w:rsidRDefault="00D25F84" w:rsidP="00680EEF">
      <w:r w:rsidRPr="00B61B9D">
        <w:t xml:space="preserve">There was a 94% lower risk of losing </w:t>
      </w:r>
      <w:r w:rsidR="00732EAB">
        <w:t xml:space="preserve">mean </w:t>
      </w:r>
      <w:r w:rsidRPr="00B61B9D">
        <w:t>UFC control in the osilodrostat group compared with the placebo group (</w:t>
      </w:r>
      <w:r w:rsidR="00877939" w:rsidRPr="00B61B9D">
        <w:t>hazard rate ratio</w:t>
      </w:r>
      <w:r w:rsidR="00111502" w:rsidRPr="00B61B9D">
        <w:t xml:space="preserve"> </w:t>
      </w:r>
      <w:r w:rsidRPr="00B61B9D">
        <w:t>=</w:t>
      </w:r>
      <w:r w:rsidR="00111502" w:rsidRPr="00B61B9D">
        <w:t xml:space="preserve"> </w:t>
      </w:r>
      <w:r w:rsidRPr="00B61B9D">
        <w:t xml:space="preserve">0.06; 95% CI: 0.01, 0.28) during the </w:t>
      </w:r>
      <w:r w:rsidR="007B7183" w:rsidRPr="00B61B9D">
        <w:t>randomisation withdrawal</w:t>
      </w:r>
      <w:r w:rsidRPr="00B61B9D">
        <w:t xml:space="preserve"> period.</w:t>
      </w:r>
    </w:p>
    <w:p w14:paraId="2EEEF93B" w14:textId="77777777" w:rsidR="00D25F84" w:rsidRPr="00B61B9D" w:rsidRDefault="00D25F84" w:rsidP="00680EEF">
      <w:pPr>
        <w:pStyle w:val="Heading6"/>
      </w:pPr>
      <w:r w:rsidRPr="00B61B9D">
        <w:t>Other efficacy results</w:t>
      </w:r>
    </w:p>
    <w:p w14:paraId="20DC09A7" w14:textId="332AE61D" w:rsidR="00D25F84" w:rsidRPr="00B61B9D" w:rsidRDefault="00D25F84" w:rsidP="00111502">
      <w:r w:rsidRPr="00B61B9D">
        <w:t xml:space="preserve">Based on the </w:t>
      </w:r>
      <w:r w:rsidR="00877939" w:rsidRPr="00B61B9D">
        <w:t xml:space="preserve">Kaplan-Meier </w:t>
      </w:r>
      <w:r w:rsidRPr="00B61B9D">
        <w:t>event probability estimates, the probability of escape at approximately 1.5</w:t>
      </w:r>
      <w:r w:rsidR="00111502" w:rsidRPr="00B61B9D">
        <w:t> </w:t>
      </w:r>
      <w:r w:rsidRPr="00B61B9D">
        <w:t>years is 48.8%. At a median follow up of 253 days, the median time to escape was 560</w:t>
      </w:r>
      <w:r w:rsidR="00111502" w:rsidRPr="00B61B9D">
        <w:t> </w:t>
      </w:r>
      <w:r w:rsidRPr="00B61B9D">
        <w:t>days (95% CI: 212.0</w:t>
      </w:r>
      <w:r w:rsidR="00877939" w:rsidRPr="00B61B9D">
        <w:t>, not estimable</w:t>
      </w:r>
      <w:r w:rsidRPr="00B61B9D">
        <w:t xml:space="preserve">). </w:t>
      </w:r>
      <w:r w:rsidR="00732EAB">
        <w:t>In the analysis, 46</w:t>
      </w:r>
      <w:r w:rsidRPr="00B61B9D">
        <w:t xml:space="preserve"> patients out of 97</w:t>
      </w:r>
      <w:r w:rsidR="00732EAB">
        <w:t> </w:t>
      </w:r>
      <w:r w:rsidRPr="00B61B9D">
        <w:t xml:space="preserve">patients </w:t>
      </w:r>
      <w:r w:rsidR="00732EAB" w:rsidRPr="00B61B9D">
        <w:t xml:space="preserve">(47.4%) </w:t>
      </w:r>
      <w:r w:rsidRPr="00B61B9D">
        <w:t xml:space="preserve">had an on-treatment </w:t>
      </w:r>
      <w:r w:rsidR="00D56EB9" w:rsidRPr="00B61B9D">
        <w:t>‘</w:t>
      </w:r>
      <w:r w:rsidRPr="00B61B9D">
        <w:t>escape</w:t>
      </w:r>
      <w:r w:rsidR="00D56EB9" w:rsidRPr="00B61B9D">
        <w:t>’</w:t>
      </w:r>
      <w:r w:rsidRPr="00B61B9D">
        <w:t xml:space="preserve"> event. Many of the patients who had an </w:t>
      </w:r>
      <w:r w:rsidR="00D56EB9" w:rsidRPr="00B61B9D">
        <w:t>‘</w:t>
      </w:r>
      <w:r w:rsidRPr="00B61B9D">
        <w:t>escape</w:t>
      </w:r>
      <w:r w:rsidR="00D56EB9" w:rsidRPr="00B61B9D">
        <w:t>’</w:t>
      </w:r>
      <w:r w:rsidRPr="00B61B9D">
        <w:t xml:space="preserve"> event regain m</w:t>
      </w:r>
      <w:r w:rsidR="00732EAB">
        <w:t xml:space="preserve">ean </w:t>
      </w:r>
      <w:r w:rsidRPr="00B61B9D">
        <w:t>UFC control with or without osilodrostat dose increase.</w:t>
      </w:r>
    </w:p>
    <w:p w14:paraId="346B0E81" w14:textId="00179E13" w:rsidR="00D25F84" w:rsidRPr="00B61B9D" w:rsidRDefault="00D25F84" w:rsidP="00680EEF">
      <w:r w:rsidRPr="00B61B9D">
        <w:t xml:space="preserve">Osilodrostat treatment led to an improvement in most cardiovascular-related metabolic parameters associated with </w:t>
      </w:r>
      <w:r w:rsidR="00CA27DB" w:rsidRPr="00B61B9D">
        <w:t>Cushing’s disease</w:t>
      </w:r>
      <w:r w:rsidRPr="00B61B9D">
        <w:t xml:space="preserve"> at Week 48 with improvements seen in some patients as early as Week 12. These improvements were maintained over time.</w:t>
      </w:r>
    </w:p>
    <w:p w14:paraId="0A18459B" w14:textId="7C775BB2" w:rsidR="00D25F84" w:rsidRPr="00B61B9D" w:rsidRDefault="00D25F84" w:rsidP="00680EEF">
      <w:r w:rsidRPr="00B61B9D">
        <w:lastRenderedPageBreak/>
        <w:t xml:space="preserve">At the end of the </w:t>
      </w:r>
      <w:r w:rsidR="008113A8" w:rsidRPr="00B61B9D">
        <w:t>core</w:t>
      </w:r>
      <w:r w:rsidRPr="00B61B9D">
        <w:t xml:space="preserve"> period (Week 48), 83</w:t>
      </w:r>
      <w:r w:rsidR="005B68B0" w:rsidRPr="00B61B9D">
        <w:t xml:space="preserve"> of </w:t>
      </w:r>
      <w:r w:rsidRPr="00B61B9D">
        <w:t xml:space="preserve">97 patients (85.6%) had improvement in at least one physical feature in </w:t>
      </w:r>
      <w:r w:rsidR="00CA27DB" w:rsidRPr="00B61B9D">
        <w:t>Cushing’s disease</w:t>
      </w:r>
      <w:r w:rsidRPr="00B61B9D">
        <w:t xml:space="preserve">. The </w:t>
      </w:r>
      <w:r w:rsidR="00111502" w:rsidRPr="00B61B9D">
        <w:t>favourable</w:t>
      </w:r>
      <w:r w:rsidRPr="00B61B9D">
        <w:t xml:space="preserve"> improvements were evident already during the dose</w:t>
      </w:r>
      <w:r w:rsidR="0067375F" w:rsidRPr="00B61B9D">
        <w:t xml:space="preserve"> </w:t>
      </w:r>
      <w:r w:rsidRPr="00B61B9D">
        <w:t>titration period and were generally maintained throughout the study.</w:t>
      </w:r>
    </w:p>
    <w:p w14:paraId="6032FD82" w14:textId="0FCAA88D" w:rsidR="00D25F84" w:rsidRPr="00B61B9D" w:rsidRDefault="00D25F84" w:rsidP="00680EEF">
      <w:r w:rsidRPr="00B61B9D">
        <w:t xml:space="preserve">A mean (SD) percentage change from </w:t>
      </w:r>
      <w:r w:rsidR="00111716" w:rsidRPr="00B61B9D">
        <w:t>Baseline</w:t>
      </w:r>
      <w:r w:rsidRPr="00B61B9D">
        <w:t xml:space="preserve"> of 3.0% (6.45) was reported for L1</w:t>
      </w:r>
      <w:r w:rsidR="00877939" w:rsidRPr="00B61B9D">
        <w:t xml:space="preserve"> to </w:t>
      </w:r>
      <w:r w:rsidRPr="00B61B9D">
        <w:t>L4 lumbar spine and of 0.4% (5.48) for total hip at Week 48 (based on bone mineral density;</w:t>
      </w:r>
      <w:r w:rsidR="00732EAB">
        <w:t> </w:t>
      </w:r>
      <w:r w:rsidRPr="00B61B9D">
        <w:t>g/cm</w:t>
      </w:r>
      <w:r w:rsidRPr="00B61B9D">
        <w:rPr>
          <w:vertAlign w:val="superscript"/>
        </w:rPr>
        <w:t>2</w:t>
      </w:r>
      <w:r w:rsidRPr="00B61B9D">
        <w:t>). The change in bone mineral density seems more pronounced in the male patients compared to female patients.</w:t>
      </w:r>
    </w:p>
    <w:p w14:paraId="1F3458E4" w14:textId="77777777" w:rsidR="00D25F84" w:rsidRPr="00B61B9D" w:rsidRDefault="00D25F84" w:rsidP="00680EEF">
      <w:pPr>
        <w:pStyle w:val="Heading5"/>
      </w:pPr>
      <w:r w:rsidRPr="00B61B9D">
        <w:t>Supportive studies</w:t>
      </w:r>
    </w:p>
    <w:p w14:paraId="3642F58D" w14:textId="4811F2A6" w:rsidR="00D25F84" w:rsidRPr="00B61B9D" w:rsidRDefault="00D25F84" w:rsidP="00680EEF">
      <w:pPr>
        <w:pStyle w:val="Heading6"/>
      </w:pPr>
      <w:r w:rsidRPr="00B61B9D">
        <w:t>Study C2201</w:t>
      </w:r>
    </w:p>
    <w:p w14:paraId="41D2EA14" w14:textId="7D678BB2" w:rsidR="00D25F84" w:rsidRPr="00B61B9D" w:rsidRDefault="00D25F84" w:rsidP="002369A0">
      <w:r w:rsidRPr="00B61B9D">
        <w:t xml:space="preserve">Part </w:t>
      </w:r>
      <w:r w:rsidR="00C46D71" w:rsidRPr="00B61B9D">
        <w:t>I</w:t>
      </w:r>
      <w:r w:rsidRPr="00B61B9D">
        <w:t xml:space="preserve"> </w:t>
      </w:r>
      <w:r w:rsidR="002369A0" w:rsidRPr="00B61B9D">
        <w:t xml:space="preserve">was a </w:t>
      </w:r>
      <w:r w:rsidRPr="00B61B9D">
        <w:t>sequential dose</w:t>
      </w:r>
      <w:r w:rsidR="002369A0" w:rsidRPr="00B61B9D">
        <w:t xml:space="preserve"> </w:t>
      </w:r>
      <w:r w:rsidRPr="00B61B9D">
        <w:t>escalation study assessed the short-term safety</w:t>
      </w:r>
      <w:r w:rsidR="005B68B0" w:rsidRPr="00B61B9D">
        <w:t xml:space="preserve"> or </w:t>
      </w:r>
      <w:r w:rsidRPr="00B61B9D">
        <w:t xml:space="preserve">tolerability and the efficacy of osilodrostat after a 10-week treatment period in patients with </w:t>
      </w:r>
      <w:r w:rsidR="00CA27DB" w:rsidRPr="00B61B9D">
        <w:t>Cushing’s disease</w:t>
      </w:r>
      <w:r w:rsidRPr="00B61B9D">
        <w:t>.</w:t>
      </w:r>
    </w:p>
    <w:p w14:paraId="536AE286" w14:textId="4C04E0D1" w:rsidR="00D25F84" w:rsidRPr="00B61B9D" w:rsidRDefault="00D25F84" w:rsidP="002369A0">
      <w:r w:rsidRPr="00B61B9D">
        <w:t xml:space="preserve">Part </w:t>
      </w:r>
      <w:r w:rsidR="00C46D71" w:rsidRPr="00B61B9D">
        <w:t>II</w:t>
      </w:r>
      <w:r w:rsidRPr="00B61B9D">
        <w:t xml:space="preserve"> (long-term extension)</w:t>
      </w:r>
      <w:r w:rsidR="002369A0" w:rsidRPr="00B61B9D">
        <w:t xml:space="preserve"> core </w:t>
      </w:r>
      <w:r w:rsidRPr="00B61B9D">
        <w:t>was a 22-week treatment period (10 weeks followed by additional 12 weeks) after which the long-term efficacy and safety of osilodrostat were further investigated in an optional 48-week extension (Extension 1). The extension phase was continued as Extension 2 to provide continued access to osilodrostat for patients who completed Extension 1. The study remains ongoing.</w:t>
      </w:r>
    </w:p>
    <w:p w14:paraId="4680FFAD" w14:textId="7B2FBCC4" w:rsidR="00D25F84" w:rsidRPr="00B61B9D" w:rsidRDefault="00D25F84" w:rsidP="00680EEF">
      <w:pPr>
        <w:pStyle w:val="Heading7"/>
        <w:rPr>
          <w:sz w:val="22"/>
          <w:szCs w:val="28"/>
        </w:rPr>
      </w:pPr>
      <w:r w:rsidRPr="00B61B9D">
        <w:rPr>
          <w:sz w:val="22"/>
          <w:szCs w:val="28"/>
        </w:rPr>
        <w:t xml:space="preserve">Part </w:t>
      </w:r>
      <w:r w:rsidR="00C46D71" w:rsidRPr="00B61B9D">
        <w:rPr>
          <w:sz w:val="22"/>
          <w:szCs w:val="28"/>
        </w:rPr>
        <w:t>I</w:t>
      </w:r>
      <w:r w:rsidRPr="00B61B9D">
        <w:rPr>
          <w:sz w:val="22"/>
          <w:szCs w:val="28"/>
        </w:rPr>
        <w:t xml:space="preserve"> </w:t>
      </w:r>
      <w:r w:rsidR="002369A0" w:rsidRPr="00B61B9D">
        <w:rPr>
          <w:sz w:val="22"/>
          <w:szCs w:val="28"/>
        </w:rPr>
        <w:t>efficacy results</w:t>
      </w:r>
    </w:p>
    <w:p w14:paraId="5DDD773F" w14:textId="6CB0DDAC" w:rsidR="00D25F84" w:rsidRPr="00B61B9D" w:rsidRDefault="002369A0" w:rsidP="00680EEF">
      <w:r w:rsidRPr="00B61B9D">
        <w:t xml:space="preserve">Twelve </w:t>
      </w:r>
      <w:r w:rsidR="00D25F84" w:rsidRPr="00B61B9D">
        <w:t>patients were enrolled and treated with up-titrated doses of osilodrostat. All 12</w:t>
      </w:r>
      <w:r w:rsidR="00732EAB">
        <w:t> </w:t>
      </w:r>
      <w:r w:rsidR="00D25F84" w:rsidRPr="00B61B9D">
        <w:t>patients completed the study.</w:t>
      </w:r>
    </w:p>
    <w:p w14:paraId="14349F34" w14:textId="77E89213" w:rsidR="00D25F84" w:rsidRPr="00B61B9D" w:rsidRDefault="00D25F84" w:rsidP="00680EEF">
      <w:r w:rsidRPr="00B61B9D">
        <w:t>At the time of the completed Part I of the 10-week core study, a notable decrease in UFC was seen after 28 days of dosing (when most subjects had completed dosing with 5</w:t>
      </w:r>
      <w:r w:rsidR="002369A0" w:rsidRPr="00B61B9D">
        <w:t> </w:t>
      </w:r>
      <w:r w:rsidRPr="00B61B9D">
        <w:t xml:space="preserve">mg </w:t>
      </w:r>
      <w:r w:rsidR="00EF0366" w:rsidRPr="00B61B9D">
        <w:t>twice daily</w:t>
      </w:r>
      <w:r w:rsidRPr="00B61B9D">
        <w:t>) and continued to decline to Day 70 when treatment stopped. Although m</w:t>
      </w:r>
      <w:r w:rsidR="00732EAB">
        <w:t xml:space="preserve">ean </w:t>
      </w:r>
      <w:r w:rsidRPr="00B61B9D">
        <w:t>UFC levels increased again upon stopping osilodrostat at the end of the 10-week study, once treatment was resumed for patients who continued in Part II of the study, reduction in m</w:t>
      </w:r>
      <w:r w:rsidR="00732EAB">
        <w:t xml:space="preserve">ean </w:t>
      </w:r>
      <w:r w:rsidRPr="00B61B9D">
        <w:t>UFC (≤ ULN) levels were achieved.</w:t>
      </w:r>
    </w:p>
    <w:p w14:paraId="41CC5646" w14:textId="5834EF04" w:rsidR="00D25F84" w:rsidRPr="00B61B9D" w:rsidRDefault="00D25F84" w:rsidP="00680EEF">
      <w:r w:rsidRPr="00B61B9D">
        <w:t>While mean fold ULN declined to &lt;</w:t>
      </w:r>
      <w:r w:rsidR="002369A0" w:rsidRPr="00B61B9D">
        <w:t xml:space="preserve"> </w:t>
      </w:r>
      <w:r w:rsidRPr="00B61B9D">
        <w:t>1 (ULN) by Day 56, the mean time to response (UFC normali</w:t>
      </w:r>
      <w:r w:rsidR="00111716" w:rsidRPr="00B61B9D">
        <w:t>s</w:t>
      </w:r>
      <w:r w:rsidRPr="00B61B9D">
        <w:t xml:space="preserve">ation or 50% reduction) was 34.3 days (SD = 14.1 days. Furthermore, </w:t>
      </w:r>
      <w:r w:rsidR="002369A0" w:rsidRPr="00B61B9D">
        <w:t>9</w:t>
      </w:r>
      <w:r w:rsidRPr="00B61B9D">
        <w:t xml:space="preserve"> of the 12</w:t>
      </w:r>
      <w:r w:rsidR="00732EAB">
        <w:t> </w:t>
      </w:r>
      <w:r w:rsidR="002369A0" w:rsidRPr="00B61B9D">
        <w:t xml:space="preserve">patients </w:t>
      </w:r>
      <w:r w:rsidRPr="00B61B9D">
        <w:t xml:space="preserve">had three UFC measurements at both </w:t>
      </w:r>
      <w:r w:rsidR="00111716" w:rsidRPr="00B61B9D">
        <w:t>Baseline</w:t>
      </w:r>
      <w:r w:rsidRPr="00B61B9D">
        <w:t xml:space="preserve"> and Week 10 (Day 70) and were therefore included in the primary analysis set.</w:t>
      </w:r>
    </w:p>
    <w:p w14:paraId="1555AD2D" w14:textId="62B67D47" w:rsidR="00D25F84" w:rsidRPr="00B61B9D" w:rsidRDefault="00D25F84" w:rsidP="00680EEF">
      <w:r w:rsidRPr="00B61B9D">
        <w:t xml:space="preserve">All </w:t>
      </w:r>
      <w:r w:rsidR="002369A0" w:rsidRPr="00B61B9D">
        <w:t>9</w:t>
      </w:r>
      <w:r w:rsidRPr="00B61B9D">
        <w:t xml:space="preserve"> patients were responders achieving either a m</w:t>
      </w:r>
      <w:r w:rsidR="00732EAB">
        <w:t xml:space="preserve">ean </w:t>
      </w:r>
      <w:r w:rsidRPr="00B61B9D">
        <w:t>UFC ≤ ULN or ≥ 50% decrease in m</w:t>
      </w:r>
      <w:r w:rsidR="00732EAB">
        <w:t xml:space="preserve">ean </w:t>
      </w:r>
      <w:r w:rsidRPr="00B61B9D">
        <w:t>UFC at Day 70, so the response rate was 100% (95% CI: 66%,</w:t>
      </w:r>
      <w:r w:rsidR="002369A0" w:rsidRPr="00B61B9D">
        <w:t xml:space="preserve"> </w:t>
      </w:r>
      <w:r w:rsidRPr="00B61B9D">
        <w:t>100%).</w:t>
      </w:r>
    </w:p>
    <w:p w14:paraId="12E15B03" w14:textId="3266B0A2" w:rsidR="00D25F84" w:rsidRPr="00B61B9D" w:rsidRDefault="00D25F84" w:rsidP="00680EEF">
      <w:pPr>
        <w:pStyle w:val="Heading7"/>
        <w:rPr>
          <w:sz w:val="22"/>
          <w:szCs w:val="28"/>
        </w:rPr>
      </w:pPr>
      <w:r w:rsidRPr="00B61B9D">
        <w:rPr>
          <w:sz w:val="22"/>
          <w:szCs w:val="28"/>
        </w:rPr>
        <w:t xml:space="preserve">Part </w:t>
      </w:r>
      <w:r w:rsidR="00C46D71" w:rsidRPr="00B61B9D">
        <w:rPr>
          <w:sz w:val="22"/>
          <w:szCs w:val="28"/>
        </w:rPr>
        <w:t>II</w:t>
      </w:r>
      <w:r w:rsidRPr="00B61B9D">
        <w:rPr>
          <w:sz w:val="22"/>
          <w:szCs w:val="28"/>
        </w:rPr>
        <w:t xml:space="preserve"> </w:t>
      </w:r>
      <w:r w:rsidR="002369A0" w:rsidRPr="00B61B9D">
        <w:rPr>
          <w:sz w:val="22"/>
          <w:szCs w:val="28"/>
        </w:rPr>
        <w:t>efficacy results</w:t>
      </w:r>
    </w:p>
    <w:p w14:paraId="6A6D3663" w14:textId="269AE9A1" w:rsidR="00D25F84" w:rsidRPr="00B61B9D" w:rsidRDefault="00D25F84" w:rsidP="00680EEF">
      <w:r w:rsidRPr="00B61B9D">
        <w:t>A total of 19 patients were enrolled (4 patients from Part I and 15 newly enrolled patients) between January and July of 2013. After Week 22, 16 patients entered the extension phase of the 16 patients that entered the extension phase, 10 are still ongoing as of the data cut</w:t>
      </w:r>
      <w:r w:rsidR="002369A0" w:rsidRPr="00B61B9D">
        <w:noBreakHyphen/>
      </w:r>
      <w:r w:rsidRPr="00B61B9D">
        <w:t>off date (14</w:t>
      </w:r>
      <w:r w:rsidR="002369A0" w:rsidRPr="00B61B9D">
        <w:t xml:space="preserve"> </w:t>
      </w:r>
      <w:r w:rsidRPr="00B61B9D">
        <w:t>Nov</w:t>
      </w:r>
      <w:r w:rsidR="002369A0" w:rsidRPr="00B61B9D">
        <w:t xml:space="preserve">ember </w:t>
      </w:r>
      <w:r w:rsidRPr="00B61B9D">
        <w:t>2017).</w:t>
      </w:r>
    </w:p>
    <w:p w14:paraId="7ACC6BEC" w14:textId="4ADAEBBC" w:rsidR="00D25F84" w:rsidRPr="00B61B9D" w:rsidRDefault="00D25F84" w:rsidP="00680EEF">
      <w:r w:rsidRPr="00B61B9D">
        <w:t xml:space="preserve">Efficacy results showed decrease in UFC after 28 days of dosing (when most subjects had completed dosing with 5 mg </w:t>
      </w:r>
      <w:r w:rsidR="00EF0366" w:rsidRPr="00B61B9D">
        <w:t>twice daily</w:t>
      </w:r>
      <w:r w:rsidRPr="00B61B9D">
        <w:t>) and continued to decline to Day 70 when treatment stopped. The total daily dose required for UFC normali</w:t>
      </w:r>
      <w:r w:rsidR="00111716" w:rsidRPr="00B61B9D">
        <w:t>s</w:t>
      </w:r>
      <w:r w:rsidRPr="00B61B9D">
        <w:t>ation was ≤</w:t>
      </w:r>
      <w:r w:rsidR="00111502" w:rsidRPr="00B61B9D">
        <w:t xml:space="preserve"> </w:t>
      </w:r>
      <w:r w:rsidRPr="00B61B9D">
        <w:t>20 mg/day in 75% of the patients, with at least 50% of the patients requiring 10</w:t>
      </w:r>
      <w:r w:rsidR="002369A0" w:rsidRPr="00B61B9D">
        <w:t xml:space="preserve"> to </w:t>
      </w:r>
      <w:r w:rsidRPr="00B61B9D">
        <w:t>20 mg/day.</w:t>
      </w:r>
    </w:p>
    <w:p w14:paraId="0F553586" w14:textId="37D56167" w:rsidR="00D25F84" w:rsidRPr="00B61B9D" w:rsidRDefault="00D25F84" w:rsidP="00680EEF">
      <w:r w:rsidRPr="00B61B9D">
        <w:t>In Study C2201 Part II, m</w:t>
      </w:r>
      <w:r w:rsidR="00732EAB">
        <w:t xml:space="preserve">ean </w:t>
      </w:r>
      <w:r w:rsidRPr="00B61B9D">
        <w:t>UFC levels (≤ ULN) were maintained without any consistent dose increase as evidenced by the total daily dose of osilodrostat with the range of doses consistent between 10 mg/day to 12 mg/day m</w:t>
      </w:r>
      <w:r w:rsidR="00732EAB">
        <w:t xml:space="preserve">ean </w:t>
      </w:r>
      <w:r w:rsidRPr="00B61B9D">
        <w:t>UFC levels (≤ ULN) and some patients had dose decreases as evidenced by m</w:t>
      </w:r>
      <w:r w:rsidR="00732EAB">
        <w:t xml:space="preserve">ean </w:t>
      </w:r>
      <w:r w:rsidRPr="00B61B9D">
        <w:t>UFC response and total daily dose of osilodrostat. Reduction of m</w:t>
      </w:r>
      <w:r w:rsidR="00732EAB">
        <w:t xml:space="preserve">ean </w:t>
      </w:r>
      <w:r w:rsidRPr="00B61B9D">
        <w:t>UFC</w:t>
      </w:r>
      <w:r w:rsidR="00111502" w:rsidRPr="00B61B9D">
        <w:t xml:space="preserve"> </w:t>
      </w:r>
      <w:r w:rsidRPr="00B61B9D">
        <w:t>≤ ULN with osilodrostat is evident by m</w:t>
      </w:r>
      <w:r w:rsidR="00732EAB">
        <w:t xml:space="preserve">ean </w:t>
      </w:r>
      <w:r w:rsidRPr="00B61B9D">
        <w:t>UFC responses over time</w:t>
      </w:r>
      <w:r w:rsidR="00D56EB9" w:rsidRPr="00B61B9D">
        <w:t>.</w:t>
      </w:r>
    </w:p>
    <w:p w14:paraId="52F301A9" w14:textId="4677C097" w:rsidR="00D25F84" w:rsidRPr="00B61B9D" w:rsidRDefault="00D25F84" w:rsidP="00680EEF">
      <w:r w:rsidRPr="00B61B9D">
        <w:lastRenderedPageBreak/>
        <w:t>The median m</w:t>
      </w:r>
      <w:r w:rsidR="00732EAB">
        <w:t xml:space="preserve">ean </w:t>
      </w:r>
      <w:r w:rsidRPr="00B61B9D">
        <w:t xml:space="preserve">UFC level at </w:t>
      </w:r>
      <w:r w:rsidR="00111716" w:rsidRPr="00B61B9D">
        <w:t>Baseline</w:t>
      </w:r>
      <w:r w:rsidRPr="00B61B9D">
        <w:t xml:space="preserve"> was 2.9</w:t>
      </w:r>
      <w:r w:rsidR="002369A0" w:rsidRPr="00B61B9D">
        <w:t xml:space="preserve"> </w:t>
      </w:r>
      <w:r w:rsidRPr="00B61B9D">
        <w:t>x</w:t>
      </w:r>
      <w:r w:rsidR="002369A0" w:rsidRPr="00B61B9D">
        <w:t xml:space="preserve"> </w:t>
      </w:r>
      <w:r w:rsidRPr="00B61B9D">
        <w:t>ULN (404.97 nmol/24</w:t>
      </w:r>
      <w:r w:rsidR="00111502" w:rsidRPr="00B61B9D">
        <w:t xml:space="preserve"> </w:t>
      </w:r>
      <w:r w:rsidRPr="00B61B9D">
        <w:t>h) and m</w:t>
      </w:r>
      <w:r w:rsidR="00732EAB">
        <w:t xml:space="preserve">ean </w:t>
      </w:r>
      <w:r w:rsidRPr="00B61B9D">
        <w:t xml:space="preserve">UFC ≤ ULN is evident with osilodrostat at various time points throughout the study. </w:t>
      </w:r>
      <w:r w:rsidR="00732EAB">
        <w:t xml:space="preserve">Mean </w:t>
      </w:r>
      <w:r w:rsidRPr="00B61B9D">
        <w:t>UFC levels during the study are as follows: 43.96 nmol/24</w:t>
      </w:r>
      <w:r w:rsidR="00111502" w:rsidRPr="00B61B9D">
        <w:t xml:space="preserve"> </w:t>
      </w:r>
      <w:r w:rsidRPr="00B61B9D">
        <w:t xml:space="preserve">h (95% CI for percentage change from </w:t>
      </w:r>
      <w:r w:rsidR="00111716" w:rsidRPr="00B61B9D">
        <w:t>Baseline</w:t>
      </w:r>
      <w:r w:rsidRPr="00B61B9D">
        <w:t xml:space="preserve">: </w:t>
      </w:r>
      <w:r w:rsidR="002369A0" w:rsidRPr="00B61B9D">
        <w:noBreakHyphen/>
      </w:r>
      <w:r w:rsidRPr="00B61B9D">
        <w:t>92.69, - 78.25) at the end of Week 10; 59.78 nmol/24</w:t>
      </w:r>
      <w:r w:rsidR="00111502" w:rsidRPr="00B61B9D">
        <w:t xml:space="preserve"> </w:t>
      </w:r>
      <w:r w:rsidRPr="00B61B9D">
        <w:t xml:space="preserve">h (95% CI for percentage change from </w:t>
      </w:r>
      <w:r w:rsidR="00111716" w:rsidRPr="00B61B9D">
        <w:t>Baseline</w:t>
      </w:r>
      <w:r w:rsidRPr="00B61B9D">
        <w:t>: -88.86, -71.71) at the end of Week 22; and 86.90</w:t>
      </w:r>
      <w:r w:rsidR="00732EAB">
        <w:t> </w:t>
      </w:r>
      <w:r w:rsidRPr="00B61B9D">
        <w:t>nmol/24</w:t>
      </w:r>
      <w:r w:rsidR="00111502" w:rsidRPr="00B61B9D">
        <w:t xml:space="preserve"> </w:t>
      </w:r>
      <w:r w:rsidRPr="00B61B9D">
        <w:t xml:space="preserve">h (95% CI for percentage change from </w:t>
      </w:r>
      <w:r w:rsidR="00111716" w:rsidRPr="00B61B9D">
        <w:t>Baseline</w:t>
      </w:r>
      <w:r w:rsidRPr="00B61B9D">
        <w:t>: -81.92, -52.33) at the time of the last available assessment.</w:t>
      </w:r>
    </w:p>
    <w:p w14:paraId="4F93A223" w14:textId="77777777" w:rsidR="00D25F84" w:rsidRPr="00B61B9D" w:rsidRDefault="00D25F84" w:rsidP="00680EEF">
      <w:pPr>
        <w:pStyle w:val="Heading6"/>
      </w:pPr>
      <w:r w:rsidRPr="00B61B9D">
        <w:t>Study C1201</w:t>
      </w:r>
    </w:p>
    <w:p w14:paraId="763C551A" w14:textId="7B242EC7" w:rsidR="00D25F84" w:rsidRPr="00B61B9D" w:rsidRDefault="00D25F84" w:rsidP="00680EEF">
      <w:r w:rsidRPr="00B61B9D">
        <w:t>Study C1201 is an ongoing Phase II, single</w:t>
      </w:r>
      <w:r w:rsidR="007B7183" w:rsidRPr="00B61B9D">
        <w:t xml:space="preserve"> </w:t>
      </w:r>
      <w:r w:rsidRPr="00B61B9D">
        <w:t>arm, open</w:t>
      </w:r>
      <w:r w:rsidR="007B7183" w:rsidRPr="00B61B9D">
        <w:t xml:space="preserve"> </w:t>
      </w:r>
      <w:r w:rsidRPr="00B61B9D">
        <w:t>label, dose</w:t>
      </w:r>
      <w:r w:rsidR="0067375F" w:rsidRPr="00B61B9D">
        <w:t xml:space="preserve"> </w:t>
      </w:r>
      <w:r w:rsidRPr="00B61B9D">
        <w:t>titration study to assess the safety</w:t>
      </w:r>
      <w:r w:rsidR="005B68B0" w:rsidRPr="00B61B9D">
        <w:t xml:space="preserve"> or </w:t>
      </w:r>
      <w:r w:rsidRPr="00B61B9D">
        <w:t xml:space="preserve">tolerability and efficacy of osilodrostat in 9 Japanese patients with endogenous </w:t>
      </w:r>
      <w:r w:rsidR="00541304" w:rsidRPr="00B61B9D">
        <w:t>Cushing’s syndrome</w:t>
      </w:r>
      <w:r w:rsidRPr="00B61B9D">
        <w:t xml:space="preserve"> except </w:t>
      </w:r>
      <w:r w:rsidR="00CA27DB" w:rsidRPr="00B61B9D">
        <w:t>Cushing’s disease</w:t>
      </w:r>
      <w:r w:rsidRPr="00B61B9D">
        <w:t xml:space="preserve"> (hereafter referred to non</w:t>
      </w:r>
      <w:r w:rsidR="00732EAB">
        <w:noBreakHyphen/>
      </w:r>
      <w:r w:rsidR="00CA27DB" w:rsidRPr="00B61B9D">
        <w:t>Cushing’s disease</w:t>
      </w:r>
      <w:r w:rsidRPr="00B61B9D">
        <w:t xml:space="preserve"> </w:t>
      </w:r>
      <w:r w:rsidR="00541304" w:rsidRPr="00B61B9D">
        <w:t>Cushing’s syndrome</w:t>
      </w:r>
      <w:r w:rsidRPr="00B61B9D">
        <w:t>).</w:t>
      </w:r>
      <w:r w:rsidR="002369A0" w:rsidRPr="00B61B9D">
        <w:t xml:space="preserve"> </w:t>
      </w:r>
      <w:r w:rsidRPr="00B61B9D">
        <w:t>The study consists of two distinct study periods plus an optional extension period.</w:t>
      </w:r>
    </w:p>
    <w:p w14:paraId="0399BF75" w14:textId="7B2CC2DA" w:rsidR="00D25F84" w:rsidRPr="00B61B9D" w:rsidRDefault="00D25F84" w:rsidP="00680EEF">
      <w:r w:rsidRPr="00B61B9D">
        <w:t>Study period I (12-week duration)</w:t>
      </w:r>
      <w:r w:rsidR="002369A0" w:rsidRPr="00B61B9D">
        <w:t xml:space="preserve"> is</w:t>
      </w:r>
      <w:r w:rsidRPr="00B61B9D">
        <w:t xml:space="preserve"> the dose titration period achieved an individual stable therapeutic dose and assessed the efficacy and safety.</w:t>
      </w:r>
    </w:p>
    <w:p w14:paraId="3C52AC78" w14:textId="03A81EC1" w:rsidR="00D25F84" w:rsidRPr="00B61B9D" w:rsidRDefault="00D25F84" w:rsidP="00680EEF">
      <w:r w:rsidRPr="00B61B9D">
        <w:t>In this Phase</w:t>
      </w:r>
      <w:r w:rsidR="002369A0" w:rsidRPr="00B61B9D">
        <w:t xml:space="preserve"> II </w:t>
      </w:r>
      <w:r w:rsidRPr="00B61B9D">
        <w:t>study in patients with non-</w:t>
      </w:r>
      <w:r w:rsidR="00CA27DB" w:rsidRPr="00B61B9D">
        <w:t>Cushing’s disease</w:t>
      </w:r>
      <w:r w:rsidRPr="00B61B9D">
        <w:t xml:space="preserve"> </w:t>
      </w:r>
      <w:r w:rsidR="00541304" w:rsidRPr="00B61B9D">
        <w:t>Cushing’s syndrome</w:t>
      </w:r>
      <w:r w:rsidRPr="00B61B9D">
        <w:t>, a limited number of patients were enrolled due to the rarity of the disease. Seven patients of the nine enrolled in Period 1 completed the study, and all seven patients had reductions in m</w:t>
      </w:r>
      <w:r w:rsidR="00732EAB">
        <w:t xml:space="preserve">ean </w:t>
      </w:r>
      <w:r w:rsidRPr="00B61B9D">
        <w:t xml:space="preserve">UFC levels at Week 12; two patients discontinued prior to Week 12. The mean percent change from </w:t>
      </w:r>
      <w:r w:rsidR="00111716" w:rsidRPr="00B61B9D">
        <w:t>Baseline</w:t>
      </w:r>
      <w:r w:rsidRPr="00B61B9D">
        <w:t xml:space="preserve"> at Week 12 ranged from -52.6% to -99.0%. Reduction in m</w:t>
      </w:r>
      <w:r w:rsidR="00732EAB">
        <w:t xml:space="preserve">ean </w:t>
      </w:r>
      <w:r w:rsidRPr="00B61B9D">
        <w:t>UFC (≤</w:t>
      </w:r>
      <w:r w:rsidR="00111502" w:rsidRPr="00B61B9D">
        <w:t> </w:t>
      </w:r>
      <w:r w:rsidRPr="00B61B9D">
        <w:t>ULN) were evident based on the median percent change in m</w:t>
      </w:r>
      <w:r w:rsidR="00732EAB">
        <w:t xml:space="preserve">ean </w:t>
      </w:r>
      <w:r w:rsidRPr="00B61B9D">
        <w:t xml:space="preserve">UFC from </w:t>
      </w:r>
      <w:r w:rsidR="00111716" w:rsidRPr="00B61B9D">
        <w:t>Baseline</w:t>
      </w:r>
      <w:r w:rsidRPr="00B61B9D">
        <w:t xml:space="preserve"> as follows: Week 4, -83.3%; Week 8, -94.4%; and Week</w:t>
      </w:r>
      <w:r w:rsidR="002369A0" w:rsidRPr="00B61B9D">
        <w:t xml:space="preserve"> </w:t>
      </w:r>
      <w:r w:rsidRPr="00B61B9D">
        <w:t>12, -94.5%. The median decrease in (m</w:t>
      </w:r>
      <w:r w:rsidR="00732EAB">
        <w:t xml:space="preserve">ean </w:t>
      </w:r>
      <w:r w:rsidRPr="00B61B9D">
        <w:t xml:space="preserve">UFC from </w:t>
      </w:r>
      <w:r w:rsidR="00111716" w:rsidRPr="00B61B9D">
        <w:t>Baseline</w:t>
      </w:r>
      <w:r w:rsidRPr="00B61B9D">
        <w:t xml:space="preserve"> at Week 12 was - 94.47% (-103.49%, -72.55%). The response rate was similar with that reported in Study C2301 and Study C2201 Part II </w:t>
      </w:r>
      <w:r w:rsidR="002369A0" w:rsidRPr="00B61B9D">
        <w:t>c</w:t>
      </w:r>
      <w:r w:rsidRPr="00B61B9D">
        <w:t>ore. An overall response rate of 77.8% (7</w:t>
      </w:r>
      <w:r w:rsidR="005B68B0" w:rsidRPr="00B61B9D">
        <w:t xml:space="preserve"> of </w:t>
      </w:r>
      <w:r w:rsidRPr="00B61B9D">
        <w:t>9) was achieved in patients at Week 12 with 66.7% of patients (6</w:t>
      </w:r>
      <w:r w:rsidR="005B68B0" w:rsidRPr="00B61B9D">
        <w:t xml:space="preserve"> of </w:t>
      </w:r>
      <w:r w:rsidRPr="00B61B9D">
        <w:t>9) being complete responders and 11.1% (1</w:t>
      </w:r>
      <w:r w:rsidR="005B68B0" w:rsidRPr="00B61B9D">
        <w:t xml:space="preserve"> of </w:t>
      </w:r>
      <w:r w:rsidRPr="00B61B9D">
        <w:t>9) being partial responders.</w:t>
      </w:r>
    </w:p>
    <w:p w14:paraId="4AAF3D94" w14:textId="77777777" w:rsidR="00D25F84" w:rsidRPr="00B61B9D" w:rsidRDefault="00D25F84" w:rsidP="00680EEF">
      <w:pPr>
        <w:pStyle w:val="Heading4"/>
      </w:pPr>
      <w:r w:rsidRPr="00B61B9D">
        <w:t>Safety</w:t>
      </w:r>
    </w:p>
    <w:p w14:paraId="3FDA2345" w14:textId="09C724D7" w:rsidR="00D25F84" w:rsidRPr="00B61B9D" w:rsidRDefault="00D25F84" w:rsidP="00680EEF">
      <w:r w:rsidRPr="00B61B9D">
        <w:t xml:space="preserve">The submitted safety data mainly derived from the from the pivotal </w:t>
      </w:r>
      <w:r w:rsidR="00242DBE" w:rsidRPr="00B61B9D">
        <w:t>Study</w:t>
      </w:r>
      <w:r w:rsidR="002369A0" w:rsidRPr="00B61B9D">
        <w:t> </w:t>
      </w:r>
      <w:r w:rsidRPr="00B61B9D">
        <w:t xml:space="preserve">C2301 conducted in patients with Cushing </w:t>
      </w:r>
      <w:r w:rsidR="00FA0236">
        <w:t>disease</w:t>
      </w:r>
      <w:r w:rsidR="00732EAB" w:rsidRPr="00B61B9D">
        <w:t xml:space="preserve"> </w:t>
      </w:r>
      <w:r w:rsidRPr="00B61B9D">
        <w:t>(</w:t>
      </w:r>
      <w:r w:rsidR="00CA27DB" w:rsidRPr="00B61B9D">
        <w:t xml:space="preserve">Cushing’s </w:t>
      </w:r>
      <w:r w:rsidR="00FA0236">
        <w:t>syndrome</w:t>
      </w:r>
      <w:r w:rsidRPr="00B61B9D">
        <w:t xml:space="preserve"> due to ACTH</w:t>
      </w:r>
      <w:r w:rsidR="002369A0" w:rsidRPr="00B61B9D">
        <w:t>-</w:t>
      </w:r>
      <w:r w:rsidRPr="00B61B9D">
        <w:t xml:space="preserve">producing pituitary </w:t>
      </w:r>
      <w:r w:rsidR="00FA0236">
        <w:t>adenoma)</w:t>
      </w:r>
      <w:r w:rsidRPr="00B61B9D">
        <w:t xml:space="preserve"> and </w:t>
      </w:r>
      <w:r w:rsidR="00242DBE" w:rsidRPr="00B61B9D">
        <w:t xml:space="preserve">Study </w:t>
      </w:r>
      <w:r w:rsidRPr="00B61B9D">
        <w:t>C2201</w:t>
      </w:r>
      <w:r w:rsidR="00FA0236">
        <w:t xml:space="preserve"> </w:t>
      </w:r>
      <w:r w:rsidRPr="00B61B9D">
        <w:t xml:space="preserve">provided supportive safety data. To support the proposed indication of endogenous Cushing </w:t>
      </w:r>
      <w:r w:rsidR="00C46D71" w:rsidRPr="00B61B9D">
        <w:t>sy</w:t>
      </w:r>
      <w:r w:rsidRPr="00B61B9D">
        <w:t>ndrome caused by diseases other than ACTH</w:t>
      </w:r>
      <w:r w:rsidR="002369A0" w:rsidRPr="00B61B9D">
        <w:t>-</w:t>
      </w:r>
      <w:r w:rsidRPr="00B61B9D">
        <w:t xml:space="preserve">producing pituitary adenoma, data from the Japanese </w:t>
      </w:r>
      <w:r w:rsidR="002369A0" w:rsidRPr="00B61B9D">
        <w:t xml:space="preserve">study </w:t>
      </w:r>
      <w:r w:rsidRPr="00B61B9D">
        <w:t>(</w:t>
      </w:r>
      <w:r w:rsidR="00242DBE" w:rsidRPr="00B61B9D">
        <w:t xml:space="preserve">Study </w:t>
      </w:r>
      <w:r w:rsidRPr="00B61B9D">
        <w:t>C1201) has been submitted.</w:t>
      </w:r>
    </w:p>
    <w:p w14:paraId="2E87D300" w14:textId="6EC3BEBC" w:rsidR="00D25F84" w:rsidRPr="00B61B9D" w:rsidRDefault="00D25F84" w:rsidP="00680EEF">
      <w:r w:rsidRPr="00B61B9D">
        <w:t>Study C2108, performed in 24 healthy female receiving cortisol supplementation (30</w:t>
      </w:r>
      <w:r w:rsidR="002369A0" w:rsidRPr="00B61B9D">
        <w:t> </w:t>
      </w:r>
      <w:r w:rsidRPr="00B61B9D">
        <w:t xml:space="preserve">mg for 12 days) conducted to study </w:t>
      </w:r>
      <w:r w:rsidR="000268B2" w:rsidRPr="00B61B9D">
        <w:t>PK</w:t>
      </w:r>
      <w:r w:rsidRPr="00B61B9D">
        <w:t xml:space="preserve"> of use of oral contraceptive together with osilodrostat, was also submitted.</w:t>
      </w:r>
    </w:p>
    <w:p w14:paraId="2BB68509" w14:textId="767DDA38" w:rsidR="00D25F84" w:rsidRPr="00B61B9D" w:rsidRDefault="00D25F84" w:rsidP="00680EEF">
      <w:r w:rsidRPr="00B61B9D">
        <w:t>Orlidostat was initially developed for the treatment of hypertension and hyperaldosteronism. The clinical studies in these indications used lower doses (0.25</w:t>
      </w:r>
      <w:r w:rsidR="002369A0" w:rsidRPr="00B61B9D">
        <w:t> </w:t>
      </w:r>
      <w:r w:rsidRPr="00B61B9D">
        <w:t>mg/day to 2 mg/per day) of osilodrostat used for shorter durations (4</w:t>
      </w:r>
      <w:r w:rsidR="002369A0" w:rsidRPr="00B61B9D">
        <w:t xml:space="preserve"> to </w:t>
      </w:r>
      <w:r w:rsidRPr="00B61B9D">
        <w:t>8 weeks). Even though these studies are not included in the safety data set for use of osilodrostat in intended population, the sponsor has summarised and submitted safety data and experience from these studies (</w:t>
      </w:r>
      <w:r w:rsidR="002369A0" w:rsidRPr="00B61B9D">
        <w:t xml:space="preserve">Studies </w:t>
      </w:r>
      <w:r w:rsidRPr="00B61B9D">
        <w:t>A2201, A2206, A2215 and A2216).</w:t>
      </w:r>
    </w:p>
    <w:p w14:paraId="141A828A" w14:textId="43E7251E" w:rsidR="00D25F84" w:rsidRPr="00B61B9D" w:rsidRDefault="00D25F84" w:rsidP="00680EEF">
      <w:pPr>
        <w:pStyle w:val="Heading5"/>
      </w:pPr>
      <w:r w:rsidRPr="00B61B9D">
        <w:t>Exposure</w:t>
      </w:r>
    </w:p>
    <w:p w14:paraId="580E9A8F" w14:textId="1587C6BE" w:rsidR="00D25F84" w:rsidRPr="00B61B9D" w:rsidRDefault="00D25F84" w:rsidP="00680EEF">
      <w:pPr>
        <w:pStyle w:val="Heading6"/>
      </w:pPr>
      <w:r w:rsidRPr="00B61B9D">
        <w:t>Overall exposure</w:t>
      </w:r>
    </w:p>
    <w:p w14:paraId="434C4328" w14:textId="624E591A" w:rsidR="00D25F84" w:rsidRPr="00B61B9D" w:rsidRDefault="00D25F84" w:rsidP="00680EEF">
      <w:r w:rsidRPr="00B61B9D">
        <w:t>Three studies (</w:t>
      </w:r>
      <w:r w:rsidR="00242DBE" w:rsidRPr="00B61B9D">
        <w:t>Stud</w:t>
      </w:r>
      <w:r w:rsidR="002369A0" w:rsidRPr="00B61B9D">
        <w:t>ies</w:t>
      </w:r>
      <w:r w:rsidR="00242DBE" w:rsidRPr="00B61B9D">
        <w:t xml:space="preserve"> </w:t>
      </w:r>
      <w:r w:rsidRPr="00B61B9D">
        <w:t xml:space="preserve">C2301, C2201 and C1201) were performed in subjects covering the intended population. Cut-off dates for </w:t>
      </w:r>
      <w:r w:rsidR="00242DBE" w:rsidRPr="00B61B9D">
        <w:t xml:space="preserve">Study </w:t>
      </w:r>
      <w:r w:rsidRPr="00B61B9D">
        <w:t>C2301 was 21</w:t>
      </w:r>
      <w:r w:rsidR="0079387B" w:rsidRPr="00B61B9D">
        <w:t xml:space="preserve"> February </w:t>
      </w:r>
      <w:r w:rsidRPr="00B61B9D">
        <w:t>2018 (ongoing), 14</w:t>
      </w:r>
      <w:r w:rsidR="0079387B" w:rsidRPr="00B61B9D">
        <w:t> </w:t>
      </w:r>
      <w:r w:rsidRPr="00B61B9D">
        <w:t>Nov</w:t>
      </w:r>
      <w:r w:rsidR="0079387B" w:rsidRPr="00B61B9D">
        <w:t xml:space="preserve">ember </w:t>
      </w:r>
      <w:r w:rsidRPr="00B61B9D">
        <w:t>20</w:t>
      </w:r>
      <w:r w:rsidR="0079387B" w:rsidRPr="00B61B9D">
        <w:t>1</w:t>
      </w:r>
      <w:r w:rsidRPr="00B61B9D">
        <w:t xml:space="preserve">7 for </w:t>
      </w:r>
      <w:r w:rsidR="00242DBE" w:rsidRPr="00B61B9D">
        <w:t xml:space="preserve">Study </w:t>
      </w:r>
      <w:r w:rsidRPr="00B61B9D">
        <w:t xml:space="preserve">C2201 </w:t>
      </w:r>
      <w:r w:rsidR="00C46D71" w:rsidRPr="00B61B9D">
        <w:t>Part</w:t>
      </w:r>
      <w:r w:rsidRPr="00B61B9D">
        <w:t xml:space="preserve"> II (ongoing), 6</w:t>
      </w:r>
      <w:r w:rsidR="0079387B" w:rsidRPr="00B61B9D">
        <w:t xml:space="preserve"> </w:t>
      </w:r>
      <w:r w:rsidRPr="00B61B9D">
        <w:t>Mar</w:t>
      </w:r>
      <w:r w:rsidR="0079387B" w:rsidRPr="00B61B9D">
        <w:t xml:space="preserve">ch </w:t>
      </w:r>
      <w:r w:rsidRPr="00B61B9D">
        <w:t xml:space="preserve">2012 for </w:t>
      </w:r>
      <w:r w:rsidR="00242DBE" w:rsidRPr="00B61B9D">
        <w:t xml:space="preserve">Study </w:t>
      </w:r>
      <w:r w:rsidRPr="00B61B9D">
        <w:t xml:space="preserve">C2201 </w:t>
      </w:r>
      <w:r w:rsidRPr="00B61B9D">
        <w:lastRenderedPageBreak/>
        <w:t>Part</w:t>
      </w:r>
      <w:r w:rsidR="0079387B" w:rsidRPr="00B61B9D">
        <w:t> </w:t>
      </w:r>
      <w:r w:rsidR="00C46D71" w:rsidRPr="00B61B9D">
        <w:t>I</w:t>
      </w:r>
      <w:r w:rsidRPr="00B61B9D">
        <w:t xml:space="preserve"> and 7</w:t>
      </w:r>
      <w:r w:rsidR="0079387B" w:rsidRPr="00B61B9D">
        <w:t xml:space="preserve"> </w:t>
      </w:r>
      <w:r w:rsidRPr="00B61B9D">
        <w:t>Jun</w:t>
      </w:r>
      <w:r w:rsidR="0079387B" w:rsidRPr="00B61B9D">
        <w:t xml:space="preserve">e </w:t>
      </w:r>
      <w:r w:rsidRPr="00B61B9D">
        <w:t xml:space="preserve">2018 for </w:t>
      </w:r>
      <w:r w:rsidR="00242DBE" w:rsidRPr="00B61B9D">
        <w:t xml:space="preserve">Study </w:t>
      </w:r>
      <w:r w:rsidRPr="00B61B9D">
        <w:t>C1201(ongoing). Median exposures in the pivotal study (</w:t>
      </w:r>
      <w:r w:rsidR="00242DBE" w:rsidRPr="00B61B9D">
        <w:t xml:space="preserve">Study </w:t>
      </w:r>
      <w:r w:rsidRPr="00B61B9D">
        <w:t>C2301) were 74.7 weeks and overall, across studies the median lengths ranged from 80 days to 226 weeks.</w:t>
      </w:r>
    </w:p>
    <w:p w14:paraId="5FB91BE3" w14:textId="02AB685D" w:rsidR="00D25F84" w:rsidRPr="00B61B9D" w:rsidRDefault="00D25F84" w:rsidP="00680EEF">
      <w:r w:rsidRPr="00B61B9D">
        <w:t>In total, 134 subjects have been treated with osilodrostat in more than 6 months and 107</w:t>
      </w:r>
      <w:r w:rsidR="0079387B" w:rsidRPr="00B61B9D">
        <w:t> </w:t>
      </w:r>
      <w:r w:rsidRPr="00B61B9D">
        <w:t>subjects have been treated more than 12 months (</w:t>
      </w:r>
      <w:r w:rsidR="00C46D71" w:rsidRPr="00B61B9D">
        <w:t>Study</w:t>
      </w:r>
      <w:r w:rsidRPr="00B61B9D">
        <w:t xml:space="preserve"> </w:t>
      </w:r>
      <w:r w:rsidR="00C46D71" w:rsidRPr="00B61B9D">
        <w:t>C</w:t>
      </w:r>
      <w:r w:rsidRPr="00B61B9D">
        <w:t xml:space="preserve">2301 and </w:t>
      </w:r>
      <w:r w:rsidR="00C46D71" w:rsidRPr="00B61B9D">
        <w:t>Study C</w:t>
      </w:r>
      <w:r w:rsidRPr="00B61B9D">
        <w:t xml:space="preserve">2201 </w:t>
      </w:r>
      <w:r w:rsidR="00C46D71" w:rsidRPr="00B61B9D">
        <w:t>Part</w:t>
      </w:r>
      <w:r w:rsidR="0079387B" w:rsidRPr="00B61B9D">
        <w:t> </w:t>
      </w:r>
      <w:r w:rsidRPr="00B61B9D">
        <w:t>II). At time of cut-off</w:t>
      </w:r>
      <w:r w:rsidR="00E81990" w:rsidRPr="00B61B9D">
        <w:t xml:space="preserve"> date</w:t>
      </w:r>
      <w:r w:rsidRPr="00B61B9D">
        <w:t xml:space="preserve">, 11 subjects had been treated for 48 months or more (all in </w:t>
      </w:r>
      <w:r w:rsidR="00242DBE" w:rsidRPr="00B61B9D">
        <w:t>Study</w:t>
      </w:r>
      <w:r w:rsidR="0079387B" w:rsidRPr="00B61B9D">
        <w:t> </w:t>
      </w:r>
      <w:r w:rsidRPr="00B61B9D">
        <w:t xml:space="preserve">C2201 </w:t>
      </w:r>
      <w:r w:rsidR="00C46D71" w:rsidRPr="00B61B9D">
        <w:t>Part</w:t>
      </w:r>
      <w:r w:rsidRPr="00B61B9D">
        <w:t xml:space="preserve"> II). Thus, long-term experience is limited, and further long-term safety date is pending from all three studies.</w:t>
      </w:r>
    </w:p>
    <w:p w14:paraId="5B6FC2CF" w14:textId="3007343D" w:rsidR="00D25F84" w:rsidRPr="00B61B9D" w:rsidRDefault="00D25F84" w:rsidP="00680EEF">
      <w:r w:rsidRPr="00B61B9D">
        <w:t xml:space="preserve">For </w:t>
      </w:r>
      <w:r w:rsidR="00242DBE" w:rsidRPr="00B61B9D">
        <w:t xml:space="preserve">Study </w:t>
      </w:r>
      <w:r w:rsidRPr="00B61B9D">
        <w:t>C2301 the median exposure to treatment was 104.1 weeks (range 0.9 to 199.0) weeks with some patients being treated for more than 192 weeks. One hundred and ten patients were exposed to osilodrostat for at least 156 weeks. The additional median exposure compared to the primary cut-off date was approximately 30 weeks.</w:t>
      </w:r>
    </w:p>
    <w:p w14:paraId="699155E4" w14:textId="786DFCD2" w:rsidR="00D25F84" w:rsidRPr="00B61B9D" w:rsidRDefault="00D25F84" w:rsidP="00680EEF">
      <w:r w:rsidRPr="00B61B9D">
        <w:t xml:space="preserve">The safety database is not representative for the full target population of endogenous </w:t>
      </w:r>
      <w:r w:rsidR="00541304" w:rsidRPr="00B61B9D">
        <w:t>Cushing’s syndrome</w:t>
      </w:r>
      <w:r w:rsidRPr="00B61B9D">
        <w:t xml:space="preserve"> as for the non-</w:t>
      </w:r>
      <w:r w:rsidR="00CA27DB" w:rsidRPr="00B61B9D">
        <w:t>Cushing’s disease</w:t>
      </w:r>
      <w:r w:rsidRPr="00B61B9D">
        <w:t xml:space="preserve"> form of </w:t>
      </w:r>
      <w:r w:rsidR="00541304" w:rsidRPr="00B61B9D">
        <w:t>Cushing’s syndrome</w:t>
      </w:r>
      <w:r w:rsidRPr="00B61B9D">
        <w:t>, only 9</w:t>
      </w:r>
      <w:r w:rsidR="00FA0236">
        <w:t> </w:t>
      </w:r>
      <w:r w:rsidRPr="00B61B9D">
        <w:t xml:space="preserve">patients were included (5 with adrenal adenoma, 3 with ectopic corticotropin syndrome and </w:t>
      </w:r>
      <w:r w:rsidR="0012227B" w:rsidRPr="00B61B9D">
        <w:t>one</w:t>
      </w:r>
      <w:r w:rsidRPr="00B61B9D">
        <w:t xml:space="preserve"> with ACTH-independent macronodular adrenal hyperplasia) which were all </w:t>
      </w:r>
      <w:r w:rsidR="00FA0236">
        <w:t xml:space="preserve">in </w:t>
      </w:r>
      <w:r w:rsidRPr="00B61B9D">
        <w:t xml:space="preserve">Japanese </w:t>
      </w:r>
      <w:r w:rsidR="00FA0236">
        <w:t>patients</w:t>
      </w:r>
      <w:r w:rsidRPr="00B61B9D">
        <w:t xml:space="preserve">, and of which only 4 patients continued after </w:t>
      </w:r>
      <w:r w:rsidR="00111716" w:rsidRPr="00B61B9D">
        <w:t>Week</w:t>
      </w:r>
      <w:r w:rsidRPr="00B61B9D">
        <w:t xml:space="preserve"> 12 and only 2</w:t>
      </w:r>
      <w:r w:rsidR="00FA0236">
        <w:t xml:space="preserve"> patients </w:t>
      </w:r>
      <w:r w:rsidRPr="00B61B9D">
        <w:t xml:space="preserve">completed the study period II at </w:t>
      </w:r>
      <w:r w:rsidR="00111716" w:rsidRPr="00B61B9D">
        <w:t>Week</w:t>
      </w:r>
      <w:r w:rsidRPr="00B61B9D">
        <w:t xml:space="preserve"> 48.</w:t>
      </w:r>
    </w:p>
    <w:p w14:paraId="0798EBBD" w14:textId="3D423BD5" w:rsidR="00D25F84" w:rsidRPr="00B61B9D" w:rsidRDefault="00D25F84" w:rsidP="00680EEF">
      <w:r w:rsidRPr="00B61B9D">
        <w:t xml:space="preserve">Moreover, the </w:t>
      </w:r>
      <w:r w:rsidR="00CA27DB" w:rsidRPr="00B61B9D">
        <w:t>Cushing’s disease</w:t>
      </w:r>
      <w:r w:rsidRPr="00B61B9D">
        <w:t xml:space="preserve"> population primarily consisted of second</w:t>
      </w:r>
      <w:r w:rsidR="0012227B" w:rsidRPr="00B61B9D">
        <w:t xml:space="preserve"> </w:t>
      </w:r>
      <w:r w:rsidRPr="00B61B9D">
        <w:t>line patients with persistent</w:t>
      </w:r>
      <w:r w:rsidR="001B6214" w:rsidRPr="00B61B9D">
        <w:t xml:space="preserve"> or </w:t>
      </w:r>
      <w:r w:rsidRPr="00B61B9D">
        <w:t xml:space="preserve">recurrent disease after pituitary surgery. In total, only 17 subjects were </w:t>
      </w:r>
      <w:r w:rsidR="0067375F" w:rsidRPr="00B61B9D">
        <w:rPr>
          <w:i/>
          <w:iCs/>
        </w:rPr>
        <w:t>de novo</w:t>
      </w:r>
      <w:r w:rsidRPr="00B61B9D">
        <w:t xml:space="preserve"> treated patients without any history of pituitary surgery (all in </w:t>
      </w:r>
      <w:r w:rsidR="00242DBE" w:rsidRPr="00B61B9D">
        <w:t xml:space="preserve">Study </w:t>
      </w:r>
      <w:r w:rsidRPr="00B61B9D">
        <w:t xml:space="preserve">C2301). Thus, safety data in the </w:t>
      </w:r>
      <w:r w:rsidRPr="00B61B9D">
        <w:rPr>
          <w:i/>
          <w:iCs/>
        </w:rPr>
        <w:t>de no</w:t>
      </w:r>
      <w:r w:rsidR="0012227B" w:rsidRPr="00B61B9D">
        <w:rPr>
          <w:i/>
          <w:iCs/>
        </w:rPr>
        <w:t>vo</w:t>
      </w:r>
      <w:r w:rsidRPr="00B61B9D">
        <w:t xml:space="preserve"> patients is limited. A subgroup analyses comparing the subjects without previous pituitary surgery (</w:t>
      </w:r>
      <w:r w:rsidRPr="00B61B9D">
        <w:rPr>
          <w:i/>
          <w:iCs/>
        </w:rPr>
        <w:t>de novo</w:t>
      </w:r>
      <w:r w:rsidRPr="00B61B9D">
        <w:t xml:space="preserve">) and subjects with prior surgery did not raise any new safety concern for the </w:t>
      </w:r>
      <w:r w:rsidRPr="00B61B9D">
        <w:rPr>
          <w:i/>
          <w:iCs/>
        </w:rPr>
        <w:t>de novo</w:t>
      </w:r>
      <w:r w:rsidRPr="00B61B9D">
        <w:t xml:space="preserve"> subjects. It is therefore considered acceptable to extrapolate safety information from the prior surgery to the subjects with no prior surgery.</w:t>
      </w:r>
    </w:p>
    <w:p w14:paraId="10987852" w14:textId="6FECB629" w:rsidR="00D25F84" w:rsidRPr="00B61B9D" w:rsidRDefault="00D25F84" w:rsidP="00680EEF">
      <w:r w:rsidRPr="00B61B9D">
        <w:t>Among all subjects</w:t>
      </w:r>
      <w:r w:rsidR="00D16F6C">
        <w:t>,</w:t>
      </w:r>
      <w:r w:rsidRPr="00B61B9D">
        <w:t xml:space="preserve"> six subjects (all in </w:t>
      </w:r>
      <w:r w:rsidR="00242DBE" w:rsidRPr="00B61B9D">
        <w:t xml:space="preserve">Study </w:t>
      </w:r>
      <w:r w:rsidRPr="00B61B9D">
        <w:t>C2301) had not received any previous treatments for Cushing’s disease.</w:t>
      </w:r>
    </w:p>
    <w:p w14:paraId="444CA048" w14:textId="1FD18193" w:rsidR="00D25F84" w:rsidRPr="00B61B9D" w:rsidRDefault="00D25F84" w:rsidP="00680EEF">
      <w:r w:rsidRPr="00B61B9D">
        <w:t>In addition to data in subjects with Cushing syndrome, 520 subjects with hypertension have been exposed to osilodrostat in low dose 0.25 mg/day to 2 mg/per day) in the four Phase</w:t>
      </w:r>
      <w:r w:rsidR="00585179" w:rsidRPr="00B61B9D">
        <w:t> </w:t>
      </w:r>
      <w:r w:rsidRPr="00B61B9D">
        <w:t>II hypertension short-term (4</w:t>
      </w:r>
      <w:r w:rsidR="00585179" w:rsidRPr="00B61B9D">
        <w:t xml:space="preserve"> to </w:t>
      </w:r>
      <w:r w:rsidRPr="00B61B9D">
        <w:t>8 weeks) studies (</w:t>
      </w:r>
      <w:r w:rsidR="00585179" w:rsidRPr="00B61B9D">
        <w:t xml:space="preserve">Studies </w:t>
      </w:r>
      <w:r w:rsidRPr="00B61B9D">
        <w:t>A2201, A2206, A2215 and A2216).</w:t>
      </w:r>
    </w:p>
    <w:p w14:paraId="4AADB05D" w14:textId="77777777" w:rsidR="00D25F84" w:rsidRPr="00B61B9D" w:rsidRDefault="00D25F84" w:rsidP="00680EEF">
      <w:pPr>
        <w:pStyle w:val="Heading5"/>
      </w:pPr>
      <w:r w:rsidRPr="00B61B9D">
        <w:t>Adverse events</w:t>
      </w:r>
    </w:p>
    <w:p w14:paraId="0453C132" w14:textId="4CD75D07" w:rsidR="00D25F84" w:rsidRPr="00B61B9D" w:rsidRDefault="00D25F84" w:rsidP="00680EEF">
      <w:r w:rsidRPr="00B61B9D">
        <w:t xml:space="preserve">An overview of </w:t>
      </w:r>
      <w:r w:rsidR="00D16F6C">
        <w:t>adverse events (</w:t>
      </w:r>
      <w:r w:rsidR="005F47D9" w:rsidRPr="00B61B9D">
        <w:t>AE</w:t>
      </w:r>
      <w:r w:rsidR="00D16F6C">
        <w:t>s)</w:t>
      </w:r>
      <w:r w:rsidR="005F47D9" w:rsidRPr="00B61B9D">
        <w:t xml:space="preserve"> </w:t>
      </w:r>
      <w:r w:rsidRPr="00B61B9D">
        <w:t xml:space="preserve">and deaths in Study C2301 and Study C2201 Part </w:t>
      </w:r>
      <w:r w:rsidR="00C46D71" w:rsidRPr="00B61B9D">
        <w:t>II</w:t>
      </w:r>
      <w:r w:rsidRPr="00B61B9D">
        <w:t xml:space="preserve"> is presented in </w:t>
      </w:r>
      <w:r w:rsidR="00813A96" w:rsidRPr="00B61B9D">
        <w:fldChar w:fldCharType="begin"/>
      </w:r>
      <w:r w:rsidR="00813A96" w:rsidRPr="00B61B9D">
        <w:instrText xml:space="preserve"> REF _Ref111837043 \h </w:instrText>
      </w:r>
      <w:r w:rsidR="001E6C75" w:rsidRPr="00B61B9D">
        <w:instrText xml:space="preserve"> \* MERGEFORMAT </w:instrText>
      </w:r>
      <w:r w:rsidR="00813A96" w:rsidRPr="00B61B9D">
        <w:fldChar w:fldCharType="separate"/>
      </w:r>
      <w:r w:rsidR="009B4A87" w:rsidRPr="00F05753">
        <w:t xml:space="preserve">Table </w:t>
      </w:r>
      <w:r w:rsidR="009B4A87">
        <w:rPr>
          <w:noProof/>
        </w:rPr>
        <w:t>10</w:t>
      </w:r>
      <w:r w:rsidR="00813A96" w:rsidRPr="00B61B9D">
        <w:fldChar w:fldCharType="end"/>
      </w:r>
      <w:r w:rsidRPr="00B61B9D">
        <w:t>. For</w:t>
      </w:r>
      <w:r w:rsidR="00242DBE" w:rsidRPr="00B61B9D">
        <w:t xml:space="preserve"> Study</w:t>
      </w:r>
      <w:r w:rsidRPr="00B61B9D">
        <w:t xml:space="preserve"> C2301, events experienced by patient randomi</w:t>
      </w:r>
      <w:r w:rsidR="00111716" w:rsidRPr="00B61B9D">
        <w:t>s</w:t>
      </w:r>
      <w:r w:rsidRPr="00B61B9D">
        <w:t>ed to placebo while on placebo are not included in the analysis.</w:t>
      </w:r>
    </w:p>
    <w:p w14:paraId="2C6D2C4C" w14:textId="5EEE88BF" w:rsidR="00C57FF9" w:rsidRPr="00F05753" w:rsidRDefault="00813A96" w:rsidP="00F05753">
      <w:pPr>
        <w:pStyle w:val="TableTitle"/>
      </w:pPr>
      <w:bookmarkStart w:id="51" w:name="_Ref111837043"/>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10</w:t>
      </w:r>
      <w:r w:rsidR="00A12D67">
        <w:rPr>
          <w:noProof/>
        </w:rPr>
        <w:fldChar w:fldCharType="end"/>
      </w:r>
      <w:bookmarkEnd w:id="51"/>
      <w:r w:rsidR="00D25F84" w:rsidRPr="00F05753">
        <w:t xml:space="preserve">: </w:t>
      </w:r>
      <w:r w:rsidR="005F47D9" w:rsidRPr="00F05753">
        <w:t xml:space="preserve">Study C2301 and Study C2201 Part </w:t>
      </w:r>
      <w:r w:rsidR="00C46D71" w:rsidRPr="00F05753">
        <w:t>II</w:t>
      </w:r>
      <w:r w:rsidR="005F47D9" w:rsidRPr="00F05753">
        <w:t xml:space="preserve"> </w:t>
      </w:r>
      <w:r w:rsidR="00D25F84" w:rsidRPr="00F05753">
        <w:t>Overview of adverse events and deaths (</w:t>
      </w:r>
      <w:r w:rsidR="005F47D9" w:rsidRPr="00F05753">
        <w:t>safety set)</w:t>
      </w:r>
    </w:p>
    <w:p w14:paraId="2BC43275" w14:textId="67803359" w:rsidR="00D25F84" w:rsidRPr="00B61B9D" w:rsidRDefault="00C57FF9" w:rsidP="00F05753">
      <w:pPr>
        <w:rPr>
          <w:b/>
          <w:bCs/>
        </w:rPr>
      </w:pPr>
      <w:r>
        <w:rPr>
          <w:noProof/>
          <w:lang w:val="en-GB" w:eastAsia="en-GB"/>
        </w:rPr>
        <w:drawing>
          <wp:inline distT="0" distB="0" distL="0" distR="0" wp14:anchorId="3B031C57" wp14:editId="5F31078B">
            <wp:extent cx="5295900" cy="3770630"/>
            <wp:effectExtent l="0" t="0" r="0" b="1270"/>
            <wp:docPr id="14" name="Picture 14" descr="Table 10: Study C2301 and Study C2201 Part II Overview of adverse events and death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0: Study C2301 and Study C2201 Part II Overview of adverse events and deaths (safety set)"/>
                    <pic:cNvPicPr/>
                  </pic:nvPicPr>
                  <pic:blipFill>
                    <a:blip r:embed="rId28"/>
                    <a:stretch>
                      <a:fillRect/>
                    </a:stretch>
                  </pic:blipFill>
                  <pic:spPr>
                    <a:xfrm>
                      <a:off x="0" y="0"/>
                      <a:ext cx="5298149" cy="3772231"/>
                    </a:xfrm>
                    <a:prstGeom prst="rect">
                      <a:avLst/>
                    </a:prstGeom>
                  </pic:spPr>
                </pic:pic>
              </a:graphicData>
            </a:graphic>
          </wp:inline>
        </w:drawing>
      </w:r>
    </w:p>
    <w:p w14:paraId="14DEB774" w14:textId="09FA31D1" w:rsidR="00C57FF9" w:rsidRPr="00F05753" w:rsidRDefault="000C4AD8" w:rsidP="00F05753">
      <w:pPr>
        <w:pStyle w:val="TableDescription"/>
      </w:pPr>
      <w:r w:rsidRPr="00F05753">
        <w:t xml:space="preserve">Abbreviations: </w:t>
      </w:r>
      <w:r w:rsidR="00C57FF9" w:rsidRPr="00F05753">
        <w:t>AE = adverse events; N = number of subjects; n = number of subjects in subgroups; SAE = serious adverse events.</w:t>
      </w:r>
    </w:p>
    <w:p w14:paraId="430E46FD" w14:textId="0582C10B" w:rsidR="00C57FF9" w:rsidRPr="00F05753" w:rsidRDefault="00C57FF9" w:rsidP="00F05753">
      <w:pPr>
        <w:pStyle w:val="TableDescription"/>
      </w:pPr>
      <w:r w:rsidRPr="00F05753">
        <w:t>Categories are not mutually exclusive. Patients with multiple events in the same category are counted only once in that category. Patients with events in more than one category are counted once in each of those categories.</w:t>
      </w:r>
    </w:p>
    <w:p w14:paraId="15C6350D" w14:textId="77777777" w:rsidR="00C57FF9" w:rsidRPr="00F05753" w:rsidRDefault="00C57FF9" w:rsidP="00F05753">
      <w:pPr>
        <w:pStyle w:val="TableDescription"/>
      </w:pPr>
      <w:r w:rsidRPr="00F05753">
        <w:t>* All deaths occurring up to 28 days after end of study treatment.</w:t>
      </w:r>
    </w:p>
    <w:p w14:paraId="6FEDDEBB" w14:textId="3F1CB663" w:rsidR="00C57FF9" w:rsidRPr="00F05753" w:rsidRDefault="00342390" w:rsidP="00F05753">
      <w:pPr>
        <w:pStyle w:val="TableDescription"/>
      </w:pPr>
      <w:r w:rsidRPr="00F05753">
        <w:t>Medical Dictionary for Regulatory Activities (</w:t>
      </w:r>
      <w:r w:rsidR="00C57FF9" w:rsidRPr="00F05753">
        <w:t>MedDRA</w:t>
      </w:r>
      <w:r w:rsidRPr="00F05753">
        <w:t>)</w:t>
      </w:r>
      <w:bookmarkStart w:id="52" w:name="_Ref112959233"/>
      <w:r w:rsidRPr="00F05753">
        <w:rPr>
          <w:rStyle w:val="FootnoteReference"/>
        </w:rPr>
        <w:footnoteReference w:id="20"/>
      </w:r>
      <w:bookmarkEnd w:id="52"/>
      <w:r w:rsidR="00C57FF9" w:rsidRPr="00F05753">
        <w:t xml:space="preserve"> version 20.1, </w:t>
      </w:r>
      <w:r w:rsidRPr="00F05753">
        <w:t xml:space="preserve">Common Terminology Criteria for Adverse Events (CTCAE) </w:t>
      </w:r>
      <w:r w:rsidR="00C57FF9" w:rsidRPr="00F05753">
        <w:t>version 4.0 (Study C2201) and 4.03 (Study C2301).</w:t>
      </w:r>
    </w:p>
    <w:p w14:paraId="511675D7" w14:textId="12908067" w:rsidR="00C57FF9" w:rsidRPr="00F05753" w:rsidRDefault="00C57FF9" w:rsidP="00F05753">
      <w:pPr>
        <w:pStyle w:val="TableDescription"/>
      </w:pPr>
      <w:r w:rsidRPr="00F05753">
        <w:t>Study C2201 data cut-off date: 14 November 2017; Study C2301 data cut-off date: 21 February 2018.</w:t>
      </w:r>
    </w:p>
    <w:p w14:paraId="79D33297" w14:textId="5CA871E0" w:rsidR="00D25F84" w:rsidRPr="00B61B9D" w:rsidRDefault="00D25F84" w:rsidP="00680EEF">
      <w:pPr>
        <w:pStyle w:val="Heading6"/>
      </w:pPr>
      <w:r w:rsidRPr="00B61B9D">
        <w:t>Common adverse events</w:t>
      </w:r>
    </w:p>
    <w:p w14:paraId="3648B3AE" w14:textId="526A2E8A" w:rsidR="00D25F84" w:rsidRPr="00B61B9D" w:rsidRDefault="00D25F84" w:rsidP="00680EEF">
      <w:pPr>
        <w:pStyle w:val="Heading7"/>
        <w:rPr>
          <w:sz w:val="22"/>
          <w:szCs w:val="28"/>
        </w:rPr>
      </w:pPr>
      <w:r w:rsidRPr="00B61B9D">
        <w:rPr>
          <w:sz w:val="22"/>
          <w:szCs w:val="28"/>
        </w:rPr>
        <w:t xml:space="preserve">Adverse events by </w:t>
      </w:r>
      <w:bookmarkStart w:id="53" w:name="_Hlk112841801"/>
      <w:r w:rsidR="00AC3DF6" w:rsidRPr="00B61B9D">
        <w:rPr>
          <w:sz w:val="22"/>
          <w:szCs w:val="28"/>
        </w:rPr>
        <w:t>System Organ Class</w:t>
      </w:r>
      <w:bookmarkEnd w:id="53"/>
    </w:p>
    <w:p w14:paraId="1E21F88C" w14:textId="0616EC8B" w:rsidR="00D25F84" w:rsidRPr="00B61B9D" w:rsidRDefault="00D25F84" w:rsidP="00680EEF">
      <w:r w:rsidRPr="00B61B9D">
        <w:t>All subjects (100%) included in the studies experienced at least one AE. In the pivotal study (</w:t>
      </w:r>
      <w:r w:rsidR="00242DBE" w:rsidRPr="00B61B9D">
        <w:t xml:space="preserve">Study </w:t>
      </w:r>
      <w:r w:rsidRPr="00B61B9D">
        <w:t xml:space="preserve">C2301) and the supportive </w:t>
      </w:r>
      <w:r w:rsidR="00242DBE" w:rsidRPr="00B61B9D">
        <w:t xml:space="preserve">Study </w:t>
      </w:r>
      <w:r w:rsidRPr="00B61B9D">
        <w:t xml:space="preserve">C2201 </w:t>
      </w:r>
      <w:r w:rsidR="00C46D71" w:rsidRPr="00B61B9D">
        <w:t>Part</w:t>
      </w:r>
      <w:r w:rsidRPr="00B61B9D">
        <w:t xml:space="preserve"> </w:t>
      </w:r>
      <w:r w:rsidR="00C46D71" w:rsidRPr="00B61B9D">
        <w:t>II</w:t>
      </w:r>
      <w:r w:rsidRPr="00B61B9D">
        <w:t xml:space="preserve"> AEs were most commonly reported within the </w:t>
      </w:r>
      <w:r w:rsidR="008113A8" w:rsidRPr="00B61B9D">
        <w:t>System Organ Classes (</w:t>
      </w:r>
      <w:r w:rsidRPr="00B61B9D">
        <w:t>SOCs</w:t>
      </w:r>
      <w:r w:rsidR="008113A8" w:rsidRPr="00B61B9D">
        <w:t>)</w:t>
      </w:r>
      <w:r w:rsidRPr="00B61B9D">
        <w:t xml:space="preserve"> </w:t>
      </w:r>
      <w:r w:rsidR="008113A8" w:rsidRPr="00B61B9D">
        <w:t>g</w:t>
      </w:r>
      <w:r w:rsidRPr="00B61B9D">
        <w:t xml:space="preserve">astrointestinal disorders (67% and 68% respectively), </w:t>
      </w:r>
      <w:r w:rsidR="00AC3DF6" w:rsidRPr="00B61B9D">
        <w:t>infections and infestations (67% and 74%, respectively) and general disorders and administration site conditions (65% and 79%, respectively</w:t>
      </w:r>
      <w:r w:rsidRPr="00B61B9D">
        <w:t xml:space="preserve">). The reported SOC pattern in </w:t>
      </w:r>
      <w:r w:rsidR="00242DBE" w:rsidRPr="00B61B9D">
        <w:t xml:space="preserve">Study </w:t>
      </w:r>
      <w:r w:rsidRPr="00B61B9D">
        <w:t>C1201 and</w:t>
      </w:r>
      <w:r w:rsidR="00242DBE" w:rsidRPr="00B61B9D">
        <w:t xml:space="preserve"> Study</w:t>
      </w:r>
      <w:r w:rsidRPr="00B61B9D">
        <w:t xml:space="preserve"> C2201 </w:t>
      </w:r>
      <w:r w:rsidR="00C46D71" w:rsidRPr="00B61B9D">
        <w:t>Part</w:t>
      </w:r>
      <w:r w:rsidRPr="00B61B9D">
        <w:t xml:space="preserve"> </w:t>
      </w:r>
      <w:r w:rsidR="00C46D71" w:rsidRPr="00B61B9D">
        <w:t>I</w:t>
      </w:r>
      <w:r w:rsidRPr="00B61B9D">
        <w:t xml:space="preserve"> were in line with the most common </w:t>
      </w:r>
      <w:r w:rsidRPr="00B61B9D">
        <w:lastRenderedPageBreak/>
        <w:t xml:space="preserve">SOCs reported in the safety set of subjects with </w:t>
      </w:r>
      <w:r w:rsidR="00541304" w:rsidRPr="00B61B9D">
        <w:t>Cushing’s syndrome</w:t>
      </w:r>
      <w:r w:rsidRPr="00B61B9D">
        <w:t xml:space="preserve"> (</w:t>
      </w:r>
      <w:r w:rsidR="00242DBE" w:rsidRPr="00B61B9D">
        <w:t xml:space="preserve">Study </w:t>
      </w:r>
      <w:r w:rsidRPr="00B61B9D">
        <w:t xml:space="preserve">C2301 and </w:t>
      </w:r>
      <w:r w:rsidR="00242DBE" w:rsidRPr="00B61B9D">
        <w:t xml:space="preserve">Study </w:t>
      </w:r>
      <w:r w:rsidRPr="00B61B9D">
        <w:t xml:space="preserve">C2201 </w:t>
      </w:r>
      <w:r w:rsidR="00C46D71" w:rsidRPr="00B61B9D">
        <w:t>Part II</w:t>
      </w:r>
      <w:r w:rsidRPr="00B61B9D">
        <w:t>).</w:t>
      </w:r>
    </w:p>
    <w:p w14:paraId="1848E0A3" w14:textId="09860E7E" w:rsidR="00D25F84" w:rsidRPr="00B61B9D" w:rsidRDefault="00D25F84" w:rsidP="00680EEF">
      <w:r w:rsidRPr="00B61B9D">
        <w:t>Adverse events</w:t>
      </w:r>
      <w:r w:rsidR="00E72CD4" w:rsidRPr="00B61B9D">
        <w:t xml:space="preserve"> (AEs)</w:t>
      </w:r>
      <w:r w:rsidRPr="00B61B9D">
        <w:t xml:space="preserve"> by </w:t>
      </w:r>
      <w:r w:rsidR="008113A8" w:rsidRPr="00B61B9D">
        <w:t>SOC</w:t>
      </w:r>
      <w:r w:rsidRPr="00B61B9D">
        <w:t xml:space="preserve"> regardless of study drug relationship (</w:t>
      </w:r>
      <w:r w:rsidR="00242DBE" w:rsidRPr="00B61B9D">
        <w:t xml:space="preserve">Study </w:t>
      </w:r>
      <w:r w:rsidRPr="00B61B9D">
        <w:t xml:space="preserve">C2301) were similar in the updated safety data set (cut-off </w:t>
      </w:r>
      <w:r w:rsidR="00E81990" w:rsidRPr="00B61B9D">
        <w:t>date</w:t>
      </w:r>
      <w:r w:rsidRPr="00B61B9D">
        <w:t>15 Oct</w:t>
      </w:r>
      <w:r w:rsidR="005F47D9" w:rsidRPr="00B61B9D">
        <w:t>ober</w:t>
      </w:r>
      <w:r w:rsidRPr="00B61B9D">
        <w:t xml:space="preserve"> 2019) as to those reported in the primary analysis with regard to the nature, severity and frequency of event.</w:t>
      </w:r>
    </w:p>
    <w:p w14:paraId="3EDE9585" w14:textId="369E712E" w:rsidR="00D25F84" w:rsidRPr="00F05753" w:rsidRDefault="00813A96" w:rsidP="00F05753">
      <w:pPr>
        <w:pStyle w:val="TableTitle"/>
      </w:pPr>
      <w:r w:rsidRPr="00F05753">
        <w:t xml:space="preserve">Table </w:t>
      </w:r>
      <w:r w:rsidR="00A12D67">
        <w:fldChar w:fldCharType="begin"/>
      </w:r>
      <w:r w:rsidR="00A12D67">
        <w:instrText xml:space="preserve"> SEQ Table \* ARABIC </w:instrText>
      </w:r>
      <w:r w:rsidR="00A12D67">
        <w:fldChar w:fldCharType="separate"/>
      </w:r>
      <w:r w:rsidR="009B4A87">
        <w:rPr>
          <w:noProof/>
        </w:rPr>
        <w:t>11</w:t>
      </w:r>
      <w:r w:rsidR="00A12D67">
        <w:rPr>
          <w:noProof/>
        </w:rPr>
        <w:fldChar w:fldCharType="end"/>
      </w:r>
      <w:r w:rsidR="00D25F84" w:rsidRPr="00F05753">
        <w:t xml:space="preserve">: </w:t>
      </w:r>
      <w:r w:rsidR="005F47D9" w:rsidRPr="00F05753">
        <w:t xml:space="preserve">Study C2301 and Study C2201 Part </w:t>
      </w:r>
      <w:r w:rsidR="00C46D71" w:rsidRPr="00F05753">
        <w:t>II</w:t>
      </w:r>
      <w:r w:rsidR="005F47D9" w:rsidRPr="00F05753">
        <w:t xml:space="preserve"> </w:t>
      </w:r>
      <w:r w:rsidR="00D25F84" w:rsidRPr="00F05753">
        <w:t xml:space="preserve">Adverse events regardless of study drug relationship by </w:t>
      </w:r>
      <w:r w:rsidR="00AC3DF6" w:rsidRPr="00F05753">
        <w:t>System Organ Class</w:t>
      </w:r>
      <w:r w:rsidR="00D25F84" w:rsidRPr="00F05753">
        <w:t xml:space="preserve"> and </w:t>
      </w:r>
      <w:r w:rsidR="000C4AD8" w:rsidRPr="00F05753">
        <w:t xml:space="preserve">Grade </w:t>
      </w:r>
      <w:r w:rsidR="00D25F84" w:rsidRPr="00F05753">
        <w:t>(severity) (</w:t>
      </w:r>
      <w:r w:rsidR="000C4AD8" w:rsidRPr="00F05753">
        <w:t>s</w:t>
      </w:r>
      <w:r w:rsidR="00D25F84" w:rsidRPr="00F05753">
        <w:t>afety set)</w:t>
      </w:r>
    </w:p>
    <w:p w14:paraId="2DD7CF61" w14:textId="46D4281A" w:rsidR="00C57FF9" w:rsidRDefault="00C57FF9" w:rsidP="00F05753">
      <w:r>
        <w:rPr>
          <w:noProof/>
          <w:lang w:val="en-GB" w:eastAsia="en-GB"/>
        </w:rPr>
        <w:drawing>
          <wp:inline distT="0" distB="0" distL="0" distR="0" wp14:anchorId="2D92B4AC" wp14:editId="22CA1FE2">
            <wp:extent cx="5400040" cy="6163310"/>
            <wp:effectExtent l="0" t="0" r="0" b="8890"/>
            <wp:docPr id="15" name="Picture 15" descr="Table 11: Study C2301 and Study C2201 Part II Adverse events regardless of study drug relationship by System Organ Class and Grade (severit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1: Study C2301 and Study C2201 Part II Adverse events regardless of study drug relationship by System Organ Class and Grade (severity) (safety set)"/>
                    <pic:cNvPicPr/>
                  </pic:nvPicPr>
                  <pic:blipFill>
                    <a:blip r:embed="rId29"/>
                    <a:stretch>
                      <a:fillRect/>
                    </a:stretch>
                  </pic:blipFill>
                  <pic:spPr>
                    <a:xfrm>
                      <a:off x="0" y="0"/>
                      <a:ext cx="5400040" cy="6163310"/>
                    </a:xfrm>
                    <a:prstGeom prst="rect">
                      <a:avLst/>
                    </a:prstGeom>
                  </pic:spPr>
                </pic:pic>
              </a:graphicData>
            </a:graphic>
          </wp:inline>
        </w:drawing>
      </w:r>
    </w:p>
    <w:p w14:paraId="2A335401" w14:textId="66731A16" w:rsidR="000C4AD8" w:rsidRPr="00F05753" w:rsidRDefault="000C4AD8" w:rsidP="00F05753">
      <w:pPr>
        <w:pStyle w:val="TableDescription"/>
      </w:pPr>
      <w:r w:rsidRPr="00F05753">
        <w:t>Abbreviations: N = number of subjects; n = number of subjects in subgroups.</w:t>
      </w:r>
    </w:p>
    <w:p w14:paraId="0E2A7316" w14:textId="4E170015" w:rsidR="000C4AD8" w:rsidRPr="00F05753" w:rsidRDefault="000C4AD8" w:rsidP="00F05753">
      <w:pPr>
        <w:pStyle w:val="TableDescription"/>
      </w:pPr>
      <w:r w:rsidRPr="00F05753">
        <w:t>System Organ classes (SOC</w:t>
      </w:r>
      <w:r w:rsidR="008506D6" w:rsidRPr="00F05753">
        <w:t>s</w:t>
      </w:r>
      <w:r w:rsidRPr="00F05753">
        <w:t>) are sorted in descending frequency, as reported in the all grades total column.</w:t>
      </w:r>
    </w:p>
    <w:p w14:paraId="27BB9AF6" w14:textId="77777777" w:rsidR="00342390" w:rsidRPr="00F05753" w:rsidRDefault="000C4AD8" w:rsidP="00F05753">
      <w:pPr>
        <w:pStyle w:val="TableDescription"/>
      </w:pPr>
      <w:r w:rsidRPr="00F05753">
        <w:t>A patient with multiple severity grades for a SOC is only counted under the maximum grade.</w:t>
      </w:r>
    </w:p>
    <w:p w14:paraId="0988DA4A" w14:textId="24DF5B3B" w:rsidR="000C4AD8" w:rsidRPr="00F05753" w:rsidRDefault="000C4AD8" w:rsidP="00F05753">
      <w:pPr>
        <w:pStyle w:val="TableDescription"/>
      </w:pPr>
      <w:r w:rsidRPr="00F05753">
        <w:t>For Study C2301, any events experienced by patient randomised to placebo while on placebo are not included in this analysis.</w:t>
      </w:r>
    </w:p>
    <w:p w14:paraId="622AED55" w14:textId="072556A0" w:rsidR="000C4AD8" w:rsidRPr="00F05753" w:rsidRDefault="00342390" w:rsidP="00F05753">
      <w:pPr>
        <w:pStyle w:val="TableDescription"/>
      </w:pPr>
      <w:r w:rsidRPr="00F05753">
        <w:lastRenderedPageBreak/>
        <w:t>Medical Dictionary for Regulatory Activities (MedDRA)</w:t>
      </w:r>
      <w:r w:rsidRPr="00F05753">
        <w:rPr>
          <w:vertAlign w:val="superscript"/>
        </w:rPr>
        <w:fldChar w:fldCharType="begin"/>
      </w:r>
      <w:r w:rsidRPr="00F05753">
        <w:rPr>
          <w:vertAlign w:val="superscript"/>
        </w:rPr>
        <w:instrText xml:space="preserve"> NOTEREF _Ref112959233 \h  \* MERGEFORMAT </w:instrText>
      </w:r>
      <w:r w:rsidRPr="00F05753">
        <w:rPr>
          <w:vertAlign w:val="superscript"/>
        </w:rPr>
      </w:r>
      <w:r w:rsidRPr="00F05753">
        <w:rPr>
          <w:vertAlign w:val="superscript"/>
        </w:rPr>
        <w:fldChar w:fldCharType="separate"/>
      </w:r>
      <w:r w:rsidR="009B4A87">
        <w:rPr>
          <w:vertAlign w:val="superscript"/>
        </w:rPr>
        <w:t>20</w:t>
      </w:r>
      <w:r w:rsidRPr="00F05753">
        <w:rPr>
          <w:vertAlign w:val="superscript"/>
        </w:rPr>
        <w:fldChar w:fldCharType="end"/>
      </w:r>
      <w:r w:rsidR="000C4AD8" w:rsidRPr="00F05753">
        <w:t xml:space="preserve"> version 20.1, </w:t>
      </w:r>
      <w:r w:rsidRPr="00F05753">
        <w:t xml:space="preserve">Common Terminology Criteria for Adverse Events (CTCAE) </w:t>
      </w:r>
      <w:r w:rsidR="000C4AD8" w:rsidRPr="00F05753">
        <w:t>version 4.0 (Study C2201) and 4.03 (Study C2301).</w:t>
      </w:r>
    </w:p>
    <w:p w14:paraId="7C1AF404" w14:textId="6B3749F1" w:rsidR="00D25F84" w:rsidRPr="00F05753" w:rsidRDefault="000C4AD8" w:rsidP="00F05753">
      <w:pPr>
        <w:pStyle w:val="TableDescription"/>
      </w:pPr>
      <w:r w:rsidRPr="00F05753">
        <w:t>Study C2201 data cut-off date: 14 November 2017; Study C2301 data cut-off date: 21 February 2018.</w:t>
      </w:r>
    </w:p>
    <w:p w14:paraId="31104274" w14:textId="29E1E240" w:rsidR="00D25F84" w:rsidRPr="00B61B9D" w:rsidRDefault="008113A8" w:rsidP="00680EEF">
      <w:pPr>
        <w:pStyle w:val="Heading7"/>
        <w:rPr>
          <w:sz w:val="22"/>
          <w:szCs w:val="28"/>
        </w:rPr>
      </w:pPr>
      <w:r w:rsidRPr="00B61B9D">
        <w:rPr>
          <w:sz w:val="22"/>
          <w:szCs w:val="28"/>
        </w:rPr>
        <w:t>Adverse events</w:t>
      </w:r>
      <w:r w:rsidR="00D25F84" w:rsidRPr="00B61B9D">
        <w:rPr>
          <w:sz w:val="22"/>
          <w:szCs w:val="28"/>
        </w:rPr>
        <w:t xml:space="preserve"> over time</w:t>
      </w:r>
    </w:p>
    <w:p w14:paraId="57D21F80" w14:textId="7C795432" w:rsidR="00D25F84" w:rsidRPr="00B61B9D" w:rsidRDefault="00D25F84" w:rsidP="00680EEF">
      <w:r w:rsidRPr="00B61B9D">
        <w:t>The AE profile over time</w:t>
      </w:r>
      <w:r w:rsidR="008113A8" w:rsidRPr="00B61B9D">
        <w:t xml:space="preserve"> </w:t>
      </w:r>
      <w:r w:rsidRPr="00B61B9D">
        <w:t xml:space="preserve">derived from each of the three observation periods in the </w:t>
      </w:r>
      <w:r w:rsidR="008113A8" w:rsidRPr="00B61B9D">
        <w:t>core</w:t>
      </w:r>
      <w:r w:rsidRPr="00B61B9D">
        <w:t xml:space="preserve"> phase (</w:t>
      </w:r>
      <w:r w:rsidR="00111716" w:rsidRPr="00B61B9D">
        <w:t>Weeks</w:t>
      </w:r>
      <w:r w:rsidRPr="00B61B9D">
        <w:t xml:space="preserve"> 1</w:t>
      </w:r>
      <w:r w:rsidR="00E81990" w:rsidRPr="00B61B9D">
        <w:t xml:space="preserve"> to </w:t>
      </w:r>
      <w:r w:rsidRPr="00B61B9D">
        <w:t xml:space="preserve">12, </w:t>
      </w:r>
      <w:r w:rsidR="00111716" w:rsidRPr="00B61B9D">
        <w:t xml:space="preserve">Weeks </w:t>
      </w:r>
      <w:r w:rsidRPr="00B61B9D">
        <w:t>12</w:t>
      </w:r>
      <w:r w:rsidR="00E81990" w:rsidRPr="00B61B9D">
        <w:t xml:space="preserve"> to </w:t>
      </w:r>
      <w:r w:rsidRPr="00B61B9D">
        <w:t>26 and &gt;</w:t>
      </w:r>
      <w:r w:rsidR="005B68B0" w:rsidRPr="00B61B9D">
        <w:t xml:space="preserve"> </w:t>
      </w:r>
      <w:r w:rsidRPr="00B61B9D">
        <w:t>26 weeks). There was no trend of increasing AEs over time as treatment with osilodrostat proceeded. However, it must be noted that the observation periods have varied duration in the different studies (12 weeks, 14 weeks, and up to approximately 3 years, respectively).</w:t>
      </w:r>
    </w:p>
    <w:p w14:paraId="330F56A8" w14:textId="73740554" w:rsidR="00D25F84" w:rsidRPr="00B61B9D" w:rsidRDefault="00D25F84" w:rsidP="00680EEF">
      <w:pPr>
        <w:pStyle w:val="Heading7"/>
        <w:rPr>
          <w:sz w:val="22"/>
          <w:szCs w:val="28"/>
        </w:rPr>
      </w:pPr>
      <w:r w:rsidRPr="00B61B9D">
        <w:rPr>
          <w:sz w:val="22"/>
          <w:szCs w:val="28"/>
        </w:rPr>
        <w:t xml:space="preserve">Common adverse events by </w:t>
      </w:r>
      <w:r w:rsidR="00E81990" w:rsidRPr="00B61B9D">
        <w:rPr>
          <w:sz w:val="22"/>
          <w:szCs w:val="28"/>
        </w:rPr>
        <w:t>Preferred Term</w:t>
      </w:r>
    </w:p>
    <w:p w14:paraId="6E7C26BF" w14:textId="324FE17F" w:rsidR="00D25F84" w:rsidRPr="00B61B9D" w:rsidRDefault="00D25F84" w:rsidP="00680EEF">
      <w:r w:rsidRPr="00B61B9D">
        <w:t xml:space="preserve">The overall most common AE was nausea experienced in 41%-58% among all studies. Headache and fatigue </w:t>
      </w:r>
      <w:r w:rsidR="00E81990" w:rsidRPr="00B61B9D">
        <w:t>were</w:t>
      </w:r>
      <w:r w:rsidRPr="00B61B9D">
        <w:t xml:space="preserve"> also frequently reported both in </w:t>
      </w:r>
      <w:r w:rsidR="00C46D71" w:rsidRPr="00B61B9D">
        <w:t>Study</w:t>
      </w:r>
      <w:r w:rsidRPr="00B61B9D">
        <w:t xml:space="preserve"> </w:t>
      </w:r>
      <w:r w:rsidR="00C46D71" w:rsidRPr="00B61B9D">
        <w:t>C</w:t>
      </w:r>
      <w:r w:rsidRPr="00B61B9D">
        <w:t xml:space="preserve">2301 (34% and 28%) and </w:t>
      </w:r>
      <w:r w:rsidR="00C46D71" w:rsidRPr="00B61B9D">
        <w:t>Part</w:t>
      </w:r>
      <w:r w:rsidRPr="00B61B9D">
        <w:t xml:space="preserve"> </w:t>
      </w:r>
      <w:r w:rsidR="00C46D71" w:rsidRPr="00B61B9D">
        <w:t>II</w:t>
      </w:r>
      <w:r w:rsidRPr="00B61B9D">
        <w:t xml:space="preserve"> of </w:t>
      </w:r>
      <w:r w:rsidR="00242DBE" w:rsidRPr="00B61B9D">
        <w:t xml:space="preserve">Study </w:t>
      </w:r>
      <w:r w:rsidRPr="00B61B9D">
        <w:t>C2201 (42% and 26%). Adrenal insufficiency was reported in 28</w:t>
      </w:r>
      <w:r w:rsidR="00E81990" w:rsidRPr="00B61B9D">
        <w:t xml:space="preserve"> to </w:t>
      </w:r>
      <w:r w:rsidRPr="00B61B9D">
        <w:t xml:space="preserve">32% of the subjects. In </w:t>
      </w:r>
      <w:r w:rsidR="00242DBE" w:rsidRPr="00B61B9D">
        <w:t xml:space="preserve">Study </w:t>
      </w:r>
      <w:r w:rsidRPr="00B61B9D">
        <w:t xml:space="preserve">C2201 </w:t>
      </w:r>
      <w:r w:rsidR="00C46D71" w:rsidRPr="00B61B9D">
        <w:t>Part</w:t>
      </w:r>
      <w:r w:rsidRPr="00B61B9D">
        <w:t xml:space="preserve"> </w:t>
      </w:r>
      <w:r w:rsidR="00C46D71" w:rsidRPr="00B61B9D">
        <w:t>II</w:t>
      </w:r>
      <w:r w:rsidRPr="00B61B9D">
        <w:t>, high blood corticotrophin levels were reported in 8</w:t>
      </w:r>
      <w:r w:rsidR="005B68B0" w:rsidRPr="00B61B9D">
        <w:t xml:space="preserve"> of </w:t>
      </w:r>
      <w:r w:rsidRPr="00B61B9D">
        <w:t xml:space="preserve">19 (42%) of the patients. As discussed by the </w:t>
      </w:r>
      <w:r w:rsidR="00E81990" w:rsidRPr="00B61B9D">
        <w:t>sponsor</w:t>
      </w:r>
      <w:r w:rsidRPr="00B61B9D">
        <w:t xml:space="preserve"> the frequencies of individual AEs differ, sometimes a lot, between the two studies included in the safety set (</w:t>
      </w:r>
      <w:r w:rsidR="00242DBE" w:rsidRPr="00B61B9D">
        <w:t>Study</w:t>
      </w:r>
      <w:r w:rsidR="00C46D71" w:rsidRPr="00B61B9D">
        <w:t> </w:t>
      </w:r>
      <w:r w:rsidRPr="00B61B9D">
        <w:t xml:space="preserve">C2301 and </w:t>
      </w:r>
      <w:r w:rsidR="00242DBE" w:rsidRPr="00B61B9D">
        <w:t xml:space="preserve">Study </w:t>
      </w:r>
      <w:r w:rsidRPr="00B61B9D">
        <w:t xml:space="preserve">C201 </w:t>
      </w:r>
      <w:r w:rsidR="00C46D71" w:rsidRPr="00B61B9D">
        <w:t>Part</w:t>
      </w:r>
      <w:r w:rsidRPr="00B61B9D">
        <w:t xml:space="preserve"> </w:t>
      </w:r>
      <w:r w:rsidR="00C46D71" w:rsidRPr="00B61B9D">
        <w:t>II</w:t>
      </w:r>
      <w:r w:rsidRPr="00B61B9D">
        <w:t xml:space="preserve">). However, this could most probably be explained by the different duration of exposure between the two studies and the low number of subjects in </w:t>
      </w:r>
      <w:r w:rsidR="00C46D71" w:rsidRPr="00B61B9D">
        <w:t>Study C</w:t>
      </w:r>
      <w:r w:rsidRPr="00B61B9D">
        <w:t>2201.</w:t>
      </w:r>
    </w:p>
    <w:p w14:paraId="2BE764AD" w14:textId="17F979F5" w:rsidR="00D25F84" w:rsidRPr="00B61B9D" w:rsidRDefault="00D25F84" w:rsidP="00680EEF">
      <w:r w:rsidRPr="00B61B9D">
        <w:t xml:space="preserve">The AE profile in the placebo group during the randomised withdrawal phase in </w:t>
      </w:r>
      <w:r w:rsidR="00C46D71" w:rsidRPr="00B61B9D">
        <w:t>Study C</w:t>
      </w:r>
      <w:r w:rsidRPr="00B61B9D">
        <w:t>2301 demonstrates a slightly higher incidence of AEs for subjects in the osilodrostat group (72%) compared to the placebo group (66%). The most conspicuous differences between the two groups are a higher frequency of subjects reporting nausea in the osilodrostat treatment group (n</w:t>
      </w:r>
      <w:r w:rsidR="00111502" w:rsidRPr="00B61B9D">
        <w:t xml:space="preserve"> </w:t>
      </w:r>
      <w:r w:rsidRPr="00B61B9D">
        <w:t>=</w:t>
      </w:r>
      <w:r w:rsidR="00111502" w:rsidRPr="00B61B9D">
        <w:t xml:space="preserve"> </w:t>
      </w:r>
      <w:r w:rsidRPr="00B61B9D">
        <w:t>4/36) compared to the placebo group (n</w:t>
      </w:r>
      <w:r w:rsidR="00111502" w:rsidRPr="00B61B9D">
        <w:t xml:space="preserve"> </w:t>
      </w:r>
      <w:r w:rsidRPr="00B61B9D">
        <w:t>=</w:t>
      </w:r>
      <w:r w:rsidR="00111502" w:rsidRPr="00B61B9D">
        <w:t xml:space="preserve"> </w:t>
      </w:r>
      <w:r w:rsidRPr="00B61B9D">
        <w:t>0). An imbalance was also noted for arthralgia and headache with 3 cases reported in the osilodrostat group compared to none in the placebo group.</w:t>
      </w:r>
    </w:p>
    <w:p w14:paraId="670DFAEA" w14:textId="4E9F0D13" w:rsidR="00D25F84" w:rsidRPr="00B61B9D" w:rsidRDefault="00E81990" w:rsidP="00680EEF">
      <w:r w:rsidRPr="00B61B9D">
        <w:t>Adverse events</w:t>
      </w:r>
      <w:r w:rsidR="00604109" w:rsidRPr="00B61B9D">
        <w:t xml:space="preserve"> </w:t>
      </w:r>
      <w:r w:rsidR="00D25F84" w:rsidRPr="00B61B9D">
        <w:t>reported in the safety update (</w:t>
      </w:r>
      <w:r w:rsidR="00242DBE" w:rsidRPr="00B61B9D">
        <w:t xml:space="preserve">Study </w:t>
      </w:r>
      <w:r w:rsidR="00D25F84" w:rsidRPr="00B61B9D">
        <w:t xml:space="preserve">C2301) with cut-off </w:t>
      </w:r>
      <w:r w:rsidRPr="00B61B9D">
        <w:t xml:space="preserve">date </w:t>
      </w:r>
      <w:r w:rsidR="00D25F84" w:rsidRPr="00B61B9D">
        <w:t>15</w:t>
      </w:r>
      <w:r w:rsidRPr="00B61B9D">
        <w:t> </w:t>
      </w:r>
      <w:r w:rsidR="005F47D9" w:rsidRPr="00B61B9D">
        <w:t xml:space="preserve">October </w:t>
      </w:r>
      <w:r w:rsidR="00D25F84" w:rsidRPr="00B61B9D">
        <w:t>2018 were similar to those reported in the primary analysis with regard to the nature, severity and frequency of events.</w:t>
      </w:r>
    </w:p>
    <w:p w14:paraId="3D57D02F" w14:textId="3AD85984" w:rsidR="00D25F84" w:rsidRPr="00F05753" w:rsidRDefault="00813A96" w:rsidP="00F05753">
      <w:pPr>
        <w:pStyle w:val="TableTitle"/>
      </w:pPr>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12</w:t>
      </w:r>
      <w:r w:rsidR="00A12D67">
        <w:rPr>
          <w:noProof/>
        </w:rPr>
        <w:fldChar w:fldCharType="end"/>
      </w:r>
      <w:r w:rsidR="00D25F84" w:rsidRPr="00F05753">
        <w:t xml:space="preserve">: </w:t>
      </w:r>
      <w:r w:rsidR="005F47D9" w:rsidRPr="00F05753">
        <w:t xml:space="preserve">Study C2301 and Study C2201 Part </w:t>
      </w:r>
      <w:r w:rsidR="00C46D71" w:rsidRPr="00F05753">
        <w:t>II</w:t>
      </w:r>
      <w:r w:rsidR="005F47D9" w:rsidRPr="00F05753">
        <w:t xml:space="preserve"> </w:t>
      </w:r>
      <w:r w:rsidR="00D25F84" w:rsidRPr="00F05753">
        <w:t xml:space="preserve">Adverse events regardless of study drug relationship by </w:t>
      </w:r>
      <w:r w:rsidR="00E81990" w:rsidRPr="00F05753">
        <w:t>Preferred Term</w:t>
      </w:r>
      <w:r w:rsidR="00D25F84" w:rsidRPr="00F05753">
        <w:t xml:space="preserve"> and </w:t>
      </w:r>
      <w:r w:rsidR="000C4AD8" w:rsidRPr="00F05753">
        <w:t xml:space="preserve">Grade </w:t>
      </w:r>
      <w:r w:rsidR="00D25F84" w:rsidRPr="00F05753">
        <w:t>(severity) in at least 15% patients in any study</w:t>
      </w:r>
      <w:r w:rsidR="000C4AD8" w:rsidRPr="00F05753">
        <w:t xml:space="preserve"> (safety set)</w:t>
      </w:r>
    </w:p>
    <w:p w14:paraId="7599845B" w14:textId="3DF22870" w:rsidR="000C4AD8" w:rsidRPr="000C4AD8" w:rsidRDefault="000C4AD8" w:rsidP="00F05753">
      <w:r>
        <w:rPr>
          <w:noProof/>
          <w:lang w:val="en-GB" w:eastAsia="en-GB"/>
        </w:rPr>
        <w:drawing>
          <wp:inline distT="0" distB="0" distL="0" distR="0" wp14:anchorId="0E061C85" wp14:editId="6B2FCF6C">
            <wp:extent cx="5312228" cy="6634480"/>
            <wp:effectExtent l="0" t="0" r="3175" b="0"/>
            <wp:docPr id="18" name="Picture 18" descr="Table 12: Study C2301 and Study C2201 Part II Adverse events regardless of study drug relationship by Preferred Term and Grade (severity) in at least 15% patients in any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12: Study C2301 and Study C2201 Part II Adverse events regardless of study drug relationship by Preferred Term and Grade (severity) in at least 15% patients in any study (safety set)"/>
                    <pic:cNvPicPr/>
                  </pic:nvPicPr>
                  <pic:blipFill>
                    <a:blip r:embed="rId30"/>
                    <a:stretch>
                      <a:fillRect/>
                    </a:stretch>
                  </pic:blipFill>
                  <pic:spPr>
                    <a:xfrm>
                      <a:off x="0" y="0"/>
                      <a:ext cx="5314211" cy="6636957"/>
                    </a:xfrm>
                    <a:prstGeom prst="rect">
                      <a:avLst/>
                    </a:prstGeom>
                  </pic:spPr>
                </pic:pic>
              </a:graphicData>
            </a:graphic>
          </wp:inline>
        </w:drawing>
      </w:r>
    </w:p>
    <w:p w14:paraId="33F90F07" w14:textId="77777777" w:rsidR="000C4AD8" w:rsidRPr="00F05753" w:rsidRDefault="000C4AD8" w:rsidP="00F05753">
      <w:pPr>
        <w:pStyle w:val="TableDescription"/>
      </w:pPr>
      <w:r w:rsidRPr="00F05753">
        <w:t>Abbreviations: N = number of subjects; n = number of subjects in subgroups.</w:t>
      </w:r>
    </w:p>
    <w:p w14:paraId="44E4CF06" w14:textId="5E05E09E" w:rsidR="000C4AD8" w:rsidRPr="00F05753" w:rsidRDefault="000C4AD8" w:rsidP="00F05753">
      <w:pPr>
        <w:pStyle w:val="TableDescription"/>
      </w:pPr>
      <w:r w:rsidRPr="00F05753">
        <w:t>Preferred Terms are sorted in descending frequency in the all grades column in Study C2301.</w:t>
      </w:r>
    </w:p>
    <w:p w14:paraId="72723448" w14:textId="47FF2624" w:rsidR="00342390" w:rsidRPr="00F05753" w:rsidRDefault="000C4AD8" w:rsidP="00F05753">
      <w:pPr>
        <w:pStyle w:val="TableDescription"/>
      </w:pPr>
      <w:r w:rsidRPr="00F05753">
        <w:t>A patient with multiple severity grades for an adverse event is only counted under the maximum grade.</w:t>
      </w:r>
    </w:p>
    <w:p w14:paraId="1CD0F57F" w14:textId="28CF5A38" w:rsidR="000C4AD8" w:rsidRPr="00F05753" w:rsidRDefault="000C4AD8" w:rsidP="00F05753">
      <w:pPr>
        <w:pStyle w:val="TableDescription"/>
      </w:pPr>
      <w:r w:rsidRPr="00F05753">
        <w:t>For Study C2301, any event experienced by patients randomi</w:t>
      </w:r>
      <w:r w:rsidR="00554DAA" w:rsidRPr="00F05753">
        <w:t>s</w:t>
      </w:r>
      <w:r w:rsidRPr="00F05753">
        <w:t>ed to placebo while on placebo are not included in this analysis.</w:t>
      </w:r>
    </w:p>
    <w:p w14:paraId="127C556D" w14:textId="234212A0" w:rsidR="00D25F84" w:rsidRPr="00F05753" w:rsidRDefault="00342390" w:rsidP="00F05753">
      <w:pPr>
        <w:pStyle w:val="TableDescription"/>
      </w:pPr>
      <w:r w:rsidRPr="00F05753">
        <w:t>Medical Dictionary for Regulatory Activities (MedDRA)</w:t>
      </w:r>
      <w:r w:rsidRPr="00F05753">
        <w:rPr>
          <w:vertAlign w:val="superscript"/>
        </w:rPr>
        <w:fldChar w:fldCharType="begin"/>
      </w:r>
      <w:r w:rsidRPr="00F05753">
        <w:rPr>
          <w:vertAlign w:val="superscript"/>
        </w:rPr>
        <w:instrText xml:space="preserve"> NOTEREF _Ref112959233 \h </w:instrText>
      </w:r>
      <w:r w:rsidR="00DF5687" w:rsidRPr="00F05753">
        <w:rPr>
          <w:vertAlign w:val="superscript"/>
        </w:rPr>
        <w:instrText xml:space="preserve"> \* MERGEFORMAT </w:instrText>
      </w:r>
      <w:r w:rsidRPr="00F05753">
        <w:rPr>
          <w:vertAlign w:val="superscript"/>
        </w:rPr>
      </w:r>
      <w:r w:rsidRPr="00F05753">
        <w:rPr>
          <w:vertAlign w:val="superscript"/>
        </w:rPr>
        <w:fldChar w:fldCharType="separate"/>
      </w:r>
      <w:r w:rsidR="009B4A87">
        <w:rPr>
          <w:vertAlign w:val="superscript"/>
        </w:rPr>
        <w:t>20</w:t>
      </w:r>
      <w:r w:rsidRPr="00F05753">
        <w:rPr>
          <w:vertAlign w:val="superscript"/>
        </w:rPr>
        <w:fldChar w:fldCharType="end"/>
      </w:r>
      <w:r w:rsidR="000C4AD8" w:rsidRPr="00F05753">
        <w:t xml:space="preserve"> version 20.1, </w:t>
      </w:r>
      <w:r w:rsidRPr="00F05753">
        <w:t xml:space="preserve">Common Terminology Criteria for Adverse Events (CTCAE) </w:t>
      </w:r>
      <w:r w:rsidR="000C4AD8" w:rsidRPr="00F05753">
        <w:t>version 4.0 (Study C2201) and 4.03 (Study C2301).</w:t>
      </w:r>
    </w:p>
    <w:p w14:paraId="46E5F311" w14:textId="2E8EC924" w:rsidR="00D25F84" w:rsidRPr="00B61B9D" w:rsidRDefault="00D25F84" w:rsidP="00680EEF">
      <w:pPr>
        <w:pStyle w:val="Heading7"/>
        <w:rPr>
          <w:sz w:val="22"/>
          <w:szCs w:val="28"/>
        </w:rPr>
      </w:pPr>
      <w:r w:rsidRPr="00B61B9D">
        <w:rPr>
          <w:sz w:val="22"/>
          <w:szCs w:val="28"/>
        </w:rPr>
        <w:lastRenderedPageBreak/>
        <w:t xml:space="preserve">Common </w:t>
      </w:r>
      <w:r w:rsidR="00E81990" w:rsidRPr="00B61B9D">
        <w:rPr>
          <w:sz w:val="22"/>
          <w:szCs w:val="28"/>
        </w:rPr>
        <w:t>adverse events</w:t>
      </w:r>
      <w:r w:rsidRPr="00B61B9D">
        <w:rPr>
          <w:sz w:val="22"/>
          <w:szCs w:val="28"/>
        </w:rPr>
        <w:t xml:space="preserve"> with osilodrostat in other indications (hypertension)</w:t>
      </w:r>
    </w:p>
    <w:p w14:paraId="7EAA9D0D" w14:textId="61090494" w:rsidR="00D25F84" w:rsidRPr="00B61B9D" w:rsidRDefault="00D25F84" w:rsidP="00680EEF">
      <w:r w:rsidRPr="00B61B9D">
        <w:t>Osilodrostat was previously studied in patients with hypertension. The clinical studies in this indication used low doses (0.25 mg/day to 2 mg/per day) for shorter durations (4 to 8</w:t>
      </w:r>
      <w:r w:rsidR="00E81990" w:rsidRPr="00B61B9D">
        <w:t> </w:t>
      </w:r>
      <w:r w:rsidRPr="00B61B9D">
        <w:t>weeks). Overall, besides in general lower frequencies of reported AEs, no new safety finding has been identified regarding the AE profile when comparing treatment with low</w:t>
      </w:r>
      <w:r w:rsidR="00E81990" w:rsidRPr="00B61B9D">
        <w:t xml:space="preserve"> </w:t>
      </w:r>
      <w:r w:rsidRPr="00B61B9D">
        <w:t>dose osilodrostat in subjects with hypertension with higher doses in the subjects with endogenous Cushing syndrome.</w:t>
      </w:r>
    </w:p>
    <w:p w14:paraId="7257FFAB" w14:textId="73F74893" w:rsidR="00D25F84" w:rsidRPr="00F05753" w:rsidRDefault="00813A96" w:rsidP="00F05753">
      <w:pPr>
        <w:pStyle w:val="TableTitle"/>
      </w:pPr>
      <w:r w:rsidRPr="00F05753">
        <w:t xml:space="preserve">Table </w:t>
      </w:r>
      <w:r w:rsidR="00A12D67">
        <w:fldChar w:fldCharType="begin"/>
      </w:r>
      <w:r w:rsidR="00A12D67">
        <w:instrText xml:space="preserve"> SEQ Table \* ARABIC </w:instrText>
      </w:r>
      <w:r w:rsidR="00A12D67">
        <w:fldChar w:fldCharType="separate"/>
      </w:r>
      <w:r w:rsidR="009B4A87">
        <w:rPr>
          <w:noProof/>
        </w:rPr>
        <w:t>13</w:t>
      </w:r>
      <w:r w:rsidR="00A12D67">
        <w:rPr>
          <w:noProof/>
        </w:rPr>
        <w:fldChar w:fldCharType="end"/>
      </w:r>
      <w:r w:rsidR="00D25F84" w:rsidRPr="00F05753">
        <w:t xml:space="preserve">: </w:t>
      </w:r>
      <w:r w:rsidR="005F47D9" w:rsidRPr="00F05753">
        <w:t xml:space="preserve">Studies A2201, A2216 and C2301 </w:t>
      </w:r>
      <w:r w:rsidR="00D25F84" w:rsidRPr="00F05753">
        <w:t xml:space="preserve">Summary of </w:t>
      </w:r>
      <w:r w:rsidR="008506D6" w:rsidRPr="00F05753">
        <w:t>adverse events</w:t>
      </w:r>
      <w:r w:rsidR="00D25F84" w:rsidRPr="00F05753">
        <w:t xml:space="preserve"> regardless of study drug relationship by </w:t>
      </w:r>
      <w:r w:rsidR="00AC3DF6" w:rsidRPr="00F05753">
        <w:t>System Organ Class</w:t>
      </w:r>
      <w:r w:rsidR="00D25F84" w:rsidRPr="00F05753">
        <w:t xml:space="preserve"> </w:t>
      </w:r>
      <w:r w:rsidR="008506D6" w:rsidRPr="00F05753">
        <w:t>(safety set)</w:t>
      </w:r>
    </w:p>
    <w:p w14:paraId="66B26716" w14:textId="718B93CF" w:rsidR="008506D6" w:rsidRPr="008506D6" w:rsidRDefault="008506D6" w:rsidP="00F05753">
      <w:r>
        <w:rPr>
          <w:noProof/>
          <w:lang w:val="en-GB" w:eastAsia="en-GB"/>
        </w:rPr>
        <w:drawing>
          <wp:inline distT="0" distB="0" distL="0" distR="0" wp14:anchorId="12B25301" wp14:editId="002CA27D">
            <wp:extent cx="5400040" cy="5262245"/>
            <wp:effectExtent l="0" t="0" r="0" b="0"/>
            <wp:docPr id="19" name="Picture 19" descr="Table 13: Studies A2201, A2216 and C2301 Summary of adverse events regardless of study drug relationship by System Organ Clas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13: Studies A2201, A2216 and C2301 Summary of adverse events regardless of study drug relationship by System Organ Class (safety set)"/>
                    <pic:cNvPicPr/>
                  </pic:nvPicPr>
                  <pic:blipFill>
                    <a:blip r:embed="rId31"/>
                    <a:stretch>
                      <a:fillRect/>
                    </a:stretch>
                  </pic:blipFill>
                  <pic:spPr>
                    <a:xfrm>
                      <a:off x="0" y="0"/>
                      <a:ext cx="5400040" cy="5262245"/>
                    </a:xfrm>
                    <a:prstGeom prst="rect">
                      <a:avLst/>
                    </a:prstGeom>
                  </pic:spPr>
                </pic:pic>
              </a:graphicData>
            </a:graphic>
          </wp:inline>
        </w:drawing>
      </w:r>
    </w:p>
    <w:p w14:paraId="7DC878DA" w14:textId="77777777" w:rsidR="008506D6" w:rsidRPr="00F05753" w:rsidRDefault="008506D6" w:rsidP="00F05753">
      <w:pPr>
        <w:pStyle w:val="TableDescription"/>
      </w:pPr>
      <w:r w:rsidRPr="00F05753">
        <w:t>Abbreviations: N = number of subjects; n = number of subjects in subgroups.</w:t>
      </w:r>
    </w:p>
    <w:p w14:paraId="34F83E61" w14:textId="6D4E0120" w:rsidR="00D25F84" w:rsidRPr="00F05753" w:rsidRDefault="008506D6" w:rsidP="00F05753">
      <w:pPr>
        <w:pStyle w:val="TableDescription"/>
      </w:pPr>
      <w:r w:rsidRPr="00F05753">
        <w:t>System Organ Classes are sorted in alphabetical order.</w:t>
      </w:r>
    </w:p>
    <w:p w14:paraId="327DE170" w14:textId="70700261" w:rsidR="00D25F84" w:rsidRPr="00B61B9D" w:rsidRDefault="00D25F84" w:rsidP="00680EEF">
      <w:pPr>
        <w:pStyle w:val="Heading7"/>
        <w:rPr>
          <w:sz w:val="22"/>
          <w:szCs w:val="28"/>
        </w:rPr>
      </w:pPr>
      <w:r w:rsidRPr="00B61B9D">
        <w:rPr>
          <w:sz w:val="22"/>
          <w:szCs w:val="28"/>
        </w:rPr>
        <w:t>Adverse events suspected to be drug</w:t>
      </w:r>
      <w:r w:rsidR="00654828" w:rsidRPr="00B61B9D">
        <w:rPr>
          <w:sz w:val="22"/>
          <w:szCs w:val="28"/>
        </w:rPr>
        <w:t>-</w:t>
      </w:r>
      <w:r w:rsidRPr="00B61B9D">
        <w:rPr>
          <w:sz w:val="22"/>
          <w:szCs w:val="28"/>
        </w:rPr>
        <w:t>related</w:t>
      </w:r>
    </w:p>
    <w:p w14:paraId="223E4321" w14:textId="574DA0AA" w:rsidR="00D25F84" w:rsidRPr="00B61B9D" w:rsidRDefault="00D25F84" w:rsidP="00680EEF">
      <w:r w:rsidRPr="00B61B9D">
        <w:t>Overall, 93</w:t>
      </w:r>
      <w:r w:rsidR="00E81990" w:rsidRPr="00B61B9D">
        <w:t xml:space="preserve"> to </w:t>
      </w:r>
      <w:r w:rsidRPr="00B61B9D">
        <w:t xml:space="preserve">95% of the subjects in </w:t>
      </w:r>
      <w:r w:rsidR="00242DBE" w:rsidRPr="00B61B9D">
        <w:t xml:space="preserve">Study </w:t>
      </w:r>
      <w:r w:rsidRPr="00B61B9D">
        <w:t xml:space="preserve">C2301 and Study C2201 Part </w:t>
      </w:r>
      <w:r w:rsidR="00C46D71" w:rsidRPr="00B61B9D">
        <w:t>II</w:t>
      </w:r>
      <w:r w:rsidRPr="00B61B9D">
        <w:t xml:space="preserve"> (</w:t>
      </w:r>
      <w:r w:rsidR="00D16F6C">
        <w:t xml:space="preserve">in </w:t>
      </w:r>
      <w:r w:rsidR="00541304" w:rsidRPr="00B61B9D">
        <w:t>Cushing’s syndrome</w:t>
      </w:r>
      <w:r w:rsidRPr="00B61B9D">
        <w:t xml:space="preserve">) experienced </w:t>
      </w:r>
      <w:r w:rsidR="00D16F6C">
        <w:t xml:space="preserve">at least one </w:t>
      </w:r>
      <w:r w:rsidRPr="00B61B9D">
        <w:t>AE that was judged as related to study drug by the investigators. Of these, 30</w:t>
      </w:r>
      <w:r w:rsidR="00E81990" w:rsidRPr="00B61B9D">
        <w:t xml:space="preserve"> to </w:t>
      </w:r>
      <w:r w:rsidRPr="00B61B9D">
        <w:t>40% w</w:t>
      </w:r>
      <w:r w:rsidR="00D16F6C">
        <w:t>ere</w:t>
      </w:r>
      <w:r w:rsidRPr="00B61B9D">
        <w:t xml:space="preserve"> </w:t>
      </w:r>
      <w:r w:rsidR="00D16F6C">
        <w:t>either</w:t>
      </w:r>
      <w:r w:rsidRPr="00B61B9D">
        <w:t xml:space="preserve"> </w:t>
      </w:r>
      <w:r w:rsidR="00111716" w:rsidRPr="00B61B9D">
        <w:t>Grade</w:t>
      </w:r>
      <w:r w:rsidRPr="00B61B9D">
        <w:t xml:space="preserve"> 3 or 4 AE</w:t>
      </w:r>
      <w:r w:rsidR="00D16F6C">
        <w:t>s</w:t>
      </w:r>
      <w:r w:rsidRPr="00B61B9D">
        <w:t xml:space="preserve">. The most common </w:t>
      </w:r>
      <w:r w:rsidR="00E81990" w:rsidRPr="00B61B9D">
        <w:t>Preferred Terms (</w:t>
      </w:r>
      <w:r w:rsidRPr="00B61B9D">
        <w:t>PTs</w:t>
      </w:r>
      <w:r w:rsidR="00E81990" w:rsidRPr="00B61B9D">
        <w:t>)</w:t>
      </w:r>
      <w:r w:rsidRPr="00B61B9D">
        <w:t xml:space="preserve"> judged as related to study drug was adrenal insufficiency and nausea (37</w:t>
      </w:r>
      <w:r w:rsidR="005B68B0" w:rsidRPr="00B61B9D">
        <w:t xml:space="preserve"> of </w:t>
      </w:r>
      <w:r w:rsidRPr="00B61B9D">
        <w:t xml:space="preserve">137 </w:t>
      </w:r>
      <w:r w:rsidR="00D56EB9" w:rsidRPr="00B61B9D">
        <w:t>(</w:t>
      </w:r>
      <w:r w:rsidRPr="00B61B9D">
        <w:t>27%</w:t>
      </w:r>
      <w:r w:rsidR="00E81990" w:rsidRPr="00B61B9D">
        <w:t>)</w:t>
      </w:r>
      <w:r w:rsidRPr="00B61B9D">
        <w:t xml:space="preserve"> and 6</w:t>
      </w:r>
      <w:r w:rsidR="005B68B0" w:rsidRPr="00B61B9D">
        <w:t xml:space="preserve"> of </w:t>
      </w:r>
      <w:r w:rsidRPr="00B61B9D">
        <w:t xml:space="preserve">16 </w:t>
      </w:r>
      <w:r w:rsidR="00D56EB9" w:rsidRPr="00B61B9D">
        <w:t>(</w:t>
      </w:r>
      <w:r w:rsidRPr="00B61B9D">
        <w:t>32%</w:t>
      </w:r>
      <w:r w:rsidR="00D56EB9" w:rsidRPr="00B61B9D">
        <w:t>)</w:t>
      </w:r>
      <w:r w:rsidRPr="00B61B9D">
        <w:t xml:space="preserve"> in </w:t>
      </w:r>
      <w:r w:rsidR="00242DBE" w:rsidRPr="00B61B9D">
        <w:t xml:space="preserve">Study </w:t>
      </w:r>
      <w:r w:rsidRPr="00B61B9D">
        <w:t xml:space="preserve">C2301 and </w:t>
      </w:r>
      <w:r w:rsidR="00E81990" w:rsidRPr="00B61B9D">
        <w:t xml:space="preserve">Study </w:t>
      </w:r>
      <w:r w:rsidRPr="00B61B9D">
        <w:t>C2291 respectively) and fatigue (29</w:t>
      </w:r>
      <w:r w:rsidR="005B68B0" w:rsidRPr="00B61B9D">
        <w:t xml:space="preserve"> of </w:t>
      </w:r>
      <w:r w:rsidRPr="00B61B9D">
        <w:t xml:space="preserve">137 </w:t>
      </w:r>
      <w:r w:rsidR="00D56EB9" w:rsidRPr="00B61B9D">
        <w:t>(</w:t>
      </w:r>
      <w:r w:rsidRPr="00B61B9D">
        <w:t>21%</w:t>
      </w:r>
      <w:r w:rsidR="00D56EB9" w:rsidRPr="00B61B9D">
        <w:t>)</w:t>
      </w:r>
      <w:r w:rsidRPr="00B61B9D">
        <w:t xml:space="preserve"> and 4</w:t>
      </w:r>
      <w:r w:rsidR="005B68B0" w:rsidRPr="00B61B9D">
        <w:t xml:space="preserve"> of </w:t>
      </w:r>
      <w:r w:rsidRPr="00B61B9D">
        <w:t xml:space="preserve">19 </w:t>
      </w:r>
      <w:r w:rsidR="00D56EB9" w:rsidRPr="00B61B9D">
        <w:t>(</w:t>
      </w:r>
      <w:r w:rsidRPr="00B61B9D">
        <w:t>21%</w:t>
      </w:r>
      <w:r w:rsidR="00D56EB9" w:rsidRPr="00B61B9D">
        <w:t>)</w:t>
      </w:r>
      <w:r w:rsidRPr="00B61B9D">
        <w:t>).</w:t>
      </w:r>
    </w:p>
    <w:p w14:paraId="49A220BB" w14:textId="3754647C" w:rsidR="00D25F84" w:rsidRPr="00B61B9D" w:rsidRDefault="00D25F84" w:rsidP="00680EEF">
      <w:pPr>
        <w:pStyle w:val="Heading7"/>
        <w:rPr>
          <w:sz w:val="22"/>
          <w:szCs w:val="28"/>
        </w:rPr>
      </w:pPr>
      <w:r w:rsidRPr="00B61B9D">
        <w:rPr>
          <w:sz w:val="22"/>
          <w:szCs w:val="28"/>
        </w:rPr>
        <w:lastRenderedPageBreak/>
        <w:t>Adverse events leading to dose interruption or adjustment</w:t>
      </w:r>
    </w:p>
    <w:p w14:paraId="6BCE744E" w14:textId="39BC67CB" w:rsidR="00D25F84" w:rsidRPr="00B61B9D" w:rsidRDefault="00D25F84" w:rsidP="00680EEF">
      <w:r w:rsidRPr="00B61B9D">
        <w:t>Overall, most subjects (78%) in the pivotal study (</w:t>
      </w:r>
      <w:r w:rsidR="00242DBE" w:rsidRPr="00B61B9D">
        <w:t xml:space="preserve">Study </w:t>
      </w:r>
      <w:r w:rsidRPr="00B61B9D">
        <w:t>C2301) experienced at least one AE that led to a dose interruption or adjustment. Most commonly (&gt;</w:t>
      </w:r>
      <w:r w:rsidR="005B68B0" w:rsidRPr="00B61B9D">
        <w:t xml:space="preserve"> </w:t>
      </w:r>
      <w:r w:rsidRPr="00B61B9D">
        <w:t>6% of patients) reported AEs requiring dose adjustment of interruption regardless of study drug relationship were adrenal insufficiency (25%), glucocorticoid deficiency (18%), nausea (15%), fatigue (12%) and asthenia (9.5%).</w:t>
      </w:r>
    </w:p>
    <w:p w14:paraId="39F0C424" w14:textId="3B9FC37C" w:rsidR="00D25F84" w:rsidRPr="00B61B9D" w:rsidRDefault="00D25F84" w:rsidP="00680EEF">
      <w:pPr>
        <w:pStyle w:val="Heading7"/>
        <w:rPr>
          <w:sz w:val="22"/>
          <w:szCs w:val="28"/>
        </w:rPr>
      </w:pPr>
      <w:r w:rsidRPr="00B61B9D">
        <w:rPr>
          <w:sz w:val="22"/>
          <w:szCs w:val="28"/>
        </w:rPr>
        <w:t>Adverse events of special interest</w:t>
      </w:r>
    </w:p>
    <w:p w14:paraId="64A15B50" w14:textId="7C269F64" w:rsidR="00D25F84" w:rsidRPr="00B61B9D" w:rsidRDefault="00D25F84" w:rsidP="00680EEF">
      <w:r w:rsidRPr="00B61B9D">
        <w:t xml:space="preserve">The </w:t>
      </w:r>
      <w:r w:rsidR="00EB527E" w:rsidRPr="00B61B9D">
        <w:t>adverse events of special interest (</w:t>
      </w:r>
      <w:r w:rsidRPr="00B61B9D">
        <w:t>AESI</w:t>
      </w:r>
      <w:r w:rsidR="00EB527E" w:rsidRPr="00B61B9D">
        <w:t>)</w:t>
      </w:r>
      <w:r w:rsidRPr="00B61B9D">
        <w:t xml:space="preserve"> considered for osilodrostat are:</w:t>
      </w:r>
    </w:p>
    <w:p w14:paraId="1D38FBC8" w14:textId="03C4BBF1" w:rsidR="00D25F84" w:rsidRPr="00B61B9D" w:rsidRDefault="00D25F84" w:rsidP="00680EEF">
      <w:pPr>
        <w:pStyle w:val="ListBullet"/>
      </w:pPr>
      <w:r w:rsidRPr="00B61B9D">
        <w:t>hypocortisolism-related AEs</w:t>
      </w:r>
      <w:r w:rsidR="00E81990" w:rsidRPr="00B61B9D">
        <w:t>,</w:t>
      </w:r>
    </w:p>
    <w:p w14:paraId="2E1FFAD4" w14:textId="2D6ACBCB" w:rsidR="00D25F84" w:rsidRPr="00B61B9D" w:rsidRDefault="00D25F84" w:rsidP="00680EEF">
      <w:pPr>
        <w:pStyle w:val="ListBullet"/>
      </w:pPr>
      <w:r w:rsidRPr="00B61B9D">
        <w:t>adrenal hormone precursor accumulation-related AEs</w:t>
      </w:r>
      <w:r w:rsidR="00E81990" w:rsidRPr="00B61B9D">
        <w:t>,</w:t>
      </w:r>
    </w:p>
    <w:p w14:paraId="1BE66252" w14:textId="0A833D84" w:rsidR="00D25F84" w:rsidRPr="00B61B9D" w:rsidRDefault="00D25F84" w:rsidP="00680EEF">
      <w:pPr>
        <w:pStyle w:val="ListBullet"/>
      </w:pPr>
      <w:r w:rsidRPr="00B61B9D">
        <w:t>pituitary tumo</w:t>
      </w:r>
      <w:r w:rsidR="00633A16" w:rsidRPr="00B61B9D">
        <w:t>u</w:t>
      </w:r>
      <w:r w:rsidRPr="00B61B9D">
        <w:t>r enlargement-related AEs</w:t>
      </w:r>
      <w:r w:rsidR="00E81990" w:rsidRPr="00B61B9D">
        <w:t>,</w:t>
      </w:r>
    </w:p>
    <w:p w14:paraId="7056AC51" w14:textId="5A9A94A6" w:rsidR="00D25F84" w:rsidRPr="00B61B9D" w:rsidRDefault="00D25F84" w:rsidP="00680EEF">
      <w:pPr>
        <w:pStyle w:val="ListBullet"/>
      </w:pPr>
      <w:r w:rsidRPr="00B61B9D">
        <w:t>QT</w:t>
      </w:r>
      <w:r w:rsidR="00DA1EF3" w:rsidRPr="00B61B9D">
        <w:t xml:space="preserve"> </w:t>
      </w:r>
      <w:r w:rsidRPr="00B61B9D">
        <w:t>prolongation-related AEs</w:t>
      </w:r>
      <w:r w:rsidR="00E81990" w:rsidRPr="00B61B9D">
        <w:t>,</w:t>
      </w:r>
    </w:p>
    <w:p w14:paraId="481D9909" w14:textId="3EDAA3B9" w:rsidR="00D25F84" w:rsidRPr="00B61B9D" w:rsidRDefault="00D25F84" w:rsidP="00680EEF">
      <w:pPr>
        <w:pStyle w:val="ListBullet"/>
      </w:pPr>
      <w:r w:rsidRPr="00B61B9D">
        <w:t>arrhythmogenic potential AEs</w:t>
      </w:r>
      <w:r w:rsidR="00E81990" w:rsidRPr="00B61B9D">
        <w:t>.</w:t>
      </w:r>
    </w:p>
    <w:p w14:paraId="3284C09E" w14:textId="17F9F7F7" w:rsidR="00D25F84" w:rsidRPr="00F05753" w:rsidRDefault="00813A96" w:rsidP="00F05753">
      <w:pPr>
        <w:pStyle w:val="TableTitle"/>
      </w:pPr>
      <w:r w:rsidRPr="00F05753">
        <w:t xml:space="preserve">Table </w:t>
      </w:r>
      <w:r w:rsidR="00A12D67">
        <w:fldChar w:fldCharType="begin"/>
      </w:r>
      <w:r w:rsidR="00A12D67">
        <w:instrText xml:space="preserve"> SEQ Table \* ARABIC </w:instrText>
      </w:r>
      <w:r w:rsidR="00A12D67">
        <w:fldChar w:fldCharType="separate"/>
      </w:r>
      <w:r w:rsidR="009B4A87">
        <w:rPr>
          <w:noProof/>
        </w:rPr>
        <w:t>14</w:t>
      </w:r>
      <w:r w:rsidR="00A12D67">
        <w:rPr>
          <w:noProof/>
        </w:rPr>
        <w:fldChar w:fldCharType="end"/>
      </w:r>
      <w:r w:rsidR="00D25F84" w:rsidRPr="00F05753">
        <w:t>: Study C2301 Adverse events of special interest, regardless of study drug relationship by group name, severity and randomi</w:t>
      </w:r>
      <w:r w:rsidR="00111716" w:rsidRPr="00F05753">
        <w:t>s</w:t>
      </w:r>
      <w:r w:rsidR="00D25F84" w:rsidRPr="00F05753">
        <w:t>ed treatment group up to data cut-off date</w:t>
      </w:r>
    </w:p>
    <w:p w14:paraId="1F7F2F67" w14:textId="19E2B057" w:rsidR="008506D6" w:rsidRPr="008506D6" w:rsidRDefault="008506D6" w:rsidP="00F05753">
      <w:r>
        <w:rPr>
          <w:noProof/>
          <w:lang w:val="en-GB" w:eastAsia="en-GB"/>
        </w:rPr>
        <w:drawing>
          <wp:inline distT="0" distB="0" distL="0" distR="0" wp14:anchorId="2893AA63" wp14:editId="5FBD1EBC">
            <wp:extent cx="5285014" cy="2605910"/>
            <wp:effectExtent l="0" t="0" r="0" b="4445"/>
            <wp:docPr id="24" name="Picture 24" descr="Table 14: Study C2301 Adverse events of special interest, regardless of study drug relationship by group name, severity and randomised treatment group up to data cut-off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14: Study C2301 Adverse events of special interest, regardless of study drug relationship by group name, severity and randomised treatment group up to data cut-off date"/>
                    <pic:cNvPicPr/>
                  </pic:nvPicPr>
                  <pic:blipFill>
                    <a:blip r:embed="rId32"/>
                    <a:stretch>
                      <a:fillRect/>
                    </a:stretch>
                  </pic:blipFill>
                  <pic:spPr>
                    <a:xfrm>
                      <a:off x="0" y="0"/>
                      <a:ext cx="5292716" cy="2609708"/>
                    </a:xfrm>
                    <a:prstGeom prst="rect">
                      <a:avLst/>
                    </a:prstGeom>
                  </pic:spPr>
                </pic:pic>
              </a:graphicData>
            </a:graphic>
          </wp:inline>
        </w:drawing>
      </w:r>
    </w:p>
    <w:p w14:paraId="2D324A11" w14:textId="030C58D8" w:rsidR="008506D6" w:rsidRPr="00F05753" w:rsidRDefault="008506D6" w:rsidP="00F05753">
      <w:pPr>
        <w:pStyle w:val="TableDescription"/>
      </w:pPr>
      <w:r w:rsidRPr="00F05753">
        <w:t>Abbreviations: AE = adverse event; N = number of subjects; n = number of subjects in subgroups.</w:t>
      </w:r>
    </w:p>
    <w:p w14:paraId="5761E432" w14:textId="77777777" w:rsidR="008506D6" w:rsidRPr="00F05753" w:rsidRDefault="008506D6" w:rsidP="00F05753">
      <w:pPr>
        <w:pStyle w:val="TableDescription"/>
      </w:pPr>
      <w:r w:rsidRPr="00F05753">
        <w:t>A patient with multiple occurrences of an AE under one treatment is counted only once for that treatment.</w:t>
      </w:r>
    </w:p>
    <w:p w14:paraId="29DE38C7" w14:textId="3D06E64F" w:rsidR="00D25F84" w:rsidRPr="00F05753" w:rsidRDefault="008506D6" w:rsidP="00F05753">
      <w:pPr>
        <w:pStyle w:val="TableDescription"/>
      </w:pPr>
      <w:r w:rsidRPr="00F05753">
        <w:t xml:space="preserve">* For patients receiving placebo during the randomised withdrawal </w:t>
      </w:r>
      <w:r w:rsidR="006F4885" w:rsidRPr="00F05753">
        <w:t xml:space="preserve">period </w:t>
      </w:r>
      <w:r w:rsidRPr="00F05753">
        <w:t>and excluding data while on placebo.</w:t>
      </w:r>
    </w:p>
    <w:p w14:paraId="4D34F9CB" w14:textId="18CB7FEE" w:rsidR="00D25F84" w:rsidRPr="00F05753" w:rsidRDefault="00813A96" w:rsidP="00F05753">
      <w:pPr>
        <w:pStyle w:val="TableTitle"/>
      </w:pPr>
      <w:bookmarkStart w:id="54" w:name="_Ref111836979"/>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15</w:t>
      </w:r>
      <w:r w:rsidR="00A12D67">
        <w:rPr>
          <w:noProof/>
        </w:rPr>
        <w:fldChar w:fldCharType="end"/>
      </w:r>
      <w:bookmarkEnd w:id="54"/>
      <w:r w:rsidR="00D25F84" w:rsidRPr="00F05753">
        <w:t xml:space="preserve">: Study C2201 Part </w:t>
      </w:r>
      <w:r w:rsidR="00C46D71" w:rsidRPr="00F05753">
        <w:t>II</w:t>
      </w:r>
      <w:r w:rsidR="00D25F84" w:rsidRPr="00F05753">
        <w:t xml:space="preserve"> Adverse events of special interest regardless of study drug relationship by category and maximum </w:t>
      </w:r>
      <w:r w:rsidR="00EB527E" w:rsidRPr="00F05753">
        <w:t>Common Terminology Criteria</w:t>
      </w:r>
      <w:r w:rsidR="00D25F84" w:rsidRPr="00F05753">
        <w:t xml:space="preserve"> grade</w:t>
      </w:r>
      <w:r w:rsidR="008506D6" w:rsidRPr="00F05753">
        <w:t xml:space="preserve">, </w:t>
      </w:r>
      <w:r w:rsidR="00D25F84" w:rsidRPr="00F05753">
        <w:t xml:space="preserve">up to </w:t>
      </w:r>
      <w:r w:rsidR="00342390" w:rsidRPr="00F05753">
        <w:t xml:space="preserve">data </w:t>
      </w:r>
      <w:r w:rsidR="00D25F84" w:rsidRPr="00F05753">
        <w:t>cut</w:t>
      </w:r>
      <w:r w:rsidR="001B6214" w:rsidRPr="00F05753">
        <w:t>-</w:t>
      </w:r>
      <w:r w:rsidR="00D25F84" w:rsidRPr="00F05753">
        <w:t>off dat</w:t>
      </w:r>
      <w:r w:rsidR="00B90DF0" w:rsidRPr="00F05753">
        <w:t>e</w:t>
      </w:r>
      <w:r w:rsidR="008506D6" w:rsidRPr="00F05753">
        <w:t xml:space="preserve"> (</w:t>
      </w:r>
      <w:r w:rsidR="00342390" w:rsidRPr="00F05753">
        <w:t>s</w:t>
      </w:r>
      <w:r w:rsidR="008506D6" w:rsidRPr="00F05753">
        <w:t>afety analysis set)</w:t>
      </w:r>
    </w:p>
    <w:p w14:paraId="0EBC8ED1" w14:textId="54958367" w:rsidR="008506D6" w:rsidRPr="008506D6" w:rsidRDefault="008506D6" w:rsidP="00F05753">
      <w:r>
        <w:rPr>
          <w:noProof/>
          <w:lang w:val="en-GB" w:eastAsia="en-GB"/>
        </w:rPr>
        <w:drawing>
          <wp:inline distT="0" distB="0" distL="0" distR="0" wp14:anchorId="06DEDBEA" wp14:editId="2AB8A959">
            <wp:extent cx="5214257" cy="1670685"/>
            <wp:effectExtent l="0" t="0" r="5715" b="5715"/>
            <wp:docPr id="31" name="Picture 31" descr="Table 15: Study C2201 Part II Adverse events of special interest regardless of study drug relationship by category and maximum Common Terminology Criteria grade, up to data cut-off dat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15: Study C2201 Part II Adverse events of special interest regardless of study drug relationship by category and maximum Common Terminology Criteria grade, up to data cut-off date (safety analysis set)"/>
                    <pic:cNvPicPr/>
                  </pic:nvPicPr>
                  <pic:blipFill>
                    <a:blip r:embed="rId33"/>
                    <a:stretch>
                      <a:fillRect/>
                    </a:stretch>
                  </pic:blipFill>
                  <pic:spPr>
                    <a:xfrm>
                      <a:off x="0" y="0"/>
                      <a:ext cx="5223393" cy="1673612"/>
                    </a:xfrm>
                    <a:prstGeom prst="rect">
                      <a:avLst/>
                    </a:prstGeom>
                  </pic:spPr>
                </pic:pic>
              </a:graphicData>
            </a:graphic>
          </wp:inline>
        </w:drawing>
      </w:r>
    </w:p>
    <w:p w14:paraId="32E91E8E" w14:textId="44E030EB" w:rsidR="00342390" w:rsidRPr="00F05753" w:rsidRDefault="00342390" w:rsidP="00F05753">
      <w:pPr>
        <w:pStyle w:val="TableDescription"/>
      </w:pPr>
      <w:r w:rsidRPr="00F05753">
        <w:t>Abbreviations: AE = adverse event; AESI = adverse events of special interest; N = number of subjects; n = number of subjects in subgroups.</w:t>
      </w:r>
    </w:p>
    <w:p w14:paraId="3C97EDFA" w14:textId="601BFD3B" w:rsidR="00342390" w:rsidRPr="00F05753" w:rsidRDefault="00342390" w:rsidP="00F05753">
      <w:pPr>
        <w:pStyle w:val="TableDescription"/>
      </w:pPr>
      <w:r w:rsidRPr="00F05753">
        <w:t xml:space="preserve">A patient with multiple severity grades for an </w:t>
      </w:r>
      <w:r w:rsidR="006F4885" w:rsidRPr="00F05753">
        <w:t xml:space="preserve">adverse event </w:t>
      </w:r>
      <w:r w:rsidRPr="00F05753">
        <w:t>is only counted under the maximum grade.</w:t>
      </w:r>
    </w:p>
    <w:p w14:paraId="2B915F52" w14:textId="051D0ABB" w:rsidR="00342390" w:rsidRPr="00F05753" w:rsidRDefault="00342390" w:rsidP="00F05753">
      <w:pPr>
        <w:pStyle w:val="TableDescription"/>
      </w:pPr>
      <w:r w:rsidRPr="00F05753">
        <w:t>Medical Dictionary for Regulatory Activities (MedDRA)</w:t>
      </w:r>
      <w:r w:rsidRPr="00F05753">
        <w:rPr>
          <w:vertAlign w:val="superscript"/>
        </w:rPr>
        <w:fldChar w:fldCharType="begin"/>
      </w:r>
      <w:r w:rsidRPr="00F05753">
        <w:rPr>
          <w:vertAlign w:val="superscript"/>
        </w:rPr>
        <w:instrText xml:space="preserve"> NOTEREF _Ref112959233 \h  \* MERGEFORMAT </w:instrText>
      </w:r>
      <w:r w:rsidRPr="00F05753">
        <w:rPr>
          <w:vertAlign w:val="superscript"/>
        </w:rPr>
      </w:r>
      <w:r w:rsidRPr="00F05753">
        <w:rPr>
          <w:vertAlign w:val="superscript"/>
        </w:rPr>
        <w:fldChar w:fldCharType="separate"/>
      </w:r>
      <w:r w:rsidR="009B4A87">
        <w:rPr>
          <w:vertAlign w:val="superscript"/>
        </w:rPr>
        <w:t>20</w:t>
      </w:r>
      <w:r w:rsidRPr="00F05753">
        <w:rPr>
          <w:vertAlign w:val="superscript"/>
        </w:rPr>
        <w:fldChar w:fldCharType="end"/>
      </w:r>
      <w:r w:rsidRPr="00F05753">
        <w:t xml:space="preserve"> version 20.1, Common Terminology Criteria for Adverse Events (CTCAE) version 4, Case Retrieval Strategy version released 12 November 2017.</w:t>
      </w:r>
    </w:p>
    <w:p w14:paraId="03029BEB" w14:textId="23DAB35A" w:rsidR="00342390" w:rsidRPr="00F05753" w:rsidRDefault="00342390" w:rsidP="00F05753">
      <w:pPr>
        <w:pStyle w:val="TableDescription"/>
      </w:pPr>
      <w:r w:rsidRPr="00F05753">
        <w:t>Data cut-off date: 14 November 2017.</w:t>
      </w:r>
    </w:p>
    <w:p w14:paraId="65EAD0A8" w14:textId="36CD75C8" w:rsidR="00D25F84" w:rsidRPr="00B61B9D" w:rsidRDefault="00D25F84" w:rsidP="00680EEF">
      <w:pPr>
        <w:pStyle w:val="Heading6"/>
      </w:pPr>
      <w:r w:rsidRPr="00B61B9D">
        <w:t>Serious adverse events and deaths</w:t>
      </w:r>
    </w:p>
    <w:p w14:paraId="7C53A447" w14:textId="032C4E7B" w:rsidR="00D25F84" w:rsidRPr="00B61B9D" w:rsidRDefault="00D25F84" w:rsidP="00680EEF">
      <w:pPr>
        <w:pStyle w:val="Heading7"/>
        <w:rPr>
          <w:sz w:val="22"/>
          <w:szCs w:val="28"/>
        </w:rPr>
      </w:pPr>
      <w:r w:rsidRPr="00B61B9D">
        <w:rPr>
          <w:sz w:val="22"/>
          <w:szCs w:val="28"/>
        </w:rPr>
        <w:t>Death</w:t>
      </w:r>
    </w:p>
    <w:p w14:paraId="2FD24389" w14:textId="3D8A9D67" w:rsidR="00D25F84" w:rsidRPr="00B61B9D" w:rsidRDefault="00D25F84" w:rsidP="00680EEF">
      <w:r w:rsidRPr="00B61B9D">
        <w:t>Within all studies, one death (suicide) was reported (</w:t>
      </w:r>
      <w:r w:rsidR="00242DBE" w:rsidRPr="00B61B9D">
        <w:t xml:space="preserve">Study </w:t>
      </w:r>
      <w:r w:rsidRPr="00B61B9D">
        <w:t>C2301). The patient, a 55</w:t>
      </w:r>
      <w:r w:rsidR="00E81990" w:rsidRPr="00B61B9D">
        <w:noBreakHyphen/>
      </w:r>
      <w:r w:rsidRPr="00B61B9D">
        <w:t>year</w:t>
      </w:r>
      <w:r w:rsidR="00E81990" w:rsidRPr="00B61B9D">
        <w:noBreakHyphen/>
      </w:r>
      <w:r w:rsidRPr="00B61B9D">
        <w:t xml:space="preserve">old female, committed suicide during the </w:t>
      </w:r>
      <w:r w:rsidR="00EF0366" w:rsidRPr="00B61B9D">
        <w:t xml:space="preserve">extension period </w:t>
      </w:r>
      <w:r w:rsidRPr="00B61B9D">
        <w:t>on Day 551. The patient’s active medical conditions included depression</w:t>
      </w:r>
      <w:r w:rsidR="00D16F6C">
        <w:t xml:space="preserve"> of </w:t>
      </w:r>
      <w:r w:rsidR="00111716" w:rsidRPr="00B61B9D">
        <w:t>Grade</w:t>
      </w:r>
      <w:r w:rsidRPr="00B61B9D">
        <w:t xml:space="preserve"> 2</w:t>
      </w:r>
      <w:r w:rsidR="00D16F6C">
        <w:t xml:space="preserve"> severity</w:t>
      </w:r>
      <w:r w:rsidRPr="00B61B9D">
        <w:t xml:space="preserve">, since 2010. It is agreed with the </w:t>
      </w:r>
      <w:r w:rsidR="00E81990" w:rsidRPr="00B61B9D">
        <w:t>sponsor</w:t>
      </w:r>
      <w:r w:rsidRPr="00B61B9D">
        <w:t xml:space="preserve"> that most probably the fatal case was due to a medical history of depression. However, a worsening of symptoms related to depression while on treatment could not be excluded.</w:t>
      </w:r>
    </w:p>
    <w:p w14:paraId="3075AF78" w14:textId="1148DB26" w:rsidR="00D25F84" w:rsidRPr="00B61B9D" w:rsidRDefault="00D25F84" w:rsidP="00680EEF">
      <w:r w:rsidRPr="00B61B9D">
        <w:t xml:space="preserve">In total, events of depression were reported in 10 cases (7.3%) of the subjects in </w:t>
      </w:r>
      <w:r w:rsidR="00242DBE" w:rsidRPr="00B61B9D">
        <w:t>Study</w:t>
      </w:r>
      <w:r w:rsidR="00E81990" w:rsidRPr="00B61B9D">
        <w:t> </w:t>
      </w:r>
      <w:r w:rsidRPr="00B61B9D">
        <w:t xml:space="preserve">C2301 and 3 subjects (16%) in </w:t>
      </w:r>
      <w:r w:rsidR="00242DBE" w:rsidRPr="00B61B9D">
        <w:t xml:space="preserve">Study </w:t>
      </w:r>
      <w:r w:rsidRPr="00B61B9D">
        <w:t>C2201. In total, one event of depression was reported as serious.</w:t>
      </w:r>
    </w:p>
    <w:p w14:paraId="2DD95A1F" w14:textId="413D9A7F" w:rsidR="00D25F84" w:rsidRPr="00B61B9D" w:rsidRDefault="00D25F84" w:rsidP="00680EEF">
      <w:r w:rsidRPr="00B61B9D">
        <w:t xml:space="preserve">In the safety update (cut-off date 15 </w:t>
      </w:r>
      <w:r w:rsidR="005F47D9" w:rsidRPr="00B61B9D">
        <w:t xml:space="preserve">October </w:t>
      </w:r>
      <w:r w:rsidRPr="00B61B9D">
        <w:t xml:space="preserve">2018) no additional deaths occurred until the database lock for the safety </w:t>
      </w:r>
      <w:r w:rsidR="00EF3544" w:rsidRPr="00B61B9D">
        <w:t>update,</w:t>
      </w:r>
      <w:r w:rsidRPr="00B61B9D">
        <w:t xml:space="preserve"> but one additional death was reported after the database lock (</w:t>
      </w:r>
      <w:r w:rsidR="00EF3544" w:rsidRPr="00B61B9D">
        <w:t xml:space="preserve">fatal </w:t>
      </w:r>
      <w:r w:rsidRPr="00B61B9D">
        <w:t>viral gastroenteritis and cardiopulmonary failure; assessed as not related to study drug by the investigator).</w:t>
      </w:r>
    </w:p>
    <w:p w14:paraId="066334B3" w14:textId="77777777" w:rsidR="00D25F84" w:rsidRPr="00B61B9D" w:rsidRDefault="00D25F84" w:rsidP="00680EEF">
      <w:pPr>
        <w:pStyle w:val="Heading7"/>
        <w:rPr>
          <w:sz w:val="22"/>
          <w:szCs w:val="28"/>
        </w:rPr>
      </w:pPr>
      <w:r w:rsidRPr="00B61B9D">
        <w:rPr>
          <w:sz w:val="22"/>
          <w:szCs w:val="28"/>
        </w:rPr>
        <w:t>Other serious adverse events</w:t>
      </w:r>
    </w:p>
    <w:p w14:paraId="26E97DE9" w14:textId="1F262AE8" w:rsidR="00D25F84" w:rsidRPr="00B61B9D" w:rsidRDefault="00D25F84" w:rsidP="001B7665">
      <w:r w:rsidRPr="00B61B9D">
        <w:t>In the studies performed in subjects with Cushing disease (</w:t>
      </w:r>
      <w:r w:rsidR="00242DBE" w:rsidRPr="00B61B9D">
        <w:t xml:space="preserve">Study </w:t>
      </w:r>
      <w:r w:rsidRPr="00B61B9D">
        <w:t xml:space="preserve">C2301 and </w:t>
      </w:r>
      <w:r w:rsidR="00242DBE" w:rsidRPr="00B61B9D">
        <w:t xml:space="preserve">Study </w:t>
      </w:r>
      <w:r w:rsidRPr="00B61B9D">
        <w:t xml:space="preserve">C2201 </w:t>
      </w:r>
      <w:r w:rsidR="00C46D71" w:rsidRPr="00B61B9D">
        <w:t>Part</w:t>
      </w:r>
      <w:r w:rsidR="00EF3544" w:rsidRPr="00B61B9D">
        <w:t> </w:t>
      </w:r>
      <w:r w:rsidRPr="00B61B9D">
        <w:t xml:space="preserve">II) approximately one third of the subjects experienced a </w:t>
      </w:r>
      <w:r w:rsidR="00EB527E" w:rsidRPr="00B61B9D">
        <w:t>serious adverse event (</w:t>
      </w:r>
      <w:r w:rsidRPr="00B61B9D">
        <w:t>SAE</w:t>
      </w:r>
      <w:r w:rsidR="00EB527E" w:rsidRPr="00B61B9D">
        <w:t>)</w:t>
      </w:r>
      <w:r w:rsidRPr="00B61B9D">
        <w:t>, 36% (50</w:t>
      </w:r>
      <w:r w:rsidR="005B68B0" w:rsidRPr="00B61B9D">
        <w:t xml:space="preserve"> of </w:t>
      </w:r>
      <w:r w:rsidRPr="00B61B9D">
        <w:t xml:space="preserve">137) in </w:t>
      </w:r>
      <w:r w:rsidR="00242DBE" w:rsidRPr="00B61B9D">
        <w:t xml:space="preserve">Study </w:t>
      </w:r>
      <w:r w:rsidRPr="00B61B9D">
        <w:t>C2301 and 32% (6</w:t>
      </w:r>
      <w:r w:rsidR="005B68B0" w:rsidRPr="00B61B9D">
        <w:t xml:space="preserve"> of </w:t>
      </w:r>
      <w:r w:rsidRPr="00B61B9D">
        <w:t xml:space="preserve">19) in </w:t>
      </w:r>
      <w:r w:rsidR="00242DBE" w:rsidRPr="00B61B9D">
        <w:t xml:space="preserve">Study </w:t>
      </w:r>
      <w:r w:rsidRPr="00B61B9D">
        <w:t xml:space="preserve">C2201 </w:t>
      </w:r>
      <w:r w:rsidR="00C46D71" w:rsidRPr="00B61B9D">
        <w:t>Part</w:t>
      </w:r>
      <w:r w:rsidRPr="00B61B9D">
        <w:t xml:space="preserve"> II.</w:t>
      </w:r>
    </w:p>
    <w:p w14:paraId="6690270A" w14:textId="09C55136" w:rsidR="00D25F84" w:rsidRPr="00B61B9D" w:rsidRDefault="00D25F84" w:rsidP="001B7665">
      <w:r w:rsidRPr="00B61B9D">
        <w:t xml:space="preserve">In </w:t>
      </w:r>
      <w:r w:rsidR="00242DBE" w:rsidRPr="00B61B9D">
        <w:t xml:space="preserve">Study </w:t>
      </w:r>
      <w:r w:rsidRPr="00B61B9D">
        <w:t>C2301, the most common SAEs were adrenal insufficiency or adrenocortical insufficiency acute (11</w:t>
      </w:r>
      <w:r w:rsidR="005B68B0" w:rsidRPr="00B61B9D">
        <w:t xml:space="preserve"> of </w:t>
      </w:r>
      <w:r w:rsidRPr="00B61B9D">
        <w:t>50 cases; 22%) and pituitary tumour or pituitary tumour benign (7</w:t>
      </w:r>
      <w:r w:rsidR="005B68B0" w:rsidRPr="00B61B9D">
        <w:t xml:space="preserve"> of </w:t>
      </w:r>
      <w:r w:rsidRPr="00B61B9D">
        <w:t>50 cases; 14%) respectively. In the safety update, with cut-off</w:t>
      </w:r>
      <w:r w:rsidR="00B90DF0" w:rsidRPr="00B61B9D">
        <w:t xml:space="preserve"> date </w:t>
      </w:r>
      <w:r w:rsidRPr="00B61B9D">
        <w:t xml:space="preserve">15 </w:t>
      </w:r>
      <w:r w:rsidR="005F47D9" w:rsidRPr="00B61B9D">
        <w:t xml:space="preserve">October </w:t>
      </w:r>
      <w:r w:rsidRPr="00B61B9D">
        <w:t xml:space="preserve">2018, there are 2 additional patients with the first occurrence of a SAE after the primary </w:t>
      </w:r>
      <w:r w:rsidR="00D16F6C">
        <w:t>clinical study report</w:t>
      </w:r>
      <w:r w:rsidR="00D16F6C" w:rsidRPr="00B61B9D">
        <w:t xml:space="preserve"> </w:t>
      </w:r>
      <w:r w:rsidRPr="00B61B9D">
        <w:t>cut-off date, 7 other patients also reported a SAE but had already reported another one in the primary analysis period. Thus, the number of patients that reported a SAE has increased from 50 to 52, and the number of those in whom they were considered drug-related has increased from 21 to 22.</w:t>
      </w:r>
    </w:p>
    <w:p w14:paraId="43368AD7" w14:textId="71C94175" w:rsidR="00D25F84" w:rsidRPr="00B61B9D" w:rsidRDefault="00D25F84" w:rsidP="001B7665">
      <w:r w:rsidRPr="00B61B9D">
        <w:t xml:space="preserve">The nature and frequency of SAEs in the safety update with cut-off </w:t>
      </w:r>
      <w:r w:rsidR="00B90DF0" w:rsidRPr="00B61B9D">
        <w:t xml:space="preserve">date </w:t>
      </w:r>
      <w:r w:rsidRPr="00B61B9D">
        <w:t xml:space="preserve">15 </w:t>
      </w:r>
      <w:r w:rsidR="005F47D9" w:rsidRPr="00B61B9D">
        <w:t xml:space="preserve">October </w:t>
      </w:r>
      <w:r w:rsidRPr="00B61B9D">
        <w:t xml:space="preserve">2018, was similar to those reported in the primary </w:t>
      </w:r>
      <w:r w:rsidR="00D16F6C">
        <w:t>clinical study report</w:t>
      </w:r>
      <w:r w:rsidRPr="00B61B9D">
        <w:t>.</w:t>
      </w:r>
    </w:p>
    <w:p w14:paraId="1E793CA3" w14:textId="1D235DC3" w:rsidR="00D25F84" w:rsidRPr="00F05753" w:rsidRDefault="00C90A6B" w:rsidP="00F05753">
      <w:pPr>
        <w:pStyle w:val="TableTitle"/>
      </w:pPr>
      <w:r w:rsidRPr="00F05753">
        <w:lastRenderedPageBreak/>
        <w:t xml:space="preserve">Table </w:t>
      </w:r>
      <w:r w:rsidR="00A12D67">
        <w:fldChar w:fldCharType="begin"/>
      </w:r>
      <w:r w:rsidR="00A12D67">
        <w:instrText xml:space="preserve"> SEQ Table \* ARABIC </w:instrText>
      </w:r>
      <w:r w:rsidR="00A12D67">
        <w:fldChar w:fldCharType="separate"/>
      </w:r>
      <w:r w:rsidR="009B4A87">
        <w:rPr>
          <w:noProof/>
        </w:rPr>
        <w:t>16</w:t>
      </w:r>
      <w:r w:rsidR="00A12D67">
        <w:rPr>
          <w:noProof/>
        </w:rPr>
        <w:fldChar w:fldCharType="end"/>
      </w:r>
      <w:r w:rsidR="00D25F84" w:rsidRPr="00F05753">
        <w:t xml:space="preserve">: </w:t>
      </w:r>
      <w:r w:rsidR="005F47D9" w:rsidRPr="00F05753">
        <w:t xml:space="preserve">Study C2301 and Study C2201 Part </w:t>
      </w:r>
      <w:r w:rsidR="00C46D71" w:rsidRPr="00F05753">
        <w:t>II</w:t>
      </w:r>
      <w:r w:rsidR="005F47D9" w:rsidRPr="00F05753">
        <w:t xml:space="preserve"> Serious adverse events</w:t>
      </w:r>
      <w:r w:rsidR="00D25F84" w:rsidRPr="00F05753">
        <w:t xml:space="preserve"> regardless of study drug relationship by </w:t>
      </w:r>
      <w:r w:rsidR="00E81990" w:rsidRPr="00F05753">
        <w:t>Preferred Term</w:t>
      </w:r>
      <w:r w:rsidR="00D25F84" w:rsidRPr="00F05753">
        <w:t xml:space="preserve"> and severity in at least 2 patients in any study (</w:t>
      </w:r>
      <w:r w:rsidR="00342390" w:rsidRPr="00F05753">
        <w:t>s</w:t>
      </w:r>
      <w:r w:rsidR="00D25F84" w:rsidRPr="00F05753">
        <w:t>afety set)</w:t>
      </w:r>
    </w:p>
    <w:p w14:paraId="2C180D96" w14:textId="69894C52" w:rsidR="00D25F84" w:rsidRDefault="00342390" w:rsidP="00F05753">
      <w:pPr>
        <w:rPr>
          <w:b/>
          <w:bCs/>
        </w:rPr>
      </w:pPr>
      <w:r>
        <w:rPr>
          <w:noProof/>
          <w:lang w:val="en-GB" w:eastAsia="en-GB"/>
        </w:rPr>
        <w:drawing>
          <wp:inline distT="0" distB="0" distL="0" distR="0" wp14:anchorId="5341D1D6" wp14:editId="6947B4A9">
            <wp:extent cx="5290457" cy="4087591"/>
            <wp:effectExtent l="0" t="0" r="5715" b="8255"/>
            <wp:docPr id="36" name="Picture 36" descr="Table 16: Study C2301 and Study C2201 Part II Serious adverse events regardless of study drug relationship by Preferred Term and severity in at least 2 patients in any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 16: Study C2301 and Study C2201 Part II Serious adverse events regardless of study drug relationship by Preferred Term and severity in at least 2 patients in any study (safety set)"/>
                    <pic:cNvPicPr/>
                  </pic:nvPicPr>
                  <pic:blipFill>
                    <a:blip r:embed="rId34"/>
                    <a:stretch>
                      <a:fillRect/>
                    </a:stretch>
                  </pic:blipFill>
                  <pic:spPr>
                    <a:xfrm>
                      <a:off x="0" y="0"/>
                      <a:ext cx="5320266" cy="4110622"/>
                    </a:xfrm>
                    <a:prstGeom prst="rect">
                      <a:avLst/>
                    </a:prstGeom>
                  </pic:spPr>
                </pic:pic>
              </a:graphicData>
            </a:graphic>
          </wp:inline>
        </w:drawing>
      </w:r>
    </w:p>
    <w:p w14:paraId="260BF625" w14:textId="67CC8996" w:rsidR="00342390" w:rsidRPr="00F05753" w:rsidRDefault="00342390" w:rsidP="00F05753">
      <w:pPr>
        <w:pStyle w:val="TableDescription"/>
      </w:pPr>
      <w:r w:rsidRPr="00F05753">
        <w:t>Abbreviations: N = number of subjects; n = number of subjects in subgroups.</w:t>
      </w:r>
    </w:p>
    <w:p w14:paraId="426BD809" w14:textId="0F459267" w:rsidR="00342390" w:rsidRPr="00F05753" w:rsidRDefault="00342390" w:rsidP="00F05753">
      <w:pPr>
        <w:pStyle w:val="TableDescription"/>
      </w:pPr>
      <w:r w:rsidRPr="00F05753">
        <w:t>Preferred terms are sorted in descending frequency, as reported in the all grades column for Study C2301.</w:t>
      </w:r>
    </w:p>
    <w:p w14:paraId="3E4BB719" w14:textId="38A4CCA4" w:rsidR="00342390" w:rsidRPr="00F05753" w:rsidRDefault="00342390" w:rsidP="00F05753">
      <w:pPr>
        <w:pStyle w:val="TableDescription"/>
      </w:pPr>
      <w:r w:rsidRPr="00F05753">
        <w:t>A patient with multiple severity grades for an adverse event is only counted under the maximum grade.</w:t>
      </w:r>
    </w:p>
    <w:p w14:paraId="3E77C05D" w14:textId="27B7F9FC" w:rsidR="00342390" w:rsidRPr="00F05753" w:rsidRDefault="00342390" w:rsidP="00F05753">
      <w:pPr>
        <w:pStyle w:val="TableDescription"/>
      </w:pPr>
      <w:r w:rsidRPr="00F05753">
        <w:t>For Study C2301, any events experienced by patients randomised to placebo while on placebo are not included in this analysis.</w:t>
      </w:r>
    </w:p>
    <w:p w14:paraId="131B93AB" w14:textId="12610F3F" w:rsidR="00342390" w:rsidRPr="00F05753" w:rsidRDefault="00342390" w:rsidP="00F05753">
      <w:pPr>
        <w:pStyle w:val="TableDescription"/>
      </w:pPr>
      <w:r w:rsidRPr="00F05753">
        <w:t>Medical Dictionary for Regulatory Activities (MedDRA)</w:t>
      </w:r>
      <w:r w:rsidRPr="00F05753">
        <w:rPr>
          <w:vertAlign w:val="superscript"/>
        </w:rPr>
        <w:fldChar w:fldCharType="begin"/>
      </w:r>
      <w:r w:rsidRPr="00F05753">
        <w:rPr>
          <w:vertAlign w:val="superscript"/>
        </w:rPr>
        <w:instrText xml:space="preserve"> NOTEREF _Ref112959233 \h  \* MERGEFORMAT </w:instrText>
      </w:r>
      <w:r w:rsidRPr="00F05753">
        <w:rPr>
          <w:vertAlign w:val="superscript"/>
        </w:rPr>
      </w:r>
      <w:r w:rsidRPr="00F05753">
        <w:rPr>
          <w:vertAlign w:val="superscript"/>
        </w:rPr>
        <w:fldChar w:fldCharType="separate"/>
      </w:r>
      <w:r w:rsidR="009B4A87">
        <w:rPr>
          <w:vertAlign w:val="superscript"/>
        </w:rPr>
        <w:t>20</w:t>
      </w:r>
      <w:r w:rsidRPr="00F05753">
        <w:rPr>
          <w:vertAlign w:val="superscript"/>
        </w:rPr>
        <w:fldChar w:fldCharType="end"/>
      </w:r>
      <w:r w:rsidRPr="00F05753">
        <w:t xml:space="preserve"> version 20.1, Common Terminology Criteria for Adverse Events (CTCAE) version 4.0 (Study C2201) and 4.03 (Study C2301).</w:t>
      </w:r>
    </w:p>
    <w:p w14:paraId="2DDAA300" w14:textId="06A121C3" w:rsidR="00342390" w:rsidRPr="00F05753" w:rsidRDefault="00342390" w:rsidP="00F05753">
      <w:pPr>
        <w:pStyle w:val="TableDescription"/>
      </w:pPr>
      <w:r w:rsidRPr="00F05753">
        <w:t>Study C2201 data cut-off date: 14 November 2017; Study 2301 data cut-off date: 21 February 2018.</w:t>
      </w:r>
    </w:p>
    <w:p w14:paraId="31CDFB33" w14:textId="77777777" w:rsidR="00D25F84" w:rsidRPr="00B61B9D" w:rsidRDefault="00D25F84" w:rsidP="00680EEF">
      <w:pPr>
        <w:pStyle w:val="Heading5"/>
      </w:pPr>
      <w:r w:rsidRPr="00B61B9D">
        <w:t>Laboratory findings</w:t>
      </w:r>
    </w:p>
    <w:p w14:paraId="462AA6D9" w14:textId="68F02080" w:rsidR="00D25F84" w:rsidRPr="00B61B9D" w:rsidRDefault="00D25F84" w:rsidP="001B7665">
      <w:r w:rsidRPr="00B61B9D">
        <w:t>Abnormal laboratory values are summari</w:t>
      </w:r>
      <w:r w:rsidR="00111716" w:rsidRPr="00B61B9D">
        <w:t>s</w:t>
      </w:r>
      <w:r w:rsidRPr="00B61B9D">
        <w:t>ed for hematology and clinical chemistry parameters, as well as for hormones of interest related to the disease.</w:t>
      </w:r>
    </w:p>
    <w:p w14:paraId="6D4FAC12" w14:textId="77777777" w:rsidR="00D25F84" w:rsidRPr="00B61B9D" w:rsidRDefault="00D25F84" w:rsidP="00680EEF">
      <w:pPr>
        <w:pStyle w:val="Heading6"/>
      </w:pPr>
      <w:r w:rsidRPr="00B61B9D">
        <w:t>Haematology</w:t>
      </w:r>
    </w:p>
    <w:p w14:paraId="24891531" w14:textId="1CA1EA77" w:rsidR="00D25F84" w:rsidRPr="00B61B9D" w:rsidRDefault="00D25F84" w:rsidP="001B7665">
      <w:r w:rsidRPr="00B61B9D">
        <w:t xml:space="preserve">At the time of the data cut-off date, no patients had newly occurring </w:t>
      </w:r>
      <w:r w:rsidR="00111716" w:rsidRPr="00B61B9D">
        <w:t>Grade</w:t>
      </w:r>
      <w:r w:rsidRPr="00B61B9D">
        <w:t xml:space="preserve"> 4 haematology abnormalities or worsening haematology abnormalities to </w:t>
      </w:r>
      <w:r w:rsidR="00111716" w:rsidRPr="00B61B9D">
        <w:t>Grade</w:t>
      </w:r>
      <w:r w:rsidRPr="00B61B9D">
        <w:t xml:space="preserve"> 4. Newly occurring or worsening to </w:t>
      </w:r>
      <w:r w:rsidR="00111716" w:rsidRPr="00B61B9D">
        <w:t>Grade</w:t>
      </w:r>
      <w:r w:rsidRPr="00B61B9D">
        <w:t xml:space="preserve"> 3 haematology abnormalities were infrequent and were reported for haemoglobin decrease and absolute neutrophils decrease (in 3 patients, </w:t>
      </w:r>
      <w:r w:rsidR="00D16F6C">
        <w:t xml:space="preserve">for </w:t>
      </w:r>
      <w:r w:rsidRPr="00B61B9D">
        <w:t xml:space="preserve">each) and leucocyte increase and platelets decrease (in </w:t>
      </w:r>
      <w:r w:rsidR="00EF3544" w:rsidRPr="00B61B9D">
        <w:t>one</w:t>
      </w:r>
      <w:r w:rsidRPr="00B61B9D">
        <w:t xml:space="preserve"> patient, each).</w:t>
      </w:r>
    </w:p>
    <w:p w14:paraId="39FECCF2" w14:textId="25B5FF5C" w:rsidR="00D25F84" w:rsidRPr="00B61B9D" w:rsidRDefault="00D25F84" w:rsidP="00680EEF">
      <w:pPr>
        <w:pStyle w:val="Heading7"/>
        <w:rPr>
          <w:sz w:val="22"/>
          <w:szCs w:val="28"/>
        </w:rPr>
      </w:pPr>
      <w:r w:rsidRPr="00B61B9D">
        <w:rPr>
          <w:sz w:val="22"/>
          <w:szCs w:val="28"/>
        </w:rPr>
        <w:lastRenderedPageBreak/>
        <w:t>Haemoglobin decreases</w:t>
      </w:r>
    </w:p>
    <w:p w14:paraId="7F093913" w14:textId="59F0269B" w:rsidR="00D25F84" w:rsidRPr="00B61B9D" w:rsidRDefault="00D25F84" w:rsidP="001B7665">
      <w:r w:rsidRPr="00B61B9D">
        <w:t>Anaemia</w:t>
      </w:r>
      <w:r w:rsidR="005B68B0" w:rsidRPr="00B61B9D">
        <w:t xml:space="preserve"> or </w:t>
      </w:r>
      <w:r w:rsidRPr="00B61B9D">
        <w:t>haemoglobin decreased is a known effect of related to the intended normalisation of chronic cortisol excess, has been documented with other therapies (including surgical treatment), and is not considered a direct toxic effect of the drug.</w:t>
      </w:r>
    </w:p>
    <w:p w14:paraId="1FDF93F4" w14:textId="50E11239" w:rsidR="00D25F84" w:rsidRPr="00B61B9D" w:rsidRDefault="00D25F84" w:rsidP="001B7665">
      <w:r w:rsidRPr="00B61B9D">
        <w:t>In total, a decrease in haemoglobin (</w:t>
      </w:r>
      <w:r w:rsidR="00EB527E" w:rsidRPr="00B61B9D">
        <w:t>Common Terminology Criteria G</w:t>
      </w:r>
      <w:r w:rsidR="00111716" w:rsidRPr="00B61B9D">
        <w:t>rade</w:t>
      </w:r>
      <w:r w:rsidRPr="00B61B9D">
        <w:t xml:space="preserve"> 1</w:t>
      </w:r>
      <w:r w:rsidR="00EF3544" w:rsidRPr="00B61B9D">
        <w:t xml:space="preserve"> to </w:t>
      </w:r>
      <w:r w:rsidRPr="00B61B9D">
        <w:t>3)</w:t>
      </w:r>
      <w:r w:rsidR="00EB527E" w:rsidRPr="00B61B9D">
        <w:rPr>
          <w:rStyle w:val="FootnoteReference"/>
        </w:rPr>
        <w:footnoteReference w:id="21"/>
      </w:r>
      <w:r w:rsidRPr="00B61B9D">
        <w:t xml:space="preserve"> was reported in 38% of the patients in the pivotal study (</w:t>
      </w:r>
      <w:r w:rsidR="00242DBE" w:rsidRPr="00B61B9D">
        <w:t xml:space="preserve">Study </w:t>
      </w:r>
      <w:r w:rsidRPr="00B61B9D">
        <w:t xml:space="preserve">C2301). including three cases of newly occurring or worsening to </w:t>
      </w:r>
      <w:r w:rsidR="00111716" w:rsidRPr="00B61B9D">
        <w:t>Grade</w:t>
      </w:r>
      <w:r w:rsidRPr="00B61B9D">
        <w:t xml:space="preserve"> 3 The mean </w:t>
      </w:r>
      <w:r w:rsidR="00C411F5" w:rsidRPr="00B61B9D">
        <w:t xml:space="preserve">haemoglobin </w:t>
      </w:r>
      <w:r w:rsidRPr="00B61B9D">
        <w:t>value slightly decreased over time (137</w:t>
      </w:r>
      <w:r w:rsidR="00EF3544" w:rsidRPr="00B61B9D">
        <w:t xml:space="preserve"> </w:t>
      </w:r>
      <w:r w:rsidRPr="00B61B9D">
        <w:t>±</w:t>
      </w:r>
      <w:r w:rsidR="00EF3544" w:rsidRPr="00B61B9D">
        <w:t xml:space="preserve"> </w:t>
      </w:r>
      <w:r w:rsidRPr="00B61B9D">
        <w:t xml:space="preserve">18.03 g/L at </w:t>
      </w:r>
      <w:r w:rsidR="00111716" w:rsidRPr="00B61B9D">
        <w:t>Baseline</w:t>
      </w:r>
      <w:r w:rsidRPr="00B61B9D">
        <w:t xml:space="preserve"> compared to 132.2</w:t>
      </w:r>
      <w:r w:rsidR="00EF3544" w:rsidRPr="00B61B9D">
        <w:t xml:space="preserve"> </w:t>
      </w:r>
      <w:r w:rsidRPr="00B61B9D">
        <w:t>±</w:t>
      </w:r>
      <w:r w:rsidR="00EF3544" w:rsidRPr="00B61B9D">
        <w:t xml:space="preserve"> </w:t>
      </w:r>
      <w:r w:rsidRPr="00B61B9D">
        <w:t>16.68 g/L after 12</w:t>
      </w:r>
      <w:r w:rsidR="00D16F6C">
        <w:t> </w:t>
      </w:r>
      <w:r w:rsidRPr="00B61B9D">
        <w:t>weeks, 129.5</w:t>
      </w:r>
      <w:r w:rsidR="00EF3544" w:rsidRPr="00B61B9D">
        <w:t xml:space="preserve"> </w:t>
      </w:r>
      <w:r w:rsidRPr="00B61B9D">
        <w:t>±</w:t>
      </w:r>
      <w:r w:rsidR="00EF3544" w:rsidRPr="00B61B9D">
        <w:t xml:space="preserve"> </w:t>
      </w:r>
      <w:r w:rsidRPr="00B61B9D">
        <w:t>17.39g/L after 26 weeks and 133.0</w:t>
      </w:r>
      <w:r w:rsidR="00EF3544" w:rsidRPr="00B61B9D">
        <w:t> </w:t>
      </w:r>
      <w:r w:rsidRPr="00B61B9D">
        <w:t>±</w:t>
      </w:r>
      <w:r w:rsidR="00EF3544" w:rsidRPr="00B61B9D">
        <w:t> </w:t>
      </w:r>
      <w:r w:rsidRPr="00B61B9D">
        <w:t>16.94 g/L after 44 weeks).</w:t>
      </w:r>
    </w:p>
    <w:p w14:paraId="5F3BA977" w14:textId="08ACF2A5" w:rsidR="00D25F84" w:rsidRPr="00B61B9D" w:rsidRDefault="00D25F84" w:rsidP="001B7665">
      <w:r w:rsidRPr="00B61B9D">
        <w:t>In parallel, anaemia</w:t>
      </w:r>
      <w:r w:rsidR="005B68B0" w:rsidRPr="00B61B9D">
        <w:t xml:space="preserve"> or </w:t>
      </w:r>
      <w:r w:rsidRPr="00B61B9D">
        <w:t>iron deficiency anaemia</w:t>
      </w:r>
      <w:r w:rsidR="005B68B0" w:rsidRPr="00B61B9D">
        <w:t xml:space="preserve"> or </w:t>
      </w:r>
      <w:r w:rsidRPr="00B61B9D">
        <w:t>haemoglobin decreased was reported as an AE in 18</w:t>
      </w:r>
      <w:r w:rsidR="005B68B0" w:rsidRPr="00B61B9D">
        <w:t xml:space="preserve"> of </w:t>
      </w:r>
      <w:r w:rsidRPr="00B61B9D">
        <w:t xml:space="preserve">137 (13%) patients in </w:t>
      </w:r>
      <w:r w:rsidR="00242DBE" w:rsidRPr="00B61B9D">
        <w:t xml:space="preserve">Study </w:t>
      </w:r>
      <w:r w:rsidRPr="00B61B9D">
        <w:t>C2301 as of 15</w:t>
      </w:r>
      <w:r w:rsidR="00EF3544" w:rsidRPr="00B61B9D">
        <w:t xml:space="preserve"> </w:t>
      </w:r>
      <w:r w:rsidRPr="00B61B9D">
        <w:t>Oct</w:t>
      </w:r>
      <w:r w:rsidR="00EF3544" w:rsidRPr="00B61B9D">
        <w:t xml:space="preserve">ober </w:t>
      </w:r>
      <w:r w:rsidRPr="00B61B9D">
        <w:t>2018, in 5</w:t>
      </w:r>
      <w:r w:rsidR="005B68B0" w:rsidRPr="00B61B9D">
        <w:t xml:space="preserve"> of </w:t>
      </w:r>
      <w:r w:rsidRPr="00B61B9D">
        <w:t xml:space="preserve">19 (26%) patients in </w:t>
      </w:r>
      <w:r w:rsidR="00242DBE" w:rsidRPr="00B61B9D">
        <w:t xml:space="preserve">Study </w:t>
      </w:r>
      <w:r w:rsidRPr="00B61B9D">
        <w:t>C2201 (as of 14</w:t>
      </w:r>
      <w:r w:rsidR="00EF3544" w:rsidRPr="00B61B9D">
        <w:t xml:space="preserve"> </w:t>
      </w:r>
      <w:r w:rsidRPr="00B61B9D">
        <w:t>Nov</w:t>
      </w:r>
      <w:r w:rsidR="00EF3544" w:rsidRPr="00B61B9D">
        <w:t xml:space="preserve">ember </w:t>
      </w:r>
      <w:r w:rsidRPr="00B61B9D">
        <w:t xml:space="preserve">2017), and one patient in </w:t>
      </w:r>
      <w:r w:rsidR="00242DBE" w:rsidRPr="00B61B9D">
        <w:t xml:space="preserve">Study </w:t>
      </w:r>
      <w:r w:rsidRPr="00B61B9D">
        <w:t xml:space="preserve">C1201. Across the 4 hypertension studies, there was a single case of non-serious ‘mild anaemia’ reported. Most of the relevant cases reported with anaemia had confounding factors of which several were present already at </w:t>
      </w:r>
      <w:r w:rsidR="00111716" w:rsidRPr="00B61B9D">
        <w:t>Baseline</w:t>
      </w:r>
      <w:r w:rsidR="006F4885">
        <w:t>.</w:t>
      </w:r>
    </w:p>
    <w:p w14:paraId="0EE1326B" w14:textId="240F5432" w:rsidR="00D25F84" w:rsidRPr="00B61B9D" w:rsidRDefault="00D25F84" w:rsidP="001B7665">
      <w:r w:rsidRPr="00B61B9D">
        <w:t xml:space="preserve">Normalisation of chronic cortisol excess in subjects with </w:t>
      </w:r>
      <w:r w:rsidR="00541304" w:rsidRPr="00B61B9D">
        <w:t>Cushing’s syndrome</w:t>
      </w:r>
      <w:r w:rsidRPr="00B61B9D">
        <w:t xml:space="preserve"> is associated with a decrease haemoglobin, that the mean </w:t>
      </w:r>
      <w:r w:rsidR="00C411F5" w:rsidRPr="00B61B9D">
        <w:t>haemoglobin</w:t>
      </w:r>
      <w:r w:rsidRPr="00B61B9D">
        <w:t xml:space="preserve"> value in </w:t>
      </w:r>
      <w:r w:rsidR="00242DBE" w:rsidRPr="00B61B9D">
        <w:t xml:space="preserve">Study </w:t>
      </w:r>
      <w:r w:rsidRPr="00B61B9D">
        <w:t>C2301 had a modest decreased over time and that a substantial amount of the cases with anaemia were confounded.</w:t>
      </w:r>
    </w:p>
    <w:p w14:paraId="7057F3D5" w14:textId="29DE452F" w:rsidR="00D25F84" w:rsidRPr="00B61B9D" w:rsidRDefault="00D25F84" w:rsidP="00680EEF">
      <w:pPr>
        <w:pStyle w:val="Heading7"/>
        <w:rPr>
          <w:sz w:val="22"/>
          <w:szCs w:val="28"/>
        </w:rPr>
      </w:pPr>
      <w:r w:rsidRPr="00B61B9D">
        <w:rPr>
          <w:sz w:val="22"/>
          <w:szCs w:val="28"/>
        </w:rPr>
        <w:t>Neutrophil decrease</w:t>
      </w:r>
    </w:p>
    <w:p w14:paraId="79321EB9" w14:textId="648F17C8" w:rsidR="00D25F84" w:rsidRPr="00B61B9D" w:rsidRDefault="00D25F84" w:rsidP="001B7665">
      <w:r w:rsidRPr="00B61B9D">
        <w:t xml:space="preserve">Treatment with osilodrostat can potentially be associated with neutropenia which is considered to be an indirect effect of cortisol reduction, regardless of the treatment. In </w:t>
      </w:r>
      <w:r w:rsidR="00242DBE" w:rsidRPr="00B61B9D">
        <w:t xml:space="preserve">Study </w:t>
      </w:r>
      <w:r w:rsidRPr="00B61B9D">
        <w:t xml:space="preserve">C2301, a </w:t>
      </w:r>
      <w:r w:rsidR="00111716" w:rsidRPr="00B61B9D">
        <w:t>Grade</w:t>
      </w:r>
      <w:r w:rsidRPr="00B61B9D">
        <w:t xml:space="preserve"> 3 absolute neutrophils decrease was noted in 3 subjects (including one SAE). In addition, </w:t>
      </w:r>
      <w:r w:rsidR="00111716" w:rsidRPr="00B61B9D">
        <w:t>Grade</w:t>
      </w:r>
      <w:r w:rsidRPr="00B61B9D">
        <w:t xml:space="preserve"> 1</w:t>
      </w:r>
      <w:r w:rsidR="00425477" w:rsidRPr="00B61B9D">
        <w:t xml:space="preserve"> to </w:t>
      </w:r>
      <w:r w:rsidRPr="00B61B9D">
        <w:t>2 decreased was noted in 15</w:t>
      </w:r>
      <w:r w:rsidR="005B68B0" w:rsidRPr="00B61B9D">
        <w:t xml:space="preserve"> of </w:t>
      </w:r>
      <w:r w:rsidRPr="00B61B9D">
        <w:t xml:space="preserve">137 subjects (11%). In the cases observed, neutropenia rapidly was reversed with interruption of osilodrostat, and reversed when osilodrostat was continued, typically with decreasing doses. According to information in the </w:t>
      </w:r>
      <w:r w:rsidR="00877939" w:rsidRPr="00B61B9D">
        <w:t>summary of clinical safety</w:t>
      </w:r>
      <w:r w:rsidRPr="00B61B9D">
        <w:t xml:space="preserve">, osilodrostat was dos adjusted, interrupt or discontinued due to AEs of the PT neutrophil decrease. It is, in clinical practice, of importance to consider that a decrease of neutrophils is a </w:t>
      </w:r>
      <w:r w:rsidR="00D56EB9" w:rsidRPr="00B61B9D">
        <w:t>‘</w:t>
      </w:r>
      <w:r w:rsidRPr="00B61B9D">
        <w:t>natural</w:t>
      </w:r>
      <w:r w:rsidR="00D56EB9" w:rsidRPr="00B61B9D">
        <w:t>’</w:t>
      </w:r>
      <w:r w:rsidRPr="00B61B9D">
        <w:t xml:space="preserve"> reaction to treatment reducing cortisol levels and that a decrease in neutrophils per see not should lead to a reduced dose or interruption of osilodrostat unless there is a risk for an associated AE or SAE.</w:t>
      </w:r>
    </w:p>
    <w:p w14:paraId="12D1923A" w14:textId="4F10F071" w:rsidR="00D25F84" w:rsidRPr="00B61B9D" w:rsidRDefault="00D25F84" w:rsidP="00680EEF">
      <w:pPr>
        <w:pStyle w:val="Heading7"/>
        <w:rPr>
          <w:sz w:val="22"/>
          <w:szCs w:val="28"/>
        </w:rPr>
      </w:pPr>
      <w:r w:rsidRPr="00B61B9D">
        <w:rPr>
          <w:sz w:val="22"/>
          <w:szCs w:val="28"/>
        </w:rPr>
        <w:t>Basophile increase</w:t>
      </w:r>
    </w:p>
    <w:p w14:paraId="42F2F1AE" w14:textId="6C19B635" w:rsidR="00D25F84" w:rsidRPr="00B61B9D" w:rsidRDefault="00D25F84" w:rsidP="001B7665">
      <w:r w:rsidRPr="00B61B9D">
        <w:t xml:space="preserve">The </w:t>
      </w:r>
      <w:r w:rsidR="00E81990" w:rsidRPr="00B61B9D">
        <w:t>sponsor</w:t>
      </w:r>
      <w:r w:rsidRPr="00B61B9D">
        <w:t xml:space="preserve"> describes that relatively high mean changes were observed for basophils with a highest mean change from </w:t>
      </w:r>
      <w:r w:rsidR="00111716" w:rsidRPr="00B61B9D">
        <w:t>Baseline</w:t>
      </w:r>
      <w:r w:rsidRPr="00B61B9D">
        <w:t xml:space="preserve"> of 130%. An explanation given by the </w:t>
      </w:r>
      <w:r w:rsidR="00E81990" w:rsidRPr="00B61B9D">
        <w:t>sponsor</w:t>
      </w:r>
      <w:r w:rsidRPr="00B61B9D">
        <w:t xml:space="preserve"> is that this phenomenon may be due to an </w:t>
      </w:r>
      <w:r w:rsidR="00D56EB9" w:rsidRPr="00B61B9D">
        <w:t>‘</w:t>
      </w:r>
      <w:r w:rsidRPr="00B61B9D">
        <w:t>immune rebound</w:t>
      </w:r>
      <w:r w:rsidR="00D56EB9" w:rsidRPr="00B61B9D">
        <w:t>’</w:t>
      </w:r>
      <w:r w:rsidRPr="00B61B9D">
        <w:t xml:space="preserve"> often seen after disease remission in Cushing </w:t>
      </w:r>
      <w:r w:rsidR="00C46D71" w:rsidRPr="00B61B9D">
        <w:t>sy</w:t>
      </w:r>
      <w:r w:rsidRPr="00B61B9D">
        <w:t>ndrome.</w:t>
      </w:r>
    </w:p>
    <w:p w14:paraId="7D2E7D0B" w14:textId="77777777" w:rsidR="00D25F84" w:rsidRPr="00B61B9D" w:rsidRDefault="00D25F84" w:rsidP="00680EEF">
      <w:pPr>
        <w:pStyle w:val="Heading5"/>
      </w:pPr>
      <w:r w:rsidRPr="00B61B9D">
        <w:t>Clinical chemistry</w:t>
      </w:r>
    </w:p>
    <w:p w14:paraId="7B801138" w14:textId="53DEA7DE" w:rsidR="00D25F84" w:rsidRPr="00B61B9D" w:rsidRDefault="00D25F84" w:rsidP="001B7665">
      <w:r w:rsidRPr="00B61B9D">
        <w:t xml:space="preserve">Overall, biochemistry laboratory values including the pattern of newly occurring or worsening abnormalities in </w:t>
      </w:r>
      <w:r w:rsidR="00242DBE" w:rsidRPr="00B61B9D">
        <w:t xml:space="preserve">Study </w:t>
      </w:r>
      <w:r w:rsidRPr="00B61B9D">
        <w:t xml:space="preserve">C2201 </w:t>
      </w:r>
      <w:r w:rsidR="00C46D71" w:rsidRPr="00B61B9D">
        <w:t>Part</w:t>
      </w:r>
      <w:r w:rsidRPr="00B61B9D">
        <w:t xml:space="preserve"> </w:t>
      </w:r>
      <w:r w:rsidR="00C46D71" w:rsidRPr="00B61B9D">
        <w:t>II</w:t>
      </w:r>
      <w:r w:rsidRPr="00B61B9D">
        <w:t xml:space="preserve"> were in line with the results in </w:t>
      </w:r>
      <w:r w:rsidR="00242DBE" w:rsidRPr="00B61B9D">
        <w:t>Study</w:t>
      </w:r>
      <w:r w:rsidR="00425477" w:rsidRPr="00B61B9D">
        <w:t> </w:t>
      </w:r>
      <w:r w:rsidRPr="00B61B9D">
        <w:t>C2301 and did not warrant any further safety issues.</w:t>
      </w:r>
    </w:p>
    <w:p w14:paraId="7B2185DB" w14:textId="2C7F773B" w:rsidR="00D25F84" w:rsidRPr="00B61B9D" w:rsidRDefault="00D25F84" w:rsidP="001B7665">
      <w:r w:rsidRPr="00B61B9D">
        <w:t xml:space="preserve">In </w:t>
      </w:r>
      <w:r w:rsidR="00242DBE" w:rsidRPr="00B61B9D">
        <w:t xml:space="preserve">Study </w:t>
      </w:r>
      <w:r w:rsidRPr="00B61B9D">
        <w:t xml:space="preserve">C2301 newly occurring or worsening biochemistry abnormalities to </w:t>
      </w:r>
      <w:r w:rsidR="00111716" w:rsidRPr="00B61B9D">
        <w:t>Grade</w:t>
      </w:r>
      <w:r w:rsidR="00425477" w:rsidRPr="00B61B9D">
        <w:t> </w:t>
      </w:r>
      <w:r w:rsidRPr="00B61B9D">
        <w:t xml:space="preserve">3 or 4 were reported </w:t>
      </w:r>
      <w:r w:rsidR="00425477" w:rsidRPr="00B61B9D">
        <w:t>as below.</w:t>
      </w:r>
    </w:p>
    <w:p w14:paraId="50190DC8" w14:textId="09353196" w:rsidR="00D25F84" w:rsidRPr="00B61B9D" w:rsidRDefault="00D25F84" w:rsidP="00680EEF">
      <w:pPr>
        <w:pStyle w:val="Heading6"/>
      </w:pPr>
      <w:r w:rsidRPr="00B61B9D">
        <w:lastRenderedPageBreak/>
        <w:t>Hypokalaemia</w:t>
      </w:r>
    </w:p>
    <w:p w14:paraId="6C3288CC" w14:textId="25837B43" w:rsidR="00D25F84" w:rsidRPr="00B61B9D" w:rsidRDefault="00D25F84" w:rsidP="001B7665">
      <w:r w:rsidRPr="00B61B9D">
        <w:t xml:space="preserve">Hypokalaemia is a comorbidity of Cushing </w:t>
      </w:r>
      <w:r w:rsidR="00167075" w:rsidRPr="00B61B9D">
        <w:t>disease</w:t>
      </w:r>
      <w:r w:rsidRPr="00B61B9D">
        <w:t xml:space="preserve"> but also considered as adrenal hormone precursor accumulation potentially related AEs.</w:t>
      </w:r>
    </w:p>
    <w:p w14:paraId="69B6DD76" w14:textId="1B004C52" w:rsidR="00D25F84" w:rsidRPr="00B61B9D" w:rsidRDefault="00D25F84" w:rsidP="001B7665">
      <w:r w:rsidRPr="00B61B9D">
        <w:t>In total low potassium values were reported in 32</w:t>
      </w:r>
      <w:r w:rsidR="005B68B0" w:rsidRPr="00B61B9D">
        <w:t xml:space="preserve"> of </w:t>
      </w:r>
      <w:r w:rsidRPr="00B61B9D">
        <w:t xml:space="preserve">137(23%) of which 9 reported newly occurring or worsening abnormalities </w:t>
      </w:r>
      <w:r w:rsidR="00111716" w:rsidRPr="00B61B9D">
        <w:t>Grade</w:t>
      </w:r>
      <w:r w:rsidRPr="00B61B9D">
        <w:t xml:space="preserve"> 3 (8 subjects) or 4 (one subject).</w:t>
      </w:r>
    </w:p>
    <w:p w14:paraId="275AF2AD" w14:textId="6E8A6277" w:rsidR="00D25F84" w:rsidRPr="00B61B9D" w:rsidRDefault="00D25F84" w:rsidP="00680EEF">
      <w:pPr>
        <w:pStyle w:val="Heading6"/>
      </w:pPr>
      <w:r w:rsidRPr="00B61B9D">
        <w:t>Hyperkalaemia</w:t>
      </w:r>
    </w:p>
    <w:p w14:paraId="671CA585" w14:textId="4DF060D2" w:rsidR="00D25F84" w:rsidRPr="00B61B9D" w:rsidRDefault="00D25F84" w:rsidP="001B7665">
      <w:r w:rsidRPr="00B61B9D">
        <w:t>Hyperkalaemia could be a direct effect of osilodrostat due to accumulation of mineralocorticoid precursors and is included as a symptom of hypocortisolism.</w:t>
      </w:r>
    </w:p>
    <w:p w14:paraId="5106D4E1" w14:textId="3B0041BE" w:rsidR="00D25F84" w:rsidRPr="00B61B9D" w:rsidRDefault="00D25F84" w:rsidP="001B7665">
      <w:r w:rsidRPr="00B61B9D">
        <w:t>Hyperkalaemia was reported in total in 16</w:t>
      </w:r>
      <w:r w:rsidR="005B68B0" w:rsidRPr="00B61B9D">
        <w:t xml:space="preserve"> of </w:t>
      </w:r>
      <w:r w:rsidRPr="00B61B9D">
        <w:t>137(12%) of the subjects of which 3</w:t>
      </w:r>
      <w:r w:rsidR="00425477" w:rsidRPr="00B61B9D">
        <w:t> </w:t>
      </w:r>
      <w:r w:rsidRPr="00B61B9D">
        <w:t xml:space="preserve">reported newly occurring or worsening abnormalities </w:t>
      </w:r>
      <w:r w:rsidR="00111716" w:rsidRPr="00B61B9D">
        <w:t>Grade</w:t>
      </w:r>
      <w:r w:rsidRPr="00B61B9D">
        <w:t xml:space="preserve"> 3. In total, three AEs (all non</w:t>
      </w:r>
      <w:r w:rsidR="00425477" w:rsidRPr="00B61B9D">
        <w:noBreakHyphen/>
      </w:r>
      <w:r w:rsidRPr="00B61B9D">
        <w:t>serious) of hyperkalaemia were reported in Study C2301 and one in Study C2201. Three of the four patients were taking concomitant spironolactone, with additional antihypertensive agents throughout the study, the fourth patient had a first episode after more than 2 years of osilodrostat. The cases were all resolved without any action taken with osilodrostat. Thus, even if a potential causal relationship could be present with osilodrostat and hyperkalaemia this safety concern which is mentioned adequately in the PI.</w:t>
      </w:r>
    </w:p>
    <w:p w14:paraId="0E21955B" w14:textId="590F5558" w:rsidR="00D25F84" w:rsidRPr="00B61B9D" w:rsidRDefault="00D25F84" w:rsidP="001B7665">
      <w:pPr>
        <w:pStyle w:val="Heading6"/>
      </w:pPr>
      <w:r w:rsidRPr="00B61B9D">
        <w:t>Triglycerides increase</w:t>
      </w:r>
    </w:p>
    <w:p w14:paraId="396B80D3" w14:textId="42B6C1E8" w:rsidR="00D25F84" w:rsidRPr="00B61B9D" w:rsidRDefault="00D25F84" w:rsidP="001B7665">
      <w:r w:rsidRPr="00B61B9D">
        <w:t xml:space="preserve">Hyperlipidaemia is a known co-morbidity for Cushing </w:t>
      </w:r>
      <w:r w:rsidR="00167075" w:rsidRPr="00B61B9D">
        <w:t>disease</w:t>
      </w:r>
      <w:r w:rsidRPr="00B61B9D">
        <w:t xml:space="preserve">. </w:t>
      </w:r>
      <w:r w:rsidR="004466E5">
        <w:t>‘</w:t>
      </w:r>
      <w:r w:rsidRPr="00B61B9D">
        <w:t>Triglycerides increase</w:t>
      </w:r>
      <w:r w:rsidR="004466E5">
        <w:t>’</w:t>
      </w:r>
      <w:r w:rsidRPr="00B61B9D">
        <w:t xml:space="preserve"> was reported in total 52</w:t>
      </w:r>
      <w:r w:rsidR="005B68B0" w:rsidRPr="00B61B9D">
        <w:t xml:space="preserve"> of </w:t>
      </w:r>
      <w:r w:rsidRPr="00B61B9D">
        <w:t xml:space="preserve">137 (38%) of the subjects of which 4 reported newly occurring or worsening abnormalities </w:t>
      </w:r>
      <w:r w:rsidR="00111716" w:rsidRPr="00B61B9D">
        <w:t>Grade</w:t>
      </w:r>
      <w:r w:rsidRPr="00B61B9D">
        <w:t xml:space="preserve"> 3.</w:t>
      </w:r>
    </w:p>
    <w:p w14:paraId="6C3A0467" w14:textId="3C4A093B" w:rsidR="00D25F84" w:rsidRPr="00B61B9D" w:rsidRDefault="00D25F84" w:rsidP="001B7665">
      <w:pPr>
        <w:pStyle w:val="Heading6"/>
      </w:pPr>
      <w:r w:rsidRPr="00B61B9D">
        <w:t>Hypermagnesemia</w:t>
      </w:r>
    </w:p>
    <w:p w14:paraId="08C7D6E3" w14:textId="22CC2E57" w:rsidR="00D25F84" w:rsidRPr="00B61B9D" w:rsidRDefault="00D25F84" w:rsidP="001B7665">
      <w:r w:rsidRPr="00B61B9D">
        <w:t>Overall, laboratory values (</w:t>
      </w:r>
      <w:r w:rsidR="00111716" w:rsidRPr="00B61B9D">
        <w:t>Grade</w:t>
      </w:r>
      <w:r w:rsidRPr="00B61B9D">
        <w:t xml:space="preserve"> 1</w:t>
      </w:r>
      <w:r w:rsidR="00425477" w:rsidRPr="00B61B9D">
        <w:t xml:space="preserve"> to </w:t>
      </w:r>
      <w:r w:rsidRPr="00B61B9D">
        <w:t>3) reported in total in 18</w:t>
      </w:r>
      <w:r w:rsidR="005B68B0" w:rsidRPr="00B61B9D">
        <w:t xml:space="preserve"> of </w:t>
      </w:r>
      <w:r w:rsidRPr="00B61B9D">
        <w:t>137 (13%) of the subjects. Grade 3 hypermagnesemia laboratory elevations (&gt;</w:t>
      </w:r>
      <w:r w:rsidR="005B68B0" w:rsidRPr="00B61B9D">
        <w:t xml:space="preserve"> </w:t>
      </w:r>
      <w:r w:rsidRPr="00B61B9D">
        <w:t xml:space="preserve">3.0 </w:t>
      </w:r>
      <w:r w:rsidR="00425477" w:rsidRPr="00B61B9D">
        <w:t xml:space="preserve">to </w:t>
      </w:r>
      <w:r w:rsidRPr="00B61B9D">
        <w:t>8.0 mg/dL; &gt;</w:t>
      </w:r>
      <w:r w:rsidR="005B68B0" w:rsidRPr="00B61B9D">
        <w:t xml:space="preserve"> </w:t>
      </w:r>
      <w:r w:rsidRPr="00B61B9D">
        <w:t xml:space="preserve">1.23 </w:t>
      </w:r>
      <w:r w:rsidR="00425477" w:rsidRPr="00B61B9D">
        <w:t>to</w:t>
      </w:r>
      <w:r w:rsidRPr="00B61B9D">
        <w:t xml:space="preserve"> 3.30</w:t>
      </w:r>
      <w:r w:rsidR="00425477" w:rsidRPr="00B61B9D">
        <w:t> </w:t>
      </w:r>
      <w:r w:rsidRPr="00B61B9D">
        <w:t>mmol/L) was noted in four subjects. The values were resolved at the next evaluation with no dose adjustments and none of the elevations were temporarily associated with hypokalaemia or AEs of neuromuscular or conduction system abnormalities.</w:t>
      </w:r>
    </w:p>
    <w:p w14:paraId="758B727E" w14:textId="5D55AC02" w:rsidR="00D25F84" w:rsidRPr="00B61B9D" w:rsidRDefault="00D25F84" w:rsidP="001B7665">
      <w:pPr>
        <w:pStyle w:val="Heading6"/>
      </w:pPr>
      <w:r w:rsidRPr="00B61B9D">
        <w:t>Hypomagnesemia</w:t>
      </w:r>
    </w:p>
    <w:p w14:paraId="01B4362D" w14:textId="5AD96930" w:rsidR="00D25F84" w:rsidRPr="00B61B9D" w:rsidRDefault="00D25F84" w:rsidP="001B7665">
      <w:r w:rsidRPr="00B61B9D">
        <w:t>Hypomagnesemia was reported in total in 2</w:t>
      </w:r>
      <w:r w:rsidR="005B68B0" w:rsidRPr="00B61B9D">
        <w:t xml:space="preserve"> of </w:t>
      </w:r>
      <w:r w:rsidRPr="00B61B9D">
        <w:t xml:space="preserve">137 subjects (1.4%) of which one reported newly occurring or worsening abnormalities </w:t>
      </w:r>
      <w:r w:rsidR="00111716" w:rsidRPr="00B61B9D">
        <w:t>Grade</w:t>
      </w:r>
      <w:r w:rsidRPr="00B61B9D">
        <w:t xml:space="preserve"> 3.</w:t>
      </w:r>
    </w:p>
    <w:p w14:paraId="798F0D1F" w14:textId="3AB4BC0B" w:rsidR="00D25F84" w:rsidRPr="00B61B9D" w:rsidRDefault="00D25F84" w:rsidP="001B7665">
      <w:pPr>
        <w:pStyle w:val="Heading6"/>
      </w:pPr>
      <w:r w:rsidRPr="00B61B9D">
        <w:t>Hyperphosphatemia</w:t>
      </w:r>
    </w:p>
    <w:p w14:paraId="7FF767FB" w14:textId="1CC07CDC" w:rsidR="00D25F84" w:rsidRPr="00B61B9D" w:rsidRDefault="00D25F84" w:rsidP="001B7665">
      <w:r w:rsidRPr="00B61B9D">
        <w:t>Hyperphosphatemia was reported in total in 12</w:t>
      </w:r>
      <w:r w:rsidR="005B68B0" w:rsidRPr="00B61B9D">
        <w:t xml:space="preserve"> of </w:t>
      </w:r>
      <w:r w:rsidRPr="00B61B9D">
        <w:t xml:space="preserve">137 (8.7%) of the subjects of which four were reported newly occurring or worsening abnormalities </w:t>
      </w:r>
      <w:r w:rsidR="00111716" w:rsidRPr="00B61B9D">
        <w:t>Grade</w:t>
      </w:r>
      <w:r w:rsidRPr="00B61B9D">
        <w:t xml:space="preserve"> 3. Only one of these four subjects presented repeated </w:t>
      </w:r>
      <w:r w:rsidR="00111716" w:rsidRPr="00B61B9D">
        <w:t>Grade</w:t>
      </w:r>
      <w:r w:rsidRPr="00B61B9D">
        <w:t xml:space="preserve"> 3 values without any increase at </w:t>
      </w:r>
      <w:r w:rsidR="00111716" w:rsidRPr="00B61B9D">
        <w:t>Baseline</w:t>
      </w:r>
      <w:r w:rsidRPr="00B61B9D">
        <w:t xml:space="preserve">. The remaining subjects had occasional </w:t>
      </w:r>
      <w:r w:rsidR="00111716" w:rsidRPr="00B61B9D">
        <w:t>Grade</w:t>
      </w:r>
      <w:r w:rsidRPr="00B61B9D">
        <w:t xml:space="preserve"> 3 values or an increased level at </w:t>
      </w:r>
      <w:r w:rsidR="00111716" w:rsidRPr="00B61B9D">
        <w:t>Baseline</w:t>
      </w:r>
      <w:r w:rsidRPr="00B61B9D">
        <w:t>. No AE was reported in association with the increased values.</w:t>
      </w:r>
    </w:p>
    <w:p w14:paraId="577A1BDF" w14:textId="4593355F" w:rsidR="00D25F84" w:rsidRPr="00B61B9D" w:rsidRDefault="00D25F84" w:rsidP="001B7665">
      <w:pPr>
        <w:pStyle w:val="Heading6"/>
      </w:pPr>
      <w:r w:rsidRPr="00B61B9D">
        <w:t>Activated partial prothrombin time</w:t>
      </w:r>
    </w:p>
    <w:p w14:paraId="028C0F0F" w14:textId="6E7388D3" w:rsidR="00D25F84" w:rsidRPr="00B61B9D" w:rsidRDefault="00D25F84" w:rsidP="001B7665">
      <w:r w:rsidRPr="00B61B9D">
        <w:t>Prolonged activated partial prothrombin time was reported in total in 35</w:t>
      </w:r>
      <w:r w:rsidR="005B68B0" w:rsidRPr="00B61B9D">
        <w:t xml:space="preserve"> of </w:t>
      </w:r>
      <w:r w:rsidRPr="00B61B9D">
        <w:t xml:space="preserve">137 (25%) of which one reported a newly occurring or worsening abnormalities </w:t>
      </w:r>
      <w:r w:rsidR="00111716" w:rsidRPr="00B61B9D">
        <w:t>Grade</w:t>
      </w:r>
      <w:r w:rsidRPr="00B61B9D">
        <w:t xml:space="preserve"> 3 (without any </w:t>
      </w:r>
      <w:r w:rsidR="004466E5">
        <w:t xml:space="preserve">associated </w:t>
      </w:r>
      <w:r w:rsidRPr="00B61B9D">
        <w:t>AE</w:t>
      </w:r>
      <w:r w:rsidR="004466E5">
        <w:t>s</w:t>
      </w:r>
      <w:r w:rsidRPr="00B61B9D">
        <w:t>).</w:t>
      </w:r>
    </w:p>
    <w:p w14:paraId="522A6C25" w14:textId="3CF5760E" w:rsidR="00D25F84" w:rsidRPr="00B61B9D" w:rsidRDefault="00D25F84" w:rsidP="001B7665">
      <w:pPr>
        <w:pStyle w:val="Heading6"/>
      </w:pPr>
      <w:r w:rsidRPr="00B61B9D">
        <w:t>Creatine kinase increase</w:t>
      </w:r>
    </w:p>
    <w:p w14:paraId="40839C0A" w14:textId="74FC554E" w:rsidR="00D25F84" w:rsidRPr="00B61B9D" w:rsidRDefault="00D25F84" w:rsidP="00111716">
      <w:r w:rsidRPr="00B61B9D">
        <w:t xml:space="preserve">In </w:t>
      </w:r>
      <w:r w:rsidR="00242DBE" w:rsidRPr="00B61B9D">
        <w:t xml:space="preserve">Study </w:t>
      </w:r>
      <w:r w:rsidRPr="00B61B9D">
        <w:t xml:space="preserve">C2301, increased </w:t>
      </w:r>
      <w:r w:rsidR="00877939" w:rsidRPr="00B61B9D">
        <w:t>creatine phosphokinase (</w:t>
      </w:r>
      <w:r w:rsidRPr="00B61B9D">
        <w:t>CPK</w:t>
      </w:r>
      <w:r w:rsidR="00877939" w:rsidRPr="00B61B9D">
        <w:t>)</w:t>
      </w:r>
      <w:r w:rsidRPr="00B61B9D">
        <w:t xml:space="preserve"> was reported in total in 32</w:t>
      </w:r>
      <w:r w:rsidR="005B68B0" w:rsidRPr="00B61B9D">
        <w:t xml:space="preserve"> of </w:t>
      </w:r>
      <w:r w:rsidRPr="00B61B9D">
        <w:t xml:space="preserve">137 (23%) of subjects of which one reported newly occurring or worsening abnormalities </w:t>
      </w:r>
      <w:r w:rsidR="00111716" w:rsidRPr="00B61B9D">
        <w:t>Grade</w:t>
      </w:r>
      <w:r w:rsidRPr="00B61B9D">
        <w:t xml:space="preserve"> 3 (a single value) and one </w:t>
      </w:r>
      <w:r w:rsidR="00111716" w:rsidRPr="00B61B9D">
        <w:t>Grade</w:t>
      </w:r>
      <w:r w:rsidRPr="00B61B9D">
        <w:t xml:space="preserve"> 4 (increased also at </w:t>
      </w:r>
      <w:r w:rsidR="00111716" w:rsidRPr="00B61B9D">
        <w:t>Baseline</w:t>
      </w:r>
      <w:r w:rsidRPr="00B61B9D">
        <w:t xml:space="preserve">). In total, seven cases with (non-serious) AEs of </w:t>
      </w:r>
      <w:r w:rsidR="00D56EB9" w:rsidRPr="00B61B9D">
        <w:t>‘</w:t>
      </w:r>
      <w:r w:rsidRPr="00B61B9D">
        <w:t>increased CPK</w:t>
      </w:r>
      <w:r w:rsidR="00D56EB9" w:rsidRPr="00B61B9D">
        <w:t>’</w:t>
      </w:r>
      <w:r w:rsidRPr="00B61B9D">
        <w:t xml:space="preserve"> was reported in </w:t>
      </w:r>
      <w:r w:rsidR="00242DBE" w:rsidRPr="00B61B9D">
        <w:t xml:space="preserve">Studies </w:t>
      </w:r>
      <w:r w:rsidRPr="00B61B9D">
        <w:t xml:space="preserve">C2301 and C2201. The </w:t>
      </w:r>
      <w:r w:rsidR="00E81990" w:rsidRPr="00B61B9D">
        <w:lastRenderedPageBreak/>
        <w:t>sponsor</w:t>
      </w:r>
      <w:r w:rsidRPr="00B61B9D">
        <w:t xml:space="preserve"> states that no clear evidence of a causal relationship between osilodrostat (4</w:t>
      </w:r>
      <w:r w:rsidR="004466E5">
        <w:t> </w:t>
      </w:r>
      <w:r w:rsidR="005B68B0" w:rsidRPr="00B61B9D">
        <w:t>of</w:t>
      </w:r>
      <w:r w:rsidR="004466E5">
        <w:t> </w:t>
      </w:r>
      <w:r w:rsidRPr="00B61B9D">
        <w:t>7</w:t>
      </w:r>
      <w:r w:rsidR="004466E5">
        <w:t> </w:t>
      </w:r>
      <w:r w:rsidRPr="00B61B9D">
        <w:t>subjects with AEs had confounding factors) and increase in CPK.</w:t>
      </w:r>
    </w:p>
    <w:p w14:paraId="1405F8E3" w14:textId="1961611D" w:rsidR="00D25F84" w:rsidRPr="00B61B9D" w:rsidRDefault="00D25F84" w:rsidP="001B7665">
      <w:pPr>
        <w:pStyle w:val="Heading6"/>
      </w:pPr>
      <w:r w:rsidRPr="00B61B9D">
        <w:t xml:space="preserve">Hyperglycaemia and </w:t>
      </w:r>
      <w:r w:rsidR="00C411F5" w:rsidRPr="00B61B9D">
        <w:t>haemoglobin A1c</w:t>
      </w:r>
    </w:p>
    <w:p w14:paraId="4429DA5B" w14:textId="3BB7FA64" w:rsidR="00D25F84" w:rsidRPr="00B61B9D" w:rsidRDefault="00D25F84" w:rsidP="001B7665">
      <w:r w:rsidRPr="00B61B9D">
        <w:t xml:space="preserve">Impaired glucose intolerance is a known co-morbidity for Cushing </w:t>
      </w:r>
      <w:r w:rsidR="00167075" w:rsidRPr="00B61B9D">
        <w:t>disease</w:t>
      </w:r>
      <w:r w:rsidRPr="00B61B9D">
        <w:t xml:space="preserve"> and at </w:t>
      </w:r>
      <w:r w:rsidR="00111716" w:rsidRPr="00B61B9D">
        <w:t>Baseline</w:t>
      </w:r>
      <w:r w:rsidRPr="00B61B9D">
        <w:t xml:space="preserve"> 22% (30</w:t>
      </w:r>
      <w:r w:rsidR="005B68B0" w:rsidRPr="00B61B9D">
        <w:t xml:space="preserve"> of </w:t>
      </w:r>
      <w:r w:rsidRPr="00B61B9D">
        <w:t xml:space="preserve">137) of the subjects in </w:t>
      </w:r>
      <w:r w:rsidR="00242DBE" w:rsidRPr="00B61B9D">
        <w:t xml:space="preserve">Study </w:t>
      </w:r>
      <w:r w:rsidRPr="00B61B9D">
        <w:t xml:space="preserve">C2301, presented with a medical history related to increased </w:t>
      </w:r>
      <w:r w:rsidR="00C411F5" w:rsidRPr="00B61B9D">
        <w:t>fasting blood glucose</w:t>
      </w:r>
      <w:r w:rsidRPr="00B61B9D">
        <w:t xml:space="preserve">. In total 26 subjects (19%) of the 137 included subjects reported a newly or worsening increase in </w:t>
      </w:r>
      <w:r w:rsidR="00C411F5" w:rsidRPr="00B61B9D">
        <w:t>fasting blood glucose</w:t>
      </w:r>
      <w:r w:rsidRPr="00B61B9D">
        <w:t xml:space="preserve"> compared to </w:t>
      </w:r>
      <w:r w:rsidR="00111716" w:rsidRPr="00B61B9D">
        <w:t>Baseline</w:t>
      </w:r>
      <w:r w:rsidRPr="00B61B9D">
        <w:t xml:space="preserve"> and of these 22 were confounded by disease with a medical history of for example diabetes mellitus, hyperglycaemia, or diabetes insipidus. The four remaining cases (classified as mild in severity) had a </w:t>
      </w:r>
      <w:r w:rsidR="00C411F5" w:rsidRPr="00B61B9D">
        <w:t>body mass index</w:t>
      </w:r>
      <w:r w:rsidRPr="00B61B9D">
        <w:t xml:space="preserve"> &gt;</w:t>
      </w:r>
      <w:r w:rsidR="005B68B0" w:rsidRPr="00B61B9D">
        <w:t> </w:t>
      </w:r>
      <w:r w:rsidRPr="00B61B9D">
        <w:t>25 &lt;</w:t>
      </w:r>
      <w:r w:rsidR="005B68B0" w:rsidRPr="00B61B9D">
        <w:t> </w:t>
      </w:r>
      <w:r w:rsidRPr="00B61B9D">
        <w:t>30 kg/m</w:t>
      </w:r>
      <w:r w:rsidRPr="00B61B9D">
        <w:rPr>
          <w:vertAlign w:val="superscript"/>
        </w:rPr>
        <w:t>2</w:t>
      </w:r>
      <w:r w:rsidRPr="00B61B9D">
        <w:t>.increased fasting glucose was reported in 21</w:t>
      </w:r>
      <w:r w:rsidR="005B68B0" w:rsidRPr="00B61B9D">
        <w:t xml:space="preserve"> of </w:t>
      </w:r>
      <w:r w:rsidRPr="00B61B9D">
        <w:t xml:space="preserve">137 (23%) of subjects of which one was reported as newly occurring or worsening abnormalities </w:t>
      </w:r>
      <w:r w:rsidR="00111716" w:rsidRPr="00B61B9D">
        <w:t>Grade</w:t>
      </w:r>
      <w:r w:rsidRPr="00B61B9D">
        <w:t xml:space="preserve"> 3.</w:t>
      </w:r>
    </w:p>
    <w:p w14:paraId="14AAB040" w14:textId="2D5A1375" w:rsidR="00D25F84" w:rsidRPr="00B61B9D" w:rsidRDefault="00D25F84" w:rsidP="001B7665">
      <w:r w:rsidRPr="00B61B9D">
        <w:t xml:space="preserve">It is noted that a shift to a worsening in </w:t>
      </w:r>
      <w:r w:rsidR="00C411F5" w:rsidRPr="00B61B9D">
        <w:t>haemoglobin A1c (</w:t>
      </w:r>
      <w:r w:rsidRPr="00B61B9D">
        <w:t>HbA1c</w:t>
      </w:r>
      <w:r w:rsidR="00C411F5" w:rsidRPr="00B61B9D">
        <w:t>)</w:t>
      </w:r>
      <w:r w:rsidR="00D8071C" w:rsidRPr="00B61B9D">
        <w:rPr>
          <w:rStyle w:val="FootnoteReference"/>
        </w:rPr>
        <w:footnoteReference w:id="22"/>
      </w:r>
      <w:r w:rsidRPr="00B61B9D">
        <w:t xml:space="preserve"> (divided by HbA1c groups) from </w:t>
      </w:r>
      <w:r w:rsidR="00111716" w:rsidRPr="00B61B9D">
        <w:t>Baseline</w:t>
      </w:r>
      <w:r w:rsidRPr="00B61B9D">
        <w:t xml:space="preserve"> to last post-baseline value during the first 26 weeks was reported in 9</w:t>
      </w:r>
      <w:r w:rsidR="005B68B0" w:rsidRPr="00B61B9D">
        <w:t xml:space="preserve"> of </w:t>
      </w:r>
      <w:r w:rsidRPr="00B61B9D">
        <w:t>137 subjects (6.5%). An HbA1c improvement on the other hand was reported in 36</w:t>
      </w:r>
      <w:r w:rsidR="005B68B0" w:rsidRPr="00B61B9D">
        <w:t xml:space="preserve"> of </w:t>
      </w:r>
      <w:r w:rsidRPr="00B61B9D">
        <w:t>137 (26%) of the subjects.</w:t>
      </w:r>
    </w:p>
    <w:p w14:paraId="73383CE5" w14:textId="6ABE5F1D" w:rsidR="00D25F84" w:rsidRPr="00B61B9D" w:rsidRDefault="00D25F84" w:rsidP="001B7665">
      <w:pPr>
        <w:pStyle w:val="Heading6"/>
      </w:pPr>
      <w:r w:rsidRPr="00B61B9D">
        <w:t>Uric acid</w:t>
      </w:r>
    </w:p>
    <w:p w14:paraId="4F851F7E" w14:textId="04AFEF50" w:rsidR="00D25F84" w:rsidRPr="00B61B9D" w:rsidRDefault="00D25F84" w:rsidP="001B7665">
      <w:r w:rsidRPr="00B61B9D">
        <w:t xml:space="preserve">In </w:t>
      </w:r>
      <w:r w:rsidR="00242DBE" w:rsidRPr="00B61B9D">
        <w:t xml:space="preserve">Study </w:t>
      </w:r>
      <w:r w:rsidRPr="00B61B9D">
        <w:t xml:space="preserve">C2301 increase in uric acid from </w:t>
      </w:r>
      <w:r w:rsidR="00111716" w:rsidRPr="00B61B9D">
        <w:t>Baseline</w:t>
      </w:r>
      <w:r w:rsidRPr="00B61B9D">
        <w:t xml:space="preserve"> was noted in 20% (n</w:t>
      </w:r>
      <w:r w:rsidR="00111502" w:rsidRPr="00B61B9D">
        <w:t xml:space="preserve"> </w:t>
      </w:r>
      <w:r w:rsidRPr="00B61B9D">
        <w:t>=</w:t>
      </w:r>
      <w:r w:rsidR="00111502" w:rsidRPr="00B61B9D">
        <w:t xml:space="preserve"> </w:t>
      </w:r>
      <w:r w:rsidRPr="00B61B9D">
        <w:t>28) of the subjects of which 13</w:t>
      </w:r>
      <w:r w:rsidR="005B68B0" w:rsidRPr="00B61B9D">
        <w:t xml:space="preserve"> of </w:t>
      </w:r>
      <w:r w:rsidRPr="00B61B9D">
        <w:t xml:space="preserve">137 (9.5%) reported newly occurring or worsening abnormalities </w:t>
      </w:r>
      <w:r w:rsidR="00111716" w:rsidRPr="00B61B9D">
        <w:t>Grade</w:t>
      </w:r>
      <w:r w:rsidRPr="00B61B9D">
        <w:t xml:space="preserve"> 4. The increase included 5 related AEs. No AEs of gout was reported. Confounding factors was present in 12 of the 13 subjects with a </w:t>
      </w:r>
      <w:r w:rsidR="00111716" w:rsidRPr="00B61B9D">
        <w:t>Grade</w:t>
      </w:r>
      <w:r w:rsidRPr="00B61B9D">
        <w:t xml:space="preserve"> 4 uric acid increase. The </w:t>
      </w:r>
      <w:r w:rsidR="00E81990" w:rsidRPr="00B61B9D">
        <w:t>sponsor</w:t>
      </w:r>
      <w:r w:rsidRPr="00B61B9D">
        <w:t xml:space="preserve"> claim that that there was no dose relationship between use of osilodrostat and the increase of uric acid and that the cases appeared without any pattern after initiation of osilodrostat. It is not possible to determine if the increase in uric acid in is related to the underlying disease or a consequence related to initiation of treatment with osilodrostat. Most of the cases with potential clinically significant increases had confounding factors.</w:t>
      </w:r>
    </w:p>
    <w:p w14:paraId="4115F9D1" w14:textId="44D8177D" w:rsidR="00D25F84" w:rsidRPr="00B61B9D" w:rsidRDefault="00D25F84" w:rsidP="001B7665">
      <w:pPr>
        <w:pStyle w:val="Heading6"/>
      </w:pPr>
      <w:r w:rsidRPr="00B61B9D">
        <w:t xml:space="preserve">Liver </w:t>
      </w:r>
      <w:r w:rsidR="00425477" w:rsidRPr="00B61B9D">
        <w:t>chemistry</w:t>
      </w:r>
    </w:p>
    <w:p w14:paraId="031DA6FD" w14:textId="0F617EBC" w:rsidR="00D25F84" w:rsidRPr="00B61B9D" w:rsidRDefault="00D25F84" w:rsidP="001B7665">
      <w:r w:rsidRPr="00B61B9D">
        <w:t>In the pivotal study the overall number of patients with elevations of liver chemistry tests (</w:t>
      </w:r>
      <w:r w:rsidR="00111716" w:rsidRPr="00B61B9D">
        <w:t>that is,</w:t>
      </w:r>
      <w:r w:rsidRPr="00B61B9D">
        <w:t xml:space="preserve"> </w:t>
      </w:r>
      <w:r w:rsidR="00D8071C" w:rsidRPr="00B61B9D">
        <w:t>alanine aminotransferase (</w:t>
      </w:r>
      <w:r w:rsidRPr="00B61B9D">
        <w:t>ALT</w:t>
      </w:r>
      <w:r w:rsidR="00D8071C" w:rsidRPr="00B61B9D">
        <w:t>)</w:t>
      </w:r>
      <w:r w:rsidRPr="00B61B9D">
        <w:t xml:space="preserve"> or </w:t>
      </w:r>
      <w:r w:rsidR="00D8071C" w:rsidRPr="00B61B9D">
        <w:t>aspartate aminotransferase (</w:t>
      </w:r>
      <w:r w:rsidRPr="00B61B9D">
        <w:t>AST</w:t>
      </w:r>
      <w:r w:rsidR="00D8071C" w:rsidRPr="00B61B9D">
        <w:t>)</w:t>
      </w:r>
      <w:r w:rsidRPr="00B61B9D">
        <w:t xml:space="preserve"> &gt; ULN but </w:t>
      </w:r>
      <w:r w:rsidR="00111716" w:rsidRPr="00B61B9D">
        <w:t>≤</w:t>
      </w:r>
      <w:r w:rsidR="004466E5">
        <w:t> </w:t>
      </w:r>
      <w:r w:rsidRPr="00B61B9D">
        <w:t>3.0</w:t>
      </w:r>
      <w:r w:rsidR="00425477" w:rsidRPr="00B61B9D">
        <w:t xml:space="preserve"> </w:t>
      </w:r>
      <w:r w:rsidRPr="00B61B9D">
        <w:t>x</w:t>
      </w:r>
      <w:r w:rsidR="00425477" w:rsidRPr="00B61B9D">
        <w:t xml:space="preserve"> </w:t>
      </w:r>
      <w:r w:rsidRPr="00B61B9D">
        <w:t>ULN) during the up to data cut-off was 47</w:t>
      </w:r>
      <w:r w:rsidR="005B68B0" w:rsidRPr="00B61B9D">
        <w:t xml:space="preserve"> of </w:t>
      </w:r>
      <w:r w:rsidRPr="00B61B9D">
        <w:t>137 (34%). Most liver abnormal parameters occurred during the dose</w:t>
      </w:r>
      <w:r w:rsidR="0067375F" w:rsidRPr="00B61B9D">
        <w:t xml:space="preserve"> </w:t>
      </w:r>
      <w:r w:rsidRPr="00B61B9D">
        <w:t xml:space="preserve">titration period. The number of patients with ALT or AST &gt; ULN but </w:t>
      </w:r>
      <w:r w:rsidR="00111716" w:rsidRPr="00B61B9D">
        <w:t>≤</w:t>
      </w:r>
      <w:r w:rsidRPr="00B61B9D">
        <w:t xml:space="preserve"> 3.0</w:t>
      </w:r>
      <w:r w:rsidR="00425477" w:rsidRPr="00B61B9D">
        <w:t xml:space="preserve"> </w:t>
      </w:r>
      <w:r w:rsidRPr="00B61B9D">
        <w:t>x</w:t>
      </w:r>
      <w:r w:rsidR="00425477" w:rsidRPr="00B61B9D">
        <w:t xml:space="preserve"> </w:t>
      </w:r>
      <w:r w:rsidRPr="00B61B9D">
        <w:t>ULN during the first 26 weeks was 35</w:t>
      </w:r>
      <w:r w:rsidR="005B68B0" w:rsidRPr="00B61B9D">
        <w:t xml:space="preserve"> of </w:t>
      </w:r>
      <w:r w:rsidRPr="00B61B9D">
        <w:t>137 (25.5%) and in 5</w:t>
      </w:r>
      <w:r w:rsidR="005B68B0" w:rsidRPr="00B61B9D">
        <w:t xml:space="preserve"> of </w:t>
      </w:r>
      <w:r w:rsidRPr="00B61B9D">
        <w:t xml:space="preserve">137 (13%) during the </w:t>
      </w:r>
      <w:r w:rsidR="007B7183" w:rsidRPr="00B61B9D">
        <w:t>randomisation withdrawal</w:t>
      </w:r>
      <w:r w:rsidRPr="00B61B9D">
        <w:t xml:space="preserve"> phase (all five in the osilodrostat treatment group). Five subjects had an increase in AST and/or ALT above 3</w:t>
      </w:r>
      <w:r w:rsidR="00425477" w:rsidRPr="00B61B9D">
        <w:t xml:space="preserve"> </w:t>
      </w:r>
      <w:r w:rsidRPr="00B61B9D">
        <w:t>x</w:t>
      </w:r>
      <w:r w:rsidR="00425477" w:rsidRPr="00B61B9D">
        <w:t xml:space="preserve"> </w:t>
      </w:r>
      <w:r w:rsidRPr="00B61B9D">
        <w:t>ULN. All these cases were confounded by disease or concomitant medication.</w:t>
      </w:r>
    </w:p>
    <w:p w14:paraId="239BE625" w14:textId="77777777" w:rsidR="00D25F84" w:rsidRPr="00B61B9D" w:rsidRDefault="00D25F84" w:rsidP="001B7665">
      <w:r w:rsidRPr="00B61B9D">
        <w:t>Overall, it is agreed that based on the data provided no clinically relevant relationship was observed between osilodrostat exposure and liver function test parameters.</w:t>
      </w:r>
    </w:p>
    <w:p w14:paraId="4EA49743" w14:textId="77777777" w:rsidR="00D25F84" w:rsidRPr="00B61B9D" w:rsidRDefault="00D25F84" w:rsidP="001B7665">
      <w:pPr>
        <w:pStyle w:val="Heading5"/>
      </w:pPr>
      <w:r w:rsidRPr="00B61B9D">
        <w:t>Safety in special populations</w:t>
      </w:r>
    </w:p>
    <w:p w14:paraId="1B4BB6A4" w14:textId="77777777" w:rsidR="00D25F84" w:rsidRPr="00B61B9D" w:rsidRDefault="00D25F84" w:rsidP="001B7665">
      <w:pPr>
        <w:pStyle w:val="Heading6"/>
      </w:pPr>
      <w:r w:rsidRPr="00B61B9D">
        <w:t>Subjects with hepatic impairment</w:t>
      </w:r>
    </w:p>
    <w:p w14:paraId="42AA6820" w14:textId="3C025623" w:rsidR="00D25F84" w:rsidRPr="00B61B9D" w:rsidRDefault="00D25F84" w:rsidP="001B7665">
      <w:r w:rsidRPr="00B61B9D">
        <w:t xml:space="preserve">A single 30 mg osilodrostat dose was generally safe and well-tolerated in subjects with hepatic impairment and comparable in terms of safety to other populations exposed to </w:t>
      </w:r>
      <w:r w:rsidRPr="00B61B9D">
        <w:lastRenderedPageBreak/>
        <w:t xml:space="preserve">osilodrostat </w:t>
      </w:r>
      <w:r w:rsidR="00D56EB9" w:rsidRPr="00B61B9D">
        <w:t>(</w:t>
      </w:r>
      <w:r w:rsidRPr="00B61B9D">
        <w:t>Study C2103</w:t>
      </w:r>
      <w:r w:rsidR="00D56EB9" w:rsidRPr="00B61B9D">
        <w:t>)</w:t>
      </w:r>
      <w:r w:rsidRPr="00B61B9D">
        <w:t xml:space="preserve">. AEs occurred in approximately 27.3% of all subjects and were mostly mild or moderate in severity. AEs were not grouped to a particular </w:t>
      </w:r>
      <w:r w:rsidR="00E81990" w:rsidRPr="00B61B9D">
        <w:t>PT</w:t>
      </w:r>
      <w:r w:rsidRPr="00B61B9D">
        <w:t xml:space="preserve"> with each </w:t>
      </w:r>
      <w:r w:rsidR="00425477" w:rsidRPr="00B61B9D">
        <w:t>PT</w:t>
      </w:r>
      <w:r w:rsidRPr="00B61B9D">
        <w:t xml:space="preserve"> being reported in one subject only.</w:t>
      </w:r>
    </w:p>
    <w:p w14:paraId="1E697675" w14:textId="1530373B" w:rsidR="00D25F84" w:rsidRPr="00B61B9D" w:rsidRDefault="00D25F84" w:rsidP="001B7665">
      <w:r w:rsidRPr="00B61B9D">
        <w:t xml:space="preserve">There were no significant changes in mean values of haematocrits, haemoglobin, platelet count, red blood cell and haematological parameters from Baseline until end of study. All </w:t>
      </w:r>
      <w:r w:rsidR="00425477" w:rsidRPr="00B61B9D">
        <w:t>electrocardiogram</w:t>
      </w:r>
      <w:r w:rsidRPr="00B61B9D">
        <w:t xml:space="preserve"> findings were reported as not clinically relevant.</w:t>
      </w:r>
    </w:p>
    <w:p w14:paraId="4EF23062" w14:textId="77777777" w:rsidR="00D25F84" w:rsidRPr="00B61B9D" w:rsidRDefault="00D25F84" w:rsidP="001B7665">
      <w:pPr>
        <w:pStyle w:val="Heading6"/>
      </w:pPr>
      <w:r w:rsidRPr="00B61B9D">
        <w:t>Subjects with renal impairment</w:t>
      </w:r>
    </w:p>
    <w:p w14:paraId="3C36FD30" w14:textId="176E07BB" w:rsidR="00D25F84" w:rsidRPr="00B61B9D" w:rsidRDefault="00D25F84" w:rsidP="001B7665">
      <w:r w:rsidRPr="00B61B9D">
        <w:t>A single 30 mg osilodrostat dose was generally safe and well</w:t>
      </w:r>
      <w:r w:rsidR="00425477" w:rsidRPr="00B61B9D">
        <w:t xml:space="preserve"> </w:t>
      </w:r>
      <w:r w:rsidRPr="00B61B9D">
        <w:t xml:space="preserve">tolerated in subjects with renal impairment and comparable in terms of safety to other populations exposed to osilodrostat </w:t>
      </w:r>
      <w:r w:rsidR="00D56EB9" w:rsidRPr="00B61B9D">
        <w:t>(</w:t>
      </w:r>
      <w:r w:rsidRPr="00B61B9D">
        <w:t>Study C2104</w:t>
      </w:r>
      <w:r w:rsidR="00D56EB9" w:rsidRPr="00B61B9D">
        <w:t>)</w:t>
      </w:r>
      <w:r w:rsidRPr="00B61B9D">
        <w:t xml:space="preserve">. AEs occurred in approximately 26.7% of all subjects and were mild in severity (all AEs were reported as </w:t>
      </w:r>
      <w:r w:rsidR="00111716" w:rsidRPr="00B61B9D">
        <w:t>Grade</w:t>
      </w:r>
      <w:r w:rsidRPr="00B61B9D">
        <w:t xml:space="preserve"> 1). No SAEs and no deaths were reported. Except for blood creatinine increased AE which was reported in two subjects each </w:t>
      </w:r>
      <w:r w:rsidR="00E81990" w:rsidRPr="00B61B9D">
        <w:t>P</w:t>
      </w:r>
      <w:r w:rsidR="00425477" w:rsidRPr="00B61B9D">
        <w:t>T</w:t>
      </w:r>
      <w:r w:rsidRPr="00B61B9D">
        <w:t xml:space="preserve"> was reported in one subject only. No clinically meaningful changes in hematology, clinical chemistry, vital signs, and </w:t>
      </w:r>
      <w:r w:rsidR="00425477" w:rsidRPr="00B61B9D">
        <w:t>electrocardiogram</w:t>
      </w:r>
      <w:r w:rsidRPr="00B61B9D">
        <w:t xml:space="preserve"> from </w:t>
      </w:r>
      <w:r w:rsidR="00111716" w:rsidRPr="00B61B9D">
        <w:t>Baseline</w:t>
      </w:r>
      <w:r w:rsidRPr="00B61B9D">
        <w:t xml:space="preserve"> were noted in any subjects.</w:t>
      </w:r>
    </w:p>
    <w:p w14:paraId="249BEF42" w14:textId="77777777" w:rsidR="00D25F84" w:rsidRPr="00B61B9D" w:rsidRDefault="00D25F84" w:rsidP="001B7665">
      <w:pPr>
        <w:pStyle w:val="Heading5"/>
      </w:pPr>
      <w:r w:rsidRPr="00B61B9D">
        <w:t>Safety related to drug-drug interactions and other interactions</w:t>
      </w:r>
    </w:p>
    <w:p w14:paraId="0D368222" w14:textId="77777777" w:rsidR="00D25F84" w:rsidRPr="00B61B9D" w:rsidRDefault="00D25F84" w:rsidP="001B7665">
      <w:pPr>
        <w:pStyle w:val="Heading6"/>
      </w:pPr>
      <w:r w:rsidRPr="00B61B9D">
        <w:t>Oral contraceptives</w:t>
      </w:r>
    </w:p>
    <w:p w14:paraId="7F2B0CF1" w14:textId="4496C4FC" w:rsidR="00D25F84" w:rsidRPr="00B61B9D" w:rsidRDefault="00D25F84" w:rsidP="001B7665">
      <w:r w:rsidRPr="00B61B9D">
        <w:t xml:space="preserve">No clinically significant drug-drug interaction was observed when oral contraceptives (containing </w:t>
      </w:r>
      <w:r w:rsidR="00D872F7" w:rsidRPr="00B61B9D">
        <w:t xml:space="preserve">ethinyl estradiol </w:t>
      </w:r>
      <w:r w:rsidRPr="00B61B9D">
        <w:t xml:space="preserve">and </w:t>
      </w:r>
      <w:r w:rsidR="00D872F7" w:rsidRPr="00B61B9D">
        <w:t>levonorgestrel</w:t>
      </w:r>
      <w:r w:rsidRPr="00B61B9D">
        <w:t>) was co-administered with osilodrostat (40</w:t>
      </w:r>
      <w:r w:rsidR="00D872F7" w:rsidRPr="00B61B9D">
        <w:t> </w:t>
      </w:r>
      <w:r w:rsidRPr="00B61B9D">
        <w:t>mg for 12 days) in 24 healthy female subjects receiving cortisol replacement therapy (</w:t>
      </w:r>
      <w:r w:rsidR="00242DBE" w:rsidRPr="00B61B9D">
        <w:t xml:space="preserve">Study </w:t>
      </w:r>
      <w:r w:rsidRPr="00B61B9D">
        <w:t xml:space="preserve">C2108), suggesting that </w:t>
      </w:r>
      <w:r w:rsidR="00D872F7" w:rsidRPr="00B61B9D">
        <w:t xml:space="preserve">oral contraceptives </w:t>
      </w:r>
      <w:r w:rsidRPr="00B61B9D">
        <w:t>can be co-administered with osilodrostat and provide adequate contraception.</w:t>
      </w:r>
    </w:p>
    <w:p w14:paraId="319C7B67" w14:textId="35629872" w:rsidR="00D25F84" w:rsidRPr="00B61B9D" w:rsidRDefault="00A07235" w:rsidP="001B7665">
      <w:pPr>
        <w:pStyle w:val="Heading6"/>
      </w:pPr>
      <w:r w:rsidRPr="00B61B9D">
        <w:t>Cytochrome P450</w:t>
      </w:r>
      <w:r w:rsidR="00D25F84" w:rsidRPr="00B61B9D">
        <w:t xml:space="preserve"> enzymes</w:t>
      </w:r>
    </w:p>
    <w:p w14:paraId="5B36F003" w14:textId="115A80ED" w:rsidR="00D25F84" w:rsidRPr="00B61B9D" w:rsidRDefault="00D25F84" w:rsidP="001B7665">
      <w:r w:rsidRPr="00B61B9D">
        <w:t>Osilodrostat is a moderate inhibitor of CYP1A2, a weak to moderate inhibitor of CYP2C19, and a weak inhibitor of CYP2D6 and CYP3A4/5 at a single dose of 50 mg.</w:t>
      </w:r>
      <w:r w:rsidR="006F4885">
        <w:t xml:space="preserve"> </w:t>
      </w:r>
      <w:r w:rsidRPr="00B61B9D">
        <w:t>Co</w:t>
      </w:r>
      <w:r w:rsidR="000E5158" w:rsidRPr="00B61B9D">
        <w:noBreakHyphen/>
      </w:r>
      <w:r w:rsidRPr="00B61B9D">
        <w:t>administration of osilodrostat was studied (Study C2102) and resulted in:</w:t>
      </w:r>
    </w:p>
    <w:p w14:paraId="65A29BDF" w14:textId="7E1CC811" w:rsidR="00D25F84" w:rsidRPr="00B61B9D" w:rsidRDefault="00D25F84" w:rsidP="001B7665">
      <w:pPr>
        <w:pStyle w:val="ListBullet"/>
      </w:pPr>
      <w:r w:rsidRPr="00B61B9D">
        <w:t>a 2.54-fold increase in exposure of caffeine (a CYP1A2 substrate); there was no change in the rate of absorption of caffeine</w:t>
      </w:r>
      <w:r w:rsidR="000E5158" w:rsidRPr="00B61B9D">
        <w:t>,</w:t>
      </w:r>
    </w:p>
    <w:p w14:paraId="2A42B2B9" w14:textId="31343CEC" w:rsidR="00D25F84" w:rsidRPr="00B61B9D" w:rsidRDefault="00D25F84" w:rsidP="001B7665">
      <w:pPr>
        <w:pStyle w:val="ListBullet"/>
      </w:pPr>
      <w:r w:rsidRPr="00B61B9D">
        <w:t>a 1.86-fold increase in exposure of omeprazole (a CYP2C19 substrate)</w:t>
      </w:r>
      <w:r w:rsidR="000E5158" w:rsidRPr="00B61B9D">
        <w:t>,</w:t>
      </w:r>
    </w:p>
    <w:p w14:paraId="5BCF2E95" w14:textId="3DDEF497" w:rsidR="00D25F84" w:rsidRPr="00B61B9D" w:rsidRDefault="00D25F84" w:rsidP="001B7665">
      <w:pPr>
        <w:pStyle w:val="ListBullet"/>
      </w:pPr>
      <w:r w:rsidRPr="00B61B9D">
        <w:t>a 1.54-fold increase in exposure (</w:t>
      </w:r>
      <w:r w:rsidR="00D8071C" w:rsidRPr="00B61B9D">
        <w:t>area under the plasma concentration time curve from time zero to infinity</w:t>
      </w:r>
      <w:r w:rsidRPr="00B61B9D">
        <w:t>) of dextromethorphan (a CYP2D6 substrate)</w:t>
      </w:r>
      <w:r w:rsidR="000E5158" w:rsidRPr="00B61B9D">
        <w:t>,</w:t>
      </w:r>
    </w:p>
    <w:p w14:paraId="363AFFFE" w14:textId="173A5171" w:rsidR="00D25F84" w:rsidRPr="00B61B9D" w:rsidRDefault="00D25F84" w:rsidP="001B7665">
      <w:pPr>
        <w:pStyle w:val="ListBullet"/>
        <w:rPr>
          <w:b/>
          <w:bCs/>
        </w:rPr>
      </w:pPr>
      <w:r w:rsidRPr="00B61B9D">
        <w:t>a 1.50-fold increase in exposure of midazolam (a CYP3A4/5 substrate)</w:t>
      </w:r>
      <w:r w:rsidR="000E5158" w:rsidRPr="00B61B9D">
        <w:t>.</w:t>
      </w:r>
    </w:p>
    <w:p w14:paraId="107B8267" w14:textId="01D9C1F3" w:rsidR="00D25F84" w:rsidRPr="00B61B9D" w:rsidRDefault="00D25F84" w:rsidP="001B7665">
      <w:pPr>
        <w:pStyle w:val="Heading5"/>
      </w:pPr>
      <w:r w:rsidRPr="00B61B9D">
        <w:t xml:space="preserve">Discontinuation due to </w:t>
      </w:r>
      <w:r w:rsidR="000E5158" w:rsidRPr="00B61B9D">
        <w:t>adverse events</w:t>
      </w:r>
    </w:p>
    <w:p w14:paraId="6D4655B3" w14:textId="538F103C" w:rsidR="00D25F84" w:rsidRPr="00B61B9D" w:rsidRDefault="00D25F84" w:rsidP="001B7665">
      <w:r w:rsidRPr="00B61B9D">
        <w:t>Discontinuations of study drug due to AEs were reported in 18</w:t>
      </w:r>
      <w:r w:rsidR="005B68B0" w:rsidRPr="00B61B9D">
        <w:t xml:space="preserve"> of </w:t>
      </w:r>
      <w:r w:rsidRPr="00B61B9D">
        <w:t xml:space="preserve">137 (13%) in </w:t>
      </w:r>
      <w:r w:rsidR="00242DBE" w:rsidRPr="00B61B9D">
        <w:t>Study</w:t>
      </w:r>
      <w:r w:rsidR="000E5158" w:rsidRPr="00B61B9D">
        <w:t> </w:t>
      </w:r>
      <w:r w:rsidRPr="00B61B9D">
        <w:t>C2301 and 3</w:t>
      </w:r>
      <w:r w:rsidR="005B68B0" w:rsidRPr="00B61B9D">
        <w:t xml:space="preserve"> of </w:t>
      </w:r>
      <w:r w:rsidRPr="00B61B9D">
        <w:t xml:space="preserve">19 (16%) in </w:t>
      </w:r>
      <w:r w:rsidR="00242DBE" w:rsidRPr="00B61B9D">
        <w:t xml:space="preserve">Study </w:t>
      </w:r>
      <w:r w:rsidRPr="00B61B9D">
        <w:t xml:space="preserve">C2201 </w:t>
      </w:r>
      <w:r w:rsidR="00C46D71" w:rsidRPr="00B61B9D">
        <w:t>Part</w:t>
      </w:r>
      <w:r w:rsidRPr="00B61B9D">
        <w:t xml:space="preserve"> </w:t>
      </w:r>
      <w:r w:rsidR="00C46D71" w:rsidRPr="00B61B9D">
        <w:t>II</w:t>
      </w:r>
      <w:r w:rsidRPr="00B61B9D">
        <w:t xml:space="preserve">. As for </w:t>
      </w:r>
      <w:r w:rsidR="005F47D9" w:rsidRPr="00B61B9D">
        <w:t>AE</w:t>
      </w:r>
      <w:r w:rsidRPr="00B61B9D">
        <w:t>s leading to dose interruption or adjustment, the most common PT reported was adrenal insufficiency (n</w:t>
      </w:r>
      <w:r w:rsidR="000E5158" w:rsidRPr="00B61B9D">
        <w:t> </w:t>
      </w:r>
      <w:r w:rsidRPr="00B61B9D">
        <w:t>=</w:t>
      </w:r>
      <w:r w:rsidR="000E5158" w:rsidRPr="00B61B9D">
        <w:t> </w:t>
      </w:r>
      <w:r w:rsidRPr="00B61B9D">
        <w:t xml:space="preserve">4 in </w:t>
      </w:r>
      <w:r w:rsidR="00242DBE" w:rsidRPr="00B61B9D">
        <w:t xml:space="preserve">Study </w:t>
      </w:r>
      <w:r w:rsidRPr="00B61B9D">
        <w:t xml:space="preserve">C2301). Besides this PT and </w:t>
      </w:r>
      <w:r w:rsidR="000E5158" w:rsidRPr="00B61B9D">
        <w:t xml:space="preserve">pituitary tumour or pituitary tumour </w:t>
      </w:r>
      <w:r w:rsidRPr="00B61B9D">
        <w:t>benign, no PT was reported in more than one subject.</w:t>
      </w:r>
    </w:p>
    <w:p w14:paraId="3E529B47" w14:textId="3BCBB59E" w:rsidR="00D25F84" w:rsidRPr="00B61B9D" w:rsidRDefault="000E5158" w:rsidP="001B7665">
      <w:r w:rsidRPr="00B61B9D">
        <w:t>Three</w:t>
      </w:r>
      <w:r w:rsidR="00D25F84" w:rsidRPr="00B61B9D">
        <w:t xml:space="preserve"> additional discontinuations because of AEs were grouped in the </w:t>
      </w:r>
      <w:r w:rsidR="00D56EB9" w:rsidRPr="00B61B9D">
        <w:t>‘</w:t>
      </w:r>
      <w:r w:rsidRPr="00B61B9D">
        <w:t xml:space="preserve">patient withdrawals’ </w:t>
      </w:r>
      <w:r w:rsidR="00D25F84" w:rsidRPr="00B61B9D">
        <w:t xml:space="preserve">instead of in the </w:t>
      </w:r>
      <w:r w:rsidR="00D56EB9" w:rsidRPr="00B61B9D">
        <w:t>‘</w:t>
      </w:r>
      <w:r w:rsidR="002A2B81" w:rsidRPr="00B61B9D">
        <w:t xml:space="preserve">discontinuations for </w:t>
      </w:r>
      <w:r w:rsidR="00D25F84" w:rsidRPr="00B61B9D">
        <w:t>AEs</w:t>
      </w:r>
      <w:r w:rsidR="00D56EB9" w:rsidRPr="00B61B9D">
        <w:t>’</w:t>
      </w:r>
      <w:r w:rsidR="00D25F84" w:rsidRPr="00B61B9D">
        <w:t xml:space="preserve"> reasons. Additionally, in the safety update, with cut-off </w:t>
      </w:r>
      <w:r w:rsidR="00B90DF0" w:rsidRPr="00B61B9D">
        <w:t xml:space="preserve">date </w:t>
      </w:r>
      <w:r w:rsidR="00D25F84" w:rsidRPr="00B61B9D">
        <w:t xml:space="preserve">15 </w:t>
      </w:r>
      <w:r w:rsidR="005F47D9" w:rsidRPr="00B61B9D">
        <w:t xml:space="preserve">October </w:t>
      </w:r>
      <w:r w:rsidR="00D25F84" w:rsidRPr="00B61B9D">
        <w:t>2018, the number of patients with discontinuations due to AEs has increased from 18 to 24 patients, so in total there were 27.</w:t>
      </w:r>
    </w:p>
    <w:p w14:paraId="021BD853" w14:textId="77777777" w:rsidR="00D25F84" w:rsidRPr="00B61B9D" w:rsidRDefault="00D25F84" w:rsidP="001B7665">
      <w:pPr>
        <w:pStyle w:val="Heading5"/>
      </w:pPr>
      <w:r w:rsidRPr="00B61B9D">
        <w:t>Use in pregnancy</w:t>
      </w:r>
    </w:p>
    <w:p w14:paraId="0146A05A" w14:textId="795A968F" w:rsidR="00D25F84" w:rsidRPr="00B61B9D" w:rsidRDefault="00D25F84" w:rsidP="001B7665">
      <w:r w:rsidRPr="00B61B9D">
        <w:t>One patient had an unintended pregnancy AE on Day 326 in Study C2301. The patient requested and had an induced abortion for social reasons on Day 367 and no fetal abnormality was reported. Another patient in Study C2108 had a positive pregnancy test, although pregnancy was unconfirmed by ultrasound scan.</w:t>
      </w:r>
    </w:p>
    <w:p w14:paraId="0D825905" w14:textId="366F5F9C" w:rsidR="00D25F84" w:rsidRPr="00B61B9D" w:rsidRDefault="00D25F84" w:rsidP="001B7665">
      <w:r w:rsidRPr="00B61B9D">
        <w:lastRenderedPageBreak/>
        <w:t>Based on findings from animal studies and on its mechanism of action, osilodrostat could cause fetal harm when administered to a pregnant woman. Females of reproductive potential should use effective contraception during treatment with osilodrostat. Osilodrostat should only be used during pregnancy if the expected benefit to the mother outweighs the potential risk to the fetus.</w:t>
      </w:r>
    </w:p>
    <w:p w14:paraId="2163CB46" w14:textId="77777777" w:rsidR="008E7846" w:rsidRPr="00B61B9D" w:rsidRDefault="00386150" w:rsidP="007B6132">
      <w:pPr>
        <w:pStyle w:val="Heading3"/>
        <w:rPr>
          <w:lang w:eastAsia="en-AU"/>
        </w:rPr>
      </w:pPr>
      <w:bookmarkStart w:id="55" w:name="_Toc314842514"/>
      <w:bookmarkStart w:id="56" w:name="_Toc117259886"/>
      <w:r w:rsidRPr="00B61B9D">
        <w:rPr>
          <w:lang w:eastAsia="en-AU"/>
        </w:rPr>
        <w:t>Risk m</w:t>
      </w:r>
      <w:r w:rsidR="008E7846" w:rsidRPr="00B61B9D">
        <w:rPr>
          <w:lang w:eastAsia="en-AU"/>
        </w:rPr>
        <w:t xml:space="preserve">anagement </w:t>
      </w:r>
      <w:r w:rsidRPr="00B61B9D">
        <w:rPr>
          <w:lang w:eastAsia="en-AU"/>
        </w:rPr>
        <w:t>p</w:t>
      </w:r>
      <w:r w:rsidR="008E7846" w:rsidRPr="00B61B9D">
        <w:rPr>
          <w:lang w:eastAsia="en-AU"/>
        </w:rPr>
        <w:t>lan</w:t>
      </w:r>
      <w:bookmarkEnd w:id="55"/>
      <w:bookmarkEnd w:id="56"/>
    </w:p>
    <w:p w14:paraId="10252E64" w14:textId="2A47AD44" w:rsidR="00BE4090" w:rsidRPr="00B61B9D" w:rsidRDefault="00B43747" w:rsidP="00BE4090">
      <w:bookmarkStart w:id="57" w:name="_Toc247691531"/>
      <w:bookmarkStart w:id="58" w:name="_Toc314842515"/>
      <w:bookmarkStart w:id="59" w:name="_Toc196046505"/>
      <w:bookmarkStart w:id="60" w:name="_Toc196046949"/>
      <w:r w:rsidRPr="00B61B9D">
        <w:t>The sponsor</w:t>
      </w:r>
      <w:r w:rsidR="00BE4090" w:rsidRPr="00B61B9D">
        <w:t xml:space="preserve"> has submitted approved EU</w:t>
      </w:r>
      <w:r w:rsidR="00A07235" w:rsidRPr="00B61B9D">
        <w:t>-risk management plan (</w:t>
      </w:r>
      <w:r w:rsidR="00BE4090" w:rsidRPr="00B61B9D">
        <w:t>RMP</w:t>
      </w:r>
      <w:r w:rsidR="00A07235" w:rsidRPr="00B61B9D">
        <w:t>)</w:t>
      </w:r>
      <w:r w:rsidR="00BE4090" w:rsidRPr="00B61B9D">
        <w:t xml:space="preserve"> version 1.1 (15</w:t>
      </w:r>
      <w:r w:rsidR="00C479ED">
        <w:t> </w:t>
      </w:r>
      <w:r w:rsidR="00BE4090" w:rsidRPr="00B61B9D">
        <w:t>Nov</w:t>
      </w:r>
      <w:r w:rsidR="0033613D" w:rsidRPr="00B61B9D">
        <w:t>ember</w:t>
      </w:r>
      <w:r w:rsidR="00BE4090" w:rsidRPr="00B61B9D">
        <w:t xml:space="preserve"> 2019; </w:t>
      </w:r>
      <w:r w:rsidR="00A07235" w:rsidRPr="00B61B9D">
        <w:t>data lock point (</w:t>
      </w:r>
      <w:r w:rsidR="00BE4090" w:rsidRPr="00B61B9D">
        <w:t>DLP</w:t>
      </w:r>
      <w:r w:rsidR="00A07235" w:rsidRPr="00B61B9D">
        <w:t>)</w:t>
      </w:r>
      <w:r w:rsidR="00BE4090" w:rsidRPr="00B61B9D">
        <w:t xml:space="preserve"> 21 Feb</w:t>
      </w:r>
      <w:r w:rsidR="0033613D" w:rsidRPr="00B61B9D">
        <w:t>ruary</w:t>
      </w:r>
      <w:r w:rsidR="00BE4090" w:rsidRPr="00B61B9D">
        <w:t xml:space="preserve"> 2018) and </w:t>
      </w:r>
      <w:r w:rsidR="00A07235" w:rsidRPr="00B61B9D">
        <w:t>Australia specific annex (</w:t>
      </w:r>
      <w:r w:rsidR="00BE4090" w:rsidRPr="00B61B9D">
        <w:t>ASA</w:t>
      </w:r>
      <w:r w:rsidR="00A07235" w:rsidRPr="00B61B9D">
        <w:t>)</w:t>
      </w:r>
      <w:r w:rsidR="00BE4090" w:rsidRPr="00B61B9D">
        <w:t xml:space="preserve"> version 1.1 (16 August 2021) in support of this application. At </w:t>
      </w:r>
      <w:r w:rsidR="0033613D" w:rsidRPr="00B61B9D">
        <w:t xml:space="preserve">the second </w:t>
      </w:r>
      <w:r w:rsidR="00BE4090" w:rsidRPr="00B61B9D">
        <w:t xml:space="preserve">round </w:t>
      </w:r>
      <w:r w:rsidR="0033613D" w:rsidRPr="00B61B9D">
        <w:t xml:space="preserve">of evaluation, </w:t>
      </w:r>
      <w:r w:rsidR="00BE4090" w:rsidRPr="00B61B9D">
        <w:t>the sponsor submitted EU-RMP version 1.2 (25</w:t>
      </w:r>
      <w:r w:rsidR="0033613D" w:rsidRPr="00B61B9D">
        <w:t> </w:t>
      </w:r>
      <w:r w:rsidR="00BE4090" w:rsidRPr="00B61B9D">
        <w:t>November</w:t>
      </w:r>
      <w:r w:rsidR="0033613D" w:rsidRPr="00B61B9D">
        <w:t> </w:t>
      </w:r>
      <w:r w:rsidR="00BE4090" w:rsidRPr="00B61B9D">
        <w:t xml:space="preserve">2021; DLP 8 July 2021) and ASA version 1.2 (20 January 2022). At </w:t>
      </w:r>
      <w:r w:rsidR="0033613D" w:rsidRPr="00B61B9D">
        <w:t>the third round of evaluation,</w:t>
      </w:r>
      <w:r w:rsidR="00BE4090" w:rsidRPr="00B61B9D">
        <w:t xml:space="preserve"> the sponsor submitted ASA version 1.3 (9 March 2022).</w:t>
      </w:r>
    </w:p>
    <w:p w14:paraId="7D716846" w14:textId="0DB44068" w:rsidR="00BE4090" w:rsidRPr="00B61B9D" w:rsidRDefault="00BE4090" w:rsidP="00BE4090">
      <w:r w:rsidRPr="00B61B9D">
        <w:t xml:space="preserve">The current COR-B evaluation is supported by a complete set of unredacted </w:t>
      </w:r>
      <w:r w:rsidR="0033613D" w:rsidRPr="00B61B9D">
        <w:t xml:space="preserve">EMA </w:t>
      </w:r>
      <w:r w:rsidRPr="00B61B9D">
        <w:t>assessment reports, as a similar submission for the same indication was considered under the EU’s-</w:t>
      </w:r>
      <w:r w:rsidR="00C479ED">
        <w:t>C</w:t>
      </w:r>
      <w:r w:rsidRPr="00B61B9D">
        <w:t xml:space="preserve">entralised </w:t>
      </w:r>
      <w:r w:rsidR="00C479ED">
        <w:t>P</w:t>
      </w:r>
      <w:r w:rsidRPr="00B61B9D">
        <w:t>rocedure. The focus of the current assessment is ensuring the RMP</w:t>
      </w:r>
      <w:r w:rsidR="0033613D" w:rsidRPr="00B61B9D">
        <w:noBreakHyphen/>
      </w:r>
      <w:r w:rsidRPr="00B61B9D">
        <w:t xml:space="preserve">ASA is appropriate for the healthcare setting of use in Australia. At </w:t>
      </w:r>
      <w:r w:rsidR="0033613D" w:rsidRPr="00B61B9D">
        <w:t xml:space="preserve">the second </w:t>
      </w:r>
      <w:r w:rsidRPr="00B61B9D">
        <w:t>round</w:t>
      </w:r>
      <w:r w:rsidR="0033613D" w:rsidRPr="00B61B9D">
        <w:t xml:space="preserve"> of evaluation, </w:t>
      </w:r>
      <w:r w:rsidRPr="00B61B9D">
        <w:t xml:space="preserve">the sponsor also provided the final </w:t>
      </w:r>
      <w:r w:rsidR="00A07235" w:rsidRPr="00B61B9D">
        <w:t>Committee for Medicinal Products for Human Use (CHMP)</w:t>
      </w:r>
      <w:r w:rsidRPr="00B61B9D">
        <w:t xml:space="preserve"> assessment report.</w:t>
      </w:r>
    </w:p>
    <w:p w14:paraId="3F6AECA2" w14:textId="6418473D" w:rsidR="0074163C" w:rsidRPr="00B61B9D" w:rsidRDefault="0074163C" w:rsidP="0074163C">
      <w:r w:rsidRPr="00B61B9D">
        <w:t xml:space="preserve">The summary of safety concerns and their associated risk monitoring and mitigation strategies are summarised in </w:t>
      </w:r>
      <w:r w:rsidR="00BE4090" w:rsidRPr="00B61B9D">
        <w:fldChar w:fldCharType="begin"/>
      </w:r>
      <w:r w:rsidR="00BE4090" w:rsidRPr="00B61B9D">
        <w:instrText xml:space="preserve"> REF _Ref97629131 \h </w:instrText>
      </w:r>
      <w:r w:rsidR="001E6C75" w:rsidRPr="00B61B9D">
        <w:instrText xml:space="preserve"> \* MERGEFORMAT </w:instrText>
      </w:r>
      <w:r w:rsidR="00BE4090" w:rsidRPr="00B61B9D">
        <w:fldChar w:fldCharType="separate"/>
      </w:r>
      <w:r w:rsidR="009B4A87" w:rsidRPr="00F05753">
        <w:t xml:space="preserve">Table </w:t>
      </w:r>
      <w:r w:rsidR="009B4A87">
        <w:rPr>
          <w:noProof/>
        </w:rPr>
        <w:t>17</w:t>
      </w:r>
      <w:r w:rsidR="00BE4090" w:rsidRPr="00B61B9D">
        <w:fldChar w:fldCharType="end"/>
      </w:r>
      <w:r w:rsidRPr="00B61B9D">
        <w:t xml:space="preserve">. Further information regarding </w:t>
      </w:r>
      <w:r w:rsidR="00CC5044" w:rsidRPr="00B61B9D">
        <w:t>the TGA</w:t>
      </w:r>
      <w:r w:rsidR="00BF7063" w:rsidRPr="00B61B9D">
        <w:t>’</w:t>
      </w:r>
      <w:r w:rsidR="00CC5044" w:rsidRPr="00B61B9D">
        <w:t>s r</w:t>
      </w:r>
      <w:r w:rsidRPr="00B61B9D">
        <w:t xml:space="preserve">isk management approach can be found in </w:t>
      </w:r>
      <w:hyperlink r:id="rId35" w:history="1">
        <w:r w:rsidRPr="00B61B9D">
          <w:rPr>
            <w:rStyle w:val="Hyperlink"/>
          </w:rPr>
          <w:t>risk management plans for medicines and biologicals</w:t>
        </w:r>
      </w:hyperlink>
      <w:r w:rsidRPr="00B61B9D">
        <w:t xml:space="preserve"> and </w:t>
      </w:r>
      <w:hyperlink r:id="rId36" w:history="1">
        <w:r w:rsidRPr="00B61B9D">
          <w:rPr>
            <w:rStyle w:val="Hyperlink"/>
          </w:rPr>
          <w:t>the TGA's risk management approach</w:t>
        </w:r>
      </w:hyperlink>
      <w:r w:rsidRPr="00B61B9D">
        <w:t>.</w:t>
      </w:r>
    </w:p>
    <w:p w14:paraId="0404C817" w14:textId="6241773C" w:rsidR="0074163C" w:rsidRPr="00F05753" w:rsidRDefault="0074163C" w:rsidP="00F05753">
      <w:pPr>
        <w:pStyle w:val="TableTitle"/>
      </w:pPr>
      <w:bookmarkStart w:id="61" w:name="_Ref97629131"/>
      <w:r w:rsidRPr="00F05753">
        <w:t xml:space="preserve">Table </w:t>
      </w:r>
      <w:r w:rsidR="00A12D67">
        <w:fldChar w:fldCharType="begin"/>
      </w:r>
      <w:r w:rsidR="00A12D67">
        <w:instrText xml:space="preserve"> SEQ Table \* ARABIC </w:instrText>
      </w:r>
      <w:r w:rsidR="00A12D67">
        <w:fldChar w:fldCharType="separate"/>
      </w:r>
      <w:r w:rsidR="009B4A87">
        <w:rPr>
          <w:noProof/>
        </w:rPr>
        <w:t>17</w:t>
      </w:r>
      <w:r w:rsidR="00A12D67">
        <w:rPr>
          <w:noProof/>
        </w:rPr>
        <w:fldChar w:fldCharType="end"/>
      </w:r>
      <w:bookmarkEnd w:id="61"/>
      <w:r w:rsidRPr="00F05753">
        <w:t>: Summary of safety concerns</w:t>
      </w:r>
    </w:p>
    <w:tbl>
      <w:tblPr>
        <w:tblStyle w:val="TableTGAblue"/>
        <w:tblW w:w="8815" w:type="dxa"/>
        <w:tblLayout w:type="fixed"/>
        <w:tblLook w:val="04A0" w:firstRow="1" w:lastRow="0" w:firstColumn="1" w:lastColumn="0" w:noHBand="0" w:noVBand="1"/>
      </w:tblPr>
      <w:tblGrid>
        <w:gridCol w:w="1435"/>
        <w:gridCol w:w="3240"/>
        <w:gridCol w:w="900"/>
        <w:gridCol w:w="1170"/>
        <w:gridCol w:w="900"/>
        <w:gridCol w:w="1170"/>
      </w:tblGrid>
      <w:tr w:rsidR="00BE4090" w:rsidRPr="00B61B9D" w14:paraId="32FEFDC5" w14:textId="77777777" w:rsidTr="00F61150">
        <w:trPr>
          <w:cnfStyle w:val="100000000000" w:firstRow="1" w:lastRow="0" w:firstColumn="0" w:lastColumn="0" w:oddVBand="0" w:evenVBand="0" w:oddHBand="0" w:evenHBand="0" w:firstRowFirstColumn="0" w:firstRowLastColumn="0" w:lastRowFirstColumn="0" w:lastRowLastColumn="0"/>
          <w:trHeight w:val="131"/>
        </w:trPr>
        <w:tc>
          <w:tcPr>
            <w:tcW w:w="4675" w:type="dxa"/>
            <w:gridSpan w:val="2"/>
            <w:vMerge w:val="restart"/>
            <w:tcBorders>
              <w:top w:val="single" w:sz="4" w:space="0" w:color="auto"/>
              <w:left w:val="single" w:sz="4" w:space="0" w:color="auto"/>
              <w:bottom w:val="single" w:sz="4" w:space="0" w:color="auto"/>
              <w:right w:val="single" w:sz="4" w:space="0" w:color="auto"/>
            </w:tcBorders>
          </w:tcPr>
          <w:p w14:paraId="4300DA08" w14:textId="77777777" w:rsidR="00BE4090" w:rsidRPr="00B61B9D" w:rsidRDefault="00BE4090" w:rsidP="00F61150">
            <w:pPr>
              <w:pStyle w:val="Tabletext"/>
              <w:ind w:left="0" w:right="0"/>
            </w:pPr>
            <w:bookmarkStart w:id="62" w:name="_Hlk85794977"/>
            <w:r w:rsidRPr="00B61B9D">
              <w:t>Summary of safety concerns</w:t>
            </w:r>
          </w:p>
        </w:tc>
        <w:tc>
          <w:tcPr>
            <w:tcW w:w="2070" w:type="dxa"/>
            <w:gridSpan w:val="2"/>
            <w:tcBorders>
              <w:top w:val="single" w:sz="4" w:space="0" w:color="auto"/>
              <w:left w:val="single" w:sz="4" w:space="0" w:color="auto"/>
              <w:bottom w:val="single" w:sz="4" w:space="0" w:color="auto"/>
              <w:right w:val="single" w:sz="4" w:space="0" w:color="auto"/>
            </w:tcBorders>
          </w:tcPr>
          <w:p w14:paraId="12B93276" w14:textId="77777777" w:rsidR="00BE4090" w:rsidRPr="00B61B9D" w:rsidRDefault="00BE4090" w:rsidP="00F61150">
            <w:pPr>
              <w:pStyle w:val="Tabletext"/>
              <w:ind w:left="0" w:right="0"/>
              <w:rPr>
                <w:sz w:val="18"/>
              </w:rPr>
            </w:pPr>
            <w:r w:rsidRPr="00B61B9D">
              <w:rPr>
                <w:sz w:val="18"/>
              </w:rPr>
              <w:t>Pharmacovigilance</w:t>
            </w:r>
          </w:p>
        </w:tc>
        <w:tc>
          <w:tcPr>
            <w:tcW w:w="2070" w:type="dxa"/>
            <w:gridSpan w:val="2"/>
            <w:tcBorders>
              <w:top w:val="single" w:sz="4" w:space="0" w:color="auto"/>
              <w:left w:val="single" w:sz="4" w:space="0" w:color="auto"/>
              <w:bottom w:val="single" w:sz="4" w:space="0" w:color="auto"/>
              <w:right w:val="single" w:sz="4" w:space="0" w:color="auto"/>
            </w:tcBorders>
          </w:tcPr>
          <w:p w14:paraId="65D18C44" w14:textId="77777777" w:rsidR="00BE4090" w:rsidRPr="00B61B9D" w:rsidRDefault="00BE4090" w:rsidP="00F61150">
            <w:pPr>
              <w:pStyle w:val="Tabletext"/>
              <w:ind w:left="0" w:right="0"/>
              <w:rPr>
                <w:sz w:val="18"/>
              </w:rPr>
            </w:pPr>
            <w:r w:rsidRPr="00B61B9D">
              <w:rPr>
                <w:sz w:val="18"/>
              </w:rPr>
              <w:t>Risk Minimisation</w:t>
            </w:r>
          </w:p>
        </w:tc>
      </w:tr>
      <w:tr w:rsidR="00BE4090" w:rsidRPr="00B61B9D" w14:paraId="5AAC8A5D" w14:textId="77777777" w:rsidTr="00F61150">
        <w:trPr>
          <w:trHeight w:val="150"/>
        </w:trPr>
        <w:tc>
          <w:tcPr>
            <w:tcW w:w="4675" w:type="dxa"/>
            <w:gridSpan w:val="2"/>
            <w:vMerge/>
            <w:tcBorders>
              <w:top w:val="single" w:sz="4" w:space="0" w:color="auto"/>
              <w:left w:val="single" w:sz="4" w:space="0" w:color="auto"/>
              <w:bottom w:val="single" w:sz="4" w:space="0" w:color="auto"/>
              <w:right w:val="single" w:sz="4" w:space="0" w:color="auto"/>
            </w:tcBorders>
            <w:shd w:val="clear" w:color="auto" w:fill="006DA7"/>
          </w:tcPr>
          <w:p w14:paraId="7B5A4C13" w14:textId="77777777" w:rsidR="00BE4090" w:rsidRPr="00B61B9D" w:rsidRDefault="00BE4090" w:rsidP="00F61150">
            <w:pPr>
              <w:pStyle w:val="Tabletext"/>
              <w:ind w:left="0" w:right="0"/>
              <w:rPr>
                <w:b/>
                <w:color w:val="FFFFFF" w:themeColor="background1"/>
              </w:rPr>
            </w:pP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5225691E" w14:textId="77777777" w:rsidR="00BE4090" w:rsidRPr="00B61B9D" w:rsidRDefault="00BE4090" w:rsidP="00F61150">
            <w:pPr>
              <w:pStyle w:val="Tabletext"/>
              <w:ind w:left="0" w:right="0"/>
              <w:rPr>
                <w:b/>
                <w:color w:val="FFFFFF" w:themeColor="background1"/>
                <w:sz w:val="18"/>
              </w:rPr>
            </w:pPr>
            <w:r w:rsidRPr="00B61B9D">
              <w:rPr>
                <w:b/>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003E7340" w14:textId="77777777" w:rsidR="00BE4090" w:rsidRPr="00B61B9D" w:rsidRDefault="00BE4090" w:rsidP="00F61150">
            <w:pPr>
              <w:pStyle w:val="Tabletext"/>
              <w:ind w:left="0" w:right="0"/>
              <w:rPr>
                <w:b/>
                <w:color w:val="FFFFFF" w:themeColor="background1"/>
                <w:sz w:val="18"/>
              </w:rPr>
            </w:pPr>
            <w:r w:rsidRPr="00B61B9D">
              <w:rPr>
                <w:b/>
                <w:color w:val="FFFFFF" w:themeColor="background1"/>
                <w:sz w:val="18"/>
              </w:rPr>
              <w:t>Additional</w:t>
            </w: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76D81F6F" w14:textId="77777777" w:rsidR="00BE4090" w:rsidRPr="00B61B9D" w:rsidRDefault="00BE4090" w:rsidP="00F61150">
            <w:pPr>
              <w:pStyle w:val="Tabletext"/>
              <w:ind w:left="0" w:right="0"/>
              <w:rPr>
                <w:b/>
                <w:color w:val="FFFFFF" w:themeColor="background1"/>
                <w:sz w:val="18"/>
              </w:rPr>
            </w:pPr>
            <w:r w:rsidRPr="00B61B9D">
              <w:rPr>
                <w:b/>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5C3AE693" w14:textId="77777777" w:rsidR="00BE4090" w:rsidRPr="00B61B9D" w:rsidRDefault="00BE4090" w:rsidP="00F61150">
            <w:pPr>
              <w:pStyle w:val="Tabletext"/>
              <w:ind w:left="0" w:right="0"/>
              <w:rPr>
                <w:b/>
                <w:color w:val="FFFFFF" w:themeColor="background1"/>
                <w:sz w:val="18"/>
              </w:rPr>
            </w:pPr>
            <w:r w:rsidRPr="00B61B9D">
              <w:rPr>
                <w:b/>
                <w:color w:val="FFFFFF" w:themeColor="background1"/>
                <w:sz w:val="18"/>
              </w:rPr>
              <w:t>Additional</w:t>
            </w:r>
          </w:p>
        </w:tc>
      </w:tr>
      <w:tr w:rsidR="00C479ED" w:rsidRPr="00B61B9D" w14:paraId="382C9610" w14:textId="77777777" w:rsidTr="00F61150">
        <w:trPr>
          <w:trHeight w:val="471"/>
        </w:trPr>
        <w:tc>
          <w:tcPr>
            <w:tcW w:w="1435" w:type="dxa"/>
            <w:vMerge w:val="restart"/>
            <w:tcBorders>
              <w:top w:val="single" w:sz="4" w:space="0" w:color="auto"/>
            </w:tcBorders>
          </w:tcPr>
          <w:p w14:paraId="28450062" w14:textId="77777777" w:rsidR="00BE4090" w:rsidRPr="00B61B9D" w:rsidRDefault="00BE4090" w:rsidP="00F61150">
            <w:pPr>
              <w:pStyle w:val="Tabletext"/>
              <w:ind w:left="0" w:right="0"/>
              <w:rPr>
                <w:b/>
              </w:rPr>
            </w:pPr>
            <w:r w:rsidRPr="00B61B9D">
              <w:rPr>
                <w:b/>
              </w:rPr>
              <w:t>Important identified risks</w:t>
            </w:r>
          </w:p>
        </w:tc>
        <w:tc>
          <w:tcPr>
            <w:tcW w:w="3240" w:type="dxa"/>
            <w:tcBorders>
              <w:top w:val="single" w:sz="4" w:space="0" w:color="auto"/>
            </w:tcBorders>
          </w:tcPr>
          <w:p w14:paraId="7A2C66F8" w14:textId="77777777" w:rsidR="00BE4090" w:rsidRPr="00B61B9D" w:rsidRDefault="00BE4090" w:rsidP="00F61150">
            <w:pPr>
              <w:pStyle w:val="Tabletext"/>
              <w:ind w:left="0" w:right="0"/>
            </w:pPr>
            <w:r w:rsidRPr="00B61B9D">
              <w:t>Hypocortisolism</w:t>
            </w:r>
          </w:p>
        </w:tc>
        <w:tc>
          <w:tcPr>
            <w:tcW w:w="0" w:type="dxa"/>
            <w:tcBorders>
              <w:top w:val="single" w:sz="4" w:space="0" w:color="auto"/>
            </w:tcBorders>
          </w:tcPr>
          <w:p w14:paraId="14774137" w14:textId="77777777" w:rsidR="00BE4090" w:rsidRPr="00B61B9D" w:rsidRDefault="00BE4090" w:rsidP="00F61150">
            <w:pPr>
              <w:pStyle w:val="Tabletext"/>
              <w:ind w:left="0" w:right="0"/>
              <w:jc w:val="center"/>
              <w:rPr>
                <w:vertAlign w:val="superscript"/>
              </w:rPr>
            </w:pPr>
            <w:r w:rsidRPr="00B61B9D">
              <w:sym w:font="Wingdings" w:char="F0FC"/>
            </w:r>
            <w:r w:rsidRPr="00B61B9D">
              <w:rPr>
                <w:vertAlign w:val="superscript"/>
              </w:rPr>
              <w:t>1</w:t>
            </w:r>
          </w:p>
        </w:tc>
        <w:tc>
          <w:tcPr>
            <w:tcW w:w="0" w:type="dxa"/>
            <w:tcBorders>
              <w:top w:val="single" w:sz="4" w:space="0" w:color="auto"/>
            </w:tcBorders>
          </w:tcPr>
          <w:p w14:paraId="3E0D9E0B" w14:textId="77777777" w:rsidR="00BE4090" w:rsidRPr="00B61B9D" w:rsidRDefault="00BE4090" w:rsidP="00F61150">
            <w:pPr>
              <w:pStyle w:val="Tabletext"/>
              <w:ind w:left="0" w:right="0"/>
              <w:jc w:val="center"/>
              <w:rPr>
                <w:vertAlign w:val="superscript"/>
              </w:rPr>
            </w:pPr>
            <w:r w:rsidRPr="00B61B9D">
              <w:sym w:font="Wingdings" w:char="F0FC"/>
            </w:r>
          </w:p>
        </w:tc>
        <w:tc>
          <w:tcPr>
            <w:tcW w:w="0" w:type="dxa"/>
            <w:tcBorders>
              <w:top w:val="single" w:sz="4" w:space="0" w:color="auto"/>
            </w:tcBorders>
          </w:tcPr>
          <w:p w14:paraId="2B74D547" w14:textId="77777777" w:rsidR="00BE4090" w:rsidRPr="00B61B9D" w:rsidRDefault="00BE4090" w:rsidP="00F61150">
            <w:pPr>
              <w:pStyle w:val="Tabletext"/>
              <w:ind w:left="0" w:right="0"/>
              <w:jc w:val="center"/>
            </w:pPr>
            <w:r w:rsidRPr="00B61B9D">
              <w:sym w:font="Wingdings" w:char="F0FC"/>
            </w:r>
          </w:p>
        </w:tc>
        <w:tc>
          <w:tcPr>
            <w:tcW w:w="0" w:type="dxa"/>
            <w:tcBorders>
              <w:top w:val="single" w:sz="4" w:space="0" w:color="auto"/>
            </w:tcBorders>
          </w:tcPr>
          <w:p w14:paraId="3C26D0FF" w14:textId="77777777" w:rsidR="00BE4090" w:rsidRPr="00B61B9D" w:rsidRDefault="00BE4090" w:rsidP="00F61150">
            <w:pPr>
              <w:pStyle w:val="Tabletext"/>
              <w:ind w:left="0" w:right="0"/>
              <w:jc w:val="center"/>
            </w:pPr>
            <w:r w:rsidRPr="00B61B9D">
              <w:t>-</w:t>
            </w:r>
          </w:p>
        </w:tc>
      </w:tr>
      <w:tr w:rsidR="00C479ED" w:rsidRPr="00B61B9D" w14:paraId="409C191A" w14:textId="77777777" w:rsidTr="00F61150">
        <w:trPr>
          <w:trHeight w:val="470"/>
        </w:trPr>
        <w:tc>
          <w:tcPr>
            <w:tcW w:w="1435" w:type="dxa"/>
            <w:vMerge/>
          </w:tcPr>
          <w:p w14:paraId="2185ABF8" w14:textId="77777777" w:rsidR="00BE4090" w:rsidRPr="00B61B9D" w:rsidRDefault="00BE4090" w:rsidP="00F61150">
            <w:pPr>
              <w:pStyle w:val="Tabletext"/>
              <w:ind w:left="0" w:right="0"/>
              <w:rPr>
                <w:b/>
              </w:rPr>
            </w:pPr>
          </w:p>
        </w:tc>
        <w:tc>
          <w:tcPr>
            <w:tcW w:w="3240" w:type="dxa"/>
          </w:tcPr>
          <w:p w14:paraId="20231FDD" w14:textId="77777777" w:rsidR="00BE4090" w:rsidRPr="00B61B9D" w:rsidRDefault="00BE4090" w:rsidP="00F61150">
            <w:pPr>
              <w:pStyle w:val="Tabletext"/>
              <w:ind w:left="0" w:right="0"/>
            </w:pPr>
            <w:r w:rsidRPr="00B61B9D">
              <w:t>QT prolongation</w:t>
            </w:r>
          </w:p>
        </w:tc>
        <w:tc>
          <w:tcPr>
            <w:tcW w:w="0" w:type="dxa"/>
          </w:tcPr>
          <w:p w14:paraId="7E8A21CC" w14:textId="77777777" w:rsidR="00BE4090" w:rsidRPr="00B61B9D" w:rsidRDefault="00BE4090" w:rsidP="00F61150">
            <w:pPr>
              <w:pStyle w:val="Tabletext"/>
              <w:ind w:left="0" w:right="0"/>
              <w:jc w:val="center"/>
              <w:rPr>
                <w:vertAlign w:val="superscript"/>
              </w:rPr>
            </w:pPr>
            <w:r w:rsidRPr="00B61B9D">
              <w:sym w:font="Wingdings" w:char="F0FC"/>
            </w:r>
            <w:r w:rsidRPr="00B61B9D">
              <w:rPr>
                <w:vertAlign w:val="superscript"/>
              </w:rPr>
              <w:t>1</w:t>
            </w:r>
          </w:p>
        </w:tc>
        <w:tc>
          <w:tcPr>
            <w:tcW w:w="0" w:type="dxa"/>
          </w:tcPr>
          <w:p w14:paraId="143F7803" w14:textId="77777777" w:rsidR="00BE4090" w:rsidRPr="00B61B9D" w:rsidRDefault="00BE4090" w:rsidP="00F61150">
            <w:pPr>
              <w:pStyle w:val="Tabletext"/>
              <w:ind w:left="0" w:right="0"/>
              <w:jc w:val="center"/>
              <w:rPr>
                <w:vertAlign w:val="superscript"/>
              </w:rPr>
            </w:pPr>
            <w:r w:rsidRPr="00B61B9D">
              <w:sym w:font="Wingdings" w:char="F0FC"/>
            </w:r>
          </w:p>
        </w:tc>
        <w:tc>
          <w:tcPr>
            <w:tcW w:w="0" w:type="dxa"/>
          </w:tcPr>
          <w:p w14:paraId="61EBC9F4" w14:textId="77777777" w:rsidR="00BE4090" w:rsidRPr="00B61B9D" w:rsidRDefault="00BE4090" w:rsidP="00F61150">
            <w:pPr>
              <w:pStyle w:val="Tabletext"/>
              <w:ind w:left="0" w:right="0"/>
              <w:jc w:val="center"/>
            </w:pPr>
            <w:r w:rsidRPr="00B61B9D">
              <w:sym w:font="Wingdings" w:char="F0FC"/>
            </w:r>
          </w:p>
        </w:tc>
        <w:tc>
          <w:tcPr>
            <w:tcW w:w="0" w:type="dxa"/>
          </w:tcPr>
          <w:p w14:paraId="2DAF7EB1" w14:textId="77777777" w:rsidR="00BE4090" w:rsidRPr="00B61B9D" w:rsidRDefault="00BE4090" w:rsidP="00F61150">
            <w:pPr>
              <w:pStyle w:val="Tabletext"/>
              <w:ind w:left="0" w:right="0"/>
              <w:jc w:val="center"/>
            </w:pPr>
            <w:r w:rsidRPr="00B61B9D">
              <w:t>-</w:t>
            </w:r>
          </w:p>
        </w:tc>
      </w:tr>
      <w:tr w:rsidR="00C479ED" w:rsidRPr="00B61B9D" w14:paraId="63194072" w14:textId="77777777" w:rsidTr="00F61150">
        <w:trPr>
          <w:trHeight w:val="159"/>
        </w:trPr>
        <w:tc>
          <w:tcPr>
            <w:tcW w:w="1435" w:type="dxa"/>
          </w:tcPr>
          <w:p w14:paraId="3F7BDB41" w14:textId="77777777" w:rsidR="00BE4090" w:rsidRPr="00B61B9D" w:rsidRDefault="00BE4090" w:rsidP="00F61150">
            <w:pPr>
              <w:pStyle w:val="Tabletext"/>
              <w:ind w:left="0" w:right="0"/>
              <w:rPr>
                <w:b/>
              </w:rPr>
            </w:pPr>
            <w:r w:rsidRPr="00B61B9D">
              <w:rPr>
                <w:b/>
              </w:rPr>
              <w:t>Important potential risks</w:t>
            </w:r>
          </w:p>
        </w:tc>
        <w:tc>
          <w:tcPr>
            <w:tcW w:w="3240" w:type="dxa"/>
          </w:tcPr>
          <w:p w14:paraId="0D971A2B" w14:textId="77777777" w:rsidR="00BE4090" w:rsidRPr="00B61B9D" w:rsidRDefault="00BE4090" w:rsidP="00F61150">
            <w:pPr>
              <w:pStyle w:val="Tabletext"/>
              <w:ind w:left="0" w:right="0"/>
            </w:pPr>
            <w:r w:rsidRPr="00B61B9D">
              <w:t>Reproductive toxicity/Embryofetal development</w:t>
            </w:r>
          </w:p>
        </w:tc>
        <w:tc>
          <w:tcPr>
            <w:tcW w:w="0" w:type="dxa"/>
          </w:tcPr>
          <w:p w14:paraId="78D39705" w14:textId="77777777" w:rsidR="00BE4090" w:rsidRPr="00B61B9D" w:rsidRDefault="00BE4090" w:rsidP="00F61150">
            <w:pPr>
              <w:pStyle w:val="Tabletext"/>
              <w:ind w:left="0" w:right="0"/>
              <w:jc w:val="center"/>
              <w:rPr>
                <w:vertAlign w:val="superscript"/>
              </w:rPr>
            </w:pPr>
            <w:r w:rsidRPr="00B61B9D">
              <w:sym w:font="Wingdings" w:char="F0FC"/>
            </w:r>
            <w:r w:rsidRPr="00B61B9D">
              <w:rPr>
                <w:vertAlign w:val="superscript"/>
              </w:rPr>
              <w:t>1</w:t>
            </w:r>
          </w:p>
        </w:tc>
        <w:tc>
          <w:tcPr>
            <w:tcW w:w="0" w:type="dxa"/>
          </w:tcPr>
          <w:p w14:paraId="34E43AB0" w14:textId="77777777" w:rsidR="00BE4090" w:rsidRPr="00B61B9D" w:rsidRDefault="00BE4090" w:rsidP="00F61150">
            <w:pPr>
              <w:pStyle w:val="Tabletext"/>
              <w:ind w:left="0" w:right="0"/>
              <w:jc w:val="center"/>
            </w:pPr>
            <w:r w:rsidRPr="00B61B9D">
              <w:t>-</w:t>
            </w:r>
          </w:p>
        </w:tc>
        <w:tc>
          <w:tcPr>
            <w:tcW w:w="0" w:type="dxa"/>
          </w:tcPr>
          <w:p w14:paraId="32AC46C2" w14:textId="77777777" w:rsidR="00BE4090" w:rsidRPr="00B61B9D" w:rsidRDefault="00BE4090" w:rsidP="00F61150">
            <w:pPr>
              <w:pStyle w:val="Tabletext"/>
              <w:ind w:left="0" w:right="0"/>
              <w:jc w:val="center"/>
            </w:pPr>
            <w:r w:rsidRPr="00B61B9D">
              <w:sym w:font="Wingdings" w:char="F0FC"/>
            </w:r>
          </w:p>
        </w:tc>
        <w:tc>
          <w:tcPr>
            <w:tcW w:w="0" w:type="dxa"/>
          </w:tcPr>
          <w:p w14:paraId="16234BA2" w14:textId="77777777" w:rsidR="00BE4090" w:rsidRPr="00B61B9D" w:rsidRDefault="00BE4090" w:rsidP="00F61150">
            <w:pPr>
              <w:pStyle w:val="Tabletext"/>
              <w:ind w:left="0" w:right="0"/>
              <w:jc w:val="center"/>
            </w:pPr>
            <w:r w:rsidRPr="00B61B9D">
              <w:t>-</w:t>
            </w:r>
          </w:p>
        </w:tc>
      </w:tr>
      <w:tr w:rsidR="00C479ED" w:rsidRPr="00B61B9D" w14:paraId="3C83F8FE" w14:textId="77777777" w:rsidTr="00F61150">
        <w:trPr>
          <w:trHeight w:val="178"/>
        </w:trPr>
        <w:tc>
          <w:tcPr>
            <w:tcW w:w="1435" w:type="dxa"/>
            <w:vMerge w:val="restart"/>
          </w:tcPr>
          <w:p w14:paraId="5ACA30E6" w14:textId="77777777" w:rsidR="00BE4090" w:rsidRPr="00B61B9D" w:rsidRDefault="00BE4090" w:rsidP="00F61150">
            <w:pPr>
              <w:pStyle w:val="Tabletext"/>
              <w:ind w:left="0" w:right="0"/>
              <w:rPr>
                <w:b/>
              </w:rPr>
            </w:pPr>
            <w:bookmarkStart w:id="63" w:name="_Hlk85463692"/>
            <w:r w:rsidRPr="00B61B9D">
              <w:rPr>
                <w:b/>
              </w:rPr>
              <w:t>Missing information</w:t>
            </w:r>
          </w:p>
        </w:tc>
        <w:tc>
          <w:tcPr>
            <w:tcW w:w="3240" w:type="dxa"/>
          </w:tcPr>
          <w:p w14:paraId="19C2DF71" w14:textId="77777777" w:rsidR="00BE4090" w:rsidRPr="00B61B9D" w:rsidRDefault="00BE4090" w:rsidP="00F61150">
            <w:pPr>
              <w:pStyle w:val="Tabletext"/>
              <w:ind w:left="0" w:right="0"/>
            </w:pPr>
            <w:r w:rsidRPr="00B61B9D">
              <w:t>Breast-feeding women</w:t>
            </w:r>
          </w:p>
        </w:tc>
        <w:tc>
          <w:tcPr>
            <w:tcW w:w="0" w:type="dxa"/>
          </w:tcPr>
          <w:p w14:paraId="6402BD80" w14:textId="77777777" w:rsidR="00BE4090" w:rsidRPr="00B61B9D" w:rsidRDefault="00BE4090" w:rsidP="00F61150">
            <w:pPr>
              <w:pStyle w:val="Tabletext"/>
              <w:ind w:left="0" w:right="0"/>
              <w:jc w:val="center"/>
            </w:pPr>
            <w:r w:rsidRPr="00B61B9D">
              <w:sym w:font="Wingdings" w:char="F0FC"/>
            </w:r>
          </w:p>
        </w:tc>
        <w:tc>
          <w:tcPr>
            <w:tcW w:w="0" w:type="dxa"/>
          </w:tcPr>
          <w:p w14:paraId="582CD454" w14:textId="77777777" w:rsidR="00BE4090" w:rsidRPr="00B61B9D" w:rsidRDefault="00BE4090" w:rsidP="00F61150">
            <w:pPr>
              <w:pStyle w:val="Tabletext"/>
              <w:ind w:left="0" w:right="0"/>
              <w:jc w:val="center"/>
            </w:pPr>
            <w:r w:rsidRPr="00B61B9D">
              <w:t>-</w:t>
            </w:r>
          </w:p>
        </w:tc>
        <w:tc>
          <w:tcPr>
            <w:tcW w:w="0" w:type="dxa"/>
          </w:tcPr>
          <w:p w14:paraId="4ADA8BE2" w14:textId="77777777" w:rsidR="00BE4090" w:rsidRPr="00B61B9D" w:rsidRDefault="00BE4090" w:rsidP="00F61150">
            <w:pPr>
              <w:pStyle w:val="Tabletext"/>
              <w:ind w:left="0" w:right="0"/>
              <w:jc w:val="center"/>
            </w:pPr>
            <w:r w:rsidRPr="00B61B9D">
              <w:sym w:font="Wingdings" w:char="F0FC"/>
            </w:r>
          </w:p>
        </w:tc>
        <w:tc>
          <w:tcPr>
            <w:tcW w:w="0" w:type="dxa"/>
          </w:tcPr>
          <w:p w14:paraId="3D35301F" w14:textId="77777777" w:rsidR="00BE4090" w:rsidRPr="00B61B9D" w:rsidRDefault="00BE4090" w:rsidP="00F61150">
            <w:pPr>
              <w:pStyle w:val="Tabletext"/>
              <w:ind w:left="0" w:right="0"/>
              <w:jc w:val="center"/>
            </w:pPr>
            <w:r w:rsidRPr="00B61B9D">
              <w:t>-</w:t>
            </w:r>
          </w:p>
        </w:tc>
      </w:tr>
      <w:bookmarkEnd w:id="63"/>
      <w:tr w:rsidR="00C479ED" w:rsidRPr="00B61B9D" w14:paraId="72A0FA63" w14:textId="77777777" w:rsidTr="00F61150">
        <w:trPr>
          <w:cantSplit/>
          <w:trHeight w:val="103"/>
        </w:trPr>
        <w:tc>
          <w:tcPr>
            <w:tcW w:w="1435" w:type="dxa"/>
            <w:vMerge/>
          </w:tcPr>
          <w:p w14:paraId="2DF3F90C" w14:textId="77777777" w:rsidR="00BE4090" w:rsidRPr="00B61B9D" w:rsidRDefault="00BE4090" w:rsidP="00F61150">
            <w:pPr>
              <w:pStyle w:val="Tabletext"/>
              <w:ind w:left="0" w:right="0"/>
            </w:pPr>
          </w:p>
        </w:tc>
        <w:tc>
          <w:tcPr>
            <w:tcW w:w="3240" w:type="dxa"/>
          </w:tcPr>
          <w:p w14:paraId="03A613DC" w14:textId="6853D737" w:rsidR="00BE4090" w:rsidRPr="00B61B9D" w:rsidRDefault="00BE4090" w:rsidP="00F61150">
            <w:pPr>
              <w:pStyle w:val="Tabletext"/>
              <w:ind w:left="0" w:right="0"/>
            </w:pPr>
            <w:r w:rsidRPr="00B61B9D">
              <w:t>Long-term safety (including hypocortisolism,</w:t>
            </w:r>
            <w:r w:rsidR="00A07235" w:rsidRPr="00B61B9D">
              <w:t xml:space="preserve"> cardiovascular</w:t>
            </w:r>
            <w:r w:rsidRPr="00B61B9D">
              <w:t xml:space="preserve"> safety and </w:t>
            </w:r>
            <w:r w:rsidR="0033613D" w:rsidRPr="00B61B9D">
              <w:t>QT</w:t>
            </w:r>
            <w:r w:rsidRPr="00B61B9D">
              <w:t xml:space="preserve"> prolongation, hormones of the </w:t>
            </w:r>
            <w:r w:rsidR="00EB56F9" w:rsidRPr="00B61B9D">
              <w:t xml:space="preserve">hypothalamus pituitary adrenal </w:t>
            </w:r>
            <w:r w:rsidRPr="00B61B9D">
              <w:t xml:space="preserve">axis including </w:t>
            </w:r>
            <w:r w:rsidR="00A07235" w:rsidRPr="00B61B9D">
              <w:t xml:space="preserve">adrenocorticotropic hormone </w:t>
            </w:r>
            <w:r w:rsidRPr="00B61B9D">
              <w:t>increase, and clinical consequences of increased sexual hormones)</w:t>
            </w:r>
          </w:p>
        </w:tc>
        <w:tc>
          <w:tcPr>
            <w:tcW w:w="0" w:type="dxa"/>
          </w:tcPr>
          <w:p w14:paraId="155491E0" w14:textId="77777777" w:rsidR="00BE4090" w:rsidRPr="00B61B9D" w:rsidRDefault="00BE4090" w:rsidP="00F61150">
            <w:pPr>
              <w:pStyle w:val="Tabletext"/>
              <w:ind w:left="0" w:right="0"/>
              <w:jc w:val="center"/>
            </w:pPr>
            <w:r w:rsidRPr="00B61B9D">
              <w:sym w:font="Wingdings" w:char="F0FC"/>
            </w:r>
          </w:p>
        </w:tc>
        <w:tc>
          <w:tcPr>
            <w:tcW w:w="0" w:type="dxa"/>
          </w:tcPr>
          <w:p w14:paraId="686D05A1" w14:textId="77777777" w:rsidR="00BE4090" w:rsidRPr="00B61B9D" w:rsidRDefault="00BE4090" w:rsidP="00F61150">
            <w:pPr>
              <w:pStyle w:val="Tabletext"/>
              <w:ind w:left="0" w:right="0"/>
              <w:jc w:val="center"/>
              <w:rPr>
                <w:vertAlign w:val="superscript"/>
              </w:rPr>
            </w:pPr>
            <w:r w:rsidRPr="00B61B9D">
              <w:sym w:font="Wingdings" w:char="F0FC"/>
            </w:r>
            <w:r w:rsidRPr="00B61B9D">
              <w:rPr>
                <w:vertAlign w:val="superscript"/>
              </w:rPr>
              <w:t>2</w:t>
            </w:r>
          </w:p>
        </w:tc>
        <w:tc>
          <w:tcPr>
            <w:tcW w:w="0" w:type="dxa"/>
          </w:tcPr>
          <w:p w14:paraId="397DE7BA" w14:textId="77777777" w:rsidR="00BE4090" w:rsidRPr="00B61B9D" w:rsidRDefault="00BE4090" w:rsidP="00F61150">
            <w:pPr>
              <w:pStyle w:val="Tabletext"/>
              <w:ind w:left="0" w:right="0"/>
              <w:jc w:val="center"/>
            </w:pPr>
            <w:r w:rsidRPr="00B61B9D">
              <w:t>-</w:t>
            </w:r>
          </w:p>
        </w:tc>
        <w:tc>
          <w:tcPr>
            <w:tcW w:w="0" w:type="dxa"/>
          </w:tcPr>
          <w:p w14:paraId="2E2F962D" w14:textId="77777777" w:rsidR="00BE4090" w:rsidRPr="00B61B9D" w:rsidRDefault="00BE4090" w:rsidP="00F61150">
            <w:pPr>
              <w:pStyle w:val="Tabletext"/>
              <w:ind w:left="0" w:right="0"/>
              <w:jc w:val="center"/>
            </w:pPr>
            <w:r w:rsidRPr="00B61B9D">
              <w:t>-</w:t>
            </w:r>
          </w:p>
        </w:tc>
      </w:tr>
      <w:tr w:rsidR="00C479ED" w:rsidRPr="00B61B9D" w14:paraId="4647182F" w14:textId="77777777" w:rsidTr="00F61150">
        <w:trPr>
          <w:trHeight w:val="140"/>
        </w:trPr>
        <w:tc>
          <w:tcPr>
            <w:tcW w:w="1435" w:type="dxa"/>
            <w:vMerge/>
          </w:tcPr>
          <w:p w14:paraId="24B29117" w14:textId="77777777" w:rsidR="00BE4090" w:rsidRPr="00B61B9D" w:rsidRDefault="00BE4090" w:rsidP="00F61150">
            <w:pPr>
              <w:pStyle w:val="Tabletext"/>
              <w:ind w:left="0" w:right="0"/>
            </w:pPr>
          </w:p>
        </w:tc>
        <w:tc>
          <w:tcPr>
            <w:tcW w:w="3240" w:type="dxa"/>
          </w:tcPr>
          <w:p w14:paraId="7174F333" w14:textId="1813A20E" w:rsidR="00BE4090" w:rsidRPr="00B61B9D" w:rsidRDefault="00BE4090" w:rsidP="00F61150">
            <w:pPr>
              <w:pStyle w:val="Tabletext"/>
              <w:ind w:left="0" w:right="0"/>
            </w:pPr>
            <w:r w:rsidRPr="00B61B9D">
              <w:t xml:space="preserve">Use in non-Cushing </w:t>
            </w:r>
            <w:r w:rsidR="00167075" w:rsidRPr="00B61B9D">
              <w:t>disease</w:t>
            </w:r>
            <w:r w:rsidRPr="00B61B9D">
              <w:t xml:space="preserve"> Cushing syndrome patients including long-term effects</w:t>
            </w:r>
          </w:p>
        </w:tc>
        <w:tc>
          <w:tcPr>
            <w:tcW w:w="0" w:type="dxa"/>
          </w:tcPr>
          <w:p w14:paraId="2EA2CF2F" w14:textId="77777777" w:rsidR="00BE4090" w:rsidRPr="00B61B9D" w:rsidRDefault="00BE4090" w:rsidP="00F61150">
            <w:pPr>
              <w:pStyle w:val="Tabletext"/>
              <w:ind w:left="0" w:right="0"/>
              <w:jc w:val="center"/>
            </w:pPr>
            <w:r w:rsidRPr="00B61B9D">
              <w:sym w:font="Wingdings" w:char="F0FC"/>
            </w:r>
          </w:p>
        </w:tc>
        <w:tc>
          <w:tcPr>
            <w:tcW w:w="0" w:type="dxa"/>
          </w:tcPr>
          <w:p w14:paraId="36F30808" w14:textId="77777777" w:rsidR="00BE4090" w:rsidRPr="00B61B9D" w:rsidRDefault="00BE4090" w:rsidP="00F61150">
            <w:pPr>
              <w:pStyle w:val="Tabletext"/>
              <w:ind w:left="0" w:right="0"/>
              <w:jc w:val="center"/>
              <w:rPr>
                <w:vertAlign w:val="superscript"/>
              </w:rPr>
            </w:pPr>
            <w:r w:rsidRPr="00B61B9D">
              <w:t>-</w:t>
            </w:r>
          </w:p>
        </w:tc>
        <w:tc>
          <w:tcPr>
            <w:tcW w:w="0" w:type="dxa"/>
          </w:tcPr>
          <w:p w14:paraId="2487D919" w14:textId="77777777" w:rsidR="00BE4090" w:rsidRPr="00B61B9D" w:rsidRDefault="00BE4090" w:rsidP="00F61150">
            <w:pPr>
              <w:pStyle w:val="Tabletext"/>
              <w:ind w:left="0" w:right="0"/>
              <w:jc w:val="center"/>
            </w:pPr>
            <w:r w:rsidRPr="00B61B9D">
              <w:t>-</w:t>
            </w:r>
          </w:p>
        </w:tc>
        <w:tc>
          <w:tcPr>
            <w:tcW w:w="0" w:type="dxa"/>
          </w:tcPr>
          <w:p w14:paraId="0AA064C9" w14:textId="77777777" w:rsidR="00BE4090" w:rsidRPr="00B61B9D" w:rsidRDefault="00BE4090" w:rsidP="00F61150">
            <w:pPr>
              <w:pStyle w:val="Tabletext"/>
              <w:ind w:left="0" w:right="0"/>
              <w:jc w:val="center"/>
            </w:pPr>
            <w:r w:rsidRPr="00B61B9D">
              <w:t>-</w:t>
            </w:r>
          </w:p>
        </w:tc>
      </w:tr>
    </w:tbl>
    <w:bookmarkEnd w:id="62"/>
    <w:p w14:paraId="3077A083" w14:textId="77777777" w:rsidR="00BE4090" w:rsidRPr="00B61B9D" w:rsidRDefault="00BE4090" w:rsidP="00BE4090">
      <w:pPr>
        <w:pStyle w:val="TableDescription"/>
      </w:pPr>
      <w:r w:rsidRPr="00B61B9D">
        <w:rPr>
          <w:vertAlign w:val="superscript"/>
        </w:rPr>
        <w:t>1</w:t>
      </w:r>
      <w:r w:rsidRPr="00B61B9D">
        <w:t xml:space="preserve"> Adverse-event follow-up checklist</w:t>
      </w:r>
    </w:p>
    <w:p w14:paraId="78558878" w14:textId="284608BD" w:rsidR="00BE4090" w:rsidRPr="00B61B9D" w:rsidRDefault="00BE4090" w:rsidP="00BE4090">
      <w:pPr>
        <w:pStyle w:val="TableDescription"/>
      </w:pPr>
      <w:r w:rsidRPr="00B61B9D">
        <w:rPr>
          <w:vertAlign w:val="superscript"/>
        </w:rPr>
        <w:lastRenderedPageBreak/>
        <w:t xml:space="preserve">2 </w:t>
      </w:r>
      <w:r w:rsidRPr="00B61B9D">
        <w:t xml:space="preserve">Ongoing clinical trial </w:t>
      </w:r>
      <w:r w:rsidR="00C46D71" w:rsidRPr="00B61B9D">
        <w:t xml:space="preserve">Study </w:t>
      </w:r>
      <w:r w:rsidRPr="00B61B9D">
        <w:t xml:space="preserve">CLCI699C2X01B and planned registry </w:t>
      </w:r>
      <w:r w:rsidR="00C46D71" w:rsidRPr="00B61B9D">
        <w:t xml:space="preserve">Study </w:t>
      </w:r>
      <w:r w:rsidRPr="00B61B9D">
        <w:t>LCI699-RECAG-PASS-0572</w:t>
      </w:r>
    </w:p>
    <w:p w14:paraId="04615D5B" w14:textId="6945FB64" w:rsidR="00BE4090" w:rsidRPr="00B61B9D" w:rsidRDefault="00BE4090" w:rsidP="00BE4090">
      <w:pPr>
        <w:pStyle w:val="ListBullet"/>
      </w:pPr>
      <w:r w:rsidRPr="00B61B9D">
        <w:t>The summary of safety concerns in EU-RMP and ASA are the same. There are no Australia-specific safety concerns, additional to those in the EU-RMP. The summary of safety concerns is acceptable.</w:t>
      </w:r>
    </w:p>
    <w:p w14:paraId="264725FB" w14:textId="59186CF5" w:rsidR="00BE4090" w:rsidRPr="00B61B9D" w:rsidRDefault="00BE4090" w:rsidP="00BE4090">
      <w:pPr>
        <w:pStyle w:val="ListBullet"/>
      </w:pPr>
      <w:r w:rsidRPr="00B61B9D">
        <w:t xml:space="preserve">Routine pharmacovigilance activities are proposed for all safety concerns. </w:t>
      </w:r>
      <w:r w:rsidR="0033613D" w:rsidRPr="00B61B9D">
        <w:t xml:space="preserve">Pharmacovigilance </w:t>
      </w:r>
      <w:r w:rsidRPr="00B61B9D">
        <w:t xml:space="preserve">data collection based upon use of </w:t>
      </w:r>
      <w:r w:rsidR="005F47D9" w:rsidRPr="00B61B9D">
        <w:t>AE</w:t>
      </w:r>
      <w:r w:rsidRPr="00B61B9D">
        <w:t xml:space="preserve"> follow-up checklist for all important risks will be in place as an enhanced routine activity. There is an ongoing clinical trial study to address long-term safety risks, including hypocortisolism and QT</w:t>
      </w:r>
      <w:r w:rsidR="00C479ED">
        <w:t> </w:t>
      </w:r>
      <w:r w:rsidRPr="00B61B9D">
        <w:t>prolongation risks. There is a planned multinational registry study to investigate long</w:t>
      </w:r>
      <w:r w:rsidR="0033613D" w:rsidRPr="00B61B9D">
        <w:noBreakHyphen/>
      </w:r>
      <w:r w:rsidRPr="00B61B9D">
        <w:t>term safety of osilodrostat under normal clinical practice conditions. The RMP</w:t>
      </w:r>
      <w:r w:rsidR="00B43747" w:rsidRPr="00B61B9D">
        <w:noBreakHyphen/>
      </w:r>
      <w:r w:rsidRPr="00B61B9D">
        <w:t>ASA plan aligns with EU-RMP and is acceptable based on what is currently known on Istrurisa’s safety profile and the steroidogenesis inhibitor class of medicines.</w:t>
      </w:r>
    </w:p>
    <w:p w14:paraId="5D98AB4C" w14:textId="014A49A9" w:rsidR="0074163C" w:rsidRPr="00B61B9D" w:rsidRDefault="00BE4090" w:rsidP="00BE4090">
      <w:pPr>
        <w:pStyle w:val="ListBullet"/>
      </w:pPr>
      <w:r w:rsidRPr="00B61B9D">
        <w:t xml:space="preserve">Only routine risk minimisation activities (prescription only medicine status, labelling, PI, </w:t>
      </w:r>
      <w:r w:rsidR="00E72CD4" w:rsidRPr="00B61B9D">
        <w:t>Consumer Medicines Information (</w:t>
      </w:r>
      <w:r w:rsidRPr="00B61B9D">
        <w:t>CMI</w:t>
      </w:r>
      <w:r w:rsidR="00E72CD4" w:rsidRPr="00B61B9D">
        <w:t>)</w:t>
      </w:r>
      <w:r w:rsidRPr="00B61B9D">
        <w:t>) are proposed for all safety concerns. The RMP-ASA plan aligns with EU-RMP and in generally considered appropriate for the Australian health setting and setting of use. Isturisa meets the criteria for inclusion in the Black Triangle Scheme. The sponsor has amended the PI</w:t>
      </w:r>
      <w:r w:rsidR="005B68B0" w:rsidRPr="00B61B9D">
        <w:t xml:space="preserve"> and </w:t>
      </w:r>
      <w:r w:rsidRPr="00B61B9D">
        <w:t xml:space="preserve">CMI to include the Black Triangle Scheme symbol and statement. At </w:t>
      </w:r>
      <w:r w:rsidR="00B43747" w:rsidRPr="00B61B9D">
        <w:t xml:space="preserve">the third round of evaluation, </w:t>
      </w:r>
      <w:r w:rsidRPr="00B61B9D">
        <w:t>the sponsor has revised the CMI as requested. The risk minimisation plan is acceptable.</w:t>
      </w:r>
    </w:p>
    <w:p w14:paraId="44F057BA" w14:textId="77777777" w:rsidR="008E7846" w:rsidRPr="00B61B9D" w:rsidRDefault="00AA0ED0" w:rsidP="008E7846">
      <w:pPr>
        <w:pStyle w:val="Heading3"/>
      </w:pPr>
      <w:bookmarkStart w:id="64" w:name="_Toc117259887"/>
      <w:r w:rsidRPr="00B61B9D">
        <w:t>Risk-benefit a</w:t>
      </w:r>
      <w:r w:rsidR="008E7846" w:rsidRPr="00B61B9D">
        <w:t>nalysis</w:t>
      </w:r>
      <w:bookmarkEnd w:id="57"/>
      <w:bookmarkEnd w:id="58"/>
      <w:bookmarkEnd w:id="64"/>
    </w:p>
    <w:p w14:paraId="53626199" w14:textId="77777777" w:rsidR="0074163C" w:rsidRPr="00B61B9D" w:rsidRDefault="0074163C" w:rsidP="0074163C">
      <w:pPr>
        <w:pStyle w:val="Heading4"/>
      </w:pPr>
      <w:bookmarkStart w:id="65" w:name="_Toc98931932"/>
      <w:r w:rsidRPr="00B61B9D">
        <w:t>Delegate’s considerations</w:t>
      </w:r>
      <w:bookmarkEnd w:id="65"/>
    </w:p>
    <w:p w14:paraId="7CB9037D" w14:textId="77777777" w:rsidR="00D25F84" w:rsidRPr="00B61B9D" w:rsidRDefault="00D25F84" w:rsidP="00D25F84">
      <w:pPr>
        <w:pStyle w:val="Heading5"/>
        <w:rPr>
          <w:rFonts w:eastAsia="Calibri"/>
        </w:rPr>
      </w:pPr>
      <w:r w:rsidRPr="00B61B9D">
        <w:rPr>
          <w:rFonts w:eastAsia="Calibri"/>
        </w:rPr>
        <w:t>Efficacy</w:t>
      </w:r>
    </w:p>
    <w:p w14:paraId="60C7C81F" w14:textId="2DCD6D71" w:rsidR="00D25F84" w:rsidRPr="00B61B9D" w:rsidRDefault="00D25F84" w:rsidP="00D25F84">
      <w:r w:rsidRPr="00B61B9D">
        <w:t>The mechanism of action has been adequately characterised in the development program. Since osilodrostat blocks the synthesis of cortisol, it is expected to be efficient in all forms of endogenous Cushing’s syndrome.</w:t>
      </w:r>
    </w:p>
    <w:p w14:paraId="6B5534E3" w14:textId="1E1FDD0D" w:rsidR="00D25F84" w:rsidRPr="00B61B9D" w:rsidRDefault="00D25F84" w:rsidP="00D25F84">
      <w:r w:rsidRPr="00B61B9D">
        <w:t xml:space="preserve">The pivotal Study C2301 met its primary and key secondary objectives and results demonstrate that osilodrostat is effective in rapidly achieving biochemical control of the Cushing’s disease. Responder rates in the </w:t>
      </w:r>
      <w:r w:rsidR="00CA27DB" w:rsidRPr="00B61B9D">
        <w:t>Cushing’s disease</w:t>
      </w:r>
      <w:r w:rsidRPr="00B61B9D">
        <w:t xml:space="preserve"> population was high and clinically relevant with 52.6% of patients being complete responders at </w:t>
      </w:r>
      <w:r w:rsidR="00111716" w:rsidRPr="00B61B9D">
        <w:t>Week</w:t>
      </w:r>
      <w:r w:rsidRPr="00B61B9D">
        <w:t xml:space="preserve"> 24. This may be compared with data for pasireotide in a comparable study population where 26.3 % in the 900</w:t>
      </w:r>
      <w:r w:rsidR="00633A16" w:rsidRPr="00B61B9D">
        <w:t> </w:t>
      </w:r>
      <w:r w:rsidRPr="00B61B9D">
        <w:t>μg</w:t>
      </w:r>
      <w:r w:rsidR="00EF0366" w:rsidRPr="00B61B9D">
        <w:t xml:space="preserve"> twice daily</w:t>
      </w:r>
      <w:r w:rsidRPr="00B61B9D">
        <w:t xml:space="preserve"> group were responders at 6 months. The data from the randomised withdrawal phase of the study further support that the effect observed can be contributed to osilodrostat.</w:t>
      </w:r>
    </w:p>
    <w:p w14:paraId="3EDACA52" w14:textId="195EF1AB" w:rsidR="00D25F84" w:rsidRPr="00B61B9D" w:rsidRDefault="00E72CD4" w:rsidP="00D25F84">
      <w:r w:rsidRPr="00B61B9D">
        <w:t>Mean urinary free cortisol (</w:t>
      </w:r>
      <w:r w:rsidR="00D25F84" w:rsidRPr="00B61B9D">
        <w:t>UFC</w:t>
      </w:r>
      <w:r w:rsidRPr="00B61B9D">
        <w:t>)</w:t>
      </w:r>
      <w:r w:rsidR="00D25F84" w:rsidRPr="00B61B9D">
        <w:t xml:space="preserve"> decrease to the normal range was fast and the m</w:t>
      </w:r>
      <w:r w:rsidR="00C479ED">
        <w:t xml:space="preserve">ean </w:t>
      </w:r>
      <w:r w:rsidR="00D25F84" w:rsidRPr="00B61B9D">
        <w:t>UFC levels achieved normal levels around Week 8 in most patients and stabili</w:t>
      </w:r>
      <w:r w:rsidR="00111716" w:rsidRPr="00B61B9D">
        <w:t>s</w:t>
      </w:r>
      <w:r w:rsidR="00D25F84" w:rsidRPr="00B61B9D">
        <w:t>ed thereafter. The median time to the first normal m</w:t>
      </w:r>
      <w:r w:rsidR="00C479ED">
        <w:t xml:space="preserve">ean </w:t>
      </w:r>
      <w:r w:rsidR="00D25F84" w:rsidRPr="00B61B9D">
        <w:t xml:space="preserve">UFC was 41 days. The high efficacy in reducing the biochemical parameters of hypercortisolism was </w:t>
      </w:r>
      <w:r w:rsidR="00633A16" w:rsidRPr="00B61B9D">
        <w:t>maintained</w:t>
      </w:r>
      <w:r w:rsidR="00D25F84" w:rsidRPr="00B61B9D">
        <w:t xml:space="preserve"> long term. Almost all patients treated with osilodrostat had m</w:t>
      </w:r>
      <w:r w:rsidR="00C479ED">
        <w:t xml:space="preserve">ean </w:t>
      </w:r>
      <w:r w:rsidR="00D25F84" w:rsidRPr="00B61B9D">
        <w:t xml:space="preserve">UFC ≤ </w:t>
      </w:r>
      <w:r w:rsidR="00C479ED">
        <w:t>upper limit of normal (</w:t>
      </w:r>
      <w:r w:rsidR="00D25F84" w:rsidRPr="00B61B9D">
        <w:t>ULN</w:t>
      </w:r>
      <w:r w:rsidR="00C479ED">
        <w:t>)</w:t>
      </w:r>
      <w:r w:rsidR="00D25F84" w:rsidRPr="00B61B9D">
        <w:t xml:space="preserve"> at least once at some stage during the study.</w:t>
      </w:r>
    </w:p>
    <w:p w14:paraId="6A908E51" w14:textId="6E603652" w:rsidR="00D25F84" w:rsidRPr="00B61B9D" w:rsidRDefault="00D25F84" w:rsidP="00D25F84">
      <w:r w:rsidRPr="00B61B9D">
        <w:t>The reduction in m</w:t>
      </w:r>
      <w:r w:rsidR="00C479ED">
        <w:t xml:space="preserve">ean </w:t>
      </w:r>
      <w:r w:rsidRPr="00B61B9D">
        <w:t>UFC levels was accompanied by reductions in serum morning cortisol and late</w:t>
      </w:r>
      <w:r w:rsidR="00633A16" w:rsidRPr="00B61B9D">
        <w:t xml:space="preserve"> </w:t>
      </w:r>
      <w:r w:rsidRPr="00B61B9D">
        <w:t>night salivary cortisol. The decrease in cortisol levels is accompanied by an improvement in key cardiovascular</w:t>
      </w:r>
      <w:r w:rsidR="00654828" w:rsidRPr="00B61B9D">
        <w:t>-</w:t>
      </w:r>
      <w:r w:rsidRPr="00B61B9D">
        <w:t xml:space="preserve">related metabolic parameters associated with </w:t>
      </w:r>
      <w:r w:rsidR="00CA27DB" w:rsidRPr="00B61B9D">
        <w:t>Cushing’s disease</w:t>
      </w:r>
      <w:r w:rsidRPr="00B61B9D">
        <w:t xml:space="preserve"> at Week 24 (fasting glucose, HbA1C, cholesterol, </w:t>
      </w:r>
      <w:r w:rsidR="00C411F5" w:rsidRPr="00B61B9D">
        <w:t>systolic blood pressure</w:t>
      </w:r>
      <w:r w:rsidRPr="00B61B9D">
        <w:t xml:space="preserve">, </w:t>
      </w:r>
      <w:r w:rsidR="00C411F5" w:rsidRPr="00B61B9D">
        <w:t>diastolic blood pressure</w:t>
      </w:r>
      <w:r w:rsidRPr="00B61B9D">
        <w:t xml:space="preserve">, weight, </w:t>
      </w:r>
      <w:r w:rsidR="00C411F5" w:rsidRPr="00B61B9D">
        <w:t>body mass index</w:t>
      </w:r>
      <w:r w:rsidRPr="00B61B9D">
        <w:t>, and waist circumference). Improvement in clinical signs, symptoms of hypercortisolism, cardiovascular parameters, comorbidities (</w:t>
      </w:r>
      <w:r w:rsidR="00D058EF" w:rsidRPr="00B61B9D">
        <w:t>bone mineral density</w:t>
      </w:r>
      <w:r w:rsidRPr="00B61B9D">
        <w:t>, depression</w:t>
      </w:r>
      <w:r w:rsidR="00633A16" w:rsidRPr="00B61B9D">
        <w:t xml:space="preserve"> and so on</w:t>
      </w:r>
      <w:r w:rsidRPr="00B61B9D">
        <w:t xml:space="preserve">) and </w:t>
      </w:r>
      <w:r w:rsidR="00D058EF" w:rsidRPr="00B61B9D">
        <w:t>quality of life</w:t>
      </w:r>
      <w:r w:rsidRPr="00B61B9D">
        <w:t xml:space="preserve"> was </w:t>
      </w:r>
      <w:r w:rsidRPr="00B61B9D">
        <w:lastRenderedPageBreak/>
        <w:t xml:space="preserve">demonstrated and was generally maintained throughout the study in the overall study population. A clinically meaningful improvement in depression was also seen with change in </w:t>
      </w:r>
      <w:r w:rsidR="00C411F5" w:rsidRPr="00B61B9D">
        <w:t>Beck Depression Inventory</w:t>
      </w:r>
      <w:r w:rsidR="00A07235" w:rsidRPr="00B61B9D">
        <w:t xml:space="preserve"> (BDI)-</w:t>
      </w:r>
      <w:r w:rsidR="00C411F5" w:rsidRPr="00B61B9D">
        <w:t>II</w:t>
      </w:r>
      <w:r w:rsidRPr="00B61B9D">
        <w:t xml:space="preserve"> scores</w:t>
      </w:r>
      <w:r w:rsidR="00C411F5" w:rsidRPr="00B61B9D">
        <w:t>;</w:t>
      </w:r>
      <w:r w:rsidR="00C411F5" w:rsidRPr="00B61B9D">
        <w:rPr>
          <w:rStyle w:val="FootnoteReference"/>
        </w:rPr>
        <w:footnoteReference w:id="23"/>
      </w:r>
      <w:r w:rsidRPr="00B61B9D">
        <w:t xml:space="preserve"> reaching </w:t>
      </w:r>
      <w:r w:rsidR="00D058EF" w:rsidRPr="00B61B9D">
        <w:t xml:space="preserve">minimal important difference </w:t>
      </w:r>
      <w:r w:rsidRPr="00B61B9D">
        <w:t>values (&gt;</w:t>
      </w:r>
      <w:r w:rsidR="005B68B0" w:rsidRPr="00B61B9D">
        <w:t xml:space="preserve"> </w:t>
      </w:r>
      <w:r w:rsidRPr="00B61B9D">
        <w:t xml:space="preserve">17.5% reduction in scores from </w:t>
      </w:r>
      <w:r w:rsidR="00111716" w:rsidRPr="00B61B9D">
        <w:t>Baseline</w:t>
      </w:r>
      <w:r w:rsidRPr="00B61B9D">
        <w:t>) at as early as Week 24.</w:t>
      </w:r>
    </w:p>
    <w:p w14:paraId="46B0B429" w14:textId="77777777" w:rsidR="00D25F84" w:rsidRPr="00B61B9D" w:rsidRDefault="00D25F84" w:rsidP="00D25F84">
      <w:r w:rsidRPr="00B61B9D">
        <w:t>The efficacy results were observed to be consistent in the supportive efficacy studies.</w:t>
      </w:r>
    </w:p>
    <w:p w14:paraId="03FC509B" w14:textId="71D4D5FE" w:rsidR="00D25F84" w:rsidRPr="00B61B9D" w:rsidRDefault="00D25F84" w:rsidP="00D25F84">
      <w:r w:rsidRPr="00B61B9D">
        <w:t>Osilodrostat effect on cortisol reduction is reversible, evidenced by the rapid increase in m</w:t>
      </w:r>
      <w:r w:rsidR="00C479ED">
        <w:t xml:space="preserve">ean </w:t>
      </w:r>
      <w:r w:rsidRPr="00B61B9D">
        <w:t>UFC upon discontinuation of osilodrostat treatment.</w:t>
      </w:r>
    </w:p>
    <w:p w14:paraId="01ACF745" w14:textId="4A708617" w:rsidR="00D25F84" w:rsidRPr="00B61B9D" w:rsidRDefault="00D25F84" w:rsidP="00D25F84">
      <w:r w:rsidRPr="00B61B9D">
        <w:t>Furthermore, limited, the long-term data indicate that the effect is maintained up to 46</w:t>
      </w:r>
      <w:r w:rsidR="00633A16" w:rsidRPr="00B61B9D">
        <w:t> </w:t>
      </w:r>
      <w:r w:rsidRPr="00B61B9D">
        <w:t>months. This is particularly importance as loss of efficacy (</w:t>
      </w:r>
      <w:r w:rsidR="00C479ED">
        <w:t xml:space="preserve">or </w:t>
      </w:r>
      <w:r w:rsidR="00D56EB9" w:rsidRPr="00B61B9D">
        <w:t>‘</w:t>
      </w:r>
      <w:r w:rsidRPr="00B61B9D">
        <w:t>escape</w:t>
      </w:r>
      <w:r w:rsidR="00D56EB9" w:rsidRPr="00B61B9D">
        <w:t>’</w:t>
      </w:r>
      <w:r w:rsidRPr="00B61B9D">
        <w:t>) is frequently observed with currently available medical treatments.</w:t>
      </w:r>
    </w:p>
    <w:p w14:paraId="6396C4F1" w14:textId="77777777" w:rsidR="00D25F84" w:rsidRPr="00B61B9D" w:rsidRDefault="00D25F84" w:rsidP="00D25F84">
      <w:pPr>
        <w:pStyle w:val="Heading5"/>
        <w:rPr>
          <w:rFonts w:eastAsia="Calibri"/>
        </w:rPr>
      </w:pPr>
      <w:r w:rsidRPr="00B61B9D">
        <w:rPr>
          <w:rFonts w:eastAsia="Calibri"/>
        </w:rPr>
        <w:t>Safety</w:t>
      </w:r>
    </w:p>
    <w:p w14:paraId="2A0E3835" w14:textId="77777777" w:rsidR="00D25F84" w:rsidRPr="00B61B9D" w:rsidRDefault="00D25F84" w:rsidP="00D25F84">
      <w:r w:rsidRPr="00B61B9D">
        <w:t>Based on available data, and apart from hypocortisolism, the overall tolerability of osilodrostat appears satisfactory.</w:t>
      </w:r>
    </w:p>
    <w:p w14:paraId="7E8F0DE2" w14:textId="280801E6" w:rsidR="00D25F84" w:rsidRPr="00B61B9D" w:rsidRDefault="00D25F84" w:rsidP="00D25F84">
      <w:r w:rsidRPr="00B61B9D">
        <w:t xml:space="preserve">Osilodrostat has been studied in prospective clinical studies with over 1300 participants, over 1000 of whom received at least one dose of osilodrostat (including 137 patients with </w:t>
      </w:r>
      <w:r w:rsidR="00CA27DB" w:rsidRPr="00B61B9D">
        <w:t>Cushing’s disease</w:t>
      </w:r>
      <w:r w:rsidRPr="00B61B9D">
        <w:t xml:space="preserve"> in the pivotal Phase III study) and for durations of over 5 years in some cases.</w:t>
      </w:r>
    </w:p>
    <w:p w14:paraId="5114A5FD" w14:textId="0E329713" w:rsidR="00D25F84" w:rsidRPr="00B61B9D" w:rsidRDefault="00D25F84" w:rsidP="00D25F84">
      <w:r w:rsidRPr="00B61B9D">
        <w:t xml:space="preserve">Demographic, disease, and other </w:t>
      </w:r>
      <w:r w:rsidR="00633A16" w:rsidRPr="00B61B9D">
        <w:t xml:space="preserve">baseline </w:t>
      </w:r>
      <w:r w:rsidRPr="00B61B9D">
        <w:t xml:space="preserve">characteristics were representative of the intended patient population and allow the resultant data to be extrapolated to patients with endogenous </w:t>
      </w:r>
      <w:r w:rsidR="00541304" w:rsidRPr="00B61B9D">
        <w:t>Cushing’s syndrome</w:t>
      </w:r>
      <w:r w:rsidRPr="00B61B9D">
        <w:t>.</w:t>
      </w:r>
    </w:p>
    <w:p w14:paraId="2030C3BD" w14:textId="77777777" w:rsidR="00D25F84" w:rsidRPr="00B61B9D" w:rsidRDefault="00D25F84" w:rsidP="00D25F84">
      <w:r w:rsidRPr="00B61B9D">
        <w:t>Osilodrostat was generally well tolerated, and no new or unexpected safety findings were reported.</w:t>
      </w:r>
    </w:p>
    <w:p w14:paraId="09D1E18F" w14:textId="38D13FB1" w:rsidR="00D25F84" w:rsidRPr="00B61B9D" w:rsidRDefault="00D25F84" w:rsidP="00D25F84">
      <w:r w:rsidRPr="00B61B9D">
        <w:t>Anticipated AESI based on the mechanism of action of osilodrostat, were generally managed with dose reduction</w:t>
      </w:r>
      <w:r w:rsidR="005B68B0" w:rsidRPr="00B61B9D">
        <w:t xml:space="preserve"> or </w:t>
      </w:r>
      <w:r w:rsidRPr="00B61B9D">
        <w:t>interruption and/or concomitant medication.</w:t>
      </w:r>
    </w:p>
    <w:p w14:paraId="53C6F1C1" w14:textId="77777777" w:rsidR="00D25F84" w:rsidRPr="00B61B9D" w:rsidRDefault="00D25F84" w:rsidP="00D25F84">
      <w:r w:rsidRPr="00B61B9D">
        <w:t>Hypocortisolism and precursor accumulation events were the most reported AESI:</w:t>
      </w:r>
    </w:p>
    <w:p w14:paraId="12356BE8" w14:textId="44266CE1" w:rsidR="00D25F84" w:rsidRPr="00B61B9D" w:rsidRDefault="00D25F84" w:rsidP="00D25F84">
      <w:pPr>
        <w:pStyle w:val="ListBullet"/>
      </w:pPr>
      <w:r w:rsidRPr="00B61B9D">
        <w:t>Hypocortisolism occurred mostly as a single episode during the up-titration period and was successfully managed by dose reduction</w:t>
      </w:r>
      <w:r w:rsidR="005B68B0" w:rsidRPr="00B61B9D">
        <w:t xml:space="preserve"> or </w:t>
      </w:r>
      <w:r w:rsidRPr="00B61B9D">
        <w:t>interruption with or without administration of glucocorticoid replacement therapy; may be explained in part by its high efficacy and the protocol-defined titration process.</w:t>
      </w:r>
    </w:p>
    <w:p w14:paraId="26796140" w14:textId="0D757501" w:rsidR="00D25F84" w:rsidRPr="00B61B9D" w:rsidRDefault="00C411F5" w:rsidP="00D25F84">
      <w:pPr>
        <w:pStyle w:val="ListBullet"/>
      </w:pPr>
      <w:r w:rsidRPr="00B61B9D">
        <w:t>Hypokalaemia</w:t>
      </w:r>
      <w:r w:rsidR="00D25F84" w:rsidRPr="00B61B9D">
        <w:t xml:space="preserve"> was infrequently reported and was managed with additional therapy.</w:t>
      </w:r>
    </w:p>
    <w:p w14:paraId="1994900C" w14:textId="6BCFE505" w:rsidR="00D25F84" w:rsidRPr="00B61B9D" w:rsidRDefault="00D25F84" w:rsidP="00D25F84">
      <w:pPr>
        <w:pStyle w:val="ListBullet"/>
      </w:pPr>
      <w:r w:rsidRPr="00B61B9D">
        <w:t xml:space="preserve">Worsening of hypertension occurred in few patients with pre-existing medical history of hypertension and was managed by modification of hypertensive therapy. At the same time, in the overall study population, a decrease in </w:t>
      </w:r>
      <w:r w:rsidR="00C411F5" w:rsidRPr="00B61B9D">
        <w:t>systolic blood pressure</w:t>
      </w:r>
      <w:r w:rsidRPr="00B61B9D">
        <w:t xml:space="preserve"> and </w:t>
      </w:r>
      <w:r w:rsidR="00C411F5" w:rsidRPr="00B61B9D">
        <w:t>diastolic blood pressure</w:t>
      </w:r>
      <w:r w:rsidRPr="00B61B9D">
        <w:t xml:space="preserve"> was reported at the end of the </w:t>
      </w:r>
      <w:r w:rsidR="00EF0366" w:rsidRPr="00B61B9D">
        <w:t>core period</w:t>
      </w:r>
      <w:r w:rsidRPr="00B61B9D">
        <w:t>.</w:t>
      </w:r>
    </w:p>
    <w:p w14:paraId="7366CDE2" w14:textId="1F149C23" w:rsidR="00D25F84" w:rsidRPr="00B61B9D" w:rsidRDefault="00D25F84" w:rsidP="00D25F84">
      <w:r w:rsidRPr="00B61B9D">
        <w:t xml:space="preserve">Median pituitary </w:t>
      </w:r>
      <w:r w:rsidR="00633A16" w:rsidRPr="00B61B9D">
        <w:t>tumour</w:t>
      </w:r>
      <w:r w:rsidRPr="00B61B9D">
        <w:t xml:space="preserve"> volume remained stable during the </w:t>
      </w:r>
      <w:r w:rsidR="00EF0366" w:rsidRPr="00B61B9D">
        <w:t xml:space="preserve">core period </w:t>
      </w:r>
      <w:r w:rsidRPr="00B61B9D">
        <w:t xml:space="preserve">in patients with measurable </w:t>
      </w:r>
      <w:r w:rsidR="00633A16" w:rsidRPr="00B61B9D">
        <w:t>tumour</w:t>
      </w:r>
      <w:r w:rsidRPr="00B61B9D">
        <w:t xml:space="preserve"> at </w:t>
      </w:r>
      <w:r w:rsidR="00111716" w:rsidRPr="00B61B9D">
        <w:t>Baseline</w:t>
      </w:r>
      <w:r w:rsidRPr="00B61B9D">
        <w:t>.</w:t>
      </w:r>
    </w:p>
    <w:p w14:paraId="49F559C7" w14:textId="58A9D8FB" w:rsidR="00D25F84" w:rsidRPr="00B61B9D" w:rsidRDefault="00D25F84" w:rsidP="00D25F84">
      <w:r w:rsidRPr="00B61B9D">
        <w:t xml:space="preserve">There were no clinically relevant changes from </w:t>
      </w:r>
      <w:r w:rsidR="00111716" w:rsidRPr="00B61B9D">
        <w:t>Baseline</w:t>
      </w:r>
      <w:r w:rsidRPr="00B61B9D">
        <w:t xml:space="preserve"> in mean QTcF or in other mean </w:t>
      </w:r>
      <w:r w:rsidR="00425477" w:rsidRPr="00B61B9D">
        <w:t>electrocardiogram</w:t>
      </w:r>
      <w:r w:rsidRPr="00B61B9D">
        <w:t xml:space="preserve"> intervals.</w:t>
      </w:r>
    </w:p>
    <w:p w14:paraId="6481F8BD" w14:textId="4A268B46" w:rsidR="00D25F84" w:rsidRPr="00B61B9D" w:rsidRDefault="00D25F84" w:rsidP="00D25F84">
      <w:r w:rsidRPr="00B61B9D">
        <w:t>Liver enzyme elevations (&gt;</w:t>
      </w:r>
      <w:r w:rsidR="005B68B0" w:rsidRPr="00B61B9D">
        <w:t xml:space="preserve"> </w:t>
      </w:r>
      <w:r w:rsidRPr="00B61B9D">
        <w:t>3</w:t>
      </w:r>
      <w:r w:rsidR="00633A16" w:rsidRPr="00B61B9D">
        <w:t xml:space="preserve"> x </w:t>
      </w:r>
      <w:r w:rsidRPr="00B61B9D">
        <w:t>ULN) were infrequent, transient, reversed spontaneously or following dose adjustment and none led to treatment discontinuation. No Hy’s law cases occurred.</w:t>
      </w:r>
    </w:p>
    <w:p w14:paraId="69305581" w14:textId="3E938E5E" w:rsidR="00D25F84" w:rsidRPr="00B61B9D" w:rsidRDefault="00D25F84" w:rsidP="00D25F84">
      <w:r w:rsidRPr="00B61B9D">
        <w:lastRenderedPageBreak/>
        <w:t xml:space="preserve">Study data in non-Cushing </w:t>
      </w:r>
      <w:r w:rsidR="00633A16" w:rsidRPr="00B61B9D">
        <w:t xml:space="preserve">disease </w:t>
      </w:r>
      <w:r w:rsidRPr="00B61B9D">
        <w:t xml:space="preserve">Cushing </w:t>
      </w:r>
      <w:r w:rsidR="00C46D71" w:rsidRPr="00B61B9D">
        <w:t>sy</w:t>
      </w:r>
      <w:r w:rsidRPr="00B61B9D">
        <w:t>ndrome patients is still very limited but in combination with an acceptable mechanistic reasoning and a high unmet medical need currently results in a positive benefit-risk analysis. Safety in this population will be further studied in the post</w:t>
      </w:r>
      <w:r w:rsidR="00DA1EF3" w:rsidRPr="00B61B9D">
        <w:t>-</w:t>
      </w:r>
      <w:r w:rsidRPr="00B61B9D">
        <w:t>authorisation safety study (PASS).</w:t>
      </w:r>
    </w:p>
    <w:p w14:paraId="7E4D36D0" w14:textId="75DA5000" w:rsidR="00D25F84" w:rsidRPr="00B61B9D" w:rsidRDefault="00D25F84" w:rsidP="00D25F84">
      <w:r w:rsidRPr="00B61B9D">
        <w:t xml:space="preserve">The risk for </w:t>
      </w:r>
      <w:r w:rsidR="00D56EB9" w:rsidRPr="00B61B9D">
        <w:t>‘</w:t>
      </w:r>
      <w:r w:rsidRPr="00B61B9D">
        <w:t>objective</w:t>
      </w:r>
      <w:r w:rsidR="00D56EB9" w:rsidRPr="00B61B9D">
        <w:t>’</w:t>
      </w:r>
      <w:r w:rsidRPr="00B61B9D">
        <w:t xml:space="preserve"> events of hypocortisolism based on laboratory values and the frequency of these events including serious cases (like Addison crisis) in a </w:t>
      </w:r>
      <w:r w:rsidR="00DA1EF3" w:rsidRPr="00B61B9D">
        <w:t>real-life</w:t>
      </w:r>
      <w:r w:rsidRPr="00B61B9D">
        <w:t xml:space="preserve"> setting is uncertain. Hypocortisolism could lead to </w:t>
      </w:r>
      <w:r w:rsidR="00357C00">
        <w:t xml:space="preserve">a </w:t>
      </w:r>
      <w:r w:rsidRPr="00B61B9D">
        <w:t xml:space="preserve">fatal outcome </w:t>
      </w:r>
      <w:r w:rsidR="00357C00">
        <w:t xml:space="preserve">if left </w:t>
      </w:r>
      <w:r w:rsidRPr="00B61B9D">
        <w:t>untreated. The risk of hypocortisolism is considered manageable through careful titration, monitoring of cortisol levels and with osilodrostat dose decrease or interruption if necessary.</w:t>
      </w:r>
    </w:p>
    <w:p w14:paraId="733CBA8D" w14:textId="75D1EA73" w:rsidR="00D25F84" w:rsidRPr="00B61B9D" w:rsidRDefault="00D25F84" w:rsidP="00D25F84">
      <w:r w:rsidRPr="00B61B9D">
        <w:t>Osilodrostat has been shown to cause QT</w:t>
      </w:r>
      <w:r w:rsidR="00DA1EF3" w:rsidRPr="00B61B9D">
        <w:t xml:space="preserve"> </w:t>
      </w:r>
      <w:r w:rsidRPr="00B61B9D">
        <w:t xml:space="preserve">prolongation, although the overall incidence of clinically significant </w:t>
      </w:r>
      <w:r w:rsidR="00357C00">
        <w:t xml:space="preserve">prolongations in the </w:t>
      </w:r>
      <w:r w:rsidRPr="00B61B9D">
        <w:t>QT</w:t>
      </w:r>
      <w:r w:rsidR="00DA1EF3" w:rsidRPr="00B61B9D">
        <w:t xml:space="preserve"> </w:t>
      </w:r>
      <w:r w:rsidR="00357C00">
        <w:t xml:space="preserve">interval </w:t>
      </w:r>
      <w:r w:rsidRPr="00B61B9D">
        <w:t xml:space="preserve">in the clinical studies was low and only </w:t>
      </w:r>
      <w:r w:rsidR="00DA1EF3" w:rsidRPr="00B61B9D">
        <w:t>one</w:t>
      </w:r>
      <w:r w:rsidRPr="00B61B9D">
        <w:t xml:space="preserve"> patient discontinued the study drug due to </w:t>
      </w:r>
      <w:r w:rsidR="00357C00">
        <w:t>prolonged</w:t>
      </w:r>
      <w:r w:rsidR="00357C00" w:rsidRPr="00B61B9D">
        <w:t xml:space="preserve"> </w:t>
      </w:r>
      <w:r w:rsidRPr="00B61B9D">
        <w:t xml:space="preserve">QT </w:t>
      </w:r>
      <w:r w:rsidR="00357C00">
        <w:t>interval events</w:t>
      </w:r>
      <w:r w:rsidR="00357C00" w:rsidRPr="00B61B9D">
        <w:t xml:space="preserve"> </w:t>
      </w:r>
      <w:r w:rsidR="00357C00">
        <w:t xml:space="preserve">(on electrocardiogram), </w:t>
      </w:r>
      <w:r w:rsidRPr="00B61B9D">
        <w:t>while for 4</w:t>
      </w:r>
      <w:r w:rsidR="00DA1EF3" w:rsidRPr="00B61B9D">
        <w:t> </w:t>
      </w:r>
      <w:r w:rsidRPr="00B61B9D">
        <w:t>events osilodrostat was temporarily interrupted but re</w:t>
      </w:r>
      <w:r w:rsidR="00357C00">
        <w:noBreakHyphen/>
      </w:r>
      <w:r w:rsidRPr="00B61B9D">
        <w:t>initiated at the same or at reduced dose after which no new QT</w:t>
      </w:r>
      <w:r w:rsidR="00357C00">
        <w:t>-related</w:t>
      </w:r>
      <w:r w:rsidRPr="00B61B9D">
        <w:t xml:space="preserve"> event was reported. The risk of QT</w:t>
      </w:r>
      <w:r w:rsidR="00DA1EF3" w:rsidRPr="00B61B9D">
        <w:t xml:space="preserve"> </w:t>
      </w:r>
      <w:r w:rsidRPr="00B61B9D">
        <w:t xml:space="preserve">prolongation is manageable through </w:t>
      </w:r>
      <w:r w:rsidR="00425477" w:rsidRPr="00B61B9D">
        <w:t>electrocardiogram</w:t>
      </w:r>
      <w:r w:rsidRPr="00B61B9D">
        <w:t xml:space="preserve"> and electrolyte monitoring, and cardiology consultation if QTc &gt; 480 ms.</w:t>
      </w:r>
    </w:p>
    <w:p w14:paraId="3083CC07" w14:textId="1E684123" w:rsidR="00D25F84" w:rsidRPr="00B61B9D" w:rsidRDefault="00D25F84" w:rsidP="00D25F84">
      <w:r w:rsidRPr="00B61B9D">
        <w:t xml:space="preserve">There are still some uncertainties of importance regarding the secondary pharmacology effects of osilodrostat, </w:t>
      </w:r>
      <w:r w:rsidR="00111716" w:rsidRPr="00B61B9D">
        <w:t>for example</w:t>
      </w:r>
      <w:r w:rsidRPr="00B61B9D">
        <w:t xml:space="preserve">, effects on other hormones such as sex hormones. These effects together with the fact that osilodrostat has been shown to be teratogenic in nonclinical studies, has implications for the risk if osilodrostat is used in pregnancy. The Isturisa PI adequately addresses to mitigate the risk of negative effects on the fetus and the risk increased levels of testosterone. In addition, hormones of the </w:t>
      </w:r>
      <w:bookmarkStart w:id="66" w:name="_Hlk117258868"/>
      <w:r w:rsidR="00A27C75" w:rsidRPr="00A27C75">
        <w:t>hypothalamus</w:t>
      </w:r>
      <w:r w:rsidR="00A27C75">
        <w:noBreakHyphen/>
      </w:r>
      <w:r w:rsidR="00A27C75" w:rsidRPr="00A27C75">
        <w:t>pituitary</w:t>
      </w:r>
      <w:r w:rsidR="00A27C75">
        <w:noBreakHyphen/>
      </w:r>
      <w:r w:rsidR="00A27C75" w:rsidRPr="00A27C75">
        <w:t xml:space="preserve">adrenal </w:t>
      </w:r>
      <w:bookmarkEnd w:id="66"/>
      <w:r w:rsidRPr="00B61B9D">
        <w:t xml:space="preserve">axis including clinical consequences of increased sexual hormones will be followed up in the </w:t>
      </w:r>
      <w:r w:rsidR="00E72CD4" w:rsidRPr="00B61B9D">
        <w:t>PASS</w:t>
      </w:r>
      <w:r w:rsidRPr="00B61B9D">
        <w:t xml:space="preserve">. Overall, </w:t>
      </w:r>
      <w:r w:rsidR="00E630F0" w:rsidRPr="00B61B9D">
        <w:t>adrenocorticotropic hormone (</w:t>
      </w:r>
      <w:r w:rsidRPr="00B61B9D">
        <w:t>ACTH</w:t>
      </w:r>
      <w:r w:rsidR="00E630F0" w:rsidRPr="00B61B9D">
        <w:t>)</w:t>
      </w:r>
      <w:r w:rsidRPr="00B61B9D">
        <w:t xml:space="preserve"> levels were increased and although mean levels show modest increases below the threshold of clinical concern, individual patients may have ACTH values that are above the ULN.</w:t>
      </w:r>
    </w:p>
    <w:p w14:paraId="3E1A2513" w14:textId="77777777" w:rsidR="0074163C" w:rsidRPr="00B61B9D" w:rsidRDefault="0074163C" w:rsidP="0074163C">
      <w:pPr>
        <w:pStyle w:val="Heading4"/>
      </w:pPr>
      <w:bookmarkStart w:id="67" w:name="_Toc98931933"/>
      <w:r w:rsidRPr="00B61B9D">
        <w:t>Proposed action</w:t>
      </w:r>
      <w:bookmarkEnd w:id="67"/>
    </w:p>
    <w:p w14:paraId="3C859735" w14:textId="111C4148" w:rsidR="00D25F84" w:rsidRPr="00B61B9D" w:rsidRDefault="00D25F84" w:rsidP="00D25F84">
      <w:r w:rsidRPr="00B61B9D">
        <w:t xml:space="preserve">Overall, the </w:t>
      </w:r>
      <w:r w:rsidR="00357C00">
        <w:t>pharmacokinetics</w:t>
      </w:r>
      <w:r w:rsidR="00357C00" w:rsidRPr="00B61B9D">
        <w:t xml:space="preserve"> </w:t>
      </w:r>
      <w:r w:rsidRPr="00B61B9D">
        <w:t>of osilodrostat have been well described but data are missing following repeated dosing on major metabolites. The data on osilodrostat as a potential perpetrator with respect to drug-drug</w:t>
      </w:r>
      <w:r w:rsidR="00DA1EF3" w:rsidRPr="00B61B9D">
        <w:t xml:space="preserve"> </w:t>
      </w:r>
      <w:r w:rsidRPr="00B61B9D">
        <w:t>interactions are very limited. The mechanism of action and the primary pharmacology for osilodrostat have been adequately described and the primary pharmacology data are further supported by the clinical data. The secondary pharmacology and its implications for safety is adequately reflected in the PI.</w:t>
      </w:r>
    </w:p>
    <w:p w14:paraId="6C06A7BD" w14:textId="35E975EC" w:rsidR="00D25F84" w:rsidRPr="00B61B9D" w:rsidRDefault="00D25F84" w:rsidP="00D25F84">
      <w:r w:rsidRPr="00B61B9D">
        <w:t>The results efficacy results from the submitted data demonstrate that osilodrostat is effective in rapidly achieving biochemical control of the disease, which was associated with improvement in clinical signs, symptoms of hypercortisolism, cardiovascular parameters, comorbidities (</w:t>
      </w:r>
      <w:r w:rsidR="00D058EF" w:rsidRPr="00B61B9D">
        <w:t>bone mineral density</w:t>
      </w:r>
      <w:r w:rsidRPr="00B61B9D">
        <w:t>, depression</w:t>
      </w:r>
      <w:r w:rsidR="00633A16" w:rsidRPr="00B61B9D">
        <w:t xml:space="preserve"> and so on</w:t>
      </w:r>
      <w:r w:rsidRPr="00B61B9D">
        <w:t xml:space="preserve">) and </w:t>
      </w:r>
      <w:r w:rsidR="00D058EF" w:rsidRPr="00B61B9D">
        <w:t>quality of life</w:t>
      </w:r>
      <w:r w:rsidRPr="00B61B9D">
        <w:t xml:space="preserve"> The data from the pivotal study show that osilodrostat is efficient in lowering the m</w:t>
      </w:r>
      <w:r w:rsidR="00357C00">
        <w:t xml:space="preserve">ean </w:t>
      </w:r>
      <w:r w:rsidRPr="00B61B9D">
        <w:t xml:space="preserve">UFC in patients with </w:t>
      </w:r>
      <w:r w:rsidR="00CA27DB" w:rsidRPr="00B61B9D">
        <w:t>Cushing’s disease</w:t>
      </w:r>
      <w:r w:rsidRPr="00B61B9D">
        <w:t xml:space="preserve"> and that the effect is maintained up to at least 48 weeks without indications of </w:t>
      </w:r>
      <w:r w:rsidR="00D56EB9" w:rsidRPr="00B61B9D">
        <w:t>‘</w:t>
      </w:r>
      <w:r w:rsidRPr="00B61B9D">
        <w:t>escape</w:t>
      </w:r>
      <w:r w:rsidR="00D56EB9" w:rsidRPr="00B61B9D">
        <w:t>’</w:t>
      </w:r>
      <w:r w:rsidR="00357C00">
        <w:t xml:space="preserve"> (that is, </w:t>
      </w:r>
      <w:r w:rsidR="008B3BBB">
        <w:t>loss</w:t>
      </w:r>
      <w:r w:rsidR="00357C00">
        <w:t xml:space="preserve"> of treatment effect)</w:t>
      </w:r>
      <w:r w:rsidRPr="00B61B9D">
        <w:t>. The response rate of about 70% is considered clinically relevant. Secondary endpoints on cardiovascular</w:t>
      </w:r>
      <w:r w:rsidR="00654828" w:rsidRPr="00B61B9D">
        <w:t>-</w:t>
      </w:r>
      <w:r w:rsidRPr="00B61B9D">
        <w:t xml:space="preserve">related metabolic parameters, physical features of hypercortisolism and </w:t>
      </w:r>
      <w:r w:rsidR="00D058EF" w:rsidRPr="00B61B9D">
        <w:t>bone mineral density</w:t>
      </w:r>
      <w:r w:rsidRPr="00B61B9D">
        <w:t xml:space="preserve"> indicate further beneficial effects of treatment. Limited long</w:t>
      </w:r>
      <w:r w:rsidR="00F85EF8" w:rsidRPr="00B61B9D">
        <w:noBreakHyphen/>
      </w:r>
      <w:r w:rsidRPr="00B61B9D">
        <w:t>term data indicate that the effect of osilodrostat can be maintained over time.</w:t>
      </w:r>
    </w:p>
    <w:p w14:paraId="565DF58B" w14:textId="69F76574" w:rsidR="00D25F84" w:rsidRPr="00B61B9D" w:rsidRDefault="00D25F84" w:rsidP="00D25F84">
      <w:r w:rsidRPr="00B61B9D">
        <w:t>The small study in non-</w:t>
      </w:r>
      <w:r w:rsidR="00CA27DB" w:rsidRPr="00B61B9D">
        <w:t>Cushing’s disease</w:t>
      </w:r>
      <w:r w:rsidRPr="00B61B9D">
        <w:t xml:space="preserve"> </w:t>
      </w:r>
      <w:r w:rsidR="00541304" w:rsidRPr="00B61B9D">
        <w:t>Cushing’s syndrome</w:t>
      </w:r>
      <w:r w:rsidRPr="00B61B9D">
        <w:t xml:space="preserve"> provide support for the adequacy of extrapolating efficacy data from patients with </w:t>
      </w:r>
      <w:r w:rsidR="00CA27DB" w:rsidRPr="00B61B9D">
        <w:t>Cushing’s disease</w:t>
      </w:r>
      <w:r w:rsidRPr="00B61B9D">
        <w:t xml:space="preserve"> to patients with non-</w:t>
      </w:r>
      <w:r w:rsidR="00CA27DB" w:rsidRPr="00B61B9D">
        <w:t>Cushing’s disease</w:t>
      </w:r>
      <w:r w:rsidRPr="00B61B9D">
        <w:t xml:space="preserve"> </w:t>
      </w:r>
      <w:r w:rsidR="00541304" w:rsidRPr="00B61B9D">
        <w:t>Cushing’s syndrome</w:t>
      </w:r>
      <w:r w:rsidRPr="00B61B9D">
        <w:t xml:space="preserve">, taking the knowledge on the mechanism </w:t>
      </w:r>
      <w:r w:rsidRPr="00B61B9D">
        <w:lastRenderedPageBreak/>
        <w:t>of action into account. Thus, the overall data support the use of osilodrostat in the proposed target population.</w:t>
      </w:r>
    </w:p>
    <w:p w14:paraId="6DA1C74F" w14:textId="2FD4C45D" w:rsidR="00D25F84" w:rsidRPr="00B61B9D" w:rsidRDefault="00D25F84" w:rsidP="00D25F84">
      <w:r w:rsidRPr="00B61B9D">
        <w:t>The population with Cushing</w:t>
      </w:r>
      <w:r w:rsidR="00357C00">
        <w:t>’s</w:t>
      </w:r>
      <w:r w:rsidRPr="00B61B9D">
        <w:t xml:space="preserve"> disease has several co-morbidities and it can be challenging to distinguish these symptoms from </w:t>
      </w:r>
      <w:r w:rsidR="005F47D9" w:rsidRPr="00B61B9D">
        <w:t>AE</w:t>
      </w:r>
      <w:r w:rsidRPr="00B61B9D">
        <w:t xml:space="preserve">s related to treatment. Adverse events were reported in almost all subjects and most reported were PTs related to </w:t>
      </w:r>
      <w:r w:rsidR="00F85EF8" w:rsidRPr="00B61B9D">
        <w:t>gastrointestinal</w:t>
      </w:r>
      <w:r w:rsidRPr="00B61B9D">
        <w:t xml:space="preserve"> events. The most common reported events were nausea, fatigue, and headache.</w:t>
      </w:r>
    </w:p>
    <w:p w14:paraId="72681E87" w14:textId="4EDDBEA8" w:rsidR="00D25F84" w:rsidRPr="00B61B9D" w:rsidRDefault="00D25F84" w:rsidP="00D25F84">
      <w:r w:rsidRPr="00B61B9D">
        <w:t>Hypocortisolism</w:t>
      </w:r>
      <w:r w:rsidR="00654828" w:rsidRPr="00B61B9D">
        <w:t>-</w:t>
      </w:r>
      <w:r w:rsidRPr="00B61B9D">
        <w:t>related AEs which were reported in high frequencies (51% in the pivotal study) especially during the titration phase. QT</w:t>
      </w:r>
      <w:r w:rsidR="00DA1EF3" w:rsidRPr="00B61B9D">
        <w:t xml:space="preserve"> </w:t>
      </w:r>
      <w:r w:rsidRPr="00B61B9D">
        <w:t xml:space="preserve">prolongations and </w:t>
      </w:r>
      <w:r w:rsidR="005F47D9" w:rsidRPr="00B61B9D">
        <w:t>AE</w:t>
      </w:r>
      <w:r w:rsidRPr="00B61B9D">
        <w:t>s related to adrenal precursor accumulation were also reported. Notably, subjects with risk factors for QT</w:t>
      </w:r>
      <w:r w:rsidR="00DA1EF3" w:rsidRPr="00B61B9D">
        <w:t xml:space="preserve"> </w:t>
      </w:r>
      <w:r w:rsidRPr="00B61B9D">
        <w:t>prolongations including several cardiovascular diseases were excluded in the clinical trials. These two major safety concerns (hypocortisolism and QT prolongations) can be serious and potentially life-threatening, if not adequately managed. Specific monitoring and in some cases temporary dose reduction or interruption, or discontinuation of osilodrostat is required in these cases. Patients will be further followed up in a real-life post-marketing setting in the form of</w:t>
      </w:r>
      <w:r w:rsidR="00357C00">
        <w:t xml:space="preserve"> post-authorisation safety studies</w:t>
      </w:r>
      <w:r w:rsidRPr="00B61B9D">
        <w:t xml:space="preserve"> </w:t>
      </w:r>
      <w:r w:rsidR="00357C00">
        <w:t>(</w:t>
      </w:r>
      <w:r w:rsidRPr="00B61B9D">
        <w:t>PASS</w:t>
      </w:r>
      <w:r w:rsidR="00357C00">
        <w:t>)</w:t>
      </w:r>
      <w:r w:rsidRPr="00B61B9D">
        <w:t xml:space="preserve">, also including a specific follow-up of hormones of the </w:t>
      </w:r>
      <w:r w:rsidR="00A27C75" w:rsidRPr="00A27C75">
        <w:t>hypothalamus pituitary adrenal</w:t>
      </w:r>
      <w:r w:rsidR="00EB56F9" w:rsidRPr="00B61B9D">
        <w:t xml:space="preserve"> </w:t>
      </w:r>
      <w:r w:rsidRPr="00B61B9D">
        <w:t xml:space="preserve">axis (including </w:t>
      </w:r>
      <w:r w:rsidR="00A27C75" w:rsidRPr="00A27C75">
        <w:t xml:space="preserve">adrenocorticotropic hormone </w:t>
      </w:r>
      <w:r w:rsidRPr="00B61B9D">
        <w:t>increase) and clinical consequences of increased sexual hormones. Use in non-</w:t>
      </w:r>
      <w:r w:rsidR="00CA27DB" w:rsidRPr="00B61B9D">
        <w:t>Cushing’s disease</w:t>
      </w:r>
      <w:r w:rsidRPr="00B61B9D">
        <w:t xml:space="preserve"> </w:t>
      </w:r>
      <w:r w:rsidR="00541304" w:rsidRPr="00B61B9D">
        <w:t>Cushing’s syndrome</w:t>
      </w:r>
      <w:r w:rsidRPr="00B61B9D">
        <w:t xml:space="preserve"> subjects is limited and will also be further evaluated and followed in the PASS studies.</w:t>
      </w:r>
    </w:p>
    <w:p w14:paraId="1F681290" w14:textId="099E4EA1" w:rsidR="00D25F84" w:rsidRPr="00B61B9D" w:rsidRDefault="00D25F84" w:rsidP="00D25F84">
      <w:r w:rsidRPr="00B61B9D">
        <w:t xml:space="preserve">Based on the overall review of data on nonclinical, quality, safety and efficacy, </w:t>
      </w:r>
      <w:r w:rsidR="00717305">
        <w:t>the</w:t>
      </w:r>
      <w:r w:rsidR="00357C00" w:rsidRPr="00B61B9D">
        <w:t xml:space="preserve"> </w:t>
      </w:r>
      <w:r w:rsidR="00357C00">
        <w:t>D</w:t>
      </w:r>
      <w:r w:rsidRPr="00B61B9D">
        <w:t xml:space="preserve">elegate considers that the benefit-risk balance of Isturisa is </w:t>
      </w:r>
      <w:r w:rsidR="00F85EF8" w:rsidRPr="00B61B9D">
        <w:t>favourable,</w:t>
      </w:r>
      <w:r w:rsidRPr="00B61B9D">
        <w:t xml:space="preserve"> and approval can be granted for the following indication:</w:t>
      </w:r>
    </w:p>
    <w:p w14:paraId="26B6BED4" w14:textId="6064D6AF" w:rsidR="00D25F84" w:rsidRPr="00B61B9D" w:rsidRDefault="00D25F84" w:rsidP="00F85EF8">
      <w:pPr>
        <w:ind w:left="720"/>
        <w:rPr>
          <w:i/>
          <w:iCs/>
        </w:rPr>
      </w:pPr>
      <w:bookmarkStart w:id="68" w:name="_Toc12019960"/>
      <w:r w:rsidRPr="00B61B9D">
        <w:rPr>
          <w:i/>
          <w:iCs/>
        </w:rPr>
        <w:t>Isturisa is indicated for the treatment of endogenous Cushing’s syndrome in adults.</w:t>
      </w:r>
      <w:bookmarkEnd w:id="68"/>
    </w:p>
    <w:p w14:paraId="6F926069" w14:textId="77777777" w:rsidR="0074163C" w:rsidRPr="00B61B9D" w:rsidRDefault="0074163C" w:rsidP="0074163C">
      <w:pPr>
        <w:pStyle w:val="Heading4"/>
      </w:pPr>
      <w:bookmarkStart w:id="69" w:name="_Toc98931936"/>
      <w:bookmarkStart w:id="70" w:name="_Toc247691532"/>
      <w:bookmarkStart w:id="71" w:name="_Toc314842516"/>
      <w:bookmarkEnd w:id="34"/>
      <w:bookmarkEnd w:id="59"/>
      <w:bookmarkEnd w:id="60"/>
      <w:r w:rsidRPr="00B61B9D">
        <w:t>Advisory Committee considerations</w:t>
      </w:r>
      <w:bookmarkEnd w:id="69"/>
    </w:p>
    <w:p w14:paraId="29A966F3" w14:textId="026716E4" w:rsidR="0074163C" w:rsidRPr="00B61B9D" w:rsidRDefault="0074163C" w:rsidP="0074163C">
      <w:r w:rsidRPr="00B61B9D">
        <w:t xml:space="preserve">The Delegate did not refer this </w:t>
      </w:r>
      <w:r w:rsidR="00BB0B78" w:rsidRPr="00B61B9D">
        <w:t>submission</w:t>
      </w:r>
      <w:r w:rsidRPr="00B61B9D">
        <w:t xml:space="preserve"> to the Advisory Committee on Medicines (ACM) for advice.</w:t>
      </w:r>
    </w:p>
    <w:p w14:paraId="62DF4A52" w14:textId="77777777" w:rsidR="008E7846" w:rsidRPr="00B61B9D" w:rsidRDefault="008E7846" w:rsidP="00D212F3">
      <w:pPr>
        <w:pStyle w:val="Heading2"/>
      </w:pPr>
      <w:bookmarkStart w:id="72" w:name="_Toc117259888"/>
      <w:r w:rsidRPr="00B61B9D">
        <w:t>Outcome</w:t>
      </w:r>
      <w:bookmarkEnd w:id="70"/>
      <w:bookmarkEnd w:id="71"/>
      <w:bookmarkEnd w:id="72"/>
    </w:p>
    <w:p w14:paraId="2B332806" w14:textId="6DFFD68A" w:rsidR="0074163C" w:rsidRPr="00B61B9D" w:rsidRDefault="0074163C" w:rsidP="0074163C">
      <w:bookmarkStart w:id="73" w:name="_Toc247691533"/>
      <w:bookmarkStart w:id="74" w:name="_Toc314842517"/>
      <w:r w:rsidRPr="00B61B9D">
        <w:t xml:space="preserve">Based on a review of quality, </w:t>
      </w:r>
      <w:r w:rsidR="00CC5044" w:rsidRPr="00B61B9D">
        <w:t>safety,</w:t>
      </w:r>
      <w:r w:rsidRPr="00B61B9D">
        <w:t xml:space="preserve"> and efficacy, the TGA approved the registration of </w:t>
      </w:r>
      <w:r w:rsidR="00D25F84" w:rsidRPr="00B61B9D">
        <w:t xml:space="preserve">Isturisa </w:t>
      </w:r>
      <w:r w:rsidRPr="00B61B9D">
        <w:t>(</w:t>
      </w:r>
      <w:r w:rsidR="00D25F84" w:rsidRPr="00B61B9D">
        <w:t>Osilodrostat</w:t>
      </w:r>
      <w:r w:rsidRPr="00B61B9D">
        <w:t xml:space="preserve">) </w:t>
      </w:r>
      <w:r w:rsidR="00D25F84" w:rsidRPr="00B61B9D">
        <w:t>1 mg, 5 mg and 10 mg</w:t>
      </w:r>
      <w:r w:rsidRPr="00B61B9D">
        <w:t xml:space="preserve">, </w:t>
      </w:r>
      <w:r w:rsidR="00D25F84" w:rsidRPr="00B61B9D">
        <w:t>film</w:t>
      </w:r>
      <w:r w:rsidR="00541304" w:rsidRPr="00B61B9D">
        <w:t>-</w:t>
      </w:r>
      <w:r w:rsidR="00D25F84" w:rsidRPr="00B61B9D">
        <w:t>coated tablet</w:t>
      </w:r>
      <w:r w:rsidRPr="00B61B9D">
        <w:t xml:space="preserve">, </w:t>
      </w:r>
      <w:r w:rsidR="00D25F84" w:rsidRPr="00B61B9D">
        <w:t>blister pack</w:t>
      </w:r>
      <w:r w:rsidRPr="00B61B9D">
        <w:t>, indicated for:</w:t>
      </w:r>
    </w:p>
    <w:p w14:paraId="14E13D24" w14:textId="77777777" w:rsidR="00D25F84" w:rsidRPr="00B61B9D" w:rsidRDefault="00D25F84" w:rsidP="00D25F84">
      <w:pPr>
        <w:ind w:left="720"/>
        <w:rPr>
          <w:i/>
          <w:iCs/>
        </w:rPr>
      </w:pPr>
      <w:r w:rsidRPr="00B61B9D">
        <w:rPr>
          <w:i/>
          <w:iCs/>
        </w:rPr>
        <w:t>Isturisa is indicated for the treatment of endogenous Cushing’s syndrome in adults.</w:t>
      </w:r>
    </w:p>
    <w:p w14:paraId="55C96E43" w14:textId="77777777" w:rsidR="00D23139" w:rsidRPr="00B61B9D" w:rsidRDefault="00D23139" w:rsidP="00D212F3">
      <w:pPr>
        <w:pStyle w:val="Heading3"/>
      </w:pPr>
      <w:bookmarkStart w:id="75" w:name="_Toc117259889"/>
      <w:r w:rsidRPr="00B61B9D">
        <w:t>Specific conditions of registration applying to these goods</w:t>
      </w:r>
      <w:bookmarkEnd w:id="75"/>
    </w:p>
    <w:p w14:paraId="214C6EEE" w14:textId="243B8B09" w:rsidR="00BE4090" w:rsidRPr="00B61B9D" w:rsidRDefault="00BE4090" w:rsidP="00BE4090">
      <w:pPr>
        <w:pStyle w:val="ListBullet"/>
      </w:pPr>
      <w:r w:rsidRPr="00B61B9D">
        <w:t>Osilodrostat (Isturisa) is to be included in the Black Triangle Scheme. The PI and CMI for Isturisa must include the black triangle symbol and mandatory accompanying text for five years, which starts from the date that the sponsor notifies the TGA of supply of the product.</w:t>
      </w:r>
    </w:p>
    <w:p w14:paraId="1DC9B1CC" w14:textId="44C620B8" w:rsidR="00BE4090" w:rsidRPr="00B61B9D" w:rsidRDefault="00BE4090" w:rsidP="00BE4090">
      <w:pPr>
        <w:pStyle w:val="ListBullet"/>
      </w:pPr>
      <w:r w:rsidRPr="00B61B9D">
        <w:t>The Isturisa EU-</w:t>
      </w:r>
      <w:r w:rsidR="00F85EF8" w:rsidRPr="00B61B9D">
        <w:t>risk management plan</w:t>
      </w:r>
      <w:r w:rsidRPr="00B61B9D">
        <w:t xml:space="preserve"> (RMP) (version 1.2, dated 25 November 2021, data lock point 8 July 2021), with Australian </w:t>
      </w:r>
      <w:r w:rsidR="00F85EF8" w:rsidRPr="00B61B9D">
        <w:t xml:space="preserve">specific annex </w:t>
      </w:r>
      <w:r w:rsidRPr="00B61B9D">
        <w:t xml:space="preserve">(version 1.3, dated 9 March 2022), included with </w:t>
      </w:r>
      <w:r w:rsidR="00F85EF8" w:rsidRPr="00B61B9D">
        <w:t xml:space="preserve">Submission </w:t>
      </w:r>
      <w:r w:rsidRPr="00B61B9D">
        <w:t>PM-2021-02641-1-5, and any subsequent revisions, as agreed with the TGA will be implemented in Australia.</w:t>
      </w:r>
    </w:p>
    <w:p w14:paraId="6370A2ED" w14:textId="5DB6AD12" w:rsidR="00BE4090" w:rsidRPr="00B61B9D" w:rsidRDefault="00BE4090" w:rsidP="00BE4090">
      <w:pPr>
        <w:pStyle w:val="ListBullet"/>
        <w:numPr>
          <w:ilvl w:val="0"/>
          <w:numId w:val="0"/>
        </w:numPr>
        <w:ind w:left="360"/>
      </w:pPr>
      <w:r w:rsidRPr="00B61B9D">
        <w:t>An obligatory component of risk management plans is routine pharmacovigilance. Routine pharmacovigilance includes the submission of periodic safety update reports (PSURs).</w:t>
      </w:r>
    </w:p>
    <w:p w14:paraId="1AD52012" w14:textId="16F4A252" w:rsidR="00BE4090" w:rsidRPr="00B61B9D" w:rsidRDefault="00BE4090" w:rsidP="00BE4090">
      <w:pPr>
        <w:pStyle w:val="ListBullet"/>
        <w:numPr>
          <w:ilvl w:val="0"/>
          <w:numId w:val="0"/>
        </w:numPr>
        <w:ind w:left="360"/>
      </w:pPr>
      <w:r w:rsidRPr="00B61B9D">
        <w:lastRenderedPageBreak/>
        <w:t xml:space="preserve">Reports are to be provided in line with the current published list of EU reference dates and frequency of submission of PSURs until the period covered by such reports is not less than three years from the date of </w:t>
      </w:r>
      <w:r w:rsidR="00F85EF8" w:rsidRPr="00B61B9D">
        <w:t>the</w:t>
      </w:r>
      <w:r w:rsidRPr="00B61B9D">
        <w:t xml:space="preserve"> approval letter.</w:t>
      </w:r>
    </w:p>
    <w:p w14:paraId="7D3C1FF0" w14:textId="2A1B09B8" w:rsidR="00BE4090" w:rsidRPr="00B61B9D" w:rsidRDefault="00BE4090" w:rsidP="00BE4090">
      <w:pPr>
        <w:pStyle w:val="ListBullet"/>
        <w:numPr>
          <w:ilvl w:val="0"/>
          <w:numId w:val="0"/>
        </w:numPr>
        <w:ind w:left="360"/>
      </w:pPr>
      <w:r w:rsidRPr="00B61B9D">
        <w:t xml:space="preserve">The reports are to at least meet the requirements for PSURs as described in the European Medicines Agency’s Guideline on </w:t>
      </w:r>
      <w:r w:rsidR="00F85EF8" w:rsidRPr="00B61B9D">
        <w:t xml:space="preserve">Good Pharmacovigilance Practices </w:t>
      </w:r>
      <w:r w:rsidRPr="00B61B9D">
        <w:t>(GVP) Module VII-periodic safety update report (Rev 1), Part VII.B Structures and processes. Note that submission of a PSUR does not constitute an application to vary the registration.</w:t>
      </w:r>
    </w:p>
    <w:p w14:paraId="5B08589C" w14:textId="0817D30B" w:rsidR="00BE4090" w:rsidRPr="00B61B9D" w:rsidRDefault="00BE4090" w:rsidP="00BE4090">
      <w:pPr>
        <w:pStyle w:val="ListBullet"/>
      </w:pPr>
      <w:r w:rsidRPr="00B61B9D">
        <w:t>The sponsor should submit the data from PASS study when available. This should be submitted as a new application.</w:t>
      </w:r>
    </w:p>
    <w:p w14:paraId="301B7B11" w14:textId="77777777" w:rsidR="008E7846" w:rsidRPr="00B61B9D" w:rsidRDefault="00A80B5B" w:rsidP="00D23139">
      <w:pPr>
        <w:pStyle w:val="Heading2"/>
      </w:pPr>
      <w:bookmarkStart w:id="76" w:name="_Toc117259890"/>
      <w:r w:rsidRPr="00B61B9D">
        <w:t xml:space="preserve">Attachment 1. </w:t>
      </w:r>
      <w:r w:rsidR="008E7846" w:rsidRPr="00B61B9D">
        <w:t xml:space="preserve">Product </w:t>
      </w:r>
      <w:r w:rsidR="00AA0ED0" w:rsidRPr="00B61B9D">
        <w:t>I</w:t>
      </w:r>
      <w:r w:rsidR="008E7846" w:rsidRPr="00B61B9D">
        <w:t>nformation</w:t>
      </w:r>
      <w:bookmarkEnd w:id="73"/>
      <w:bookmarkEnd w:id="74"/>
      <w:bookmarkEnd w:id="76"/>
    </w:p>
    <w:p w14:paraId="294D03EF" w14:textId="167F5344" w:rsidR="00523A21" w:rsidRPr="00B61B9D" w:rsidRDefault="006136D7" w:rsidP="00C80137">
      <w:r w:rsidRPr="00B61B9D">
        <w:t xml:space="preserve">The PI for </w:t>
      </w:r>
      <w:r w:rsidR="00D25F84" w:rsidRPr="00B61B9D">
        <w:t xml:space="preserve">Isturisa </w:t>
      </w:r>
      <w:r w:rsidRPr="00B61B9D">
        <w:t>approved with the submission which is described in this AusPAR is at Attachment 1.</w:t>
      </w:r>
      <w:r w:rsidR="00CC5044" w:rsidRPr="00B61B9D">
        <w:t xml:space="preserve"> </w:t>
      </w:r>
      <w:r w:rsidR="0074163C" w:rsidRPr="00B61B9D">
        <w:t xml:space="preserve">For the most recent PI, please refer to the TGA </w:t>
      </w:r>
      <w:hyperlink r:id="rId37" w:history="1">
        <w:r w:rsidR="0074163C" w:rsidRPr="00B61B9D">
          <w:rPr>
            <w:rStyle w:val="Hyperlink"/>
          </w:rPr>
          <w:t>PI/CMI search facility</w:t>
        </w:r>
        <w:r w:rsidR="0074163C" w:rsidRPr="00B61B9D">
          <w:rPr>
            <w:rStyle w:val="Hyperlink"/>
            <w:color w:val="auto"/>
            <w:u w:val="none"/>
          </w:rPr>
          <w:t>.</w:t>
        </w:r>
      </w:hyperlink>
    </w:p>
    <w:p w14:paraId="42872C0A" w14:textId="3A5CC9F6" w:rsidR="00744121" w:rsidRPr="00B61B9D" w:rsidRDefault="00744121" w:rsidP="00744121"/>
    <w:p w14:paraId="56B1571F" w14:textId="77777777" w:rsidR="00C80137" w:rsidRPr="00B61B9D" w:rsidRDefault="00C80137" w:rsidP="003A7F6C">
      <w:pPr>
        <w:pStyle w:val="TableTitle"/>
        <w:sectPr w:rsidR="00C80137" w:rsidRPr="00B61B9D"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B61B9D" w14:paraId="6F7F1778" w14:textId="77777777" w:rsidTr="00A05FA4">
        <w:trPr>
          <w:trHeight w:hRule="exact" w:val="704"/>
        </w:trPr>
        <w:tc>
          <w:tcPr>
            <w:tcW w:w="9175" w:type="dxa"/>
          </w:tcPr>
          <w:p w14:paraId="6C6811C8" w14:textId="77777777" w:rsidR="001C32CD" w:rsidRPr="00B61B9D" w:rsidRDefault="001C32CD" w:rsidP="00A05FA4">
            <w:pPr>
              <w:pStyle w:val="TGASignoff"/>
            </w:pPr>
            <w:r w:rsidRPr="00B61B9D">
              <w:lastRenderedPageBreak/>
              <w:t>Therapeutic Goods Administration</w:t>
            </w:r>
          </w:p>
        </w:tc>
      </w:tr>
      <w:tr w:rsidR="001C32CD" w:rsidRPr="004C239D" w14:paraId="11D1CE6D" w14:textId="77777777" w:rsidTr="00A05FA4">
        <w:trPr>
          <w:trHeight w:val="1221"/>
        </w:trPr>
        <w:tc>
          <w:tcPr>
            <w:tcW w:w="9175" w:type="dxa"/>
            <w:tcMar>
              <w:top w:w="28" w:type="dxa"/>
            </w:tcMar>
          </w:tcPr>
          <w:p w14:paraId="79B4537F" w14:textId="77777777" w:rsidR="001C32CD" w:rsidRPr="00B61B9D" w:rsidRDefault="001C32CD" w:rsidP="00A05FA4">
            <w:pPr>
              <w:pStyle w:val="Address"/>
            </w:pPr>
            <w:r w:rsidRPr="00B61B9D">
              <w:t>PO Box 100 Woden ACT 2606 Australia</w:t>
            </w:r>
          </w:p>
          <w:p w14:paraId="15F4278D" w14:textId="2DAA2136" w:rsidR="001C32CD" w:rsidRPr="00B61B9D" w:rsidRDefault="001C32CD" w:rsidP="00A05FA4">
            <w:pPr>
              <w:pStyle w:val="Address"/>
            </w:pPr>
            <w:r w:rsidRPr="00B61B9D">
              <w:t xml:space="preserve">Email: </w:t>
            </w:r>
            <w:hyperlink r:id="rId42" w:history="1">
              <w:r w:rsidRPr="00B61B9D">
                <w:rPr>
                  <w:rStyle w:val="Hyperlink"/>
                </w:rPr>
                <w:t>info@tga.gov.au</w:t>
              </w:r>
            </w:hyperlink>
            <w:r w:rsidRPr="00B61B9D">
              <w:t xml:space="preserve">  Phone: 1800 020 653  Fax: 02 6232 8605</w:t>
            </w:r>
          </w:p>
          <w:p w14:paraId="529DFBCD" w14:textId="72C8CF5C" w:rsidR="001C32CD" w:rsidRPr="004C239D" w:rsidRDefault="00A12D67" w:rsidP="00A05FA4">
            <w:pPr>
              <w:pStyle w:val="Address"/>
              <w:spacing w:line="260" w:lineRule="atLeast"/>
              <w:rPr>
                <w:b/>
                <w:color w:val="0000FF"/>
                <w:u w:val="single"/>
              </w:rPr>
            </w:pPr>
            <w:hyperlink r:id="rId43" w:history="1">
              <w:r w:rsidR="007C6B9B" w:rsidRPr="00B61B9D">
                <w:rPr>
                  <w:rStyle w:val="Hyperlink"/>
                  <w:b/>
                </w:rPr>
                <w:t>https://www.tga.gov.au</w:t>
              </w:r>
            </w:hyperlink>
          </w:p>
        </w:tc>
      </w:tr>
    </w:tbl>
    <w:p w14:paraId="38E8F51A"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758CC" w14:textId="77777777" w:rsidR="00732EAB" w:rsidRDefault="00732EAB" w:rsidP="00C40A36">
      <w:pPr>
        <w:spacing w:after="0"/>
      </w:pPr>
      <w:r>
        <w:separator/>
      </w:r>
    </w:p>
  </w:endnote>
  <w:endnote w:type="continuationSeparator" w:id="0">
    <w:p w14:paraId="25E44ABF" w14:textId="77777777" w:rsidR="00732EAB" w:rsidRDefault="00732EA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32EAB" w:rsidRPr="00487162" w14:paraId="0B215E10" w14:textId="77777777" w:rsidTr="00DB750B">
      <w:trPr>
        <w:trHeight w:val="269"/>
      </w:trPr>
      <w:tc>
        <w:tcPr>
          <w:tcW w:w="7371" w:type="dxa"/>
          <w:tcMar>
            <w:top w:w="142" w:type="dxa"/>
            <w:bottom w:w="0" w:type="dxa"/>
          </w:tcMar>
        </w:tcPr>
        <w:p w14:paraId="3AE8F5E6" w14:textId="079AD301" w:rsidR="00732EAB" w:rsidRPr="00487162" w:rsidRDefault="00732EAB" w:rsidP="00460036">
          <w:pPr>
            <w:pStyle w:val="Footer"/>
          </w:pPr>
          <w:r w:rsidRPr="00487162">
            <w:t>AusPA</w:t>
          </w:r>
          <w:r>
            <w:t>R - Isturisa -</w:t>
          </w:r>
          <w:r w:rsidRPr="000A06C6">
            <w:t xml:space="preserve"> osilodrostat</w:t>
          </w:r>
          <w:r>
            <w:t xml:space="preserve"> -</w:t>
          </w:r>
          <w:r w:rsidRPr="000A06C6">
            <w:t xml:space="preserve"> Recordati Rare Diseases Australia Pty Ltd </w:t>
          </w:r>
          <w:r>
            <w:t>-</w:t>
          </w:r>
          <w:r w:rsidRPr="000A06C6">
            <w:t xml:space="preserve"> PM</w:t>
          </w:r>
          <w:r>
            <w:noBreakHyphen/>
          </w:r>
          <w:r w:rsidRPr="000A06C6">
            <w:t>2021</w:t>
          </w:r>
          <w:r>
            <w:noBreakHyphen/>
          </w:r>
          <w:r w:rsidRPr="000A06C6">
            <w:t>02641</w:t>
          </w:r>
          <w:r>
            <w:noBreakHyphen/>
          </w:r>
          <w:r w:rsidRPr="000A06C6">
            <w:t>1</w:t>
          </w:r>
          <w:r>
            <w:noBreakHyphen/>
          </w:r>
          <w:r w:rsidRPr="000A06C6">
            <w:t>5</w:t>
          </w:r>
          <w:r>
            <w:br/>
          </w:r>
          <w:r w:rsidR="009B4A87">
            <w:t>Final 21 October</w:t>
          </w:r>
          <w:r>
            <w:t xml:space="preserve"> 2022</w:t>
          </w:r>
        </w:p>
      </w:tc>
      <w:tc>
        <w:tcPr>
          <w:tcW w:w="1490" w:type="dxa"/>
          <w:tcMar>
            <w:top w:w="142" w:type="dxa"/>
            <w:bottom w:w="0" w:type="dxa"/>
          </w:tcMar>
        </w:tcPr>
        <w:p w14:paraId="162E5937" w14:textId="2809EC65" w:rsidR="00732EAB" w:rsidRPr="00487162" w:rsidRDefault="00732EAB" w:rsidP="00DB750B">
          <w:pPr>
            <w:pStyle w:val="Footer"/>
            <w:jc w:val="right"/>
          </w:pPr>
          <w:r w:rsidRPr="00487162">
            <w:t xml:space="preserve">Page </w:t>
          </w:r>
          <w:r>
            <w:fldChar w:fldCharType="begin"/>
          </w:r>
          <w:r>
            <w:instrText xml:space="preserve"> PAGE  \* Arabic </w:instrText>
          </w:r>
          <w:r>
            <w:fldChar w:fldCharType="separate"/>
          </w:r>
          <w:r w:rsidR="00F4017E">
            <w:rPr>
              <w:noProof/>
            </w:rPr>
            <w:t>9</w:t>
          </w:r>
          <w:r>
            <w:fldChar w:fldCharType="end"/>
          </w:r>
          <w:r w:rsidRPr="00487162">
            <w:t xml:space="preserve"> of </w:t>
          </w:r>
          <w:r w:rsidR="00A12D67">
            <w:fldChar w:fldCharType="begin"/>
          </w:r>
          <w:r w:rsidR="00A12D67">
            <w:instrText xml:space="preserve"> NUMPAGES  \* Arabic </w:instrText>
          </w:r>
          <w:r w:rsidR="00A12D67">
            <w:fldChar w:fldCharType="separate"/>
          </w:r>
          <w:r w:rsidR="00F4017E">
            <w:rPr>
              <w:noProof/>
            </w:rPr>
            <w:t>56</w:t>
          </w:r>
          <w:r w:rsidR="00A12D67">
            <w:rPr>
              <w:noProof/>
            </w:rPr>
            <w:fldChar w:fldCharType="end"/>
          </w:r>
        </w:p>
      </w:tc>
    </w:tr>
  </w:tbl>
  <w:p w14:paraId="1A223F71" w14:textId="77777777" w:rsidR="00732EAB" w:rsidRDefault="00732EA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32EAB" w:rsidRPr="00487162" w14:paraId="5817C43B" w14:textId="77777777" w:rsidTr="00E45619">
      <w:trPr>
        <w:trHeight w:val="269"/>
      </w:trPr>
      <w:tc>
        <w:tcPr>
          <w:tcW w:w="4519" w:type="dxa"/>
          <w:tcBorders>
            <w:top w:val="single" w:sz="4" w:space="0" w:color="auto"/>
          </w:tcBorders>
          <w:tcMar>
            <w:top w:w="142" w:type="dxa"/>
            <w:bottom w:w="0" w:type="dxa"/>
          </w:tcMar>
        </w:tcPr>
        <w:p w14:paraId="11296A4C" w14:textId="77777777" w:rsidR="00732EAB" w:rsidRPr="00487162" w:rsidRDefault="00732EAB" w:rsidP="00FE1DEE">
          <w:pPr>
            <w:pStyle w:val="Footer"/>
          </w:pPr>
          <w:r w:rsidRPr="00487162">
            <w:t>Document title, Part #, Section # - Section title</w:t>
          </w:r>
        </w:p>
        <w:p w14:paraId="7CDF902A" w14:textId="77777777" w:rsidR="00732EAB" w:rsidRPr="00487162" w:rsidRDefault="00732EAB" w:rsidP="00FE1DEE">
          <w:pPr>
            <w:pStyle w:val="Footer"/>
          </w:pPr>
          <w:r w:rsidRPr="00487162">
            <w:t>V1.0 October 2010</w:t>
          </w:r>
        </w:p>
      </w:tc>
      <w:tc>
        <w:tcPr>
          <w:tcW w:w="4342" w:type="dxa"/>
          <w:tcBorders>
            <w:top w:val="single" w:sz="4" w:space="0" w:color="auto"/>
          </w:tcBorders>
          <w:tcMar>
            <w:top w:w="142" w:type="dxa"/>
            <w:bottom w:w="0" w:type="dxa"/>
          </w:tcMar>
        </w:tcPr>
        <w:p w14:paraId="27AAA20E" w14:textId="77777777" w:rsidR="00732EAB" w:rsidRPr="00487162" w:rsidRDefault="00732EA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12D67">
            <w:fldChar w:fldCharType="begin"/>
          </w:r>
          <w:r w:rsidR="00A12D67">
            <w:instrText xml:space="preserve"> NUMPAGES  </w:instrText>
          </w:r>
          <w:r w:rsidR="00A12D67">
            <w:fldChar w:fldCharType="separate"/>
          </w:r>
          <w:r>
            <w:rPr>
              <w:noProof/>
            </w:rPr>
            <w:t>21</w:t>
          </w:r>
          <w:r w:rsidR="00A12D67">
            <w:rPr>
              <w:noProof/>
            </w:rPr>
            <w:fldChar w:fldCharType="end"/>
          </w:r>
        </w:p>
      </w:tc>
    </w:tr>
  </w:tbl>
  <w:p w14:paraId="22D000C6" w14:textId="77777777" w:rsidR="00732EAB" w:rsidRDefault="00732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C4C4" w14:textId="77777777" w:rsidR="00732EAB" w:rsidRPr="001C32CD" w:rsidRDefault="00732EA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32EAB" w14:paraId="142C35BA" w14:textId="77777777" w:rsidTr="0010601F">
      <w:trPr>
        <w:trHeight w:val="108"/>
      </w:trPr>
      <w:tc>
        <w:tcPr>
          <w:tcW w:w="8875" w:type="dxa"/>
          <w:gridSpan w:val="2"/>
          <w:tcBorders>
            <w:bottom w:val="single" w:sz="4" w:space="0" w:color="auto"/>
          </w:tcBorders>
          <w:tcMar>
            <w:right w:w="284" w:type="dxa"/>
          </w:tcMar>
        </w:tcPr>
        <w:p w14:paraId="67861BE7" w14:textId="77777777" w:rsidR="00732EAB" w:rsidRDefault="00732EAB" w:rsidP="006E08B3">
          <w:pPr>
            <w:pStyle w:val="Heading3"/>
          </w:pPr>
          <w:r>
            <w:t>Copyright</w:t>
          </w:r>
        </w:p>
        <w:p w14:paraId="1EE9645B" w14:textId="77777777" w:rsidR="00732EAB" w:rsidRDefault="00732EAB" w:rsidP="006E08B3">
          <w:r>
            <w:rPr>
              <w:rFonts w:cs="Arial"/>
            </w:rPr>
            <w:t>©</w:t>
          </w:r>
          <w:r>
            <w:t xml:space="preserve"> Commonwealth of Australia [add year]</w:t>
          </w:r>
        </w:p>
        <w:p w14:paraId="7ABBBF10" w14:textId="77777777" w:rsidR="00732EAB" w:rsidRDefault="00732EAB" w:rsidP="006E08B3"/>
        <w:p w14:paraId="0F9DB802" w14:textId="77777777" w:rsidR="00732EAB" w:rsidRDefault="00732EA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0A8ED7C" w14:textId="77777777" w:rsidR="00732EAB" w:rsidRDefault="00732EAB" w:rsidP="006E08B3"/>
        <w:p w14:paraId="5BAB6FD5" w14:textId="77777777" w:rsidR="00732EAB" w:rsidRDefault="00732EAB" w:rsidP="006E08B3">
          <w:pPr>
            <w:pStyle w:val="Heading3"/>
          </w:pPr>
          <w:r>
            <w:t>Confidentiality</w:t>
          </w:r>
        </w:p>
        <w:p w14:paraId="5AEE2AA6" w14:textId="77777777" w:rsidR="00732EAB" w:rsidRDefault="00732EA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DE70E33" w14:textId="77777777" w:rsidR="00732EAB" w:rsidRDefault="00732EAB" w:rsidP="006E08B3"/>
        <w:p w14:paraId="2418A9F3" w14:textId="77777777" w:rsidR="00732EAB" w:rsidRDefault="00732EAB" w:rsidP="006E08B3">
          <w:r>
            <w:t>For submission made by individuals, all personal details, other than your name, will be removed from your submission before it is published on the TGA’s Internet site.</w:t>
          </w:r>
        </w:p>
        <w:p w14:paraId="613C86A6" w14:textId="77777777" w:rsidR="00732EAB" w:rsidRDefault="00732EAB" w:rsidP="006E08B3"/>
        <w:p w14:paraId="6A06710F" w14:textId="77777777" w:rsidR="00732EAB" w:rsidRDefault="00732EAB" w:rsidP="006E08B3">
          <w:r>
            <w:t>In addition, a list of parties making submissions will be published. If you do not wish to be identified with your submission you must specifically request this in the space provided in the submission coversheet.</w:t>
          </w:r>
        </w:p>
      </w:tc>
    </w:tr>
    <w:tr w:rsidR="00732EAB" w14:paraId="0F778500" w14:textId="77777777" w:rsidTr="0010601F">
      <w:trPr>
        <w:trHeight w:val="417"/>
      </w:trPr>
      <w:tc>
        <w:tcPr>
          <w:tcW w:w="4519" w:type="dxa"/>
          <w:tcBorders>
            <w:top w:val="single" w:sz="4" w:space="0" w:color="auto"/>
          </w:tcBorders>
          <w:tcMar>
            <w:top w:w="142" w:type="dxa"/>
            <w:bottom w:w="0" w:type="dxa"/>
          </w:tcMar>
        </w:tcPr>
        <w:p w14:paraId="7F15DBE9" w14:textId="77777777" w:rsidR="00732EAB" w:rsidRDefault="00732EAB" w:rsidP="006E08B3">
          <w:r>
            <w:t>Document title, Part #, Section # - Section title</w:t>
          </w:r>
        </w:p>
        <w:p w14:paraId="04A27475" w14:textId="77777777" w:rsidR="00732EAB" w:rsidRDefault="00732EAB" w:rsidP="006E08B3">
          <w:r>
            <w:t>V1.0 October 2010</w:t>
          </w:r>
        </w:p>
      </w:tc>
      <w:tc>
        <w:tcPr>
          <w:tcW w:w="4356" w:type="dxa"/>
          <w:tcBorders>
            <w:top w:val="single" w:sz="4" w:space="0" w:color="auto"/>
          </w:tcBorders>
          <w:tcMar>
            <w:top w:w="142" w:type="dxa"/>
            <w:bottom w:w="0" w:type="dxa"/>
          </w:tcMar>
        </w:tcPr>
        <w:p w14:paraId="675A54E3" w14:textId="77777777" w:rsidR="00732EAB" w:rsidRDefault="00732EA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12D67">
            <w:fldChar w:fldCharType="begin"/>
          </w:r>
          <w:r w:rsidR="00A12D67">
            <w:instrText xml:space="preserve"> NUMPAGES  \* Arabic </w:instrText>
          </w:r>
          <w:r w:rsidR="00A12D67">
            <w:fldChar w:fldCharType="separate"/>
          </w:r>
          <w:r>
            <w:rPr>
              <w:noProof/>
            </w:rPr>
            <w:t>21</w:t>
          </w:r>
          <w:r w:rsidR="00A12D67">
            <w:rPr>
              <w:noProof/>
            </w:rPr>
            <w:fldChar w:fldCharType="end"/>
          </w:r>
          <w:r>
            <w:t xml:space="preserve">  </w:t>
          </w:r>
        </w:p>
      </w:tc>
    </w:tr>
  </w:tbl>
  <w:p w14:paraId="77360020" w14:textId="77777777" w:rsidR="00732EAB" w:rsidRDefault="00732E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ECBFC" w14:textId="77777777" w:rsidR="00732EAB" w:rsidRDefault="00732EAB" w:rsidP="00C40A36">
      <w:pPr>
        <w:spacing w:after="0"/>
      </w:pPr>
      <w:r>
        <w:separator/>
      </w:r>
    </w:p>
  </w:footnote>
  <w:footnote w:type="continuationSeparator" w:id="0">
    <w:p w14:paraId="2110EC28" w14:textId="77777777" w:rsidR="00732EAB" w:rsidRDefault="00732EAB" w:rsidP="00C40A36">
      <w:pPr>
        <w:spacing w:after="0"/>
      </w:pPr>
      <w:r>
        <w:continuationSeparator/>
      </w:r>
    </w:p>
  </w:footnote>
  <w:footnote w:id="1">
    <w:p w14:paraId="78E2B69C" w14:textId="05DF597F" w:rsidR="00732EAB" w:rsidRPr="009B071D" w:rsidRDefault="00732EAB" w:rsidP="002C1783">
      <w:pPr>
        <w:pStyle w:val="FootnoteText"/>
      </w:pPr>
      <w:r>
        <w:rPr>
          <w:rStyle w:val="FootnoteReference"/>
        </w:rPr>
        <w:footnoteRef/>
      </w:r>
      <w:r>
        <w:t xml:space="preserve"> </w:t>
      </w:r>
      <w:r w:rsidRPr="002048D4">
        <w:t>Lacroix</w:t>
      </w:r>
      <w:r>
        <w:t>,</w:t>
      </w:r>
      <w:r w:rsidRPr="002048D4">
        <w:t xml:space="preserve"> A</w:t>
      </w:r>
      <w:r>
        <w:t xml:space="preserve">. et al. </w:t>
      </w:r>
      <w:r w:rsidRPr="002048D4">
        <w:t xml:space="preserve">G-Protein Coupled Receptor Expression </w:t>
      </w:r>
      <w:r>
        <w:t>i</w:t>
      </w:r>
      <w:r w:rsidRPr="002048D4">
        <w:t xml:space="preserve">n Relation </w:t>
      </w:r>
      <w:r>
        <w:t>t</w:t>
      </w:r>
      <w:r w:rsidRPr="002048D4">
        <w:t>o Adrenocortical Overfunction</w:t>
      </w:r>
      <w:r>
        <w:t>,</w:t>
      </w:r>
      <w:r w:rsidRPr="002048D4">
        <w:t xml:space="preserve"> </w:t>
      </w:r>
      <w:r w:rsidRPr="002048D4">
        <w:rPr>
          <w:i/>
          <w:iCs/>
        </w:rPr>
        <w:t xml:space="preserve">Clin Endocrinol. </w:t>
      </w:r>
      <w:r w:rsidRPr="009B071D">
        <w:t>2010; 73(1): 1-15.</w:t>
      </w:r>
    </w:p>
  </w:footnote>
  <w:footnote w:id="2">
    <w:p w14:paraId="493FB099" w14:textId="462C829A" w:rsidR="00732EAB" w:rsidRPr="00D7035A" w:rsidRDefault="00732EAB" w:rsidP="00D7035A">
      <w:pPr>
        <w:pStyle w:val="FootnoteText"/>
        <w:rPr>
          <w:lang w:val="en-GB"/>
        </w:rPr>
      </w:pPr>
      <w:r>
        <w:rPr>
          <w:rStyle w:val="FootnoteReference"/>
        </w:rPr>
        <w:footnoteRef/>
      </w:r>
      <w:r>
        <w:t xml:space="preserve"> </w:t>
      </w:r>
      <w:r w:rsidRPr="005C5943">
        <w:t>Biller</w:t>
      </w:r>
      <w:r>
        <w:t xml:space="preserve"> B. et al. </w:t>
      </w:r>
      <w:r w:rsidRPr="005C5943">
        <w:t xml:space="preserve">Treatment of Adrenocorticotropin-Dependent Cushing’s Syndrome: </w:t>
      </w:r>
      <w:r w:rsidR="00D7035A">
        <w:t>a</w:t>
      </w:r>
      <w:r w:rsidRPr="005C5943">
        <w:t xml:space="preserve"> Consensus Statement, </w:t>
      </w:r>
      <w:r w:rsidR="00D7035A" w:rsidRPr="00D7035A">
        <w:rPr>
          <w:i/>
          <w:iCs/>
        </w:rPr>
        <w:t>J Clin Endocrinol Metab</w:t>
      </w:r>
      <w:r w:rsidRPr="005C5943">
        <w:t xml:space="preserve">, </w:t>
      </w:r>
      <w:r w:rsidR="00D7035A" w:rsidRPr="00D7035A">
        <w:t>2008;</w:t>
      </w:r>
      <w:r w:rsidR="00D7035A">
        <w:t xml:space="preserve"> </w:t>
      </w:r>
      <w:r w:rsidR="00D7035A" w:rsidRPr="00D7035A">
        <w:t>93(7):</w:t>
      </w:r>
      <w:r w:rsidR="00D7035A">
        <w:t xml:space="preserve"> </w:t>
      </w:r>
      <w:r w:rsidR="00D7035A" w:rsidRPr="00D7035A">
        <w:t>2454-</w:t>
      </w:r>
      <w:r w:rsidR="00D7035A">
        <w:t>24</w:t>
      </w:r>
      <w:r w:rsidR="00D7035A" w:rsidRPr="00D7035A">
        <w:t>62.</w:t>
      </w:r>
    </w:p>
  </w:footnote>
  <w:footnote w:id="3">
    <w:p w14:paraId="31FD528E" w14:textId="0D8DBBDF" w:rsidR="00732EAB" w:rsidRPr="009B071D" w:rsidRDefault="00732EAB" w:rsidP="002C1783">
      <w:pPr>
        <w:pStyle w:val="FootnoteText"/>
      </w:pPr>
      <w:r>
        <w:rPr>
          <w:rStyle w:val="FootnoteReference"/>
        </w:rPr>
        <w:footnoteRef/>
      </w:r>
      <w:r w:rsidRPr="009B071D">
        <w:t xml:space="preserve"> Newell-Price, J. et al. Cushing’s Syndrome, </w:t>
      </w:r>
      <w:r w:rsidRPr="009B071D">
        <w:rPr>
          <w:i/>
          <w:iCs/>
        </w:rPr>
        <w:t>Lancet</w:t>
      </w:r>
      <w:r w:rsidRPr="009B071D">
        <w:t>, 2006; 367: 1605-1617.</w:t>
      </w:r>
    </w:p>
  </w:footnote>
  <w:footnote w:id="4">
    <w:p w14:paraId="5E54DEEA" w14:textId="66801583" w:rsidR="00732EAB" w:rsidRDefault="00732EAB" w:rsidP="002C1783">
      <w:pPr>
        <w:pStyle w:val="FootnoteText"/>
      </w:pPr>
      <w:r>
        <w:rPr>
          <w:rStyle w:val="FootnoteReference"/>
        </w:rPr>
        <w:footnoteRef/>
      </w:r>
      <w:r w:rsidRPr="009B071D">
        <w:t xml:space="preserve"> Sharma, S.T. et al. </w:t>
      </w:r>
      <w:r w:rsidRPr="002048D4">
        <w:t>Comorbidities in Cushing’s Disease</w:t>
      </w:r>
      <w:r>
        <w:t>,</w:t>
      </w:r>
      <w:r w:rsidRPr="002048D4">
        <w:t xml:space="preserve"> </w:t>
      </w:r>
      <w:r w:rsidRPr="002048D4">
        <w:rPr>
          <w:i/>
        </w:rPr>
        <w:t>Pituitary</w:t>
      </w:r>
      <w:r w:rsidRPr="00B61B9D">
        <w:rPr>
          <w:iCs/>
        </w:rPr>
        <w:t>, 2015;</w:t>
      </w:r>
      <w:r>
        <w:rPr>
          <w:iCs/>
        </w:rPr>
        <w:t xml:space="preserve"> </w:t>
      </w:r>
      <w:r w:rsidRPr="00B61B9D">
        <w:rPr>
          <w:iCs/>
        </w:rPr>
        <w:t>18:</w:t>
      </w:r>
      <w:r>
        <w:rPr>
          <w:iCs/>
        </w:rPr>
        <w:t xml:space="preserve"> </w:t>
      </w:r>
      <w:r w:rsidRPr="00B61B9D">
        <w:rPr>
          <w:iCs/>
        </w:rPr>
        <w:t>188-194</w:t>
      </w:r>
      <w:r>
        <w:rPr>
          <w:iCs/>
        </w:rPr>
        <w:t>.</w:t>
      </w:r>
    </w:p>
  </w:footnote>
  <w:footnote w:id="5">
    <w:p w14:paraId="78F892DE" w14:textId="2F7AE591" w:rsidR="00732EAB" w:rsidRDefault="00732EAB" w:rsidP="002C1783">
      <w:pPr>
        <w:pStyle w:val="FootnoteText"/>
      </w:pPr>
      <w:r>
        <w:rPr>
          <w:rStyle w:val="FootnoteReference"/>
        </w:rPr>
        <w:footnoteRef/>
      </w:r>
      <w:r>
        <w:t xml:space="preserve"> </w:t>
      </w:r>
      <w:r w:rsidRPr="002048D4">
        <w:t>Lindholm</w:t>
      </w:r>
      <w:r>
        <w:t>,</w:t>
      </w:r>
      <w:r w:rsidRPr="002048D4">
        <w:t xml:space="preserve"> J</w:t>
      </w:r>
      <w:r>
        <w:t xml:space="preserve">. et al. </w:t>
      </w:r>
      <w:r w:rsidRPr="002048D4">
        <w:t xml:space="preserve">Incidence and Late Prognosis of Cushing’s Syndrome: </w:t>
      </w:r>
      <w:r>
        <w:t>a</w:t>
      </w:r>
      <w:r w:rsidRPr="002048D4">
        <w:t xml:space="preserve"> Population-Based Study</w:t>
      </w:r>
      <w:r>
        <w:t>,</w:t>
      </w:r>
      <w:r w:rsidRPr="002048D4">
        <w:t xml:space="preserve"> </w:t>
      </w:r>
      <w:r w:rsidRPr="002048D4">
        <w:rPr>
          <w:i/>
          <w:iCs/>
        </w:rPr>
        <w:t>J Clin Endrocrinol Metab</w:t>
      </w:r>
      <w:r w:rsidRPr="00B61B9D">
        <w:t>, 2001; 86:117-123.</w:t>
      </w:r>
    </w:p>
  </w:footnote>
  <w:footnote w:id="6">
    <w:p w14:paraId="4442A760" w14:textId="39C9391A" w:rsidR="00732EAB" w:rsidRDefault="00732EAB" w:rsidP="002C1783">
      <w:pPr>
        <w:pStyle w:val="FootnoteText"/>
      </w:pPr>
      <w:r>
        <w:rPr>
          <w:rStyle w:val="FootnoteReference"/>
        </w:rPr>
        <w:footnoteRef/>
      </w:r>
      <w:r w:rsidRPr="009B071D">
        <w:t xml:space="preserve"> Nieman, L.K.et al. </w:t>
      </w:r>
      <w:r w:rsidRPr="002048D4">
        <w:t xml:space="preserve">The </w:t>
      </w:r>
      <w:r>
        <w:t>D</w:t>
      </w:r>
      <w:r w:rsidRPr="002048D4">
        <w:t xml:space="preserve">iagnosis of Cushing's </w:t>
      </w:r>
      <w:r>
        <w:t>S</w:t>
      </w:r>
      <w:r w:rsidRPr="002048D4">
        <w:t>yndrome: an Endocrine Society Clinical Practice Guideline</w:t>
      </w:r>
      <w:r>
        <w:t>,</w:t>
      </w:r>
      <w:r w:rsidRPr="002048D4">
        <w:t xml:space="preserve"> </w:t>
      </w:r>
      <w:r w:rsidRPr="002048D4">
        <w:rPr>
          <w:i/>
          <w:iCs/>
        </w:rPr>
        <w:t>J Clin Endocrinol Metab</w:t>
      </w:r>
      <w:r w:rsidRPr="00B61B9D">
        <w:t>, 2008; 93(5):1526-1540.</w:t>
      </w:r>
    </w:p>
  </w:footnote>
  <w:footnote w:id="7">
    <w:p w14:paraId="11A592C1" w14:textId="2D94AFA3" w:rsidR="00732EAB" w:rsidRDefault="00732EAB">
      <w:pPr>
        <w:pStyle w:val="FootnoteText"/>
      </w:pPr>
      <w:r>
        <w:rPr>
          <w:rStyle w:val="FootnoteReference"/>
        </w:rPr>
        <w:footnoteRef/>
      </w:r>
      <w:r>
        <w:t xml:space="preserve"> </w:t>
      </w:r>
      <w:r w:rsidRPr="001F1554">
        <w:t>Signifor</w:t>
      </w:r>
      <w:r>
        <w:t xml:space="preserve"> was first registered on the ARTG on </w:t>
      </w:r>
      <w:r w:rsidRPr="001F1554">
        <w:t>1 November 2013</w:t>
      </w:r>
      <w:r>
        <w:t xml:space="preserve"> (ARTG numbers: </w:t>
      </w:r>
      <w:r w:rsidRPr="001F1554">
        <w:t>201484</w:t>
      </w:r>
      <w:r>
        <w:t xml:space="preserve">, </w:t>
      </w:r>
      <w:r w:rsidRPr="001F1554">
        <w:t>201485</w:t>
      </w:r>
      <w:r>
        <w:t xml:space="preserve"> and </w:t>
      </w:r>
      <w:r w:rsidRPr="001F1554">
        <w:t>201486</w:t>
      </w:r>
      <w:r>
        <w:t>).</w:t>
      </w:r>
    </w:p>
  </w:footnote>
  <w:footnote w:id="8">
    <w:p w14:paraId="4ECE905F" w14:textId="18EA8F75" w:rsidR="00732EAB" w:rsidRPr="005A16BA" w:rsidRDefault="00732EAB" w:rsidP="005A16BA">
      <w:pPr>
        <w:pStyle w:val="FootnoteText"/>
      </w:pPr>
      <w:r>
        <w:rPr>
          <w:rStyle w:val="FootnoteReference"/>
        </w:rPr>
        <w:footnoteRef/>
      </w:r>
      <w:r>
        <w:t xml:space="preserve"> AusPAR for </w:t>
      </w:r>
      <w:r w:rsidR="000352ED" w:rsidRPr="000352ED">
        <w:t xml:space="preserve">Signifor </w:t>
      </w:r>
      <w:r>
        <w:t>(</w:t>
      </w:r>
      <w:r w:rsidR="000352ED">
        <w:t>p</w:t>
      </w:r>
      <w:r w:rsidR="000352ED" w:rsidRPr="000352ED">
        <w:t>asireotide as diaspartate)</w:t>
      </w:r>
      <w:r>
        <w:t xml:space="preserve">, </w:t>
      </w:r>
      <w:r w:rsidR="000352ED" w:rsidRPr="000352ED">
        <w:t>new chemical entity</w:t>
      </w:r>
      <w:r w:rsidR="000352ED">
        <w:t xml:space="preserve">, </w:t>
      </w:r>
      <w:r w:rsidR="000352ED" w:rsidRPr="000352ED">
        <w:t>published on</w:t>
      </w:r>
      <w:r w:rsidR="000352ED">
        <w:t xml:space="preserve"> </w:t>
      </w:r>
      <w:r w:rsidR="000352ED" w:rsidRPr="000352ED">
        <w:t>2 June 2014</w:t>
      </w:r>
      <w:r w:rsidR="000352ED">
        <w:t>.</w:t>
      </w:r>
      <w:r w:rsidR="000352ED" w:rsidRPr="000352ED">
        <w:t xml:space="preserve"> Available at: </w:t>
      </w:r>
      <w:hyperlink r:id="rId1" w:history="1">
        <w:r w:rsidR="000352ED" w:rsidRPr="00EE707C">
          <w:rPr>
            <w:rStyle w:val="Hyperlink"/>
          </w:rPr>
          <w:t>https://www.tga.gov.au/resources/auspar/auspar-pasireotide-diaspartate</w:t>
        </w:r>
      </w:hyperlink>
      <w:r w:rsidR="000352ED">
        <w:t>.</w:t>
      </w:r>
    </w:p>
  </w:footnote>
  <w:footnote w:id="9">
    <w:p w14:paraId="37346488" w14:textId="77777777" w:rsidR="00732EAB" w:rsidRDefault="00732EAB" w:rsidP="00A07235">
      <w:pPr>
        <w:pStyle w:val="FootnoteText"/>
      </w:pPr>
      <w:r>
        <w:rPr>
          <w:rStyle w:val="FootnoteReference"/>
        </w:rPr>
        <w:footnoteRef/>
      </w:r>
      <w:r>
        <w:t xml:space="preserve"> </w:t>
      </w:r>
      <w:r w:rsidRPr="00A07235">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6C445116" w14:textId="04BF0E22" w:rsidR="00732EAB" w:rsidRDefault="00732EAB" w:rsidP="00A07235">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0">
    <w:p w14:paraId="067430C0" w14:textId="10882474" w:rsidR="00732EAB" w:rsidRDefault="00732EAB">
      <w:pPr>
        <w:pStyle w:val="FootnoteText"/>
      </w:pPr>
      <w:r>
        <w:rPr>
          <w:rStyle w:val="FootnoteReference"/>
        </w:rPr>
        <w:footnoteRef/>
      </w:r>
      <w:r>
        <w:t xml:space="preserve"> </w:t>
      </w:r>
      <w:r w:rsidRPr="00D8071C">
        <w:t>The </w:t>
      </w:r>
      <w:r w:rsidRPr="00D8071C">
        <w:rPr>
          <w:b/>
          <w:bCs/>
        </w:rPr>
        <w:t>International Council for Harmonisation of Technical Requirements for Registration of Pharmaceuticals for Human Use (ICH)</w:t>
      </w:r>
      <w:r w:rsidRPr="00D8071C">
        <w:t xml:space="preserve">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11">
    <w:p w14:paraId="286F2401" w14:textId="02C36853" w:rsidR="00732EAB" w:rsidRDefault="00732EAB">
      <w:pPr>
        <w:pStyle w:val="FootnoteText"/>
      </w:pPr>
      <w:r>
        <w:rPr>
          <w:rStyle w:val="FootnoteReference"/>
        </w:rPr>
        <w:footnoteRef/>
      </w:r>
      <w:r>
        <w:t xml:space="preserve"> </w:t>
      </w:r>
      <w:r w:rsidRPr="00E2184A">
        <w:t>European Medicine Agency (EMA), Committee for Proprietary Medicinal Products (CPMP), ICH Guideline M3(R2) on Nonclinical Safety Studies for the Conduct of Human Clinical Trials and Marketing Authorisation for Pharmaceuticals, EMA/CPMP/ICH/286/1995, December 2009.</w:t>
      </w:r>
    </w:p>
  </w:footnote>
  <w:footnote w:id="12">
    <w:p w14:paraId="63E031B0" w14:textId="17B3BE74" w:rsidR="00732EAB" w:rsidRDefault="00732EAB">
      <w:pPr>
        <w:pStyle w:val="FootnoteText"/>
      </w:pPr>
      <w:r>
        <w:rPr>
          <w:rStyle w:val="FootnoteReference"/>
        </w:rPr>
        <w:footnoteRef/>
      </w:r>
      <w:r>
        <w:t xml:space="preserve"> </w:t>
      </w:r>
      <w:r w:rsidRPr="00EB5256">
        <w:rPr>
          <w:b/>
          <w:bCs/>
        </w:rPr>
        <w:t>Good Laboratory Practice</w:t>
      </w:r>
      <w:r w:rsidRPr="00EB5256">
        <w:t xml:space="preserve"> is a code of standards following the International Council on Harmonisation (ICH) relevant to testing of medicines in laboratories during drug development.</w:t>
      </w:r>
    </w:p>
  </w:footnote>
  <w:footnote w:id="13">
    <w:p w14:paraId="7384FBAB" w14:textId="24AB462C" w:rsidR="00732EAB" w:rsidRPr="00406BC8" w:rsidRDefault="00732EAB">
      <w:pPr>
        <w:pStyle w:val="FootnoteText"/>
      </w:pPr>
      <w:r>
        <w:rPr>
          <w:rStyle w:val="FootnoteReference"/>
        </w:rPr>
        <w:footnoteRef/>
      </w:r>
      <w:r>
        <w:t xml:space="preserve"> Osilodrostat exhibits stereoisomerism due to the presence of one chiral centre. Only the </w:t>
      </w:r>
      <w:r w:rsidRPr="000352ED">
        <w:rPr>
          <w:i/>
        </w:rPr>
        <w:t>R</w:t>
      </w:r>
      <w:r>
        <w:t xml:space="preserve">-enantiomer is found in Isturisa. The manufacturing process consistently produces a single isomer (the </w:t>
      </w:r>
      <w:r w:rsidRPr="000352ED">
        <w:rPr>
          <w:i/>
        </w:rPr>
        <w:t>R</w:t>
      </w:r>
      <w:r>
        <w:t xml:space="preserve">-enantiomer), with enantiomeric purity controlled routinely by chiral </w:t>
      </w:r>
      <w:r w:rsidR="000352ED">
        <w:t>h</w:t>
      </w:r>
      <w:r w:rsidR="000352ED" w:rsidRPr="000352ED">
        <w:t>igh-performance liquid chromatography</w:t>
      </w:r>
      <w:r>
        <w:t xml:space="preserve">. LCI698 is the investigational drug code for the </w:t>
      </w:r>
      <w:r>
        <w:rPr>
          <w:i/>
        </w:rPr>
        <w:t>S</w:t>
      </w:r>
      <w:r>
        <w:noBreakHyphen/>
        <w:t>enantiomer of osilodrostat, not present in Isturisa (osilodrostat) film-coated tablets.</w:t>
      </w:r>
    </w:p>
  </w:footnote>
  <w:footnote w:id="14">
    <w:p w14:paraId="14BB790D" w14:textId="77777777" w:rsidR="00732EAB" w:rsidRDefault="00732EAB" w:rsidP="00EB5256">
      <w:pPr>
        <w:pStyle w:val="FootnoteText"/>
      </w:pPr>
      <w:r>
        <w:rPr>
          <w:rStyle w:val="FootnoteReference"/>
        </w:rPr>
        <w:footnoteRef/>
      </w:r>
      <w:r>
        <w:t xml:space="preserve"> The </w:t>
      </w:r>
      <w:r w:rsidRPr="00EB5256">
        <w:rPr>
          <w:b/>
          <w:bCs/>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6D1781AA" w14:textId="16129CDA" w:rsidR="00732EAB" w:rsidRDefault="00732EAB" w:rsidP="00EB5256">
      <w:pPr>
        <w:pStyle w:val="FootnoteText"/>
      </w:pPr>
      <w:r>
        <w:t xml:space="preserve">The </w:t>
      </w:r>
      <w:r w:rsidRPr="00EB5256">
        <w:rPr>
          <w:b/>
          <w:bCs/>
        </w:rPr>
        <w:t>corrected QT interval (QTc)</w:t>
      </w:r>
      <w:r>
        <w:t xml:space="preserve"> estimates the QT interval at a standard heart rate. This allows comparison of QT values over time at different heart rates and improves detection of patients at increased risk of arrhythmias. The </w:t>
      </w:r>
      <w:r w:rsidRPr="00EB5256">
        <w:rPr>
          <w:b/>
          <w:bCs/>
        </w:rPr>
        <w:t xml:space="preserve">QTcF </w:t>
      </w:r>
      <w:r>
        <w:t xml:space="preserve">is the </w:t>
      </w:r>
      <w:bookmarkStart w:id="43" w:name="_Hlk112926980"/>
      <w:r>
        <w:t>QT interval corrected for heart rate according to Fridericia’s formula</w:t>
      </w:r>
      <w:bookmarkEnd w:id="43"/>
      <w:r>
        <w:t>.</w:t>
      </w:r>
    </w:p>
  </w:footnote>
  <w:footnote w:id="15">
    <w:p w14:paraId="038BE5B8" w14:textId="5A17FCCC" w:rsidR="00732EAB" w:rsidRDefault="00732EAB">
      <w:pPr>
        <w:pStyle w:val="FootnoteText"/>
      </w:pPr>
      <w:r>
        <w:rPr>
          <w:rStyle w:val="FootnoteReference"/>
        </w:rPr>
        <w:footnoteRef/>
      </w:r>
      <w:r>
        <w:t xml:space="preserve"> </w:t>
      </w:r>
      <w:r w:rsidRPr="000268B2">
        <w:t xml:space="preserve">The </w:t>
      </w:r>
      <w:r w:rsidRPr="000268B2">
        <w:rPr>
          <w:b/>
          <w:bCs/>
        </w:rPr>
        <w:t>Biopharmaceutics Classification System (BCS)</w:t>
      </w:r>
      <w:r w:rsidRPr="000268B2">
        <w:t xml:space="preserve"> is a guidance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16">
    <w:p w14:paraId="51E1C352" w14:textId="37C37C08" w:rsidR="00732EAB" w:rsidRDefault="00732EAB">
      <w:pPr>
        <w:pStyle w:val="FootnoteText"/>
      </w:pPr>
      <w:r>
        <w:rPr>
          <w:rStyle w:val="FootnoteReference"/>
        </w:rPr>
        <w:footnoteRef/>
      </w:r>
      <w:r>
        <w:t xml:space="preserve"> </w:t>
      </w:r>
      <w:r w:rsidRPr="00654828">
        <w:t>European Medicine Agency (EMA), Committee for Medicinal Products for Human Use (CHMP), Guideline on the Reporting of Physiologically Based Pharmacokinetic (PBPK) Modelling and Simulation, EMA/CHMP/458101/2016, 13 December 2018.</w:t>
      </w:r>
    </w:p>
  </w:footnote>
  <w:footnote w:id="17">
    <w:p w14:paraId="00D6FA78" w14:textId="20DE6EA9" w:rsidR="00732EAB" w:rsidRDefault="00732EAB">
      <w:pPr>
        <w:pStyle w:val="FootnoteText"/>
      </w:pPr>
      <w:r>
        <w:rPr>
          <w:rStyle w:val="FootnoteReference"/>
        </w:rPr>
        <w:footnoteRef/>
      </w:r>
      <w:r>
        <w:t xml:space="preserve"> </w:t>
      </w:r>
      <w:r w:rsidRPr="00B61B9D">
        <w:rPr>
          <w:b/>
          <w:bCs/>
        </w:rPr>
        <w:t>Torsade de pointes</w:t>
      </w:r>
      <w:r w:rsidRPr="002B1401">
        <w:t xml:space="preserve"> is an uncommon and distinctive form of polymorphic ventricular tachycardia characteri</w:t>
      </w:r>
      <w:r>
        <w:t>s</w:t>
      </w:r>
      <w:r w:rsidRPr="002B1401">
        <w:t>ed by a gradual change in the amplitude and twisting of the QRS complexes around the isoelectric line</w:t>
      </w:r>
      <w:r>
        <w:t>.</w:t>
      </w:r>
    </w:p>
  </w:footnote>
  <w:footnote w:id="18">
    <w:p w14:paraId="32858625" w14:textId="7BA316E7" w:rsidR="00732EAB" w:rsidRDefault="00732EAB">
      <w:pPr>
        <w:pStyle w:val="FootnoteText"/>
      </w:pPr>
      <w:r>
        <w:rPr>
          <w:rStyle w:val="FootnoteReference"/>
        </w:rPr>
        <w:footnoteRef/>
      </w:r>
      <w:r>
        <w:t xml:space="preserve"> </w:t>
      </w:r>
      <w:r w:rsidRPr="00EB56F9">
        <w:t xml:space="preserve">The randomised clinical trials analysed by the </w:t>
      </w:r>
      <w:r w:rsidRPr="00EB56F9">
        <w:rPr>
          <w:b/>
          <w:bCs/>
        </w:rPr>
        <w:t>intention-to-treat (ITT)</w:t>
      </w:r>
      <w:r w:rsidRPr="00EB56F9">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19">
    <w:p w14:paraId="24304757" w14:textId="065AF41C" w:rsidR="00732EAB" w:rsidRDefault="00732EAB">
      <w:pPr>
        <w:pStyle w:val="FootnoteText"/>
      </w:pPr>
      <w:r>
        <w:rPr>
          <w:rStyle w:val="FootnoteReference"/>
        </w:rPr>
        <w:footnoteRef/>
      </w:r>
      <w:r>
        <w:t xml:space="preserve"> </w:t>
      </w:r>
      <w:r w:rsidRPr="00877939">
        <w:t xml:space="preserve">The </w:t>
      </w:r>
      <w:r w:rsidRPr="00877939">
        <w:rPr>
          <w:b/>
          <w:bCs/>
        </w:rPr>
        <w:t>per-protocol (PP)</w:t>
      </w:r>
      <w:r w:rsidRPr="00877939">
        <w:t xml:space="preserve"> analysis is restricted to the participants who strictly adhered to the protocol. Also known as ‘on-treatment’ analysis.</w:t>
      </w:r>
    </w:p>
  </w:footnote>
  <w:footnote w:id="20">
    <w:p w14:paraId="24AC8BB2" w14:textId="5B305138" w:rsidR="00732EAB" w:rsidRDefault="00732EAB">
      <w:pPr>
        <w:pStyle w:val="FootnoteText"/>
      </w:pPr>
      <w:r>
        <w:rPr>
          <w:rStyle w:val="FootnoteReference"/>
        </w:rPr>
        <w:footnoteRef/>
      </w:r>
      <w:r>
        <w:t xml:space="preserve"> </w:t>
      </w:r>
      <w:r w:rsidRPr="00342390">
        <w:t xml:space="preserve">The </w:t>
      </w:r>
      <w:r w:rsidRPr="00342390">
        <w:rPr>
          <w:b/>
          <w:bCs/>
        </w:rPr>
        <w:t>Medical Dictionary for Regulatory Activities (MedDRA)</w:t>
      </w:r>
      <w:r w:rsidRPr="00342390">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1">
    <w:p w14:paraId="6104F9A8" w14:textId="108C3ABE" w:rsidR="00732EAB" w:rsidRDefault="00732EAB">
      <w:pPr>
        <w:pStyle w:val="FootnoteText"/>
      </w:pPr>
      <w:r>
        <w:rPr>
          <w:rStyle w:val="FootnoteReference"/>
        </w:rPr>
        <w:footnoteRef/>
      </w:r>
      <w:r>
        <w:t xml:space="preserve"> </w:t>
      </w:r>
      <w:r w:rsidRPr="00EB527E">
        <w:rPr>
          <w:b/>
          <w:bCs/>
        </w:rPr>
        <w:t>Common Terminology Criteria (CTC)</w:t>
      </w:r>
      <w:r w:rsidRPr="00EB527E">
        <w:t xml:space="preserve"> is a standardised classification of side effects used in assessing drugs for cancer therapy, in particular. Specific conditions and symptoms may have values or descriptive comment for each level, but the general guideline is 1 – Mild, 2 – Moderate, 3 – Severe, 4 - Life threatening, 5 - Death.</w:t>
      </w:r>
    </w:p>
  </w:footnote>
  <w:footnote w:id="22">
    <w:p w14:paraId="73A937BB" w14:textId="702D774E" w:rsidR="00732EAB" w:rsidRDefault="00732EAB">
      <w:pPr>
        <w:pStyle w:val="FootnoteText"/>
      </w:pPr>
      <w:r>
        <w:rPr>
          <w:rStyle w:val="FootnoteReference"/>
        </w:rPr>
        <w:footnoteRef/>
      </w:r>
      <w:r>
        <w:t xml:space="preserve"> </w:t>
      </w:r>
      <w:r w:rsidRPr="00D8071C">
        <w:rPr>
          <w:b/>
          <w:bCs/>
        </w:rPr>
        <w:t>Haemoglobin A1c or glycated haemoglobin (HbA1c)</w:t>
      </w:r>
      <w:r w:rsidRPr="00D8071C">
        <w:t xml:space="preserve">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less than 7 percent of total haemoglobin.</w:t>
      </w:r>
    </w:p>
  </w:footnote>
  <w:footnote w:id="23">
    <w:p w14:paraId="11DE4897" w14:textId="2677FACE" w:rsidR="00732EAB" w:rsidRDefault="00732EAB" w:rsidP="00C411F5">
      <w:pPr>
        <w:pStyle w:val="FootnoteText"/>
      </w:pPr>
      <w:r>
        <w:rPr>
          <w:rStyle w:val="FootnoteReference"/>
        </w:rPr>
        <w:footnoteRef/>
      </w:r>
      <w:r>
        <w:t xml:space="preserve"> </w:t>
      </w:r>
      <w:r w:rsidRPr="00C411F5">
        <w:t xml:space="preserve">The </w:t>
      </w:r>
      <w:r w:rsidRPr="00C411F5">
        <w:rPr>
          <w:b/>
          <w:bCs/>
        </w:rPr>
        <w:t>Beck Depression Inventory (BDI)</w:t>
      </w:r>
      <w:r>
        <w:t xml:space="preserve"> is a 21-item self-administered survey and is scored on a scale of 0 to 3 in a list of four statements arranged in increasing severity about a particular symptom of depression. Each of the 21 items corresponding to a symptom of depression is summed to give a single score for the BDI-II.</w:t>
      </w:r>
      <w:r w:rsidRPr="00C411F5">
        <w:t xml:space="preserve"> </w:t>
      </w:r>
      <w:r>
        <w:t>Total score of 0 to 13 is considered minimal range, 14 to 19 is mild, 20 to 28 is moderate, and 29 to 63 is severe.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ED87" w14:textId="77777777" w:rsidR="00732EAB" w:rsidRDefault="00732EA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B3C2" w14:textId="77777777" w:rsidR="00732EAB" w:rsidRDefault="00732EAB">
    <w:pPr>
      <w:rPr>
        <w:noProof/>
        <w:lang w:eastAsia="en-AU"/>
      </w:rPr>
    </w:pPr>
    <w:r w:rsidRPr="00347824">
      <w:rPr>
        <w:noProof/>
        <w:lang w:val="en-GB" w:eastAsia="en-GB"/>
      </w:rPr>
      <w:drawing>
        <wp:anchor distT="0" distB="0" distL="114300" distR="114300" simplePos="0" relativeHeight="251659264" behindDoc="1" locked="0" layoutInCell="1" allowOverlap="1" wp14:anchorId="06FE764D" wp14:editId="6B0D20C4">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D6C8" w14:textId="77777777" w:rsidR="00732EAB" w:rsidRDefault="00732E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CD8F" w14:textId="77777777" w:rsidR="00732EAB" w:rsidRDefault="00732EA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3033" w14:textId="77777777" w:rsidR="00732EAB" w:rsidRDefault="00732EA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0CB6" w14:textId="77777777" w:rsidR="00732EAB" w:rsidRDefault="00732E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6745" w14:textId="77777777" w:rsidR="00732EAB" w:rsidRDefault="00732EA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7540" w14:textId="77777777" w:rsidR="00732EAB" w:rsidRDefault="00732EAB" w:rsidP="006E08B3">
    <w:r>
      <w:t>Therapeutic Goods Administration</w:t>
    </w:r>
  </w:p>
  <w:p w14:paraId="6A5EFA54" w14:textId="77777777" w:rsidR="00732EAB" w:rsidRDefault="00732EA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3F6A0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7741993"/>
    <w:multiLevelType w:val="hybridMultilevel"/>
    <w:tmpl w:val="C4EE8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51E70"/>
    <w:multiLevelType w:val="hybridMultilevel"/>
    <w:tmpl w:val="BC94F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2B2A4D"/>
    <w:multiLevelType w:val="hybridMultilevel"/>
    <w:tmpl w:val="2CAE899C"/>
    <w:lvl w:ilvl="0" w:tplc="179035FC">
      <w:start w:val="1"/>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5972A7"/>
    <w:multiLevelType w:val="hybridMultilevel"/>
    <w:tmpl w:val="485EAF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50541E5"/>
    <w:multiLevelType w:val="hybridMultilevel"/>
    <w:tmpl w:val="B7887E94"/>
    <w:lvl w:ilvl="0" w:tplc="5642907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C96C14"/>
    <w:multiLevelType w:val="hybridMultilevel"/>
    <w:tmpl w:val="11FE9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B76857"/>
    <w:multiLevelType w:val="hybridMultilevel"/>
    <w:tmpl w:val="4C8E6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9"/>
  </w:num>
  <w:num w:numId="29">
    <w:abstractNumId w:val="8"/>
  </w:num>
  <w:num w:numId="30">
    <w:abstractNumId w:val="12"/>
  </w:num>
  <w:num w:numId="31">
    <w:abstractNumId w:val="5"/>
  </w:num>
  <w:num w:numId="32">
    <w:abstractNumId w:val="15"/>
  </w:num>
  <w:num w:numId="33">
    <w:abstractNumId w:val="18"/>
  </w:num>
  <w:num w:numId="34">
    <w:abstractNumId w:val="4"/>
  </w:num>
  <w:num w:numId="35">
    <w:abstractNumId w:val="16"/>
  </w:num>
  <w:num w:numId="36">
    <w:abstractNumId w:val="10"/>
  </w:num>
  <w:num w:numId="37">
    <w:abstractNumId w:val="11"/>
  </w:num>
  <w:num w:numId="38">
    <w:abstractNumId w:val="6"/>
  </w:num>
  <w:num w:numId="39">
    <w:abstractNumId w:val="1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05"/>
    <w:rsid w:val="00002031"/>
    <w:rsid w:val="00004734"/>
    <w:rsid w:val="00006B22"/>
    <w:rsid w:val="00006FAB"/>
    <w:rsid w:val="0001276A"/>
    <w:rsid w:val="000246AE"/>
    <w:rsid w:val="00025C67"/>
    <w:rsid w:val="000268B2"/>
    <w:rsid w:val="000352ED"/>
    <w:rsid w:val="00044772"/>
    <w:rsid w:val="0004541C"/>
    <w:rsid w:val="00045566"/>
    <w:rsid w:val="0005559E"/>
    <w:rsid w:val="000604D6"/>
    <w:rsid w:val="000734D8"/>
    <w:rsid w:val="00077775"/>
    <w:rsid w:val="00090471"/>
    <w:rsid w:val="00096AA7"/>
    <w:rsid w:val="000A2DC1"/>
    <w:rsid w:val="000A3AED"/>
    <w:rsid w:val="000B3532"/>
    <w:rsid w:val="000B3605"/>
    <w:rsid w:val="000B3A75"/>
    <w:rsid w:val="000C00C2"/>
    <w:rsid w:val="000C4AD8"/>
    <w:rsid w:val="000C690F"/>
    <w:rsid w:val="000D1295"/>
    <w:rsid w:val="000D391B"/>
    <w:rsid w:val="000D3D6D"/>
    <w:rsid w:val="000D4FC7"/>
    <w:rsid w:val="000E5158"/>
    <w:rsid w:val="000E6196"/>
    <w:rsid w:val="000F23D6"/>
    <w:rsid w:val="000F4869"/>
    <w:rsid w:val="000F4E67"/>
    <w:rsid w:val="000F5B42"/>
    <w:rsid w:val="000F6E6F"/>
    <w:rsid w:val="0010601F"/>
    <w:rsid w:val="0010788A"/>
    <w:rsid w:val="00107A31"/>
    <w:rsid w:val="00110EA5"/>
    <w:rsid w:val="00111502"/>
    <w:rsid w:val="00111716"/>
    <w:rsid w:val="00112F56"/>
    <w:rsid w:val="00117C1F"/>
    <w:rsid w:val="0012227B"/>
    <w:rsid w:val="00122C2E"/>
    <w:rsid w:val="00124ACD"/>
    <w:rsid w:val="00125318"/>
    <w:rsid w:val="00125DEF"/>
    <w:rsid w:val="001305A2"/>
    <w:rsid w:val="00133238"/>
    <w:rsid w:val="00133596"/>
    <w:rsid w:val="00133A1B"/>
    <w:rsid w:val="0014197B"/>
    <w:rsid w:val="001438B5"/>
    <w:rsid w:val="001447CD"/>
    <w:rsid w:val="001516B1"/>
    <w:rsid w:val="00154EBB"/>
    <w:rsid w:val="00156316"/>
    <w:rsid w:val="00161181"/>
    <w:rsid w:val="00161D56"/>
    <w:rsid w:val="00162D14"/>
    <w:rsid w:val="00163780"/>
    <w:rsid w:val="00165389"/>
    <w:rsid w:val="00167075"/>
    <w:rsid w:val="00170AA3"/>
    <w:rsid w:val="0017693F"/>
    <w:rsid w:val="0018110E"/>
    <w:rsid w:val="00181684"/>
    <w:rsid w:val="001843C6"/>
    <w:rsid w:val="001850E0"/>
    <w:rsid w:val="00185407"/>
    <w:rsid w:val="001A03AF"/>
    <w:rsid w:val="001A2158"/>
    <w:rsid w:val="001A525F"/>
    <w:rsid w:val="001A5A00"/>
    <w:rsid w:val="001A66B8"/>
    <w:rsid w:val="001B09F9"/>
    <w:rsid w:val="001B1DA4"/>
    <w:rsid w:val="001B2D25"/>
    <w:rsid w:val="001B5C90"/>
    <w:rsid w:val="001B6214"/>
    <w:rsid w:val="001B6448"/>
    <w:rsid w:val="001B7665"/>
    <w:rsid w:val="001C03E0"/>
    <w:rsid w:val="001C32CD"/>
    <w:rsid w:val="001C564C"/>
    <w:rsid w:val="001D2984"/>
    <w:rsid w:val="001E07CF"/>
    <w:rsid w:val="001E359E"/>
    <w:rsid w:val="001E59F1"/>
    <w:rsid w:val="001E6C75"/>
    <w:rsid w:val="001F1554"/>
    <w:rsid w:val="001F2CEE"/>
    <w:rsid w:val="001F49EB"/>
    <w:rsid w:val="001F6CBA"/>
    <w:rsid w:val="00201D4E"/>
    <w:rsid w:val="002076C9"/>
    <w:rsid w:val="00220B8A"/>
    <w:rsid w:val="002257F3"/>
    <w:rsid w:val="002314EA"/>
    <w:rsid w:val="00233456"/>
    <w:rsid w:val="002339A5"/>
    <w:rsid w:val="002369A0"/>
    <w:rsid w:val="00242DBE"/>
    <w:rsid w:val="00250271"/>
    <w:rsid w:val="00250F35"/>
    <w:rsid w:val="00257848"/>
    <w:rsid w:val="002578E8"/>
    <w:rsid w:val="00260870"/>
    <w:rsid w:val="0027084A"/>
    <w:rsid w:val="00271E85"/>
    <w:rsid w:val="00280265"/>
    <w:rsid w:val="00286434"/>
    <w:rsid w:val="00286C59"/>
    <w:rsid w:val="00291957"/>
    <w:rsid w:val="002942D1"/>
    <w:rsid w:val="0029501A"/>
    <w:rsid w:val="002A2B81"/>
    <w:rsid w:val="002A3721"/>
    <w:rsid w:val="002B1401"/>
    <w:rsid w:val="002B1638"/>
    <w:rsid w:val="002B3624"/>
    <w:rsid w:val="002C1783"/>
    <w:rsid w:val="002D0952"/>
    <w:rsid w:val="002D2F7D"/>
    <w:rsid w:val="002E40B3"/>
    <w:rsid w:val="002E4C9A"/>
    <w:rsid w:val="002F11F8"/>
    <w:rsid w:val="002F3F56"/>
    <w:rsid w:val="002F44B5"/>
    <w:rsid w:val="002F5122"/>
    <w:rsid w:val="00311AC0"/>
    <w:rsid w:val="003176FC"/>
    <w:rsid w:val="00324E45"/>
    <w:rsid w:val="0032583B"/>
    <w:rsid w:val="00327883"/>
    <w:rsid w:val="00332715"/>
    <w:rsid w:val="00335504"/>
    <w:rsid w:val="0033613D"/>
    <w:rsid w:val="00340C18"/>
    <w:rsid w:val="00342390"/>
    <w:rsid w:val="003442FD"/>
    <w:rsid w:val="00347824"/>
    <w:rsid w:val="00350567"/>
    <w:rsid w:val="003521E8"/>
    <w:rsid w:val="00357C00"/>
    <w:rsid w:val="00361B18"/>
    <w:rsid w:val="00370CE3"/>
    <w:rsid w:val="003728F3"/>
    <w:rsid w:val="003735BC"/>
    <w:rsid w:val="0037496E"/>
    <w:rsid w:val="00383221"/>
    <w:rsid w:val="00386150"/>
    <w:rsid w:val="003874CE"/>
    <w:rsid w:val="00390900"/>
    <w:rsid w:val="00395135"/>
    <w:rsid w:val="003A7F6C"/>
    <w:rsid w:val="003B4D60"/>
    <w:rsid w:val="003B7E39"/>
    <w:rsid w:val="003C58DC"/>
    <w:rsid w:val="003C6A22"/>
    <w:rsid w:val="003D1E62"/>
    <w:rsid w:val="003E0B99"/>
    <w:rsid w:val="003E2486"/>
    <w:rsid w:val="003E3208"/>
    <w:rsid w:val="003E4BC4"/>
    <w:rsid w:val="003F0B04"/>
    <w:rsid w:val="003F0E9E"/>
    <w:rsid w:val="0040134E"/>
    <w:rsid w:val="00406BC8"/>
    <w:rsid w:val="00425477"/>
    <w:rsid w:val="004334C7"/>
    <w:rsid w:val="00440A2D"/>
    <w:rsid w:val="00441C3F"/>
    <w:rsid w:val="00443DD4"/>
    <w:rsid w:val="00444D1A"/>
    <w:rsid w:val="004466E5"/>
    <w:rsid w:val="0045186A"/>
    <w:rsid w:val="00454BDC"/>
    <w:rsid w:val="004564A7"/>
    <w:rsid w:val="00456765"/>
    <w:rsid w:val="00460036"/>
    <w:rsid w:val="00460FEE"/>
    <w:rsid w:val="004617BF"/>
    <w:rsid w:val="00463658"/>
    <w:rsid w:val="004637A0"/>
    <w:rsid w:val="004722CC"/>
    <w:rsid w:val="00490483"/>
    <w:rsid w:val="004936E4"/>
    <w:rsid w:val="00494E60"/>
    <w:rsid w:val="00497487"/>
    <w:rsid w:val="004A2771"/>
    <w:rsid w:val="004A6189"/>
    <w:rsid w:val="004A7390"/>
    <w:rsid w:val="004B72C5"/>
    <w:rsid w:val="004B7B76"/>
    <w:rsid w:val="004C239D"/>
    <w:rsid w:val="004C2B1B"/>
    <w:rsid w:val="004C2DCA"/>
    <w:rsid w:val="004C4FBE"/>
    <w:rsid w:val="004C61D2"/>
    <w:rsid w:val="004D54FB"/>
    <w:rsid w:val="004F0C4A"/>
    <w:rsid w:val="004F0F38"/>
    <w:rsid w:val="004F47D6"/>
    <w:rsid w:val="00500337"/>
    <w:rsid w:val="00501921"/>
    <w:rsid w:val="00505417"/>
    <w:rsid w:val="0052149B"/>
    <w:rsid w:val="00523A21"/>
    <w:rsid w:val="00530354"/>
    <w:rsid w:val="0053625B"/>
    <w:rsid w:val="00541304"/>
    <w:rsid w:val="005434C6"/>
    <w:rsid w:val="00543B39"/>
    <w:rsid w:val="00545CDB"/>
    <w:rsid w:val="00546154"/>
    <w:rsid w:val="00550096"/>
    <w:rsid w:val="00554DAA"/>
    <w:rsid w:val="00555280"/>
    <w:rsid w:val="00557FF9"/>
    <w:rsid w:val="00562327"/>
    <w:rsid w:val="005711D5"/>
    <w:rsid w:val="00576378"/>
    <w:rsid w:val="00577130"/>
    <w:rsid w:val="00577945"/>
    <w:rsid w:val="00577E38"/>
    <w:rsid w:val="0058513A"/>
    <w:rsid w:val="00585179"/>
    <w:rsid w:val="00585322"/>
    <w:rsid w:val="005857C6"/>
    <w:rsid w:val="00592F6E"/>
    <w:rsid w:val="00593AD1"/>
    <w:rsid w:val="005A16BA"/>
    <w:rsid w:val="005A1805"/>
    <w:rsid w:val="005A68B6"/>
    <w:rsid w:val="005A79F5"/>
    <w:rsid w:val="005B68B0"/>
    <w:rsid w:val="005C46EC"/>
    <w:rsid w:val="005C494B"/>
    <w:rsid w:val="005C5570"/>
    <w:rsid w:val="005C5943"/>
    <w:rsid w:val="005C5B66"/>
    <w:rsid w:val="005C79A4"/>
    <w:rsid w:val="005D5442"/>
    <w:rsid w:val="005E3BF4"/>
    <w:rsid w:val="005F279B"/>
    <w:rsid w:val="005F47D9"/>
    <w:rsid w:val="005F6EE5"/>
    <w:rsid w:val="00603F32"/>
    <w:rsid w:val="00604109"/>
    <w:rsid w:val="00605585"/>
    <w:rsid w:val="00605AD4"/>
    <w:rsid w:val="006136D7"/>
    <w:rsid w:val="00614B22"/>
    <w:rsid w:val="00614EBD"/>
    <w:rsid w:val="00624562"/>
    <w:rsid w:val="00625A6E"/>
    <w:rsid w:val="00632398"/>
    <w:rsid w:val="00633A16"/>
    <w:rsid w:val="00640FC3"/>
    <w:rsid w:val="00642020"/>
    <w:rsid w:val="006430EE"/>
    <w:rsid w:val="00643CE5"/>
    <w:rsid w:val="0065337B"/>
    <w:rsid w:val="0065419D"/>
    <w:rsid w:val="00654828"/>
    <w:rsid w:val="006603BC"/>
    <w:rsid w:val="006604D8"/>
    <w:rsid w:val="00664A5B"/>
    <w:rsid w:val="0066735C"/>
    <w:rsid w:val="0067375F"/>
    <w:rsid w:val="006763D2"/>
    <w:rsid w:val="00680C08"/>
    <w:rsid w:val="00680EEF"/>
    <w:rsid w:val="006901BA"/>
    <w:rsid w:val="006916A0"/>
    <w:rsid w:val="006931B1"/>
    <w:rsid w:val="006A15C0"/>
    <w:rsid w:val="006A58A8"/>
    <w:rsid w:val="006B274C"/>
    <w:rsid w:val="006C3E2A"/>
    <w:rsid w:val="006C642F"/>
    <w:rsid w:val="006D03E5"/>
    <w:rsid w:val="006D5D3E"/>
    <w:rsid w:val="006E08B3"/>
    <w:rsid w:val="006E7D4A"/>
    <w:rsid w:val="006F17AC"/>
    <w:rsid w:val="006F25B8"/>
    <w:rsid w:val="006F4885"/>
    <w:rsid w:val="006F5605"/>
    <w:rsid w:val="006F572E"/>
    <w:rsid w:val="007046D6"/>
    <w:rsid w:val="00705DB0"/>
    <w:rsid w:val="00717305"/>
    <w:rsid w:val="0071736D"/>
    <w:rsid w:val="0072292E"/>
    <w:rsid w:val="00722B57"/>
    <w:rsid w:val="00730F8A"/>
    <w:rsid w:val="00732EAB"/>
    <w:rsid w:val="00735A8C"/>
    <w:rsid w:val="0074163C"/>
    <w:rsid w:val="0074253D"/>
    <w:rsid w:val="00744121"/>
    <w:rsid w:val="0074429B"/>
    <w:rsid w:val="007615BC"/>
    <w:rsid w:val="00762E3F"/>
    <w:rsid w:val="00762F05"/>
    <w:rsid w:val="007652FF"/>
    <w:rsid w:val="007703EF"/>
    <w:rsid w:val="00770CAC"/>
    <w:rsid w:val="00770EF1"/>
    <w:rsid w:val="0077131A"/>
    <w:rsid w:val="0077191C"/>
    <w:rsid w:val="00773EF7"/>
    <w:rsid w:val="00774E1D"/>
    <w:rsid w:val="007765D8"/>
    <w:rsid w:val="0077675A"/>
    <w:rsid w:val="00780355"/>
    <w:rsid w:val="007819FD"/>
    <w:rsid w:val="00785717"/>
    <w:rsid w:val="00785721"/>
    <w:rsid w:val="0079387B"/>
    <w:rsid w:val="00793A59"/>
    <w:rsid w:val="007A46F5"/>
    <w:rsid w:val="007A6505"/>
    <w:rsid w:val="007B6132"/>
    <w:rsid w:val="007B6E9F"/>
    <w:rsid w:val="007B7183"/>
    <w:rsid w:val="007C1216"/>
    <w:rsid w:val="007C1AF7"/>
    <w:rsid w:val="007C6B9B"/>
    <w:rsid w:val="007D35ED"/>
    <w:rsid w:val="007D53B6"/>
    <w:rsid w:val="007F46E1"/>
    <w:rsid w:val="00804D99"/>
    <w:rsid w:val="00805D27"/>
    <w:rsid w:val="00806583"/>
    <w:rsid w:val="00806DCB"/>
    <w:rsid w:val="0081047E"/>
    <w:rsid w:val="008110BC"/>
    <w:rsid w:val="008113A8"/>
    <w:rsid w:val="00813A96"/>
    <w:rsid w:val="00821776"/>
    <w:rsid w:val="008242FC"/>
    <w:rsid w:val="008321F5"/>
    <w:rsid w:val="00832369"/>
    <w:rsid w:val="00833ED8"/>
    <w:rsid w:val="00834660"/>
    <w:rsid w:val="00836BC2"/>
    <w:rsid w:val="008506D6"/>
    <w:rsid w:val="0085156D"/>
    <w:rsid w:val="00852B28"/>
    <w:rsid w:val="0085641B"/>
    <w:rsid w:val="00857136"/>
    <w:rsid w:val="00865B03"/>
    <w:rsid w:val="00875A6B"/>
    <w:rsid w:val="00877939"/>
    <w:rsid w:val="00885B11"/>
    <w:rsid w:val="00886D15"/>
    <w:rsid w:val="00887DD8"/>
    <w:rsid w:val="00891BA9"/>
    <w:rsid w:val="00896018"/>
    <w:rsid w:val="008960DD"/>
    <w:rsid w:val="0089635C"/>
    <w:rsid w:val="008A2B9D"/>
    <w:rsid w:val="008A3D9F"/>
    <w:rsid w:val="008A5E0B"/>
    <w:rsid w:val="008A6D59"/>
    <w:rsid w:val="008B3BBB"/>
    <w:rsid w:val="008B4B03"/>
    <w:rsid w:val="008B596F"/>
    <w:rsid w:val="008C159F"/>
    <w:rsid w:val="008C1623"/>
    <w:rsid w:val="008C1850"/>
    <w:rsid w:val="008C3212"/>
    <w:rsid w:val="008C51A9"/>
    <w:rsid w:val="008E7846"/>
    <w:rsid w:val="008F02E5"/>
    <w:rsid w:val="008F1CCC"/>
    <w:rsid w:val="008F2967"/>
    <w:rsid w:val="008F6943"/>
    <w:rsid w:val="00902A21"/>
    <w:rsid w:val="009043CD"/>
    <w:rsid w:val="009079F5"/>
    <w:rsid w:val="0091523F"/>
    <w:rsid w:val="00920330"/>
    <w:rsid w:val="009219D7"/>
    <w:rsid w:val="00922D53"/>
    <w:rsid w:val="00923B70"/>
    <w:rsid w:val="00924482"/>
    <w:rsid w:val="00930237"/>
    <w:rsid w:val="00937C17"/>
    <w:rsid w:val="00940A89"/>
    <w:rsid w:val="00941F77"/>
    <w:rsid w:val="00946EA5"/>
    <w:rsid w:val="009556D7"/>
    <w:rsid w:val="00960520"/>
    <w:rsid w:val="00963C08"/>
    <w:rsid w:val="009752A5"/>
    <w:rsid w:val="0098585A"/>
    <w:rsid w:val="009861EF"/>
    <w:rsid w:val="00986EAD"/>
    <w:rsid w:val="009A4CED"/>
    <w:rsid w:val="009A690D"/>
    <w:rsid w:val="009B071D"/>
    <w:rsid w:val="009B1D12"/>
    <w:rsid w:val="009B416B"/>
    <w:rsid w:val="009B4A87"/>
    <w:rsid w:val="009C4BD5"/>
    <w:rsid w:val="009D7B77"/>
    <w:rsid w:val="009E0BB0"/>
    <w:rsid w:val="009E3FBB"/>
    <w:rsid w:val="009E5A87"/>
    <w:rsid w:val="009F2673"/>
    <w:rsid w:val="009F7353"/>
    <w:rsid w:val="00A04F85"/>
    <w:rsid w:val="00A05FA4"/>
    <w:rsid w:val="00A07235"/>
    <w:rsid w:val="00A102E4"/>
    <w:rsid w:val="00A1219C"/>
    <w:rsid w:val="00A12C42"/>
    <w:rsid w:val="00A12D67"/>
    <w:rsid w:val="00A14DF7"/>
    <w:rsid w:val="00A22D57"/>
    <w:rsid w:val="00A27C75"/>
    <w:rsid w:val="00A3246D"/>
    <w:rsid w:val="00A3653C"/>
    <w:rsid w:val="00A36748"/>
    <w:rsid w:val="00A36FA7"/>
    <w:rsid w:val="00A425AA"/>
    <w:rsid w:val="00A427A8"/>
    <w:rsid w:val="00A44DDB"/>
    <w:rsid w:val="00A475B7"/>
    <w:rsid w:val="00A47AF7"/>
    <w:rsid w:val="00A47BB8"/>
    <w:rsid w:val="00A47C3E"/>
    <w:rsid w:val="00A50226"/>
    <w:rsid w:val="00A56F5C"/>
    <w:rsid w:val="00A60BAD"/>
    <w:rsid w:val="00A77F87"/>
    <w:rsid w:val="00A80B5B"/>
    <w:rsid w:val="00A84E36"/>
    <w:rsid w:val="00A964D1"/>
    <w:rsid w:val="00AA0ED0"/>
    <w:rsid w:val="00AA7B66"/>
    <w:rsid w:val="00AB5B1A"/>
    <w:rsid w:val="00AC2B40"/>
    <w:rsid w:val="00AC2BB2"/>
    <w:rsid w:val="00AC2C3C"/>
    <w:rsid w:val="00AC3DF6"/>
    <w:rsid w:val="00AC512D"/>
    <w:rsid w:val="00AD0083"/>
    <w:rsid w:val="00AD3935"/>
    <w:rsid w:val="00AE65EB"/>
    <w:rsid w:val="00AE67A7"/>
    <w:rsid w:val="00AF1D94"/>
    <w:rsid w:val="00AF2313"/>
    <w:rsid w:val="00AF60C5"/>
    <w:rsid w:val="00AF6361"/>
    <w:rsid w:val="00B009C6"/>
    <w:rsid w:val="00B01548"/>
    <w:rsid w:val="00B0790D"/>
    <w:rsid w:val="00B10611"/>
    <w:rsid w:val="00B130C5"/>
    <w:rsid w:val="00B13EBD"/>
    <w:rsid w:val="00B1406F"/>
    <w:rsid w:val="00B2177B"/>
    <w:rsid w:val="00B21D29"/>
    <w:rsid w:val="00B25034"/>
    <w:rsid w:val="00B33588"/>
    <w:rsid w:val="00B33863"/>
    <w:rsid w:val="00B37D17"/>
    <w:rsid w:val="00B4175E"/>
    <w:rsid w:val="00B41C85"/>
    <w:rsid w:val="00B43747"/>
    <w:rsid w:val="00B4519B"/>
    <w:rsid w:val="00B452CE"/>
    <w:rsid w:val="00B54C25"/>
    <w:rsid w:val="00B61B9D"/>
    <w:rsid w:val="00B645CD"/>
    <w:rsid w:val="00B76B91"/>
    <w:rsid w:val="00B77EB1"/>
    <w:rsid w:val="00B811C6"/>
    <w:rsid w:val="00B81713"/>
    <w:rsid w:val="00B855B0"/>
    <w:rsid w:val="00B90DF0"/>
    <w:rsid w:val="00B92E08"/>
    <w:rsid w:val="00B9526A"/>
    <w:rsid w:val="00BB0B78"/>
    <w:rsid w:val="00BB75D6"/>
    <w:rsid w:val="00BC622A"/>
    <w:rsid w:val="00BE0A78"/>
    <w:rsid w:val="00BE4090"/>
    <w:rsid w:val="00BE5AEB"/>
    <w:rsid w:val="00BE6542"/>
    <w:rsid w:val="00BE79F0"/>
    <w:rsid w:val="00BF046D"/>
    <w:rsid w:val="00BF1190"/>
    <w:rsid w:val="00BF3774"/>
    <w:rsid w:val="00BF593F"/>
    <w:rsid w:val="00BF5D04"/>
    <w:rsid w:val="00BF7063"/>
    <w:rsid w:val="00C009AA"/>
    <w:rsid w:val="00C06350"/>
    <w:rsid w:val="00C1164D"/>
    <w:rsid w:val="00C16861"/>
    <w:rsid w:val="00C16D68"/>
    <w:rsid w:val="00C2105D"/>
    <w:rsid w:val="00C34133"/>
    <w:rsid w:val="00C346AB"/>
    <w:rsid w:val="00C404A6"/>
    <w:rsid w:val="00C40A36"/>
    <w:rsid w:val="00C411F5"/>
    <w:rsid w:val="00C44419"/>
    <w:rsid w:val="00C45E7B"/>
    <w:rsid w:val="00C46D71"/>
    <w:rsid w:val="00C471B1"/>
    <w:rsid w:val="00C479ED"/>
    <w:rsid w:val="00C525A2"/>
    <w:rsid w:val="00C52E24"/>
    <w:rsid w:val="00C57FF9"/>
    <w:rsid w:val="00C6316B"/>
    <w:rsid w:val="00C6321C"/>
    <w:rsid w:val="00C634A9"/>
    <w:rsid w:val="00C64586"/>
    <w:rsid w:val="00C6664F"/>
    <w:rsid w:val="00C70A36"/>
    <w:rsid w:val="00C70D53"/>
    <w:rsid w:val="00C73D0B"/>
    <w:rsid w:val="00C74F5C"/>
    <w:rsid w:val="00C772FF"/>
    <w:rsid w:val="00C80137"/>
    <w:rsid w:val="00C801AF"/>
    <w:rsid w:val="00C80256"/>
    <w:rsid w:val="00C90A6B"/>
    <w:rsid w:val="00C94CD4"/>
    <w:rsid w:val="00C9711F"/>
    <w:rsid w:val="00C9747E"/>
    <w:rsid w:val="00CA27DB"/>
    <w:rsid w:val="00CB6BC0"/>
    <w:rsid w:val="00CC1B7C"/>
    <w:rsid w:val="00CC5044"/>
    <w:rsid w:val="00CC727F"/>
    <w:rsid w:val="00CD55ED"/>
    <w:rsid w:val="00CF15C3"/>
    <w:rsid w:val="00CF2B6F"/>
    <w:rsid w:val="00CF2F3E"/>
    <w:rsid w:val="00CF58B6"/>
    <w:rsid w:val="00CF5DAD"/>
    <w:rsid w:val="00D0062D"/>
    <w:rsid w:val="00D017ED"/>
    <w:rsid w:val="00D040D3"/>
    <w:rsid w:val="00D04C65"/>
    <w:rsid w:val="00D058EF"/>
    <w:rsid w:val="00D153D8"/>
    <w:rsid w:val="00D16F6C"/>
    <w:rsid w:val="00D201D2"/>
    <w:rsid w:val="00D212F3"/>
    <w:rsid w:val="00D224FE"/>
    <w:rsid w:val="00D23139"/>
    <w:rsid w:val="00D25F84"/>
    <w:rsid w:val="00D425BB"/>
    <w:rsid w:val="00D453FA"/>
    <w:rsid w:val="00D5103B"/>
    <w:rsid w:val="00D56348"/>
    <w:rsid w:val="00D56EB9"/>
    <w:rsid w:val="00D6493E"/>
    <w:rsid w:val="00D7035A"/>
    <w:rsid w:val="00D7195D"/>
    <w:rsid w:val="00D72CBA"/>
    <w:rsid w:val="00D7301E"/>
    <w:rsid w:val="00D8071C"/>
    <w:rsid w:val="00D83AE1"/>
    <w:rsid w:val="00D854AC"/>
    <w:rsid w:val="00D855D4"/>
    <w:rsid w:val="00D872F7"/>
    <w:rsid w:val="00D902C9"/>
    <w:rsid w:val="00D91202"/>
    <w:rsid w:val="00D93466"/>
    <w:rsid w:val="00DA1124"/>
    <w:rsid w:val="00DA1EF3"/>
    <w:rsid w:val="00DA64CB"/>
    <w:rsid w:val="00DA7EE7"/>
    <w:rsid w:val="00DB06B8"/>
    <w:rsid w:val="00DB6124"/>
    <w:rsid w:val="00DB750B"/>
    <w:rsid w:val="00DB75B7"/>
    <w:rsid w:val="00DC0A2F"/>
    <w:rsid w:val="00DC1948"/>
    <w:rsid w:val="00DC6E02"/>
    <w:rsid w:val="00DD28CD"/>
    <w:rsid w:val="00DD7DE4"/>
    <w:rsid w:val="00DE02AE"/>
    <w:rsid w:val="00DE39D1"/>
    <w:rsid w:val="00DF1D7F"/>
    <w:rsid w:val="00DF422D"/>
    <w:rsid w:val="00DF4BE4"/>
    <w:rsid w:val="00DF5687"/>
    <w:rsid w:val="00DF7C6F"/>
    <w:rsid w:val="00E02382"/>
    <w:rsid w:val="00E02FB4"/>
    <w:rsid w:val="00E13FC7"/>
    <w:rsid w:val="00E20571"/>
    <w:rsid w:val="00E2184A"/>
    <w:rsid w:val="00E235F7"/>
    <w:rsid w:val="00E23659"/>
    <w:rsid w:val="00E239D4"/>
    <w:rsid w:val="00E26130"/>
    <w:rsid w:val="00E33D42"/>
    <w:rsid w:val="00E40B22"/>
    <w:rsid w:val="00E44ED1"/>
    <w:rsid w:val="00E45619"/>
    <w:rsid w:val="00E4588F"/>
    <w:rsid w:val="00E46DA3"/>
    <w:rsid w:val="00E51BB1"/>
    <w:rsid w:val="00E55CB0"/>
    <w:rsid w:val="00E61481"/>
    <w:rsid w:val="00E624A5"/>
    <w:rsid w:val="00E630F0"/>
    <w:rsid w:val="00E641E6"/>
    <w:rsid w:val="00E64BA4"/>
    <w:rsid w:val="00E72CD4"/>
    <w:rsid w:val="00E7344E"/>
    <w:rsid w:val="00E81990"/>
    <w:rsid w:val="00E82665"/>
    <w:rsid w:val="00EB0798"/>
    <w:rsid w:val="00EB36D6"/>
    <w:rsid w:val="00EB40AD"/>
    <w:rsid w:val="00EB5256"/>
    <w:rsid w:val="00EB527E"/>
    <w:rsid w:val="00EB56F9"/>
    <w:rsid w:val="00EB586E"/>
    <w:rsid w:val="00EB5FC8"/>
    <w:rsid w:val="00EC463D"/>
    <w:rsid w:val="00EC7A85"/>
    <w:rsid w:val="00ED2922"/>
    <w:rsid w:val="00ED3CAD"/>
    <w:rsid w:val="00ED5A41"/>
    <w:rsid w:val="00ED6319"/>
    <w:rsid w:val="00EE1DE8"/>
    <w:rsid w:val="00EE27C2"/>
    <w:rsid w:val="00EF0366"/>
    <w:rsid w:val="00EF3544"/>
    <w:rsid w:val="00EF4BAD"/>
    <w:rsid w:val="00EF59DC"/>
    <w:rsid w:val="00F033EC"/>
    <w:rsid w:val="00F04F68"/>
    <w:rsid w:val="00F05753"/>
    <w:rsid w:val="00F12670"/>
    <w:rsid w:val="00F14B27"/>
    <w:rsid w:val="00F25088"/>
    <w:rsid w:val="00F3148D"/>
    <w:rsid w:val="00F325C5"/>
    <w:rsid w:val="00F32FE0"/>
    <w:rsid w:val="00F35281"/>
    <w:rsid w:val="00F35298"/>
    <w:rsid w:val="00F4017E"/>
    <w:rsid w:val="00F47333"/>
    <w:rsid w:val="00F47E37"/>
    <w:rsid w:val="00F503CF"/>
    <w:rsid w:val="00F53C07"/>
    <w:rsid w:val="00F54B65"/>
    <w:rsid w:val="00F554E6"/>
    <w:rsid w:val="00F61150"/>
    <w:rsid w:val="00F63DBF"/>
    <w:rsid w:val="00F640B6"/>
    <w:rsid w:val="00F66DF2"/>
    <w:rsid w:val="00F77430"/>
    <w:rsid w:val="00F80E40"/>
    <w:rsid w:val="00F848D9"/>
    <w:rsid w:val="00F85EF8"/>
    <w:rsid w:val="00F931CE"/>
    <w:rsid w:val="00FA0236"/>
    <w:rsid w:val="00FA4BBA"/>
    <w:rsid w:val="00FA5069"/>
    <w:rsid w:val="00FA5B82"/>
    <w:rsid w:val="00FA639E"/>
    <w:rsid w:val="00FA761A"/>
    <w:rsid w:val="00FC1FCA"/>
    <w:rsid w:val="00FC25E4"/>
    <w:rsid w:val="00FC4EF7"/>
    <w:rsid w:val="00FC631E"/>
    <w:rsid w:val="00FD0824"/>
    <w:rsid w:val="00FD119B"/>
    <w:rsid w:val="00FD1EDC"/>
    <w:rsid w:val="00FE1DEE"/>
    <w:rsid w:val="00FF2126"/>
    <w:rsid w:val="00FF3F9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75F7A"/>
  <w15:docId w15:val="{CFDAD520-2E65-4353-AA86-5105D330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023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rsid w:val="00D25F84"/>
    <w:pPr>
      <w:adjustRightInd w:val="0"/>
      <w:snapToGrid w:val="0"/>
      <w:spacing w:before="180" w:after="180"/>
      <w:ind w:left="720"/>
      <w:contextualSpacing/>
    </w:pPr>
    <w:rPr>
      <w:rFonts w:eastAsia="MS Mincho"/>
      <w:szCs w:val="20"/>
      <w:lang w:eastAsia="ja-JP"/>
    </w:rPr>
  </w:style>
  <w:style w:type="paragraph" w:customStyle="1" w:styleId="Default">
    <w:name w:val="Default"/>
    <w:rsid w:val="00BE4090"/>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BE4090"/>
    <w:pPr>
      <w:numPr>
        <w:numId w:val="3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BE4090"/>
    <w:rPr>
      <w:rFonts w:ascii="Cambria" w:eastAsia="Times New Roman" w:hAnsi="Cambria" w:cs="Times New Roman"/>
      <w:snapToGrid w:val="0"/>
      <w:kern w:val="2"/>
      <w:sz w:val="23"/>
    </w:rPr>
  </w:style>
  <w:style w:type="paragraph" w:customStyle="1" w:styleId="Standard">
    <w:name w:val="Standard"/>
    <w:basedOn w:val="Normal"/>
    <w:link w:val="StandardChar"/>
    <w:qFormat/>
    <w:rsid w:val="00BE409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E4090"/>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BE4090"/>
    <w:rPr>
      <w:rFonts w:ascii="Cambria" w:eastAsia="Cambria" w:hAnsi="Cambria" w:cs="Times New Roman"/>
      <w:snapToGrid/>
      <w:kern w:val="16"/>
      <w:sz w:val="19"/>
      <w:szCs w:val="24"/>
    </w:rPr>
  </w:style>
  <w:style w:type="character" w:styleId="UnresolvedMention">
    <w:name w:val="Unresolved Mention"/>
    <w:basedOn w:val="DefaultParagraphFont"/>
    <w:uiPriority w:val="99"/>
    <w:semiHidden/>
    <w:unhideWhenUsed/>
    <w:rsid w:val="00035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31180941">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34263823">
      <w:bodyDiv w:val="1"/>
      <w:marLeft w:val="0"/>
      <w:marRight w:val="0"/>
      <w:marTop w:val="0"/>
      <w:marBottom w:val="0"/>
      <w:divBdr>
        <w:top w:val="none" w:sz="0" w:space="0" w:color="auto"/>
        <w:left w:val="none" w:sz="0" w:space="0" w:color="auto"/>
        <w:bottom w:val="none" w:sz="0" w:space="0" w:color="auto"/>
        <w:right w:val="none" w:sz="0" w:space="0" w:color="auto"/>
      </w:divBdr>
      <w:divsChild>
        <w:div w:id="2089496557">
          <w:marLeft w:val="0"/>
          <w:marRight w:val="0"/>
          <w:marTop w:val="0"/>
          <w:marBottom w:val="0"/>
          <w:divBdr>
            <w:top w:val="none" w:sz="0" w:space="0" w:color="auto"/>
            <w:left w:val="none" w:sz="0" w:space="0" w:color="auto"/>
            <w:bottom w:val="none" w:sz="0" w:space="0" w:color="auto"/>
            <w:right w:val="none" w:sz="0" w:space="0" w:color="auto"/>
          </w:divBdr>
          <w:divsChild>
            <w:div w:id="1241719790">
              <w:marLeft w:val="0"/>
              <w:marRight w:val="0"/>
              <w:marTop w:val="0"/>
              <w:marBottom w:val="0"/>
              <w:divBdr>
                <w:top w:val="none" w:sz="0" w:space="0" w:color="auto"/>
                <w:left w:val="none" w:sz="0" w:space="0" w:color="auto"/>
                <w:bottom w:val="none" w:sz="0" w:space="0" w:color="auto"/>
                <w:right w:val="none" w:sz="0" w:space="0" w:color="auto"/>
              </w:divBdr>
              <w:divsChild>
                <w:div w:id="12026647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2517516">
          <w:marLeft w:val="0"/>
          <w:marRight w:val="0"/>
          <w:marTop w:val="0"/>
          <w:marBottom w:val="0"/>
          <w:divBdr>
            <w:top w:val="none" w:sz="0" w:space="0" w:color="auto"/>
            <w:left w:val="none" w:sz="0" w:space="0" w:color="auto"/>
            <w:bottom w:val="none" w:sz="0" w:space="0" w:color="auto"/>
            <w:right w:val="none" w:sz="0" w:space="0" w:color="auto"/>
          </w:divBdr>
          <w:divsChild>
            <w:div w:id="282616902">
              <w:marLeft w:val="0"/>
              <w:marRight w:val="0"/>
              <w:marTop w:val="0"/>
              <w:marBottom w:val="0"/>
              <w:divBdr>
                <w:top w:val="none" w:sz="0" w:space="0" w:color="auto"/>
                <w:left w:val="none" w:sz="0" w:space="0" w:color="auto"/>
                <w:bottom w:val="none" w:sz="0" w:space="0" w:color="auto"/>
                <w:right w:val="none" w:sz="0" w:space="0" w:color="auto"/>
              </w:divBdr>
              <w:divsChild>
                <w:div w:id="888498799">
                  <w:marLeft w:val="0"/>
                  <w:marRight w:val="0"/>
                  <w:marTop w:val="0"/>
                  <w:marBottom w:val="0"/>
                  <w:divBdr>
                    <w:top w:val="single" w:sz="6" w:space="0" w:color="CCCCCC"/>
                    <w:left w:val="none" w:sz="0" w:space="0" w:color="auto"/>
                    <w:bottom w:val="none" w:sz="0" w:space="0" w:color="auto"/>
                    <w:right w:val="none" w:sz="0" w:space="0" w:color="auto"/>
                  </w:divBdr>
                </w:div>
                <w:div w:id="139507868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icmi-search-facility"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ga.gov.au/publication/orphan-drug-designation" TargetMode="Externa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tga.gov.au/picmi-search-facility" TargetMode="External"/><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tga.gov.au/comparable-overseas-regulators-cors-timeframes-and-mileston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tga.gov.au/tgas-risk-management-approach" TargetMode="External"/><Relationship Id="rId49"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tga.gov.au/publication/risk-management-plans-medicines-and-biologicals" TargetMode="External"/><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auspar/auspar-pasireotide-diaspart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21B67-5454-4FE3-A7AE-81A0BE3D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56</Pages>
  <Words>18376</Words>
  <Characters>104744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Australian public assessment report for Isturisa</vt:lpstr>
    </vt:vector>
  </TitlesOfParts>
  <Company>Department of Health and Aged Care</Company>
  <LinksUpToDate>false</LinksUpToDate>
  <CharactersWithSpaces>122875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Isturisa</dc:title>
  <dc:subject>prescription medicine regulation</dc:subject>
  <dc:creator>Therapeutic Goods Administration</dc:creator>
  <cp:keywords>AusPARs</cp:keywords>
  <cp:lastModifiedBy>PITKIN, Brendan</cp:lastModifiedBy>
  <cp:revision>21</cp:revision>
  <cp:lastPrinted>2019-08-14T04:30:00Z</cp:lastPrinted>
  <dcterms:created xsi:type="dcterms:W3CDTF">2022-10-17T23:07:00Z</dcterms:created>
  <dcterms:modified xsi:type="dcterms:W3CDTF">2022-10-26T05:53:00Z</dcterms:modified>
  <cp:category/>
</cp:coreProperties>
</file>