
<file path=[Content_Types].xml><?xml version="1.0" encoding="utf-8"?>
<Types xmlns="http://schemas.openxmlformats.org/package/2006/content-types">
  <Default Extension="emf" ContentType="image/x-emf"/>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header8.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Y="9863"/>
        <w:tblOverlap w:val="never"/>
        <w:tblW w:w="3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2"/>
      </w:tblGrid>
      <w:tr w:rsidR="008E7846" w:rsidRPr="00487162" w14:paraId="008C4172" w14:textId="77777777" w:rsidTr="00BF1190">
        <w:trPr>
          <w:trHeight w:val="1863"/>
        </w:trPr>
        <w:tc>
          <w:tcPr>
            <w:tcW w:w="3652" w:type="dxa"/>
            <w:tcBorders>
              <w:top w:val="nil"/>
              <w:left w:val="nil"/>
              <w:bottom w:val="nil"/>
              <w:right w:val="nil"/>
            </w:tcBorders>
          </w:tcPr>
          <w:p w14:paraId="773327D6" w14:textId="2C672587" w:rsidR="008E7846" w:rsidRPr="00096AA7" w:rsidRDefault="00BA5891" w:rsidP="00F931CE">
            <w:pPr>
              <w:pStyle w:val="Date"/>
              <w:framePr w:hSpace="0" w:wrap="auto" w:vAnchor="margin" w:hAnchor="text" w:yAlign="inline"/>
              <w:suppressOverlap w:val="0"/>
            </w:pPr>
            <w:r>
              <w:t xml:space="preserve">October </w:t>
            </w:r>
            <w:r w:rsidR="00F1128B">
              <w:t>2022</w:t>
            </w:r>
          </w:p>
        </w:tc>
      </w:tr>
    </w:tbl>
    <w:tbl>
      <w:tblPr>
        <w:tblpPr w:leftFromText="180" w:rightFromText="180" w:vertAnchor="page" w:tblpY="3316"/>
        <w:tblW w:w="9079" w:type="dxa"/>
        <w:tblLayout w:type="fixed"/>
        <w:tblLook w:val="04A0" w:firstRow="1" w:lastRow="0" w:firstColumn="1" w:lastColumn="0" w:noHBand="0" w:noVBand="1"/>
      </w:tblPr>
      <w:tblGrid>
        <w:gridCol w:w="9079"/>
      </w:tblGrid>
      <w:tr w:rsidR="0032583B" w:rsidRPr="00A964D1" w14:paraId="5800C231" w14:textId="77777777" w:rsidTr="0032583B">
        <w:trPr>
          <w:trHeight w:val="868"/>
        </w:trPr>
        <w:tc>
          <w:tcPr>
            <w:tcW w:w="9079" w:type="dxa"/>
          </w:tcPr>
          <w:p w14:paraId="1FB759E7" w14:textId="58AAEA3D" w:rsidR="0032583B" w:rsidRPr="00A964D1" w:rsidRDefault="0032583B" w:rsidP="00F931CE">
            <w:pPr>
              <w:pStyle w:val="Title"/>
              <w:framePr w:hSpace="0" w:wrap="auto" w:vAnchor="margin" w:yAlign="inline"/>
            </w:pPr>
            <w:r w:rsidRPr="00A964D1">
              <w:t>Australian Public Assessment Report for</w:t>
            </w:r>
            <w:r w:rsidR="00AF2313">
              <w:t xml:space="preserve"> </w:t>
            </w:r>
            <w:r w:rsidR="000326F5">
              <w:t>Darzalex SC</w:t>
            </w:r>
          </w:p>
        </w:tc>
      </w:tr>
      <w:tr w:rsidR="0032583B" w:rsidRPr="00B64760" w14:paraId="594F74CC" w14:textId="77777777" w:rsidTr="0032583B">
        <w:tc>
          <w:tcPr>
            <w:tcW w:w="9079" w:type="dxa"/>
          </w:tcPr>
          <w:p w14:paraId="3026BDE3" w14:textId="1F32E4A3" w:rsidR="0032583B" w:rsidRPr="008E7846" w:rsidRDefault="00BB75D6" w:rsidP="00F931CE">
            <w:pPr>
              <w:pStyle w:val="Subtitle"/>
              <w:framePr w:hSpace="0" w:wrap="auto" w:vAnchor="margin" w:yAlign="inline"/>
            </w:pPr>
            <w:r>
              <w:t>Active ingredient</w:t>
            </w:r>
            <w:r w:rsidR="0032583B" w:rsidRPr="008E7846">
              <w:t>:</w:t>
            </w:r>
            <w:r w:rsidR="000326F5">
              <w:t xml:space="preserve"> </w:t>
            </w:r>
            <w:r w:rsidR="00BA5891">
              <w:t>D</w:t>
            </w:r>
            <w:r w:rsidR="000326F5" w:rsidRPr="000326F5">
              <w:t>aratumumab</w:t>
            </w:r>
          </w:p>
        </w:tc>
      </w:tr>
      <w:tr w:rsidR="0032583B" w:rsidRPr="00B64760" w14:paraId="3F6C341F" w14:textId="77777777" w:rsidTr="0032583B">
        <w:trPr>
          <w:trHeight w:val="486"/>
        </w:trPr>
        <w:tc>
          <w:tcPr>
            <w:tcW w:w="9079" w:type="dxa"/>
          </w:tcPr>
          <w:p w14:paraId="58408CF3" w14:textId="7A12449A" w:rsidR="0032583B" w:rsidRPr="008E7846" w:rsidRDefault="00460036" w:rsidP="009556D7">
            <w:pPr>
              <w:pStyle w:val="Subtitle"/>
              <w:framePr w:hSpace="0" w:wrap="auto" w:vAnchor="margin" w:yAlign="inline"/>
            </w:pPr>
            <w:r>
              <w:t>Sponsor:</w:t>
            </w:r>
            <w:r w:rsidR="000326F5">
              <w:t xml:space="preserve"> Janssen-Cilag Pty Ltd</w:t>
            </w:r>
          </w:p>
        </w:tc>
      </w:tr>
    </w:tbl>
    <w:p w14:paraId="2CCF2C1B" w14:textId="3021262A" w:rsidR="00364DEE" w:rsidRPr="0085156D" w:rsidRDefault="00364DEE" w:rsidP="0085156D"/>
    <w:p w14:paraId="05425B3D" w14:textId="77777777" w:rsidR="008E7846" w:rsidRPr="001F6CBA" w:rsidRDefault="008E7846" w:rsidP="00294DE9">
      <w:pPr>
        <w:pStyle w:val="NonTOCHeading2"/>
        <w:pageBreakBefore/>
      </w:pPr>
      <w:r w:rsidRPr="001F6CBA">
        <w:lastRenderedPageBreak/>
        <w:t>About the Therapeutic Goods Administration (TGA)</w:t>
      </w:r>
    </w:p>
    <w:p w14:paraId="5DB2F253" w14:textId="1ED28163" w:rsidR="00AF2313" w:rsidRPr="00391B0C" w:rsidRDefault="00AF2313" w:rsidP="00AF2313">
      <w:pPr>
        <w:pStyle w:val="ListBullet"/>
      </w:pPr>
      <w:r w:rsidRPr="00391B0C">
        <w:t>The Therapeutic Goods Administration (TGA) is part of the Australian Government Department of Health</w:t>
      </w:r>
      <w:r w:rsidR="004A0267">
        <w:t xml:space="preserve"> and Aged Care</w:t>
      </w:r>
      <w:r w:rsidRPr="00391B0C">
        <w:t xml:space="preserve"> and is responsible for regulating therapeutic goods, including medicines, medical devices, and biologicals.</w:t>
      </w:r>
    </w:p>
    <w:p w14:paraId="350738B6" w14:textId="77777777" w:rsidR="00AF2313" w:rsidRPr="00391B0C" w:rsidRDefault="00AF2313" w:rsidP="00AF2313">
      <w:pPr>
        <w:pStyle w:val="ListBullet"/>
      </w:pPr>
      <w:r w:rsidRPr="00391B0C">
        <w:t xml:space="preserve">The TGA administers the </w:t>
      </w:r>
      <w:r w:rsidRPr="00822FCB">
        <w:rPr>
          <w:i/>
          <w:iCs/>
        </w:rPr>
        <w:t>Therapeutic Goods Act 1989</w:t>
      </w:r>
      <w:r w:rsidRPr="00391B0C">
        <w:t xml:space="preserve"> (the Act), applying a risk management approach designed to ensure therapeutic goods supplied in Australia meet acceptable standards of quality, </w:t>
      </w:r>
      <w:r w:rsidR="00CC5044" w:rsidRPr="00391B0C">
        <w:t>safety,</w:t>
      </w:r>
      <w:r w:rsidRPr="00391B0C">
        <w:t xml:space="preserve"> and efficacy.</w:t>
      </w:r>
    </w:p>
    <w:p w14:paraId="711780CC" w14:textId="77777777" w:rsidR="00AF2313" w:rsidRPr="003C6D1F" w:rsidRDefault="00AF2313" w:rsidP="00AF2313">
      <w:pPr>
        <w:pStyle w:val="ListBullet"/>
      </w:pPr>
      <w:r w:rsidRPr="003C6D1F">
        <w:t xml:space="preserve">The work of the TGA is based on applying scientific and clinical expertise to decision-making, to ensure that the benefits to </w:t>
      </w:r>
      <w:r>
        <w:t>the Australian public</w:t>
      </w:r>
      <w:r w:rsidRPr="003C6D1F">
        <w:t xml:space="preserve"> outweigh any risks associated with the use of </w:t>
      </w:r>
      <w:r>
        <w:t>therapeutic goods</w:t>
      </w:r>
      <w:r w:rsidRPr="003C6D1F">
        <w:t>.</w:t>
      </w:r>
    </w:p>
    <w:p w14:paraId="2DB4F46B" w14:textId="77777777" w:rsidR="00AF2313" w:rsidRPr="003C6D1F" w:rsidRDefault="00AF2313" w:rsidP="00AF2313">
      <w:pPr>
        <w:pStyle w:val="ListBullet"/>
      </w:pPr>
      <w:r w:rsidRPr="003C6D1F">
        <w:t xml:space="preserve">The TGA relies on the public, healthcare professionals and industry to report problems with </w:t>
      </w:r>
      <w:r>
        <w:t>therapeutic goods</w:t>
      </w:r>
      <w:r w:rsidRPr="003C6D1F">
        <w:t>.</w:t>
      </w:r>
      <w:r>
        <w:t xml:space="preserve"> The</w:t>
      </w:r>
      <w:r w:rsidRPr="003C6D1F">
        <w:t xml:space="preserve"> TGA investigates reports received to determine any necessary regulatory action.</w:t>
      </w:r>
    </w:p>
    <w:p w14:paraId="12116C57" w14:textId="77777777" w:rsidR="00AF2313" w:rsidRDefault="00AF2313" w:rsidP="00AF2313">
      <w:pPr>
        <w:pStyle w:val="ListBullet"/>
      </w:pPr>
      <w:r w:rsidRPr="003C6D1F">
        <w:t xml:space="preserve">To report a problem with a </w:t>
      </w:r>
      <w:r>
        <w:t>therapeutic good</w:t>
      </w:r>
      <w:r w:rsidRPr="003C6D1F">
        <w:t xml:space="preserve">, please see the information on the </w:t>
      </w:r>
      <w:hyperlink r:id="rId8" w:history="1">
        <w:r w:rsidRPr="000F15B4">
          <w:rPr>
            <w:rStyle w:val="Hyperlink"/>
          </w:rPr>
          <w:t>TGA website</w:t>
        </w:r>
      </w:hyperlink>
      <w:r w:rsidRPr="003C6D1F">
        <w:t>.</w:t>
      </w:r>
    </w:p>
    <w:p w14:paraId="4175F350" w14:textId="77777777" w:rsidR="008E7846" w:rsidRDefault="008E7846" w:rsidP="00875A6B">
      <w:pPr>
        <w:pStyle w:val="NonTOCHeading2"/>
      </w:pPr>
      <w:r>
        <w:t>About AusPARs</w:t>
      </w:r>
    </w:p>
    <w:p w14:paraId="65041642" w14:textId="77777777" w:rsidR="00AF2313" w:rsidRPr="003C6D1F" w:rsidRDefault="00AF2313" w:rsidP="00AF2313">
      <w:pPr>
        <w:pStyle w:val="ListBullet"/>
      </w:pPr>
      <w:r>
        <w:t>The</w:t>
      </w:r>
      <w:r w:rsidRPr="003C6D1F">
        <w:t xml:space="preserve"> Australian Public Assessment Report (AusPAR) provides information about the evaluation of a prescription medicine and the considerations that led the TGA to approve or not approve a prescription medicine submission.</w:t>
      </w:r>
      <w:r>
        <w:t xml:space="preserve"> Further information can be found in </w:t>
      </w:r>
      <w:hyperlink r:id="rId9" w:history="1">
        <w:r w:rsidRPr="005A2EB8">
          <w:rPr>
            <w:rStyle w:val="Hyperlink"/>
          </w:rPr>
          <w:t>Australian Public Assessment Report (AusPAR) guidance</w:t>
        </w:r>
      </w:hyperlink>
      <w:r>
        <w:t>.</w:t>
      </w:r>
    </w:p>
    <w:p w14:paraId="68D6C5C7" w14:textId="77777777" w:rsidR="00AF2313" w:rsidRPr="003C6D1F" w:rsidRDefault="00AF2313" w:rsidP="00AF2313">
      <w:pPr>
        <w:pStyle w:val="ListBullet"/>
      </w:pPr>
      <w:r w:rsidRPr="003C6D1F">
        <w:t>AusPARs are prepared and published by the TGA.</w:t>
      </w:r>
    </w:p>
    <w:p w14:paraId="126E6166" w14:textId="77777777" w:rsidR="00AF2313" w:rsidRPr="003C6D1F" w:rsidRDefault="00AF2313" w:rsidP="00AF2313">
      <w:pPr>
        <w:pStyle w:val="ListBullet"/>
      </w:pPr>
      <w:r w:rsidRPr="003C6D1F">
        <w:t>AusPAR</w:t>
      </w:r>
      <w:r>
        <w:t xml:space="preserve">s are </w:t>
      </w:r>
      <w:r w:rsidRPr="003C6D1F">
        <w:t>static document</w:t>
      </w:r>
      <w:r>
        <w:t xml:space="preserve">s that </w:t>
      </w:r>
      <w:r w:rsidRPr="003C6D1F">
        <w:t>provide information that relates to a submission at a particular point in time.</w:t>
      </w:r>
      <w:r w:rsidR="008110BC">
        <w:t xml:space="preserve"> The publication of an AusPAR is an important part of the transparency of the TGA’s decision-making process.</w:t>
      </w:r>
    </w:p>
    <w:p w14:paraId="2F9B546E" w14:textId="77777777" w:rsidR="00AF2313" w:rsidRPr="003C6D1F" w:rsidRDefault="00AF2313" w:rsidP="00AF2313">
      <w:pPr>
        <w:pStyle w:val="ListBullet"/>
      </w:pPr>
      <w:r w:rsidRPr="003C6D1F">
        <w:t xml:space="preserve">A new AusPAR </w:t>
      </w:r>
      <w:r>
        <w:t xml:space="preserve">may be provided </w:t>
      </w:r>
      <w:r w:rsidRPr="003C6D1F">
        <w:t>to reflect changes to indications or major variations to a prescription medicine subject to evaluation by the TGA.</w:t>
      </w:r>
    </w:p>
    <w:p w14:paraId="7502D9A6" w14:textId="77777777" w:rsidR="00924482" w:rsidRPr="00DF1D7F" w:rsidRDefault="00924482" w:rsidP="00F54B65">
      <w:pPr>
        <w:pStyle w:val="LegalSubheading"/>
        <w:spacing w:before="3120"/>
      </w:pPr>
      <w:r w:rsidRPr="00DF1D7F">
        <w:t>Copyright</w:t>
      </w:r>
    </w:p>
    <w:p w14:paraId="09649F68" w14:textId="77777777" w:rsidR="00924482" w:rsidRDefault="00924482" w:rsidP="00924482">
      <w:pPr>
        <w:pStyle w:val="LegalCopy"/>
      </w:pPr>
      <w:r w:rsidRPr="00191B3B">
        <w:rPr>
          <w:rFonts w:cs="Arial"/>
          <w:lang w:val="en-GB"/>
        </w:rPr>
        <w:t>© Comm</w:t>
      </w:r>
      <w:r>
        <w:rPr>
          <w:rFonts w:cs="Arial"/>
          <w:lang w:val="en-GB"/>
        </w:rPr>
        <w:t>onwealth of Australia 20</w:t>
      </w:r>
      <w:r w:rsidR="00460036">
        <w:rPr>
          <w:rFonts w:cs="Arial"/>
          <w:lang w:val="en-GB"/>
        </w:rPr>
        <w:t>2</w:t>
      </w:r>
      <w:r w:rsidR="00AF2313">
        <w:rPr>
          <w:rFonts w:cs="Arial"/>
          <w:lang w:val="en-GB"/>
        </w:rPr>
        <w:t>2</w:t>
      </w:r>
      <w:r w:rsidRPr="00191B3B">
        <w:rPr>
          <w:rFonts w:cs="Arial"/>
          <w:lang w:val="en-GB"/>
        </w:rPr>
        <w:br/>
        <w:t xml:space="preserve">This work is copyright. 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permitted by the </w:t>
      </w:r>
      <w:r w:rsidRPr="00191B3B">
        <w:rPr>
          <w:rFonts w:cs="Arial"/>
          <w:i/>
          <w:lang w:val="en-GB"/>
        </w:rPr>
        <w:t>Copyright Act 1968</w:t>
      </w:r>
      <w:r w:rsidRPr="00191B3B">
        <w:rPr>
          <w:rFonts w:cs="Arial"/>
          <w:lang w:val="en-GB"/>
        </w:rPr>
        <w:t xml:space="preserve"> or allowed by this copyright notice, all other rights are </w:t>
      </w:r>
      <w:r w:rsidR="00EB36D6" w:rsidRPr="00191B3B">
        <w:rPr>
          <w:rFonts w:cs="Arial"/>
          <w:lang w:val="en-GB"/>
        </w:rPr>
        <w:t>reserved,</w:t>
      </w:r>
      <w:r w:rsidRPr="00191B3B">
        <w:rPr>
          <w:rFonts w:cs="Arial"/>
          <w:lang w:val="en-GB"/>
        </w:rPr>
        <w:t xml:space="preserve"> and you are not allowed to reproduce the whole or any part of this work in any way (electronic or otherwise) without first being given specific written permission from the Commonwealth to do so. Requests and inquiries concerning reproduction and rights are to be sent to the TGA Copyright Officer, Therapeutic Goods Administration, PO Box 100, Woden ACT 2606 or emailed to &lt;</w:t>
      </w:r>
      <w:hyperlink r:id="rId10" w:history="1">
        <w:r w:rsidRPr="00191B3B">
          <w:rPr>
            <w:rStyle w:val="Hyperlink"/>
            <w:rFonts w:cs="Arial"/>
            <w:lang w:val="en-GB"/>
          </w:rPr>
          <w:t>tga.copyright@tga.gov.au</w:t>
        </w:r>
      </w:hyperlink>
      <w:r w:rsidRPr="00191B3B">
        <w:rPr>
          <w:rFonts w:cs="Arial"/>
        </w:rPr>
        <w:t>&gt;.</w:t>
      </w:r>
    </w:p>
    <w:p w14:paraId="7444140C" w14:textId="77777777" w:rsidR="00924482" w:rsidRDefault="00924482" w:rsidP="00924482">
      <w:pPr>
        <w:pStyle w:val="LegalCopy"/>
        <w:sectPr w:rsidR="00924482" w:rsidSect="003D1E62">
          <w:headerReference w:type="default" r:id="rId11"/>
          <w:footerReference w:type="default" r:id="rId12"/>
          <w:headerReference w:type="first" r:id="rId13"/>
          <w:pgSz w:w="11906" w:h="16838" w:code="9"/>
          <w:pgMar w:top="426" w:right="1701" w:bottom="0" w:left="1701" w:header="907" w:footer="142" w:gutter="0"/>
          <w:pgNumType w:fmt="lowerRoman" w:start="1"/>
          <w:cols w:space="708"/>
          <w:titlePg/>
          <w:docGrid w:linePitch="360"/>
        </w:sectPr>
      </w:pPr>
    </w:p>
    <w:bookmarkStart w:id="0" w:name="_Toc247691501" w:displacedByCustomXml="next"/>
    <w:bookmarkStart w:id="1" w:name="_Toc196046425" w:displacedByCustomXml="next"/>
    <w:sdt>
      <w:sdtPr>
        <w:rPr>
          <w:rFonts w:ascii="Cambria" w:hAnsi="Cambria"/>
          <w:b w:val="0"/>
          <w:bCs/>
          <w:sz w:val="22"/>
        </w:rPr>
        <w:id w:val="5618007"/>
        <w:docPartObj>
          <w:docPartGallery w:val="Table of Contents"/>
          <w:docPartUnique/>
        </w:docPartObj>
      </w:sdtPr>
      <w:sdtEndPr>
        <w:rPr>
          <w:bCs w:val="0"/>
        </w:rPr>
      </w:sdtEndPr>
      <w:sdtContent>
        <w:p w14:paraId="72C20432" w14:textId="77777777" w:rsidR="0089635C" w:rsidRPr="0089635C" w:rsidRDefault="0089635C" w:rsidP="00294DE9">
          <w:pPr>
            <w:pStyle w:val="Contents"/>
            <w:pageBreakBefore/>
          </w:pPr>
          <w:r w:rsidRPr="0010788A">
            <w:t>Contents</w:t>
          </w:r>
        </w:p>
        <w:p w14:paraId="4E003F0A" w14:textId="490C3DFC" w:rsidR="005A441A" w:rsidRDefault="00C525A2">
          <w:pPr>
            <w:pStyle w:val="TOC1"/>
            <w:rPr>
              <w:rFonts w:asciiTheme="minorHAnsi" w:eastAsiaTheme="minorEastAsia" w:hAnsiTheme="minorHAnsi" w:cstheme="minorBidi"/>
              <w:b w:val="0"/>
              <w:noProof/>
              <w:sz w:val="22"/>
              <w:lang w:eastAsia="en-AU"/>
            </w:rPr>
          </w:pPr>
          <w:r>
            <w:fldChar w:fldCharType="begin"/>
          </w:r>
          <w:r>
            <w:instrText xml:space="preserve"> TOC \h \z \t "Heading 2,1,Heading 3,2" </w:instrText>
          </w:r>
          <w:r>
            <w:fldChar w:fldCharType="separate"/>
          </w:r>
          <w:hyperlink w:anchor="_Toc117158634" w:history="1">
            <w:r w:rsidR="005A441A" w:rsidRPr="0059136F">
              <w:rPr>
                <w:rStyle w:val="Hyperlink"/>
                <w:noProof/>
              </w:rPr>
              <w:t>List of abbreviations</w:t>
            </w:r>
            <w:r w:rsidR="005A441A">
              <w:rPr>
                <w:noProof/>
                <w:webHidden/>
              </w:rPr>
              <w:tab/>
            </w:r>
            <w:r w:rsidR="005A441A">
              <w:rPr>
                <w:noProof/>
                <w:webHidden/>
              </w:rPr>
              <w:fldChar w:fldCharType="begin"/>
            </w:r>
            <w:r w:rsidR="005A441A">
              <w:rPr>
                <w:noProof/>
                <w:webHidden/>
              </w:rPr>
              <w:instrText xml:space="preserve"> PAGEREF _Toc117158634 \h </w:instrText>
            </w:r>
            <w:r w:rsidR="005A441A">
              <w:rPr>
                <w:noProof/>
                <w:webHidden/>
              </w:rPr>
            </w:r>
            <w:r w:rsidR="005A441A">
              <w:rPr>
                <w:noProof/>
                <w:webHidden/>
              </w:rPr>
              <w:fldChar w:fldCharType="separate"/>
            </w:r>
            <w:r w:rsidR="006232AC">
              <w:rPr>
                <w:noProof/>
                <w:webHidden/>
              </w:rPr>
              <w:t>4</w:t>
            </w:r>
            <w:r w:rsidR="005A441A">
              <w:rPr>
                <w:noProof/>
                <w:webHidden/>
              </w:rPr>
              <w:fldChar w:fldCharType="end"/>
            </w:r>
          </w:hyperlink>
        </w:p>
        <w:p w14:paraId="7A7F4144" w14:textId="6D168124" w:rsidR="005A441A" w:rsidRDefault="006232AC">
          <w:pPr>
            <w:pStyle w:val="TOC1"/>
            <w:rPr>
              <w:rFonts w:asciiTheme="minorHAnsi" w:eastAsiaTheme="minorEastAsia" w:hAnsiTheme="minorHAnsi" w:cstheme="minorBidi"/>
              <w:b w:val="0"/>
              <w:noProof/>
              <w:sz w:val="22"/>
              <w:lang w:eastAsia="en-AU"/>
            </w:rPr>
          </w:pPr>
          <w:hyperlink w:anchor="_Toc117158635" w:history="1">
            <w:r w:rsidR="005A441A" w:rsidRPr="0059136F">
              <w:rPr>
                <w:rStyle w:val="Hyperlink"/>
                <w:noProof/>
              </w:rPr>
              <w:t>Product submission</w:t>
            </w:r>
            <w:r w:rsidR="005A441A">
              <w:rPr>
                <w:noProof/>
                <w:webHidden/>
              </w:rPr>
              <w:tab/>
            </w:r>
            <w:r w:rsidR="005A441A">
              <w:rPr>
                <w:noProof/>
                <w:webHidden/>
              </w:rPr>
              <w:fldChar w:fldCharType="begin"/>
            </w:r>
            <w:r w:rsidR="005A441A">
              <w:rPr>
                <w:noProof/>
                <w:webHidden/>
              </w:rPr>
              <w:instrText xml:space="preserve"> PAGEREF _Toc117158635 \h </w:instrText>
            </w:r>
            <w:r w:rsidR="005A441A">
              <w:rPr>
                <w:noProof/>
                <w:webHidden/>
              </w:rPr>
            </w:r>
            <w:r w:rsidR="005A441A">
              <w:rPr>
                <w:noProof/>
                <w:webHidden/>
              </w:rPr>
              <w:fldChar w:fldCharType="separate"/>
            </w:r>
            <w:r>
              <w:rPr>
                <w:noProof/>
                <w:webHidden/>
              </w:rPr>
              <w:t>6</w:t>
            </w:r>
            <w:r w:rsidR="005A441A">
              <w:rPr>
                <w:noProof/>
                <w:webHidden/>
              </w:rPr>
              <w:fldChar w:fldCharType="end"/>
            </w:r>
          </w:hyperlink>
        </w:p>
        <w:p w14:paraId="7EF7B759" w14:textId="088951C3" w:rsidR="005A441A" w:rsidRDefault="006232AC">
          <w:pPr>
            <w:pStyle w:val="TOC2"/>
            <w:rPr>
              <w:rFonts w:asciiTheme="minorHAnsi" w:eastAsiaTheme="minorEastAsia" w:hAnsiTheme="minorHAnsi" w:cstheme="minorBidi"/>
              <w:b w:val="0"/>
              <w:noProof/>
              <w:sz w:val="22"/>
              <w:lang w:eastAsia="en-AU"/>
            </w:rPr>
          </w:pPr>
          <w:hyperlink w:anchor="_Toc117158636" w:history="1">
            <w:r w:rsidR="005A441A" w:rsidRPr="0059136F">
              <w:rPr>
                <w:rStyle w:val="Hyperlink"/>
                <w:noProof/>
                <w:lang w:eastAsia="en-AU"/>
              </w:rPr>
              <w:t>Submission details</w:t>
            </w:r>
            <w:r w:rsidR="005A441A">
              <w:rPr>
                <w:noProof/>
                <w:webHidden/>
              </w:rPr>
              <w:tab/>
            </w:r>
            <w:r w:rsidR="005A441A">
              <w:rPr>
                <w:noProof/>
                <w:webHidden/>
              </w:rPr>
              <w:fldChar w:fldCharType="begin"/>
            </w:r>
            <w:r w:rsidR="005A441A">
              <w:rPr>
                <w:noProof/>
                <w:webHidden/>
              </w:rPr>
              <w:instrText xml:space="preserve"> PAGEREF _Toc117158636 \h </w:instrText>
            </w:r>
            <w:r w:rsidR="005A441A">
              <w:rPr>
                <w:noProof/>
                <w:webHidden/>
              </w:rPr>
            </w:r>
            <w:r w:rsidR="005A441A">
              <w:rPr>
                <w:noProof/>
                <w:webHidden/>
              </w:rPr>
              <w:fldChar w:fldCharType="separate"/>
            </w:r>
            <w:r>
              <w:rPr>
                <w:noProof/>
                <w:webHidden/>
              </w:rPr>
              <w:t>6</w:t>
            </w:r>
            <w:r w:rsidR="005A441A">
              <w:rPr>
                <w:noProof/>
                <w:webHidden/>
              </w:rPr>
              <w:fldChar w:fldCharType="end"/>
            </w:r>
          </w:hyperlink>
        </w:p>
        <w:p w14:paraId="0041D609" w14:textId="555AFA7F" w:rsidR="005A441A" w:rsidRDefault="006232AC">
          <w:pPr>
            <w:pStyle w:val="TOC2"/>
            <w:rPr>
              <w:rFonts w:asciiTheme="minorHAnsi" w:eastAsiaTheme="minorEastAsia" w:hAnsiTheme="minorHAnsi" w:cstheme="minorBidi"/>
              <w:b w:val="0"/>
              <w:noProof/>
              <w:sz w:val="22"/>
              <w:lang w:eastAsia="en-AU"/>
            </w:rPr>
          </w:pPr>
          <w:hyperlink w:anchor="_Toc117158637" w:history="1">
            <w:r w:rsidR="005A441A" w:rsidRPr="0059136F">
              <w:rPr>
                <w:rStyle w:val="Hyperlink"/>
                <w:noProof/>
              </w:rPr>
              <w:t>Product background</w:t>
            </w:r>
            <w:r w:rsidR="005A441A">
              <w:rPr>
                <w:noProof/>
                <w:webHidden/>
              </w:rPr>
              <w:tab/>
            </w:r>
            <w:r w:rsidR="005A441A">
              <w:rPr>
                <w:noProof/>
                <w:webHidden/>
              </w:rPr>
              <w:fldChar w:fldCharType="begin"/>
            </w:r>
            <w:r w:rsidR="005A441A">
              <w:rPr>
                <w:noProof/>
                <w:webHidden/>
              </w:rPr>
              <w:instrText xml:space="preserve"> PAGEREF _Toc117158637 \h </w:instrText>
            </w:r>
            <w:r w:rsidR="005A441A">
              <w:rPr>
                <w:noProof/>
                <w:webHidden/>
              </w:rPr>
            </w:r>
            <w:r w:rsidR="005A441A">
              <w:rPr>
                <w:noProof/>
                <w:webHidden/>
              </w:rPr>
              <w:fldChar w:fldCharType="separate"/>
            </w:r>
            <w:r>
              <w:rPr>
                <w:noProof/>
                <w:webHidden/>
              </w:rPr>
              <w:t>8</w:t>
            </w:r>
            <w:r w:rsidR="005A441A">
              <w:rPr>
                <w:noProof/>
                <w:webHidden/>
              </w:rPr>
              <w:fldChar w:fldCharType="end"/>
            </w:r>
          </w:hyperlink>
        </w:p>
        <w:p w14:paraId="78BCBEC1" w14:textId="5D0D6148" w:rsidR="005A441A" w:rsidRDefault="006232AC">
          <w:pPr>
            <w:pStyle w:val="TOC2"/>
            <w:rPr>
              <w:rFonts w:asciiTheme="minorHAnsi" w:eastAsiaTheme="minorEastAsia" w:hAnsiTheme="minorHAnsi" w:cstheme="minorBidi"/>
              <w:b w:val="0"/>
              <w:noProof/>
              <w:sz w:val="22"/>
              <w:lang w:eastAsia="en-AU"/>
            </w:rPr>
          </w:pPr>
          <w:hyperlink w:anchor="_Toc117158638" w:history="1">
            <w:r w:rsidR="005A441A" w:rsidRPr="0059136F">
              <w:rPr>
                <w:rStyle w:val="Hyperlink"/>
                <w:noProof/>
              </w:rPr>
              <w:t>Regulatory status</w:t>
            </w:r>
            <w:r w:rsidR="005A441A">
              <w:rPr>
                <w:noProof/>
                <w:webHidden/>
              </w:rPr>
              <w:tab/>
            </w:r>
            <w:r w:rsidR="005A441A">
              <w:rPr>
                <w:noProof/>
                <w:webHidden/>
              </w:rPr>
              <w:fldChar w:fldCharType="begin"/>
            </w:r>
            <w:r w:rsidR="005A441A">
              <w:rPr>
                <w:noProof/>
                <w:webHidden/>
              </w:rPr>
              <w:instrText xml:space="preserve"> PAGEREF _Toc117158638 \h </w:instrText>
            </w:r>
            <w:r w:rsidR="005A441A">
              <w:rPr>
                <w:noProof/>
                <w:webHidden/>
              </w:rPr>
            </w:r>
            <w:r w:rsidR="005A441A">
              <w:rPr>
                <w:noProof/>
                <w:webHidden/>
              </w:rPr>
              <w:fldChar w:fldCharType="separate"/>
            </w:r>
            <w:r>
              <w:rPr>
                <w:noProof/>
                <w:webHidden/>
              </w:rPr>
              <w:t>10</w:t>
            </w:r>
            <w:r w:rsidR="005A441A">
              <w:rPr>
                <w:noProof/>
                <w:webHidden/>
              </w:rPr>
              <w:fldChar w:fldCharType="end"/>
            </w:r>
          </w:hyperlink>
        </w:p>
        <w:p w14:paraId="7BEEE7C0" w14:textId="502F8A9B" w:rsidR="005A441A" w:rsidRDefault="006232AC">
          <w:pPr>
            <w:pStyle w:val="TOC2"/>
            <w:rPr>
              <w:rFonts w:asciiTheme="minorHAnsi" w:eastAsiaTheme="minorEastAsia" w:hAnsiTheme="minorHAnsi" w:cstheme="minorBidi"/>
              <w:b w:val="0"/>
              <w:noProof/>
              <w:sz w:val="22"/>
              <w:lang w:eastAsia="en-AU"/>
            </w:rPr>
          </w:pPr>
          <w:hyperlink w:anchor="_Toc117158639" w:history="1">
            <w:r w:rsidR="005A441A" w:rsidRPr="0059136F">
              <w:rPr>
                <w:rStyle w:val="Hyperlink"/>
                <w:noProof/>
              </w:rPr>
              <w:t>Product Information</w:t>
            </w:r>
            <w:r w:rsidR="005A441A">
              <w:rPr>
                <w:noProof/>
                <w:webHidden/>
              </w:rPr>
              <w:tab/>
            </w:r>
            <w:r w:rsidR="005A441A">
              <w:rPr>
                <w:noProof/>
                <w:webHidden/>
              </w:rPr>
              <w:fldChar w:fldCharType="begin"/>
            </w:r>
            <w:r w:rsidR="005A441A">
              <w:rPr>
                <w:noProof/>
                <w:webHidden/>
              </w:rPr>
              <w:instrText xml:space="preserve"> PAGEREF _Toc117158639 \h </w:instrText>
            </w:r>
            <w:r w:rsidR="005A441A">
              <w:rPr>
                <w:noProof/>
                <w:webHidden/>
              </w:rPr>
            </w:r>
            <w:r w:rsidR="005A441A">
              <w:rPr>
                <w:noProof/>
                <w:webHidden/>
              </w:rPr>
              <w:fldChar w:fldCharType="separate"/>
            </w:r>
            <w:r>
              <w:rPr>
                <w:noProof/>
                <w:webHidden/>
              </w:rPr>
              <w:t>12</w:t>
            </w:r>
            <w:r w:rsidR="005A441A">
              <w:rPr>
                <w:noProof/>
                <w:webHidden/>
              </w:rPr>
              <w:fldChar w:fldCharType="end"/>
            </w:r>
          </w:hyperlink>
        </w:p>
        <w:p w14:paraId="173D9FB9" w14:textId="054B3E29" w:rsidR="005A441A" w:rsidRDefault="006232AC">
          <w:pPr>
            <w:pStyle w:val="TOC1"/>
            <w:rPr>
              <w:rFonts w:asciiTheme="minorHAnsi" w:eastAsiaTheme="minorEastAsia" w:hAnsiTheme="minorHAnsi" w:cstheme="minorBidi"/>
              <w:b w:val="0"/>
              <w:noProof/>
              <w:sz w:val="22"/>
              <w:lang w:eastAsia="en-AU"/>
            </w:rPr>
          </w:pPr>
          <w:hyperlink w:anchor="_Toc117158640" w:history="1">
            <w:r w:rsidR="005A441A" w:rsidRPr="0059136F">
              <w:rPr>
                <w:rStyle w:val="Hyperlink"/>
                <w:noProof/>
              </w:rPr>
              <w:t>Registration timeline</w:t>
            </w:r>
            <w:r w:rsidR="005A441A">
              <w:rPr>
                <w:noProof/>
                <w:webHidden/>
              </w:rPr>
              <w:tab/>
            </w:r>
            <w:r w:rsidR="005A441A">
              <w:rPr>
                <w:noProof/>
                <w:webHidden/>
              </w:rPr>
              <w:fldChar w:fldCharType="begin"/>
            </w:r>
            <w:r w:rsidR="005A441A">
              <w:rPr>
                <w:noProof/>
                <w:webHidden/>
              </w:rPr>
              <w:instrText xml:space="preserve"> PAGEREF _Toc117158640 \h </w:instrText>
            </w:r>
            <w:r w:rsidR="005A441A">
              <w:rPr>
                <w:noProof/>
                <w:webHidden/>
              </w:rPr>
            </w:r>
            <w:r w:rsidR="005A441A">
              <w:rPr>
                <w:noProof/>
                <w:webHidden/>
              </w:rPr>
              <w:fldChar w:fldCharType="separate"/>
            </w:r>
            <w:r>
              <w:rPr>
                <w:noProof/>
                <w:webHidden/>
              </w:rPr>
              <w:t>12</w:t>
            </w:r>
            <w:r w:rsidR="005A441A">
              <w:rPr>
                <w:noProof/>
                <w:webHidden/>
              </w:rPr>
              <w:fldChar w:fldCharType="end"/>
            </w:r>
          </w:hyperlink>
        </w:p>
        <w:p w14:paraId="32253022" w14:textId="3204D8B1" w:rsidR="005A441A" w:rsidRDefault="006232AC">
          <w:pPr>
            <w:pStyle w:val="TOC1"/>
            <w:rPr>
              <w:rFonts w:asciiTheme="minorHAnsi" w:eastAsiaTheme="minorEastAsia" w:hAnsiTheme="minorHAnsi" w:cstheme="minorBidi"/>
              <w:b w:val="0"/>
              <w:noProof/>
              <w:sz w:val="22"/>
              <w:lang w:eastAsia="en-AU"/>
            </w:rPr>
          </w:pPr>
          <w:hyperlink w:anchor="_Toc117158641" w:history="1">
            <w:r w:rsidR="005A441A" w:rsidRPr="0059136F">
              <w:rPr>
                <w:rStyle w:val="Hyperlink"/>
                <w:noProof/>
              </w:rPr>
              <w:t>Submission overview and risk/benefit assessment</w:t>
            </w:r>
            <w:r w:rsidR="005A441A">
              <w:rPr>
                <w:noProof/>
                <w:webHidden/>
              </w:rPr>
              <w:tab/>
            </w:r>
            <w:r w:rsidR="005A441A">
              <w:rPr>
                <w:noProof/>
                <w:webHidden/>
              </w:rPr>
              <w:fldChar w:fldCharType="begin"/>
            </w:r>
            <w:r w:rsidR="005A441A">
              <w:rPr>
                <w:noProof/>
                <w:webHidden/>
              </w:rPr>
              <w:instrText xml:space="preserve"> PAGEREF _Toc117158641 \h </w:instrText>
            </w:r>
            <w:r w:rsidR="005A441A">
              <w:rPr>
                <w:noProof/>
                <w:webHidden/>
              </w:rPr>
            </w:r>
            <w:r w:rsidR="005A441A">
              <w:rPr>
                <w:noProof/>
                <w:webHidden/>
              </w:rPr>
              <w:fldChar w:fldCharType="separate"/>
            </w:r>
            <w:r>
              <w:rPr>
                <w:noProof/>
                <w:webHidden/>
              </w:rPr>
              <w:t>13</w:t>
            </w:r>
            <w:r w:rsidR="005A441A">
              <w:rPr>
                <w:noProof/>
                <w:webHidden/>
              </w:rPr>
              <w:fldChar w:fldCharType="end"/>
            </w:r>
          </w:hyperlink>
        </w:p>
        <w:p w14:paraId="57B45D78" w14:textId="26757944" w:rsidR="005A441A" w:rsidRDefault="006232AC">
          <w:pPr>
            <w:pStyle w:val="TOC2"/>
            <w:rPr>
              <w:rFonts w:asciiTheme="minorHAnsi" w:eastAsiaTheme="minorEastAsia" w:hAnsiTheme="minorHAnsi" w:cstheme="minorBidi"/>
              <w:b w:val="0"/>
              <w:noProof/>
              <w:sz w:val="22"/>
              <w:lang w:eastAsia="en-AU"/>
            </w:rPr>
          </w:pPr>
          <w:hyperlink w:anchor="_Toc117158642" w:history="1">
            <w:r w:rsidR="005A441A" w:rsidRPr="0059136F">
              <w:rPr>
                <w:rStyle w:val="Hyperlink"/>
                <w:noProof/>
              </w:rPr>
              <w:t>Quality</w:t>
            </w:r>
            <w:r w:rsidR="005A441A">
              <w:rPr>
                <w:noProof/>
                <w:webHidden/>
              </w:rPr>
              <w:tab/>
            </w:r>
            <w:r w:rsidR="005A441A">
              <w:rPr>
                <w:noProof/>
                <w:webHidden/>
              </w:rPr>
              <w:fldChar w:fldCharType="begin"/>
            </w:r>
            <w:r w:rsidR="005A441A">
              <w:rPr>
                <w:noProof/>
                <w:webHidden/>
              </w:rPr>
              <w:instrText xml:space="preserve"> PAGEREF _Toc117158642 \h </w:instrText>
            </w:r>
            <w:r w:rsidR="005A441A">
              <w:rPr>
                <w:noProof/>
                <w:webHidden/>
              </w:rPr>
            </w:r>
            <w:r w:rsidR="005A441A">
              <w:rPr>
                <w:noProof/>
                <w:webHidden/>
              </w:rPr>
              <w:fldChar w:fldCharType="separate"/>
            </w:r>
            <w:r>
              <w:rPr>
                <w:noProof/>
                <w:webHidden/>
              </w:rPr>
              <w:t>13</w:t>
            </w:r>
            <w:r w:rsidR="005A441A">
              <w:rPr>
                <w:noProof/>
                <w:webHidden/>
              </w:rPr>
              <w:fldChar w:fldCharType="end"/>
            </w:r>
          </w:hyperlink>
        </w:p>
        <w:p w14:paraId="3D72AB9F" w14:textId="31819706" w:rsidR="005A441A" w:rsidRDefault="006232AC">
          <w:pPr>
            <w:pStyle w:val="TOC2"/>
            <w:rPr>
              <w:rFonts w:asciiTheme="minorHAnsi" w:eastAsiaTheme="minorEastAsia" w:hAnsiTheme="minorHAnsi" w:cstheme="minorBidi"/>
              <w:b w:val="0"/>
              <w:noProof/>
              <w:sz w:val="22"/>
              <w:lang w:eastAsia="en-AU"/>
            </w:rPr>
          </w:pPr>
          <w:hyperlink w:anchor="_Toc117158643" w:history="1">
            <w:r w:rsidR="005A441A" w:rsidRPr="0059136F">
              <w:rPr>
                <w:rStyle w:val="Hyperlink"/>
                <w:noProof/>
              </w:rPr>
              <w:t>Nonclinical</w:t>
            </w:r>
            <w:r w:rsidR="005A441A">
              <w:rPr>
                <w:noProof/>
                <w:webHidden/>
              </w:rPr>
              <w:tab/>
            </w:r>
            <w:r w:rsidR="005A441A">
              <w:rPr>
                <w:noProof/>
                <w:webHidden/>
              </w:rPr>
              <w:fldChar w:fldCharType="begin"/>
            </w:r>
            <w:r w:rsidR="005A441A">
              <w:rPr>
                <w:noProof/>
                <w:webHidden/>
              </w:rPr>
              <w:instrText xml:space="preserve"> PAGEREF _Toc117158643 \h </w:instrText>
            </w:r>
            <w:r w:rsidR="005A441A">
              <w:rPr>
                <w:noProof/>
                <w:webHidden/>
              </w:rPr>
            </w:r>
            <w:r w:rsidR="005A441A">
              <w:rPr>
                <w:noProof/>
                <w:webHidden/>
              </w:rPr>
              <w:fldChar w:fldCharType="separate"/>
            </w:r>
            <w:r>
              <w:rPr>
                <w:noProof/>
                <w:webHidden/>
              </w:rPr>
              <w:t>13</w:t>
            </w:r>
            <w:r w:rsidR="005A441A">
              <w:rPr>
                <w:noProof/>
                <w:webHidden/>
              </w:rPr>
              <w:fldChar w:fldCharType="end"/>
            </w:r>
          </w:hyperlink>
        </w:p>
        <w:p w14:paraId="732EC33B" w14:textId="3C2882D3" w:rsidR="005A441A" w:rsidRDefault="006232AC">
          <w:pPr>
            <w:pStyle w:val="TOC2"/>
            <w:rPr>
              <w:rFonts w:asciiTheme="minorHAnsi" w:eastAsiaTheme="minorEastAsia" w:hAnsiTheme="minorHAnsi" w:cstheme="minorBidi"/>
              <w:b w:val="0"/>
              <w:noProof/>
              <w:sz w:val="22"/>
              <w:lang w:eastAsia="en-AU"/>
            </w:rPr>
          </w:pPr>
          <w:hyperlink w:anchor="_Toc117158644" w:history="1">
            <w:r w:rsidR="005A441A" w:rsidRPr="0059136F">
              <w:rPr>
                <w:rStyle w:val="Hyperlink"/>
                <w:noProof/>
              </w:rPr>
              <w:t>Clinical</w:t>
            </w:r>
            <w:r w:rsidR="005A441A">
              <w:rPr>
                <w:noProof/>
                <w:webHidden/>
              </w:rPr>
              <w:tab/>
            </w:r>
            <w:r w:rsidR="005A441A">
              <w:rPr>
                <w:noProof/>
                <w:webHidden/>
              </w:rPr>
              <w:fldChar w:fldCharType="begin"/>
            </w:r>
            <w:r w:rsidR="005A441A">
              <w:rPr>
                <w:noProof/>
                <w:webHidden/>
              </w:rPr>
              <w:instrText xml:space="preserve"> PAGEREF _Toc117158644 \h </w:instrText>
            </w:r>
            <w:r w:rsidR="005A441A">
              <w:rPr>
                <w:noProof/>
                <w:webHidden/>
              </w:rPr>
            </w:r>
            <w:r w:rsidR="005A441A">
              <w:rPr>
                <w:noProof/>
                <w:webHidden/>
              </w:rPr>
              <w:fldChar w:fldCharType="separate"/>
            </w:r>
            <w:r>
              <w:rPr>
                <w:noProof/>
                <w:webHidden/>
              </w:rPr>
              <w:t>13</w:t>
            </w:r>
            <w:r w:rsidR="005A441A">
              <w:rPr>
                <w:noProof/>
                <w:webHidden/>
              </w:rPr>
              <w:fldChar w:fldCharType="end"/>
            </w:r>
          </w:hyperlink>
        </w:p>
        <w:p w14:paraId="6404B1C8" w14:textId="0EC5F0FB" w:rsidR="005A441A" w:rsidRDefault="006232AC">
          <w:pPr>
            <w:pStyle w:val="TOC2"/>
            <w:rPr>
              <w:rFonts w:asciiTheme="minorHAnsi" w:eastAsiaTheme="minorEastAsia" w:hAnsiTheme="minorHAnsi" w:cstheme="minorBidi"/>
              <w:b w:val="0"/>
              <w:noProof/>
              <w:sz w:val="22"/>
              <w:lang w:eastAsia="en-AU"/>
            </w:rPr>
          </w:pPr>
          <w:hyperlink w:anchor="_Toc117158645" w:history="1">
            <w:r w:rsidR="005A441A" w:rsidRPr="0059136F">
              <w:rPr>
                <w:rStyle w:val="Hyperlink"/>
                <w:noProof/>
                <w:lang w:eastAsia="en-AU"/>
              </w:rPr>
              <w:t>Risk management plan</w:t>
            </w:r>
            <w:r w:rsidR="005A441A">
              <w:rPr>
                <w:noProof/>
                <w:webHidden/>
              </w:rPr>
              <w:tab/>
            </w:r>
            <w:r w:rsidR="005A441A">
              <w:rPr>
                <w:noProof/>
                <w:webHidden/>
              </w:rPr>
              <w:fldChar w:fldCharType="begin"/>
            </w:r>
            <w:r w:rsidR="005A441A">
              <w:rPr>
                <w:noProof/>
                <w:webHidden/>
              </w:rPr>
              <w:instrText xml:space="preserve"> PAGEREF _Toc117158645 \h </w:instrText>
            </w:r>
            <w:r w:rsidR="005A441A">
              <w:rPr>
                <w:noProof/>
                <w:webHidden/>
              </w:rPr>
            </w:r>
            <w:r w:rsidR="005A441A">
              <w:rPr>
                <w:noProof/>
                <w:webHidden/>
              </w:rPr>
              <w:fldChar w:fldCharType="separate"/>
            </w:r>
            <w:r>
              <w:rPr>
                <w:noProof/>
                <w:webHidden/>
              </w:rPr>
              <w:t>30</w:t>
            </w:r>
            <w:r w:rsidR="005A441A">
              <w:rPr>
                <w:noProof/>
                <w:webHidden/>
              </w:rPr>
              <w:fldChar w:fldCharType="end"/>
            </w:r>
          </w:hyperlink>
        </w:p>
        <w:p w14:paraId="23252F88" w14:textId="204F26E4" w:rsidR="005A441A" w:rsidRDefault="006232AC">
          <w:pPr>
            <w:pStyle w:val="TOC2"/>
            <w:rPr>
              <w:rFonts w:asciiTheme="minorHAnsi" w:eastAsiaTheme="minorEastAsia" w:hAnsiTheme="minorHAnsi" w:cstheme="minorBidi"/>
              <w:b w:val="0"/>
              <w:noProof/>
              <w:sz w:val="22"/>
              <w:lang w:eastAsia="en-AU"/>
            </w:rPr>
          </w:pPr>
          <w:hyperlink w:anchor="_Toc117158646" w:history="1">
            <w:r w:rsidR="005A441A" w:rsidRPr="0059136F">
              <w:rPr>
                <w:rStyle w:val="Hyperlink"/>
                <w:noProof/>
              </w:rPr>
              <w:t>Risk-benefit analysis</w:t>
            </w:r>
            <w:r w:rsidR="005A441A">
              <w:rPr>
                <w:noProof/>
                <w:webHidden/>
              </w:rPr>
              <w:tab/>
            </w:r>
            <w:r w:rsidR="005A441A">
              <w:rPr>
                <w:noProof/>
                <w:webHidden/>
              </w:rPr>
              <w:fldChar w:fldCharType="begin"/>
            </w:r>
            <w:r w:rsidR="005A441A">
              <w:rPr>
                <w:noProof/>
                <w:webHidden/>
              </w:rPr>
              <w:instrText xml:space="preserve"> PAGEREF _Toc117158646 \h </w:instrText>
            </w:r>
            <w:r w:rsidR="005A441A">
              <w:rPr>
                <w:noProof/>
                <w:webHidden/>
              </w:rPr>
            </w:r>
            <w:r w:rsidR="005A441A">
              <w:rPr>
                <w:noProof/>
                <w:webHidden/>
              </w:rPr>
              <w:fldChar w:fldCharType="separate"/>
            </w:r>
            <w:r>
              <w:rPr>
                <w:noProof/>
                <w:webHidden/>
              </w:rPr>
              <w:t>32</w:t>
            </w:r>
            <w:r w:rsidR="005A441A">
              <w:rPr>
                <w:noProof/>
                <w:webHidden/>
              </w:rPr>
              <w:fldChar w:fldCharType="end"/>
            </w:r>
          </w:hyperlink>
        </w:p>
        <w:p w14:paraId="649D4122" w14:textId="220AF0B8" w:rsidR="005A441A" w:rsidRDefault="006232AC">
          <w:pPr>
            <w:pStyle w:val="TOC2"/>
            <w:rPr>
              <w:rFonts w:asciiTheme="minorHAnsi" w:eastAsiaTheme="minorEastAsia" w:hAnsiTheme="minorHAnsi" w:cstheme="minorBidi"/>
              <w:b w:val="0"/>
              <w:noProof/>
              <w:sz w:val="22"/>
              <w:lang w:eastAsia="en-AU"/>
            </w:rPr>
          </w:pPr>
          <w:hyperlink w:anchor="_Toc117158647" w:history="1">
            <w:r w:rsidR="005A441A" w:rsidRPr="0059136F">
              <w:rPr>
                <w:rStyle w:val="Hyperlink"/>
                <w:noProof/>
              </w:rPr>
              <w:t>ACM conclusion</w:t>
            </w:r>
            <w:r w:rsidR="005A441A">
              <w:rPr>
                <w:noProof/>
                <w:webHidden/>
              </w:rPr>
              <w:tab/>
            </w:r>
            <w:r w:rsidR="005A441A">
              <w:rPr>
                <w:noProof/>
                <w:webHidden/>
              </w:rPr>
              <w:fldChar w:fldCharType="begin"/>
            </w:r>
            <w:r w:rsidR="005A441A">
              <w:rPr>
                <w:noProof/>
                <w:webHidden/>
              </w:rPr>
              <w:instrText xml:space="preserve"> PAGEREF _Toc117158647 \h </w:instrText>
            </w:r>
            <w:r w:rsidR="005A441A">
              <w:rPr>
                <w:noProof/>
                <w:webHidden/>
              </w:rPr>
            </w:r>
            <w:r w:rsidR="005A441A">
              <w:rPr>
                <w:noProof/>
                <w:webHidden/>
              </w:rPr>
              <w:fldChar w:fldCharType="separate"/>
            </w:r>
            <w:r>
              <w:rPr>
                <w:noProof/>
                <w:webHidden/>
              </w:rPr>
              <w:t>36</w:t>
            </w:r>
            <w:r w:rsidR="005A441A">
              <w:rPr>
                <w:noProof/>
                <w:webHidden/>
              </w:rPr>
              <w:fldChar w:fldCharType="end"/>
            </w:r>
          </w:hyperlink>
        </w:p>
        <w:p w14:paraId="7FD88F30" w14:textId="141BAF32" w:rsidR="005A441A" w:rsidRDefault="006232AC">
          <w:pPr>
            <w:pStyle w:val="TOC1"/>
            <w:rPr>
              <w:rFonts w:asciiTheme="minorHAnsi" w:eastAsiaTheme="minorEastAsia" w:hAnsiTheme="minorHAnsi" w:cstheme="minorBidi"/>
              <w:b w:val="0"/>
              <w:noProof/>
              <w:sz w:val="22"/>
              <w:lang w:eastAsia="en-AU"/>
            </w:rPr>
          </w:pPr>
          <w:hyperlink w:anchor="_Toc117158648" w:history="1">
            <w:r w:rsidR="005A441A" w:rsidRPr="0059136F">
              <w:rPr>
                <w:rStyle w:val="Hyperlink"/>
                <w:noProof/>
              </w:rPr>
              <w:t>Outcome</w:t>
            </w:r>
            <w:r w:rsidR="005A441A">
              <w:rPr>
                <w:noProof/>
                <w:webHidden/>
              </w:rPr>
              <w:tab/>
            </w:r>
            <w:r w:rsidR="005A441A">
              <w:rPr>
                <w:noProof/>
                <w:webHidden/>
              </w:rPr>
              <w:fldChar w:fldCharType="begin"/>
            </w:r>
            <w:r w:rsidR="005A441A">
              <w:rPr>
                <w:noProof/>
                <w:webHidden/>
              </w:rPr>
              <w:instrText xml:space="preserve"> PAGEREF _Toc117158648 \h </w:instrText>
            </w:r>
            <w:r w:rsidR="005A441A">
              <w:rPr>
                <w:noProof/>
                <w:webHidden/>
              </w:rPr>
            </w:r>
            <w:r w:rsidR="005A441A">
              <w:rPr>
                <w:noProof/>
                <w:webHidden/>
              </w:rPr>
              <w:fldChar w:fldCharType="separate"/>
            </w:r>
            <w:r>
              <w:rPr>
                <w:noProof/>
                <w:webHidden/>
              </w:rPr>
              <w:t>36</w:t>
            </w:r>
            <w:r w:rsidR="005A441A">
              <w:rPr>
                <w:noProof/>
                <w:webHidden/>
              </w:rPr>
              <w:fldChar w:fldCharType="end"/>
            </w:r>
          </w:hyperlink>
        </w:p>
        <w:p w14:paraId="31FA1C79" w14:textId="12120A38" w:rsidR="005A441A" w:rsidRDefault="006232AC">
          <w:pPr>
            <w:pStyle w:val="TOC2"/>
            <w:rPr>
              <w:rFonts w:asciiTheme="minorHAnsi" w:eastAsiaTheme="minorEastAsia" w:hAnsiTheme="minorHAnsi" w:cstheme="minorBidi"/>
              <w:b w:val="0"/>
              <w:noProof/>
              <w:sz w:val="22"/>
              <w:lang w:eastAsia="en-AU"/>
            </w:rPr>
          </w:pPr>
          <w:hyperlink w:anchor="_Toc117158649" w:history="1">
            <w:r w:rsidR="005A441A" w:rsidRPr="0059136F">
              <w:rPr>
                <w:rStyle w:val="Hyperlink"/>
                <w:noProof/>
              </w:rPr>
              <w:t>Specific conditions of registration applying to these goods</w:t>
            </w:r>
            <w:r w:rsidR="005A441A">
              <w:rPr>
                <w:noProof/>
                <w:webHidden/>
              </w:rPr>
              <w:tab/>
            </w:r>
            <w:r w:rsidR="005A441A">
              <w:rPr>
                <w:noProof/>
                <w:webHidden/>
              </w:rPr>
              <w:fldChar w:fldCharType="begin"/>
            </w:r>
            <w:r w:rsidR="005A441A">
              <w:rPr>
                <w:noProof/>
                <w:webHidden/>
              </w:rPr>
              <w:instrText xml:space="preserve"> PAGEREF _Toc117158649 \h </w:instrText>
            </w:r>
            <w:r w:rsidR="005A441A">
              <w:rPr>
                <w:noProof/>
                <w:webHidden/>
              </w:rPr>
            </w:r>
            <w:r w:rsidR="005A441A">
              <w:rPr>
                <w:noProof/>
                <w:webHidden/>
              </w:rPr>
              <w:fldChar w:fldCharType="separate"/>
            </w:r>
            <w:r>
              <w:rPr>
                <w:noProof/>
                <w:webHidden/>
              </w:rPr>
              <w:t>36</w:t>
            </w:r>
            <w:r w:rsidR="005A441A">
              <w:rPr>
                <w:noProof/>
                <w:webHidden/>
              </w:rPr>
              <w:fldChar w:fldCharType="end"/>
            </w:r>
          </w:hyperlink>
        </w:p>
        <w:p w14:paraId="6323277F" w14:textId="264B1E85" w:rsidR="005A441A" w:rsidRDefault="006232AC">
          <w:pPr>
            <w:pStyle w:val="TOC1"/>
            <w:rPr>
              <w:rFonts w:asciiTheme="minorHAnsi" w:eastAsiaTheme="minorEastAsia" w:hAnsiTheme="minorHAnsi" w:cstheme="minorBidi"/>
              <w:b w:val="0"/>
              <w:noProof/>
              <w:sz w:val="22"/>
              <w:lang w:eastAsia="en-AU"/>
            </w:rPr>
          </w:pPr>
          <w:hyperlink w:anchor="_Toc117158650" w:history="1">
            <w:r w:rsidR="005A441A" w:rsidRPr="0059136F">
              <w:rPr>
                <w:rStyle w:val="Hyperlink"/>
                <w:noProof/>
              </w:rPr>
              <w:t>Attachment 1. Product Information</w:t>
            </w:r>
            <w:r w:rsidR="005A441A">
              <w:rPr>
                <w:noProof/>
                <w:webHidden/>
              </w:rPr>
              <w:tab/>
            </w:r>
            <w:r w:rsidR="005A441A">
              <w:rPr>
                <w:noProof/>
                <w:webHidden/>
              </w:rPr>
              <w:fldChar w:fldCharType="begin"/>
            </w:r>
            <w:r w:rsidR="005A441A">
              <w:rPr>
                <w:noProof/>
                <w:webHidden/>
              </w:rPr>
              <w:instrText xml:space="preserve"> PAGEREF _Toc117158650 \h </w:instrText>
            </w:r>
            <w:r w:rsidR="005A441A">
              <w:rPr>
                <w:noProof/>
                <w:webHidden/>
              </w:rPr>
            </w:r>
            <w:r w:rsidR="005A441A">
              <w:rPr>
                <w:noProof/>
                <w:webHidden/>
              </w:rPr>
              <w:fldChar w:fldCharType="separate"/>
            </w:r>
            <w:r>
              <w:rPr>
                <w:noProof/>
                <w:webHidden/>
              </w:rPr>
              <w:t>37</w:t>
            </w:r>
            <w:r w:rsidR="005A441A">
              <w:rPr>
                <w:noProof/>
                <w:webHidden/>
              </w:rPr>
              <w:fldChar w:fldCharType="end"/>
            </w:r>
          </w:hyperlink>
        </w:p>
        <w:p w14:paraId="38C37C09" w14:textId="6B964E7F" w:rsidR="00FD119B" w:rsidRDefault="00C525A2" w:rsidP="00294DE9">
          <w:r>
            <w:fldChar w:fldCharType="end"/>
          </w:r>
        </w:p>
      </w:sdtContent>
    </w:sdt>
    <w:bookmarkStart w:id="2" w:name="_Toc314842482" w:displacedByCustomXml="prev"/>
    <w:p w14:paraId="3E7A46E7" w14:textId="3B73AEE9" w:rsidR="00AF2313" w:rsidRDefault="00AF2313" w:rsidP="00294DE9">
      <w:pPr>
        <w:pStyle w:val="Heading2"/>
        <w:pageBreakBefore/>
      </w:pPr>
      <w:bookmarkStart w:id="3" w:name="_Toc98931917"/>
      <w:bookmarkStart w:id="4" w:name="_Toc117158634"/>
      <w:r>
        <w:lastRenderedPageBreak/>
        <w:t>List of abbreviations</w:t>
      </w:r>
      <w:bookmarkEnd w:id="3"/>
      <w:bookmarkEnd w:id="4"/>
    </w:p>
    <w:tbl>
      <w:tblPr>
        <w:tblStyle w:val="TableTGAblue"/>
        <w:tblW w:w="5000" w:type="pct"/>
        <w:tblLook w:val="04A0" w:firstRow="1" w:lastRow="0" w:firstColumn="1" w:lastColumn="0" w:noHBand="0" w:noVBand="1"/>
        <w:tblCaption w:val="List of abbreviations"/>
        <w:tblDescription w:val="List of abbreviations found in the Darzalex SC Australian Piblic Assessment Report"/>
      </w:tblPr>
      <w:tblGrid>
        <w:gridCol w:w="2259"/>
        <w:gridCol w:w="6226"/>
      </w:tblGrid>
      <w:tr w:rsidR="00BD3AA5" w14:paraId="6589B2FD" w14:textId="77777777" w:rsidTr="005A441A">
        <w:trPr>
          <w:cnfStyle w:val="100000000000" w:firstRow="1" w:lastRow="0" w:firstColumn="0" w:lastColumn="0" w:oddVBand="0" w:evenVBand="0" w:oddHBand="0" w:evenHBand="0" w:firstRowFirstColumn="0" w:firstRowLastColumn="0" w:lastRowFirstColumn="0" w:lastRowLastColumn="0"/>
          <w:cantSplit/>
        </w:trPr>
        <w:tc>
          <w:tcPr>
            <w:tcW w:w="1331" w:type="pct"/>
            <w:hideMark/>
          </w:tcPr>
          <w:p w14:paraId="7679FFA5" w14:textId="77777777" w:rsidR="00BD3AA5" w:rsidRDefault="00BD3AA5" w:rsidP="005A441A">
            <w:pPr>
              <w:jc w:val="center"/>
              <w:rPr>
                <w:color w:val="FFFFFF"/>
              </w:rPr>
            </w:pPr>
            <w:bookmarkStart w:id="5" w:name="_Hlk111542683"/>
            <w:r>
              <w:t>Abbreviation</w:t>
            </w:r>
          </w:p>
        </w:tc>
        <w:tc>
          <w:tcPr>
            <w:tcW w:w="3669" w:type="pct"/>
            <w:hideMark/>
          </w:tcPr>
          <w:p w14:paraId="41514325" w14:textId="77777777" w:rsidR="00BD3AA5" w:rsidRDefault="00BD3AA5" w:rsidP="005A441A">
            <w:pPr>
              <w:ind w:left="0"/>
              <w:jc w:val="center"/>
            </w:pPr>
            <w:r>
              <w:t>Meaning</w:t>
            </w:r>
          </w:p>
        </w:tc>
      </w:tr>
      <w:tr w:rsidR="00BD3AA5" w14:paraId="63574FF0" w14:textId="77777777" w:rsidTr="005A441A">
        <w:trPr>
          <w:cantSplit/>
        </w:trPr>
        <w:tc>
          <w:tcPr>
            <w:tcW w:w="1331" w:type="pct"/>
            <w:tcBorders>
              <w:top w:val="single" w:sz="8" w:space="0" w:color="002C47"/>
              <w:left w:val="single" w:sz="8" w:space="0" w:color="002C47"/>
              <w:bottom w:val="single" w:sz="8" w:space="0" w:color="002C47"/>
              <w:right w:val="single" w:sz="8" w:space="0" w:color="002C47"/>
            </w:tcBorders>
            <w:hideMark/>
          </w:tcPr>
          <w:p w14:paraId="6EA477DD" w14:textId="77777777" w:rsidR="00BD3AA5" w:rsidRDefault="00BD3AA5" w:rsidP="00B4546F">
            <w:r>
              <w:t>ACM</w:t>
            </w:r>
          </w:p>
        </w:tc>
        <w:tc>
          <w:tcPr>
            <w:tcW w:w="3669" w:type="pct"/>
            <w:tcBorders>
              <w:top w:val="single" w:sz="8" w:space="0" w:color="002C47"/>
              <w:left w:val="single" w:sz="8" w:space="0" w:color="002C47"/>
              <w:bottom w:val="single" w:sz="8" w:space="0" w:color="002C47"/>
              <w:right w:val="single" w:sz="8" w:space="0" w:color="002C47"/>
            </w:tcBorders>
            <w:hideMark/>
          </w:tcPr>
          <w:p w14:paraId="36973EF7" w14:textId="77777777" w:rsidR="00BD3AA5" w:rsidRDefault="00BD3AA5" w:rsidP="00B4546F">
            <w:r>
              <w:t>Advisory Committee on Medicines</w:t>
            </w:r>
          </w:p>
        </w:tc>
      </w:tr>
      <w:tr w:rsidR="00BD3AA5" w14:paraId="7BDFB908" w14:textId="77777777" w:rsidTr="005A441A">
        <w:trPr>
          <w:cantSplit/>
        </w:trPr>
        <w:tc>
          <w:tcPr>
            <w:tcW w:w="1331" w:type="pct"/>
            <w:tcBorders>
              <w:top w:val="single" w:sz="8" w:space="0" w:color="002C47"/>
              <w:left w:val="single" w:sz="8" w:space="0" w:color="002C47"/>
              <w:bottom w:val="single" w:sz="8" w:space="0" w:color="002C47"/>
              <w:right w:val="single" w:sz="8" w:space="0" w:color="002C47"/>
            </w:tcBorders>
          </w:tcPr>
          <w:p w14:paraId="065FEC38" w14:textId="77777777" w:rsidR="00BD3AA5" w:rsidRDefault="00BD3AA5" w:rsidP="00B4546F">
            <w:r>
              <w:t>ADA</w:t>
            </w:r>
          </w:p>
        </w:tc>
        <w:tc>
          <w:tcPr>
            <w:tcW w:w="3669" w:type="pct"/>
            <w:tcBorders>
              <w:top w:val="single" w:sz="8" w:space="0" w:color="002C47"/>
              <w:left w:val="single" w:sz="8" w:space="0" w:color="002C47"/>
              <w:bottom w:val="single" w:sz="8" w:space="0" w:color="002C47"/>
              <w:right w:val="single" w:sz="8" w:space="0" w:color="002C47"/>
            </w:tcBorders>
          </w:tcPr>
          <w:p w14:paraId="28F5E1AF" w14:textId="77777777" w:rsidR="00BD3AA5" w:rsidRDefault="00BD3AA5" w:rsidP="00B4546F">
            <w:r>
              <w:t>Anti-drug antibody</w:t>
            </w:r>
          </w:p>
        </w:tc>
      </w:tr>
      <w:tr w:rsidR="00BD3AA5" w14:paraId="56C11E26" w14:textId="77777777" w:rsidTr="005A441A">
        <w:trPr>
          <w:cantSplit/>
        </w:trPr>
        <w:tc>
          <w:tcPr>
            <w:tcW w:w="1331" w:type="pct"/>
            <w:tcBorders>
              <w:top w:val="single" w:sz="8" w:space="0" w:color="002C47"/>
              <w:left w:val="single" w:sz="8" w:space="0" w:color="002C47"/>
              <w:bottom w:val="single" w:sz="8" w:space="0" w:color="002C47"/>
              <w:right w:val="single" w:sz="8" w:space="0" w:color="002C47"/>
            </w:tcBorders>
          </w:tcPr>
          <w:p w14:paraId="50CA6C87" w14:textId="77777777" w:rsidR="00BD3AA5" w:rsidRPr="008339BB" w:rsidRDefault="00BD3AA5" w:rsidP="00B4546F">
            <w:r w:rsidRPr="008339BB">
              <w:t>ALP</w:t>
            </w:r>
          </w:p>
        </w:tc>
        <w:tc>
          <w:tcPr>
            <w:tcW w:w="3669" w:type="pct"/>
            <w:tcBorders>
              <w:top w:val="single" w:sz="8" w:space="0" w:color="002C47"/>
              <w:left w:val="single" w:sz="8" w:space="0" w:color="002C47"/>
              <w:bottom w:val="single" w:sz="8" w:space="0" w:color="002C47"/>
              <w:right w:val="single" w:sz="8" w:space="0" w:color="002C47"/>
            </w:tcBorders>
          </w:tcPr>
          <w:p w14:paraId="00B2645E" w14:textId="77777777" w:rsidR="00BD3AA5" w:rsidRPr="008339BB" w:rsidRDefault="00BD3AA5" w:rsidP="00B4546F">
            <w:r w:rsidRPr="008339BB">
              <w:t>Alkaline phosphatase</w:t>
            </w:r>
          </w:p>
        </w:tc>
      </w:tr>
      <w:tr w:rsidR="00BD3AA5" w14:paraId="6AC5CD5B" w14:textId="77777777" w:rsidTr="005A441A">
        <w:trPr>
          <w:cantSplit/>
        </w:trPr>
        <w:tc>
          <w:tcPr>
            <w:tcW w:w="1331" w:type="pct"/>
            <w:tcBorders>
              <w:top w:val="single" w:sz="8" w:space="0" w:color="002C47"/>
              <w:left w:val="single" w:sz="8" w:space="0" w:color="002C47"/>
              <w:bottom w:val="single" w:sz="8" w:space="0" w:color="002C47"/>
              <w:right w:val="single" w:sz="8" w:space="0" w:color="002C47"/>
            </w:tcBorders>
          </w:tcPr>
          <w:p w14:paraId="49AE73E4" w14:textId="77777777" w:rsidR="00BD3AA5" w:rsidRDefault="00BD3AA5" w:rsidP="00B4546F">
            <w:r w:rsidRPr="008339BB">
              <w:t>ALT</w:t>
            </w:r>
          </w:p>
        </w:tc>
        <w:tc>
          <w:tcPr>
            <w:tcW w:w="3669" w:type="pct"/>
            <w:tcBorders>
              <w:top w:val="single" w:sz="8" w:space="0" w:color="002C47"/>
              <w:left w:val="single" w:sz="8" w:space="0" w:color="002C47"/>
              <w:bottom w:val="single" w:sz="8" w:space="0" w:color="002C47"/>
              <w:right w:val="single" w:sz="8" w:space="0" w:color="002C47"/>
            </w:tcBorders>
          </w:tcPr>
          <w:p w14:paraId="44A0E033" w14:textId="77777777" w:rsidR="00BD3AA5" w:rsidRDefault="00BD3AA5" w:rsidP="00B4546F">
            <w:r w:rsidRPr="002B01B1">
              <w:t>Alanine aminotransferase</w:t>
            </w:r>
          </w:p>
        </w:tc>
      </w:tr>
      <w:tr w:rsidR="00BD3AA5" w14:paraId="4495C547" w14:textId="77777777" w:rsidTr="005A441A">
        <w:trPr>
          <w:cantSplit/>
        </w:trPr>
        <w:tc>
          <w:tcPr>
            <w:tcW w:w="1331" w:type="pct"/>
            <w:tcBorders>
              <w:top w:val="single" w:sz="8" w:space="0" w:color="002C47"/>
              <w:left w:val="single" w:sz="8" w:space="0" w:color="002C47"/>
              <w:bottom w:val="single" w:sz="8" w:space="0" w:color="002C47"/>
              <w:right w:val="single" w:sz="8" w:space="0" w:color="002C47"/>
            </w:tcBorders>
          </w:tcPr>
          <w:p w14:paraId="41640B2D" w14:textId="7BD6FD37" w:rsidR="00BD3AA5" w:rsidRDefault="00BD3AA5" w:rsidP="00B4546F">
            <w:r>
              <w:t>Anti</w:t>
            </w:r>
            <w:r w:rsidR="00BA5891">
              <w:noBreakHyphen/>
            </w:r>
            <w:r>
              <w:t>rHuPH20</w:t>
            </w:r>
          </w:p>
        </w:tc>
        <w:tc>
          <w:tcPr>
            <w:tcW w:w="3669" w:type="pct"/>
            <w:tcBorders>
              <w:top w:val="single" w:sz="8" w:space="0" w:color="002C47"/>
              <w:left w:val="single" w:sz="8" w:space="0" w:color="002C47"/>
              <w:bottom w:val="single" w:sz="8" w:space="0" w:color="002C47"/>
              <w:right w:val="single" w:sz="8" w:space="0" w:color="002C47"/>
            </w:tcBorders>
          </w:tcPr>
          <w:p w14:paraId="360DA593" w14:textId="092E7FA6" w:rsidR="00BD3AA5" w:rsidRDefault="00E43A97" w:rsidP="00B4546F">
            <w:r>
              <w:t>Anti-r</w:t>
            </w:r>
            <w:r w:rsidRPr="00DA1AAE">
              <w:t>ecombinant human PH20 hyaluronidase</w:t>
            </w:r>
          </w:p>
        </w:tc>
      </w:tr>
      <w:tr w:rsidR="00BD3AA5" w14:paraId="2FE293BC" w14:textId="77777777" w:rsidTr="005A441A">
        <w:trPr>
          <w:cantSplit/>
        </w:trPr>
        <w:tc>
          <w:tcPr>
            <w:tcW w:w="1331" w:type="pct"/>
            <w:tcBorders>
              <w:top w:val="single" w:sz="8" w:space="0" w:color="002C47"/>
              <w:left w:val="single" w:sz="8" w:space="0" w:color="002C47"/>
              <w:bottom w:val="single" w:sz="8" w:space="0" w:color="002C47"/>
              <w:right w:val="single" w:sz="8" w:space="0" w:color="002C47"/>
            </w:tcBorders>
            <w:hideMark/>
          </w:tcPr>
          <w:p w14:paraId="40BE1C92" w14:textId="77777777" w:rsidR="00BD3AA5" w:rsidRDefault="00BD3AA5" w:rsidP="00B4546F">
            <w:r>
              <w:t>ARTG</w:t>
            </w:r>
          </w:p>
        </w:tc>
        <w:tc>
          <w:tcPr>
            <w:tcW w:w="3669" w:type="pct"/>
            <w:tcBorders>
              <w:top w:val="single" w:sz="8" w:space="0" w:color="002C47"/>
              <w:left w:val="single" w:sz="8" w:space="0" w:color="002C47"/>
              <w:bottom w:val="single" w:sz="8" w:space="0" w:color="002C47"/>
              <w:right w:val="single" w:sz="8" w:space="0" w:color="002C47"/>
            </w:tcBorders>
            <w:hideMark/>
          </w:tcPr>
          <w:p w14:paraId="585AD678" w14:textId="77777777" w:rsidR="00BD3AA5" w:rsidRDefault="00BD3AA5" w:rsidP="00B4546F">
            <w:r>
              <w:t>Australian Register of Therapeutic Goods</w:t>
            </w:r>
          </w:p>
        </w:tc>
      </w:tr>
      <w:tr w:rsidR="00BD3AA5" w14:paraId="0E771595" w14:textId="77777777" w:rsidTr="005A441A">
        <w:trPr>
          <w:cantSplit/>
        </w:trPr>
        <w:tc>
          <w:tcPr>
            <w:tcW w:w="1331" w:type="pct"/>
            <w:tcBorders>
              <w:top w:val="single" w:sz="8" w:space="0" w:color="002C47"/>
              <w:left w:val="single" w:sz="8" w:space="0" w:color="002C47"/>
              <w:bottom w:val="single" w:sz="8" w:space="0" w:color="002C47"/>
              <w:right w:val="single" w:sz="8" w:space="0" w:color="002C47"/>
            </w:tcBorders>
            <w:hideMark/>
          </w:tcPr>
          <w:p w14:paraId="224A5A7B" w14:textId="77777777" w:rsidR="00BD3AA5" w:rsidRDefault="00BD3AA5" w:rsidP="00B4546F">
            <w:r>
              <w:t>ASA</w:t>
            </w:r>
          </w:p>
        </w:tc>
        <w:tc>
          <w:tcPr>
            <w:tcW w:w="3669" w:type="pct"/>
            <w:tcBorders>
              <w:top w:val="single" w:sz="8" w:space="0" w:color="002C47"/>
              <w:left w:val="single" w:sz="8" w:space="0" w:color="002C47"/>
              <w:bottom w:val="single" w:sz="8" w:space="0" w:color="002C47"/>
              <w:right w:val="single" w:sz="8" w:space="0" w:color="002C47"/>
            </w:tcBorders>
            <w:hideMark/>
          </w:tcPr>
          <w:p w14:paraId="197DE997" w14:textId="77777777" w:rsidR="00BD3AA5" w:rsidRDefault="00BD3AA5" w:rsidP="00B4546F">
            <w:r>
              <w:t>Australia specific annex</w:t>
            </w:r>
          </w:p>
        </w:tc>
      </w:tr>
      <w:tr w:rsidR="00BD3AA5" w14:paraId="69BB9EB3" w14:textId="77777777" w:rsidTr="005A441A">
        <w:trPr>
          <w:cantSplit/>
        </w:trPr>
        <w:tc>
          <w:tcPr>
            <w:tcW w:w="1331" w:type="pct"/>
            <w:tcBorders>
              <w:top w:val="single" w:sz="8" w:space="0" w:color="002C47"/>
              <w:left w:val="single" w:sz="8" w:space="0" w:color="002C47"/>
              <w:bottom w:val="single" w:sz="8" w:space="0" w:color="002C47"/>
              <w:right w:val="single" w:sz="8" w:space="0" w:color="002C47"/>
            </w:tcBorders>
          </w:tcPr>
          <w:p w14:paraId="0983B2CC" w14:textId="77777777" w:rsidR="00BD3AA5" w:rsidRDefault="00BD3AA5" w:rsidP="00B4546F">
            <w:r w:rsidRPr="008339BB">
              <w:t>AST</w:t>
            </w:r>
          </w:p>
        </w:tc>
        <w:tc>
          <w:tcPr>
            <w:tcW w:w="3669" w:type="pct"/>
            <w:tcBorders>
              <w:top w:val="single" w:sz="8" w:space="0" w:color="002C47"/>
              <w:left w:val="single" w:sz="8" w:space="0" w:color="002C47"/>
              <w:bottom w:val="single" w:sz="8" w:space="0" w:color="002C47"/>
              <w:right w:val="single" w:sz="8" w:space="0" w:color="002C47"/>
            </w:tcBorders>
          </w:tcPr>
          <w:p w14:paraId="1C6F0265" w14:textId="77777777" w:rsidR="00BD3AA5" w:rsidRDefault="00BD3AA5" w:rsidP="00B4546F">
            <w:r>
              <w:t>A</w:t>
            </w:r>
            <w:r w:rsidRPr="008F4855">
              <w:t>spartate aminotransferase</w:t>
            </w:r>
          </w:p>
        </w:tc>
      </w:tr>
      <w:tr w:rsidR="00BD3AA5" w14:paraId="46BE6BC7" w14:textId="77777777" w:rsidTr="005A441A">
        <w:trPr>
          <w:cantSplit/>
        </w:trPr>
        <w:tc>
          <w:tcPr>
            <w:tcW w:w="1331" w:type="pct"/>
            <w:tcBorders>
              <w:top w:val="single" w:sz="8" w:space="0" w:color="002C47"/>
              <w:left w:val="single" w:sz="8" w:space="0" w:color="002C47"/>
              <w:bottom w:val="single" w:sz="8" w:space="0" w:color="002C47"/>
              <w:right w:val="single" w:sz="8" w:space="0" w:color="002C47"/>
            </w:tcBorders>
          </w:tcPr>
          <w:p w14:paraId="5DC43A34" w14:textId="77777777" w:rsidR="00BD3AA5" w:rsidRPr="008339BB" w:rsidRDefault="00BD3AA5" w:rsidP="00B4546F">
            <w:r w:rsidRPr="008339BB">
              <w:t>CABG</w:t>
            </w:r>
          </w:p>
        </w:tc>
        <w:tc>
          <w:tcPr>
            <w:tcW w:w="3669" w:type="pct"/>
            <w:tcBorders>
              <w:top w:val="single" w:sz="8" w:space="0" w:color="002C47"/>
              <w:left w:val="single" w:sz="8" w:space="0" w:color="002C47"/>
              <w:bottom w:val="single" w:sz="8" w:space="0" w:color="002C47"/>
              <w:right w:val="single" w:sz="8" w:space="0" w:color="002C47"/>
            </w:tcBorders>
          </w:tcPr>
          <w:p w14:paraId="4BF9BC6C" w14:textId="77777777" w:rsidR="00BD3AA5" w:rsidRPr="008339BB" w:rsidRDefault="00BD3AA5" w:rsidP="00B4546F">
            <w:r w:rsidRPr="008339BB">
              <w:t>Coronary artery bypass graft</w:t>
            </w:r>
          </w:p>
        </w:tc>
      </w:tr>
      <w:tr w:rsidR="00BD3AA5" w14:paraId="5457AA69" w14:textId="77777777" w:rsidTr="005A441A">
        <w:trPr>
          <w:cantSplit/>
        </w:trPr>
        <w:tc>
          <w:tcPr>
            <w:tcW w:w="1331" w:type="pct"/>
            <w:tcBorders>
              <w:top w:val="single" w:sz="8" w:space="0" w:color="002C47"/>
              <w:left w:val="single" w:sz="8" w:space="0" w:color="002C47"/>
              <w:bottom w:val="single" w:sz="8" w:space="0" w:color="002C47"/>
              <w:right w:val="single" w:sz="8" w:space="0" w:color="002C47"/>
            </w:tcBorders>
          </w:tcPr>
          <w:p w14:paraId="12398464" w14:textId="77777777" w:rsidR="00BD3AA5" w:rsidRDefault="00BD3AA5" w:rsidP="00B4546F">
            <w:r>
              <w:t>C</w:t>
            </w:r>
            <w:r w:rsidRPr="00806C0B">
              <w:rPr>
                <w:vertAlign w:val="subscript"/>
              </w:rPr>
              <w:t>max</w:t>
            </w:r>
          </w:p>
        </w:tc>
        <w:tc>
          <w:tcPr>
            <w:tcW w:w="3669" w:type="pct"/>
            <w:tcBorders>
              <w:top w:val="single" w:sz="8" w:space="0" w:color="002C47"/>
              <w:left w:val="single" w:sz="8" w:space="0" w:color="002C47"/>
              <w:bottom w:val="single" w:sz="8" w:space="0" w:color="002C47"/>
              <w:right w:val="single" w:sz="8" w:space="0" w:color="002C47"/>
            </w:tcBorders>
          </w:tcPr>
          <w:p w14:paraId="4398B4AA" w14:textId="77777777" w:rsidR="00BD3AA5" w:rsidRDefault="00BD3AA5" w:rsidP="00B4546F">
            <w:r>
              <w:t>M</w:t>
            </w:r>
            <w:r w:rsidRPr="008339BB">
              <w:t>aximum plasma concentration</w:t>
            </w:r>
          </w:p>
        </w:tc>
      </w:tr>
      <w:tr w:rsidR="00BD3AA5" w14:paraId="5DC92B00" w14:textId="77777777" w:rsidTr="005A441A">
        <w:trPr>
          <w:cantSplit/>
        </w:trPr>
        <w:tc>
          <w:tcPr>
            <w:tcW w:w="1331" w:type="pct"/>
            <w:tcBorders>
              <w:top w:val="single" w:sz="8" w:space="0" w:color="002C47"/>
              <w:left w:val="single" w:sz="8" w:space="0" w:color="002C47"/>
              <w:bottom w:val="single" w:sz="8" w:space="0" w:color="002C47"/>
              <w:right w:val="single" w:sz="8" w:space="0" w:color="002C47"/>
            </w:tcBorders>
          </w:tcPr>
          <w:p w14:paraId="4FDBB0AA" w14:textId="77777777" w:rsidR="00BD3AA5" w:rsidRDefault="00BD3AA5" w:rsidP="00B4546F">
            <w:r>
              <w:t>C</w:t>
            </w:r>
            <w:r w:rsidRPr="00806C0B">
              <w:rPr>
                <w:vertAlign w:val="subscript"/>
              </w:rPr>
              <w:t>trough</w:t>
            </w:r>
          </w:p>
        </w:tc>
        <w:tc>
          <w:tcPr>
            <w:tcW w:w="3669" w:type="pct"/>
            <w:tcBorders>
              <w:top w:val="single" w:sz="8" w:space="0" w:color="002C47"/>
              <w:left w:val="single" w:sz="8" w:space="0" w:color="002C47"/>
              <w:bottom w:val="single" w:sz="8" w:space="0" w:color="002C47"/>
              <w:right w:val="single" w:sz="8" w:space="0" w:color="002C47"/>
            </w:tcBorders>
          </w:tcPr>
          <w:p w14:paraId="3A154A1E" w14:textId="77777777" w:rsidR="00BD3AA5" w:rsidRDefault="00BD3AA5" w:rsidP="00B4546F">
            <w:r>
              <w:t>T</w:t>
            </w:r>
            <w:r w:rsidRPr="00812ACD">
              <w:t>rough concentration</w:t>
            </w:r>
          </w:p>
        </w:tc>
      </w:tr>
      <w:tr w:rsidR="00BD3AA5" w14:paraId="722C3EB5" w14:textId="77777777" w:rsidTr="005A441A">
        <w:trPr>
          <w:cantSplit/>
        </w:trPr>
        <w:tc>
          <w:tcPr>
            <w:tcW w:w="1331" w:type="pct"/>
            <w:tcBorders>
              <w:top w:val="single" w:sz="8" w:space="0" w:color="002C47"/>
              <w:left w:val="single" w:sz="8" w:space="0" w:color="002C47"/>
              <w:bottom w:val="single" w:sz="8" w:space="0" w:color="002C47"/>
              <w:right w:val="single" w:sz="8" w:space="0" w:color="002C47"/>
            </w:tcBorders>
          </w:tcPr>
          <w:p w14:paraId="0983917E" w14:textId="77777777" w:rsidR="00BD3AA5" w:rsidRDefault="00BD3AA5" w:rsidP="00B4546F">
            <w:r>
              <w:t>CyBorD</w:t>
            </w:r>
          </w:p>
        </w:tc>
        <w:tc>
          <w:tcPr>
            <w:tcW w:w="3669" w:type="pct"/>
            <w:tcBorders>
              <w:top w:val="single" w:sz="8" w:space="0" w:color="002C47"/>
              <w:left w:val="single" w:sz="8" w:space="0" w:color="002C47"/>
              <w:bottom w:val="single" w:sz="8" w:space="0" w:color="002C47"/>
              <w:right w:val="single" w:sz="8" w:space="0" w:color="002C47"/>
            </w:tcBorders>
          </w:tcPr>
          <w:p w14:paraId="1771573B" w14:textId="319BF146" w:rsidR="00BD3AA5" w:rsidRDefault="00BD3AA5" w:rsidP="00B4546F">
            <w:r>
              <w:t>Cyclophosphamide, bortezomib and dexamethasone</w:t>
            </w:r>
            <w:r w:rsidR="00F620D2">
              <w:t xml:space="preserve"> combination therapy (also known as VCd)</w:t>
            </w:r>
          </w:p>
        </w:tc>
      </w:tr>
      <w:tr w:rsidR="00BD3AA5" w14:paraId="3975365D" w14:textId="77777777" w:rsidTr="005A441A">
        <w:trPr>
          <w:cantSplit/>
        </w:trPr>
        <w:tc>
          <w:tcPr>
            <w:tcW w:w="1331" w:type="pct"/>
            <w:tcBorders>
              <w:top w:val="single" w:sz="8" w:space="0" w:color="002C47"/>
              <w:left w:val="single" w:sz="8" w:space="0" w:color="002C47"/>
              <w:bottom w:val="single" w:sz="8" w:space="0" w:color="002C47"/>
              <w:right w:val="single" w:sz="8" w:space="0" w:color="002C47"/>
            </w:tcBorders>
          </w:tcPr>
          <w:p w14:paraId="237CE1F3" w14:textId="77777777" w:rsidR="00BD3AA5" w:rsidRDefault="00BD3AA5" w:rsidP="00B4546F">
            <w:r w:rsidRPr="008339BB">
              <w:t>dFLC</w:t>
            </w:r>
          </w:p>
        </w:tc>
        <w:tc>
          <w:tcPr>
            <w:tcW w:w="3669" w:type="pct"/>
            <w:tcBorders>
              <w:top w:val="single" w:sz="8" w:space="0" w:color="002C47"/>
              <w:left w:val="single" w:sz="8" w:space="0" w:color="002C47"/>
              <w:bottom w:val="single" w:sz="8" w:space="0" w:color="002C47"/>
              <w:right w:val="single" w:sz="8" w:space="0" w:color="002C47"/>
            </w:tcBorders>
          </w:tcPr>
          <w:p w14:paraId="08F4FC06" w14:textId="77777777" w:rsidR="00BD3AA5" w:rsidRDefault="00BD3AA5" w:rsidP="00B4546F">
            <w:r w:rsidRPr="003C5D13">
              <w:t xml:space="preserve">Difference in </w:t>
            </w:r>
            <w:r>
              <w:t>i</w:t>
            </w:r>
            <w:r w:rsidRPr="003C5D13">
              <w:t xml:space="preserve">nvolved and </w:t>
            </w:r>
            <w:r>
              <w:t>u</w:t>
            </w:r>
            <w:r w:rsidRPr="003C5D13">
              <w:t xml:space="preserve">ninvolved </w:t>
            </w:r>
            <w:r>
              <w:t>f</w:t>
            </w:r>
            <w:r w:rsidRPr="003C5D13">
              <w:t xml:space="preserve">ree </w:t>
            </w:r>
            <w:r>
              <w:t>l</w:t>
            </w:r>
            <w:r w:rsidRPr="003C5D13">
              <w:t xml:space="preserve">ight </w:t>
            </w:r>
            <w:r>
              <w:t>c</w:t>
            </w:r>
            <w:r w:rsidRPr="003C5D13">
              <w:t>hain</w:t>
            </w:r>
          </w:p>
        </w:tc>
      </w:tr>
      <w:tr w:rsidR="00BD3AA5" w14:paraId="43D41519" w14:textId="77777777" w:rsidTr="005A441A">
        <w:trPr>
          <w:cantSplit/>
        </w:trPr>
        <w:tc>
          <w:tcPr>
            <w:tcW w:w="1331" w:type="pct"/>
            <w:tcBorders>
              <w:top w:val="single" w:sz="8" w:space="0" w:color="002C47"/>
              <w:left w:val="single" w:sz="8" w:space="0" w:color="002C47"/>
              <w:bottom w:val="single" w:sz="8" w:space="0" w:color="002C47"/>
              <w:right w:val="single" w:sz="8" w:space="0" w:color="002C47"/>
            </w:tcBorders>
            <w:hideMark/>
          </w:tcPr>
          <w:p w14:paraId="60B372DD" w14:textId="77777777" w:rsidR="00BD3AA5" w:rsidRDefault="00BD3AA5" w:rsidP="00B4546F">
            <w:r>
              <w:t>DLP</w:t>
            </w:r>
          </w:p>
        </w:tc>
        <w:tc>
          <w:tcPr>
            <w:tcW w:w="3669" w:type="pct"/>
            <w:tcBorders>
              <w:top w:val="single" w:sz="8" w:space="0" w:color="002C47"/>
              <w:left w:val="single" w:sz="8" w:space="0" w:color="002C47"/>
              <w:bottom w:val="single" w:sz="8" w:space="0" w:color="002C47"/>
              <w:right w:val="single" w:sz="8" w:space="0" w:color="002C47"/>
            </w:tcBorders>
            <w:hideMark/>
          </w:tcPr>
          <w:p w14:paraId="5F4A6365" w14:textId="77777777" w:rsidR="00BD3AA5" w:rsidRDefault="00BD3AA5" w:rsidP="00B4546F">
            <w:r>
              <w:t>Data lock point</w:t>
            </w:r>
          </w:p>
        </w:tc>
      </w:tr>
      <w:tr w:rsidR="00BD3AA5" w14:paraId="1E379819" w14:textId="77777777" w:rsidTr="005A441A">
        <w:trPr>
          <w:cantSplit/>
        </w:trPr>
        <w:tc>
          <w:tcPr>
            <w:tcW w:w="1331" w:type="pct"/>
            <w:tcBorders>
              <w:top w:val="single" w:sz="8" w:space="0" w:color="002C47"/>
              <w:left w:val="single" w:sz="8" w:space="0" w:color="002C47"/>
              <w:bottom w:val="single" w:sz="8" w:space="0" w:color="002C47"/>
              <w:right w:val="single" w:sz="8" w:space="0" w:color="002C47"/>
            </w:tcBorders>
          </w:tcPr>
          <w:p w14:paraId="3A3A4024" w14:textId="77777777" w:rsidR="00BD3AA5" w:rsidRDefault="00BD3AA5" w:rsidP="00B4546F">
            <w:r>
              <w:t>ECOG</w:t>
            </w:r>
          </w:p>
        </w:tc>
        <w:tc>
          <w:tcPr>
            <w:tcW w:w="3669" w:type="pct"/>
            <w:tcBorders>
              <w:top w:val="single" w:sz="8" w:space="0" w:color="002C47"/>
              <w:left w:val="single" w:sz="8" w:space="0" w:color="002C47"/>
              <w:bottom w:val="single" w:sz="8" w:space="0" w:color="002C47"/>
              <w:right w:val="single" w:sz="8" w:space="0" w:color="002C47"/>
            </w:tcBorders>
          </w:tcPr>
          <w:p w14:paraId="67BB79AC" w14:textId="77777777" w:rsidR="00BD3AA5" w:rsidRDefault="00BD3AA5" w:rsidP="00B4546F">
            <w:r w:rsidRPr="00E738FE">
              <w:t>Eastern Cooperative Oncology Group</w:t>
            </w:r>
          </w:p>
        </w:tc>
      </w:tr>
      <w:tr w:rsidR="00BD3AA5" w14:paraId="4B5C95B9" w14:textId="77777777" w:rsidTr="005A441A">
        <w:trPr>
          <w:cantSplit/>
        </w:trPr>
        <w:tc>
          <w:tcPr>
            <w:tcW w:w="1331" w:type="pct"/>
            <w:tcBorders>
              <w:top w:val="single" w:sz="8" w:space="0" w:color="002C47"/>
              <w:left w:val="single" w:sz="8" w:space="0" w:color="002C47"/>
              <w:bottom w:val="single" w:sz="8" w:space="0" w:color="002C47"/>
              <w:right w:val="single" w:sz="8" w:space="0" w:color="002C47"/>
            </w:tcBorders>
          </w:tcPr>
          <w:p w14:paraId="55D2BE0A" w14:textId="77777777" w:rsidR="00BD3AA5" w:rsidRDefault="00BD3AA5" w:rsidP="00B4546F">
            <w:r w:rsidRPr="008339BB">
              <w:t>eGFR</w:t>
            </w:r>
          </w:p>
        </w:tc>
        <w:tc>
          <w:tcPr>
            <w:tcW w:w="3669" w:type="pct"/>
            <w:tcBorders>
              <w:top w:val="single" w:sz="8" w:space="0" w:color="002C47"/>
              <w:left w:val="single" w:sz="8" w:space="0" w:color="002C47"/>
              <w:bottom w:val="single" w:sz="8" w:space="0" w:color="002C47"/>
              <w:right w:val="single" w:sz="8" w:space="0" w:color="002C47"/>
            </w:tcBorders>
          </w:tcPr>
          <w:p w14:paraId="10D16000" w14:textId="3D24F8C8" w:rsidR="00BD3AA5" w:rsidRDefault="00BD3AA5" w:rsidP="00B4546F">
            <w:r>
              <w:t>E</w:t>
            </w:r>
            <w:r w:rsidRPr="00284306">
              <w:t xml:space="preserve">stimated </w:t>
            </w:r>
            <w:r w:rsidR="00456180">
              <w:t>g</w:t>
            </w:r>
            <w:r w:rsidRPr="00284306">
              <w:t xml:space="preserve">lomerular </w:t>
            </w:r>
            <w:r w:rsidR="00456180">
              <w:t>f</w:t>
            </w:r>
            <w:r w:rsidRPr="00284306">
              <w:t xml:space="preserve">iltration </w:t>
            </w:r>
            <w:r w:rsidR="00456180">
              <w:t>r</w:t>
            </w:r>
            <w:r w:rsidRPr="00284306">
              <w:t>ate</w:t>
            </w:r>
          </w:p>
        </w:tc>
      </w:tr>
      <w:tr w:rsidR="009F5CFD" w14:paraId="38598E19" w14:textId="77777777" w:rsidTr="005A441A">
        <w:trPr>
          <w:cantSplit/>
        </w:trPr>
        <w:tc>
          <w:tcPr>
            <w:tcW w:w="1331" w:type="pct"/>
            <w:tcBorders>
              <w:top w:val="single" w:sz="8" w:space="0" w:color="002C47"/>
              <w:left w:val="single" w:sz="8" w:space="0" w:color="002C47"/>
              <w:bottom w:val="single" w:sz="8" w:space="0" w:color="002C47"/>
              <w:right w:val="single" w:sz="8" w:space="0" w:color="002C47"/>
            </w:tcBorders>
          </w:tcPr>
          <w:p w14:paraId="099DC9AD" w14:textId="5EB41C26" w:rsidR="009F5CFD" w:rsidRPr="008339BB" w:rsidRDefault="009F5CFD" w:rsidP="00B4546F">
            <w:r>
              <w:t>FDA</w:t>
            </w:r>
          </w:p>
        </w:tc>
        <w:tc>
          <w:tcPr>
            <w:tcW w:w="3669" w:type="pct"/>
            <w:tcBorders>
              <w:top w:val="single" w:sz="8" w:space="0" w:color="002C47"/>
              <w:left w:val="single" w:sz="8" w:space="0" w:color="002C47"/>
              <w:bottom w:val="single" w:sz="8" w:space="0" w:color="002C47"/>
              <w:right w:val="single" w:sz="8" w:space="0" w:color="002C47"/>
            </w:tcBorders>
          </w:tcPr>
          <w:p w14:paraId="054EBA9B" w14:textId="637774DA" w:rsidR="009F5CFD" w:rsidRDefault="009F5CFD" w:rsidP="00B4546F">
            <w:r>
              <w:t>Food and Drug Administration (United States of America)</w:t>
            </w:r>
          </w:p>
        </w:tc>
      </w:tr>
      <w:tr w:rsidR="00BD3AA5" w14:paraId="4162D483" w14:textId="77777777" w:rsidTr="005A441A">
        <w:trPr>
          <w:cantSplit/>
        </w:trPr>
        <w:tc>
          <w:tcPr>
            <w:tcW w:w="1331" w:type="pct"/>
            <w:tcBorders>
              <w:top w:val="single" w:sz="8" w:space="0" w:color="002C47"/>
              <w:left w:val="single" w:sz="8" w:space="0" w:color="002C47"/>
              <w:bottom w:val="single" w:sz="8" w:space="0" w:color="002C47"/>
              <w:right w:val="single" w:sz="8" w:space="0" w:color="002C47"/>
            </w:tcBorders>
          </w:tcPr>
          <w:p w14:paraId="2CE1301C" w14:textId="77777777" w:rsidR="00BD3AA5" w:rsidRDefault="00BD3AA5" w:rsidP="00B4546F">
            <w:r>
              <w:t>FLC</w:t>
            </w:r>
          </w:p>
        </w:tc>
        <w:tc>
          <w:tcPr>
            <w:tcW w:w="3669" w:type="pct"/>
            <w:tcBorders>
              <w:top w:val="single" w:sz="8" w:space="0" w:color="002C47"/>
              <w:left w:val="single" w:sz="8" w:space="0" w:color="002C47"/>
              <w:bottom w:val="single" w:sz="8" w:space="0" w:color="002C47"/>
              <w:right w:val="single" w:sz="8" w:space="0" w:color="002C47"/>
            </w:tcBorders>
          </w:tcPr>
          <w:p w14:paraId="55FF6216" w14:textId="77777777" w:rsidR="00BD3AA5" w:rsidRDefault="00BD3AA5" w:rsidP="00B4546F">
            <w:r>
              <w:t>Free light chains</w:t>
            </w:r>
          </w:p>
        </w:tc>
      </w:tr>
      <w:tr w:rsidR="00BD3AA5" w14:paraId="625CFEAD" w14:textId="77777777" w:rsidTr="005A441A">
        <w:trPr>
          <w:cantSplit/>
        </w:trPr>
        <w:tc>
          <w:tcPr>
            <w:tcW w:w="1331" w:type="pct"/>
            <w:tcBorders>
              <w:top w:val="single" w:sz="8" w:space="0" w:color="002C47"/>
              <w:left w:val="single" w:sz="8" w:space="0" w:color="002C47"/>
              <w:bottom w:val="single" w:sz="8" w:space="0" w:color="002C47"/>
              <w:right w:val="single" w:sz="8" w:space="0" w:color="002C47"/>
            </w:tcBorders>
          </w:tcPr>
          <w:p w14:paraId="3FA9D06F" w14:textId="77777777" w:rsidR="00BD3AA5" w:rsidRPr="008339BB" w:rsidRDefault="00BD3AA5" w:rsidP="00B4546F">
            <w:r w:rsidRPr="008339BB">
              <w:t>hCR</w:t>
            </w:r>
          </w:p>
        </w:tc>
        <w:tc>
          <w:tcPr>
            <w:tcW w:w="3669" w:type="pct"/>
            <w:tcBorders>
              <w:top w:val="single" w:sz="8" w:space="0" w:color="002C47"/>
              <w:left w:val="single" w:sz="8" w:space="0" w:color="002C47"/>
              <w:bottom w:val="single" w:sz="8" w:space="0" w:color="002C47"/>
              <w:right w:val="single" w:sz="8" w:space="0" w:color="002C47"/>
            </w:tcBorders>
          </w:tcPr>
          <w:p w14:paraId="70AE1B5F" w14:textId="14F8C510" w:rsidR="00BD3AA5" w:rsidRPr="008339BB" w:rsidRDefault="00BD3AA5" w:rsidP="00B4546F">
            <w:r>
              <w:t>H</w:t>
            </w:r>
            <w:r w:rsidRPr="008339BB">
              <w:t>aematologic complete response</w:t>
            </w:r>
          </w:p>
        </w:tc>
      </w:tr>
      <w:tr w:rsidR="00BD3AA5" w14:paraId="5F6254C8" w14:textId="77777777" w:rsidTr="005A441A">
        <w:trPr>
          <w:cantSplit/>
        </w:trPr>
        <w:tc>
          <w:tcPr>
            <w:tcW w:w="1331" w:type="pct"/>
            <w:tcBorders>
              <w:top w:val="single" w:sz="8" w:space="0" w:color="002C47"/>
              <w:left w:val="single" w:sz="8" w:space="0" w:color="002C47"/>
              <w:bottom w:val="single" w:sz="8" w:space="0" w:color="002C47"/>
              <w:right w:val="single" w:sz="8" w:space="0" w:color="002C47"/>
            </w:tcBorders>
          </w:tcPr>
          <w:p w14:paraId="24A313BB" w14:textId="77777777" w:rsidR="00BD3AA5" w:rsidRPr="008339BB" w:rsidRDefault="00BD3AA5" w:rsidP="00B4546F">
            <w:r w:rsidRPr="008339BB">
              <w:t>hPR</w:t>
            </w:r>
          </w:p>
        </w:tc>
        <w:tc>
          <w:tcPr>
            <w:tcW w:w="3669" w:type="pct"/>
            <w:tcBorders>
              <w:top w:val="single" w:sz="8" w:space="0" w:color="002C47"/>
              <w:left w:val="single" w:sz="8" w:space="0" w:color="002C47"/>
              <w:bottom w:val="single" w:sz="8" w:space="0" w:color="002C47"/>
              <w:right w:val="single" w:sz="8" w:space="0" w:color="002C47"/>
            </w:tcBorders>
          </w:tcPr>
          <w:p w14:paraId="1F38C174" w14:textId="76322D6F" w:rsidR="00BD3AA5" w:rsidRPr="008339BB" w:rsidRDefault="00BD3AA5" w:rsidP="00BD3AA5">
            <w:r w:rsidRPr="008339BB">
              <w:t>H</w:t>
            </w:r>
            <w:r w:rsidR="00BA5891">
              <w:t>a</w:t>
            </w:r>
            <w:r w:rsidRPr="008339BB">
              <w:t xml:space="preserve">ematologic </w:t>
            </w:r>
            <w:r w:rsidR="00CB5B86">
              <w:t>p</w:t>
            </w:r>
            <w:r w:rsidRPr="008339BB">
              <w:t>artial response</w:t>
            </w:r>
          </w:p>
        </w:tc>
      </w:tr>
      <w:tr w:rsidR="00BD3AA5" w14:paraId="6ACC8525" w14:textId="77777777" w:rsidTr="005A441A">
        <w:trPr>
          <w:cantSplit/>
        </w:trPr>
        <w:tc>
          <w:tcPr>
            <w:tcW w:w="1331" w:type="pct"/>
            <w:tcBorders>
              <w:top w:val="single" w:sz="8" w:space="0" w:color="002C47"/>
              <w:left w:val="single" w:sz="8" w:space="0" w:color="002C47"/>
              <w:bottom w:val="single" w:sz="8" w:space="0" w:color="002C47"/>
              <w:right w:val="single" w:sz="8" w:space="0" w:color="002C47"/>
            </w:tcBorders>
          </w:tcPr>
          <w:p w14:paraId="5A5B6E19" w14:textId="77777777" w:rsidR="00BD3AA5" w:rsidRPr="008339BB" w:rsidRDefault="00BD3AA5" w:rsidP="00B4546F">
            <w:r w:rsidRPr="008339BB">
              <w:t>hVGPR</w:t>
            </w:r>
          </w:p>
        </w:tc>
        <w:tc>
          <w:tcPr>
            <w:tcW w:w="3669" w:type="pct"/>
            <w:tcBorders>
              <w:top w:val="single" w:sz="8" w:space="0" w:color="002C47"/>
              <w:left w:val="single" w:sz="8" w:space="0" w:color="002C47"/>
              <w:bottom w:val="single" w:sz="8" w:space="0" w:color="002C47"/>
              <w:right w:val="single" w:sz="8" w:space="0" w:color="002C47"/>
            </w:tcBorders>
          </w:tcPr>
          <w:p w14:paraId="009B8F13" w14:textId="0B999D82" w:rsidR="00BD3AA5" w:rsidRPr="008339BB" w:rsidRDefault="00BD3AA5" w:rsidP="00B4546F">
            <w:r w:rsidRPr="008339BB">
              <w:t>H</w:t>
            </w:r>
            <w:r w:rsidR="00BA5891">
              <w:t>a</w:t>
            </w:r>
            <w:r w:rsidRPr="008339BB">
              <w:t>ematologic very good partial response</w:t>
            </w:r>
          </w:p>
        </w:tc>
      </w:tr>
      <w:tr w:rsidR="00BD3AA5" w14:paraId="38542C10" w14:textId="77777777" w:rsidTr="005A441A">
        <w:trPr>
          <w:cantSplit/>
        </w:trPr>
        <w:tc>
          <w:tcPr>
            <w:tcW w:w="1331" w:type="pct"/>
            <w:tcBorders>
              <w:top w:val="single" w:sz="8" w:space="0" w:color="002C47"/>
              <w:left w:val="single" w:sz="8" w:space="0" w:color="002C47"/>
              <w:bottom w:val="single" w:sz="8" w:space="0" w:color="002C47"/>
              <w:right w:val="single" w:sz="8" w:space="0" w:color="002C47"/>
            </w:tcBorders>
          </w:tcPr>
          <w:p w14:paraId="431CD3F4" w14:textId="77777777" w:rsidR="00BD3AA5" w:rsidRPr="008339BB" w:rsidRDefault="00BD3AA5" w:rsidP="00B4546F">
            <w:r w:rsidRPr="008339BB">
              <w:t>IA</w:t>
            </w:r>
          </w:p>
        </w:tc>
        <w:tc>
          <w:tcPr>
            <w:tcW w:w="3669" w:type="pct"/>
            <w:tcBorders>
              <w:top w:val="single" w:sz="8" w:space="0" w:color="002C47"/>
              <w:left w:val="single" w:sz="8" w:space="0" w:color="002C47"/>
              <w:bottom w:val="single" w:sz="8" w:space="0" w:color="002C47"/>
              <w:right w:val="single" w:sz="8" w:space="0" w:color="002C47"/>
            </w:tcBorders>
          </w:tcPr>
          <w:p w14:paraId="43FC123B" w14:textId="7E35C120" w:rsidR="00BD3AA5" w:rsidRPr="008339BB" w:rsidRDefault="00BD3AA5" w:rsidP="00B4546F">
            <w:r>
              <w:t>I</w:t>
            </w:r>
            <w:r w:rsidRPr="008339BB">
              <w:t>nterim analyses</w:t>
            </w:r>
          </w:p>
        </w:tc>
      </w:tr>
      <w:tr w:rsidR="00BD3AA5" w14:paraId="434F7ACE" w14:textId="77777777" w:rsidTr="005A441A">
        <w:trPr>
          <w:cantSplit/>
        </w:trPr>
        <w:tc>
          <w:tcPr>
            <w:tcW w:w="1331" w:type="pct"/>
            <w:tcBorders>
              <w:top w:val="single" w:sz="8" w:space="0" w:color="002C47"/>
              <w:left w:val="single" w:sz="8" w:space="0" w:color="002C47"/>
              <w:bottom w:val="single" w:sz="8" w:space="0" w:color="002C47"/>
              <w:right w:val="single" w:sz="8" w:space="0" w:color="002C47"/>
            </w:tcBorders>
          </w:tcPr>
          <w:p w14:paraId="102B385C" w14:textId="77777777" w:rsidR="00BD3AA5" w:rsidRPr="008339BB" w:rsidRDefault="00BD3AA5" w:rsidP="00B4546F">
            <w:r w:rsidRPr="008339BB">
              <w:t>IACC</w:t>
            </w:r>
          </w:p>
        </w:tc>
        <w:tc>
          <w:tcPr>
            <w:tcW w:w="3669" w:type="pct"/>
            <w:tcBorders>
              <w:top w:val="single" w:sz="8" w:space="0" w:color="002C47"/>
              <w:left w:val="single" w:sz="8" w:space="0" w:color="002C47"/>
              <w:bottom w:val="single" w:sz="8" w:space="0" w:color="002C47"/>
              <w:right w:val="single" w:sz="8" w:space="0" w:color="002C47"/>
            </w:tcBorders>
          </w:tcPr>
          <w:p w14:paraId="651DCD07" w14:textId="77777777" w:rsidR="00BD3AA5" w:rsidRPr="008339BB" w:rsidRDefault="00BD3AA5" w:rsidP="00B4546F">
            <w:r w:rsidRPr="008339BB">
              <w:t>International Amyloidosis Consensus Criteria</w:t>
            </w:r>
          </w:p>
        </w:tc>
      </w:tr>
      <w:tr w:rsidR="00BD3AA5" w14:paraId="161F52BB" w14:textId="77777777" w:rsidTr="005A441A">
        <w:trPr>
          <w:cantSplit/>
        </w:trPr>
        <w:tc>
          <w:tcPr>
            <w:tcW w:w="1331" w:type="pct"/>
            <w:tcBorders>
              <w:top w:val="single" w:sz="8" w:space="0" w:color="002C47"/>
              <w:left w:val="single" w:sz="8" w:space="0" w:color="002C47"/>
              <w:bottom w:val="single" w:sz="8" w:space="0" w:color="002C47"/>
              <w:right w:val="single" w:sz="8" w:space="0" w:color="002C47"/>
            </w:tcBorders>
          </w:tcPr>
          <w:p w14:paraId="5B2714F0" w14:textId="77777777" w:rsidR="00BD3AA5" w:rsidRPr="008339BB" w:rsidRDefault="00BD3AA5" w:rsidP="00B4546F">
            <w:r w:rsidRPr="008339BB">
              <w:t>IFE</w:t>
            </w:r>
          </w:p>
        </w:tc>
        <w:tc>
          <w:tcPr>
            <w:tcW w:w="3669" w:type="pct"/>
            <w:tcBorders>
              <w:top w:val="single" w:sz="8" w:space="0" w:color="002C47"/>
              <w:left w:val="single" w:sz="8" w:space="0" w:color="002C47"/>
              <w:bottom w:val="single" w:sz="8" w:space="0" w:color="002C47"/>
              <w:right w:val="single" w:sz="8" w:space="0" w:color="002C47"/>
            </w:tcBorders>
          </w:tcPr>
          <w:p w14:paraId="055B2ECE" w14:textId="5B3A818D" w:rsidR="00BD3AA5" w:rsidRPr="008339BB" w:rsidRDefault="00BD3AA5" w:rsidP="00B4546F">
            <w:r>
              <w:t>I</w:t>
            </w:r>
            <w:r w:rsidRPr="008339BB">
              <w:t>mmunofixation</w:t>
            </w:r>
          </w:p>
        </w:tc>
      </w:tr>
      <w:tr w:rsidR="00BD3AA5" w14:paraId="59A7B159" w14:textId="77777777" w:rsidTr="005A441A">
        <w:trPr>
          <w:cantSplit/>
        </w:trPr>
        <w:tc>
          <w:tcPr>
            <w:tcW w:w="1331" w:type="pct"/>
            <w:tcBorders>
              <w:top w:val="single" w:sz="8" w:space="0" w:color="002C47"/>
              <w:left w:val="single" w:sz="8" w:space="0" w:color="002C47"/>
              <w:bottom w:val="single" w:sz="8" w:space="0" w:color="002C47"/>
              <w:right w:val="single" w:sz="8" w:space="0" w:color="002C47"/>
            </w:tcBorders>
          </w:tcPr>
          <w:p w14:paraId="4AB584C2" w14:textId="77777777" w:rsidR="00BD3AA5" w:rsidRDefault="00BD3AA5" w:rsidP="00B4546F">
            <w:r w:rsidRPr="008339BB">
              <w:lastRenderedPageBreak/>
              <w:t>iFLC</w:t>
            </w:r>
          </w:p>
        </w:tc>
        <w:tc>
          <w:tcPr>
            <w:tcW w:w="3669" w:type="pct"/>
            <w:tcBorders>
              <w:top w:val="single" w:sz="8" w:space="0" w:color="002C47"/>
              <w:left w:val="single" w:sz="8" w:space="0" w:color="002C47"/>
              <w:bottom w:val="single" w:sz="8" w:space="0" w:color="002C47"/>
              <w:right w:val="single" w:sz="8" w:space="0" w:color="002C47"/>
            </w:tcBorders>
          </w:tcPr>
          <w:p w14:paraId="30B2E27D" w14:textId="16568723" w:rsidR="00BD3AA5" w:rsidRPr="008339BB" w:rsidRDefault="00BD3AA5" w:rsidP="00B4546F">
            <w:r>
              <w:t>I</w:t>
            </w:r>
            <w:r w:rsidRPr="008339BB">
              <w:t>nvolved free light chain</w:t>
            </w:r>
          </w:p>
        </w:tc>
      </w:tr>
      <w:tr w:rsidR="00806C0B" w14:paraId="418634D0" w14:textId="77777777" w:rsidTr="005A441A">
        <w:trPr>
          <w:cantSplit/>
        </w:trPr>
        <w:tc>
          <w:tcPr>
            <w:tcW w:w="1331" w:type="pct"/>
            <w:tcBorders>
              <w:top w:val="single" w:sz="8" w:space="0" w:color="002C47"/>
              <w:left w:val="single" w:sz="8" w:space="0" w:color="002C47"/>
              <w:bottom w:val="single" w:sz="8" w:space="0" w:color="002C47"/>
              <w:right w:val="single" w:sz="8" w:space="0" w:color="002C47"/>
            </w:tcBorders>
          </w:tcPr>
          <w:p w14:paraId="1D8C609A" w14:textId="56E85716" w:rsidR="00806C0B" w:rsidRPr="008339BB" w:rsidRDefault="00806C0B" w:rsidP="00B4546F">
            <w:r>
              <w:t>IG</w:t>
            </w:r>
          </w:p>
        </w:tc>
        <w:tc>
          <w:tcPr>
            <w:tcW w:w="3669" w:type="pct"/>
            <w:tcBorders>
              <w:top w:val="single" w:sz="8" w:space="0" w:color="002C47"/>
              <w:left w:val="single" w:sz="8" w:space="0" w:color="002C47"/>
              <w:bottom w:val="single" w:sz="8" w:space="0" w:color="002C47"/>
              <w:right w:val="single" w:sz="8" w:space="0" w:color="002C47"/>
            </w:tcBorders>
          </w:tcPr>
          <w:p w14:paraId="2D62C758" w14:textId="40B10F36" w:rsidR="00806C0B" w:rsidRDefault="00806C0B" w:rsidP="00B4546F">
            <w:r>
              <w:t>I</w:t>
            </w:r>
            <w:r w:rsidRPr="00806C0B">
              <w:t>mmunoglobin</w:t>
            </w:r>
          </w:p>
        </w:tc>
      </w:tr>
      <w:tr w:rsidR="00BD3AA5" w14:paraId="65766D87" w14:textId="77777777" w:rsidTr="005A441A">
        <w:trPr>
          <w:cantSplit/>
        </w:trPr>
        <w:tc>
          <w:tcPr>
            <w:tcW w:w="1331" w:type="pct"/>
            <w:tcBorders>
              <w:top w:val="single" w:sz="8" w:space="0" w:color="002C47"/>
              <w:left w:val="single" w:sz="8" w:space="0" w:color="002C47"/>
              <w:bottom w:val="single" w:sz="8" w:space="0" w:color="002C47"/>
              <w:right w:val="single" w:sz="8" w:space="0" w:color="002C47"/>
            </w:tcBorders>
          </w:tcPr>
          <w:p w14:paraId="114B784E" w14:textId="77777777" w:rsidR="00BD3AA5" w:rsidRDefault="00BD3AA5" w:rsidP="00B4546F">
            <w:r w:rsidRPr="008339BB">
              <w:t>IRC</w:t>
            </w:r>
          </w:p>
        </w:tc>
        <w:tc>
          <w:tcPr>
            <w:tcW w:w="3669" w:type="pct"/>
            <w:tcBorders>
              <w:top w:val="single" w:sz="8" w:space="0" w:color="002C47"/>
              <w:left w:val="single" w:sz="8" w:space="0" w:color="002C47"/>
              <w:bottom w:val="single" w:sz="8" w:space="0" w:color="002C47"/>
              <w:right w:val="single" w:sz="8" w:space="0" w:color="002C47"/>
            </w:tcBorders>
          </w:tcPr>
          <w:p w14:paraId="1752FB11" w14:textId="7547E37B" w:rsidR="00BD3AA5" w:rsidRDefault="00BD3AA5" w:rsidP="00B4546F">
            <w:r>
              <w:t>I</w:t>
            </w:r>
            <w:r w:rsidRPr="008339BB">
              <w:t>ndependent review committee</w:t>
            </w:r>
            <w:r w:rsidR="00BA5891">
              <w:t>(</w:t>
            </w:r>
            <w:r w:rsidRPr="008339BB">
              <w:t>s</w:t>
            </w:r>
            <w:r w:rsidR="00BA5891">
              <w:t>)</w:t>
            </w:r>
          </w:p>
        </w:tc>
      </w:tr>
      <w:tr w:rsidR="00BD3AA5" w14:paraId="2E1C29D2" w14:textId="77777777" w:rsidTr="005A441A">
        <w:trPr>
          <w:cantSplit/>
        </w:trPr>
        <w:tc>
          <w:tcPr>
            <w:tcW w:w="1331" w:type="pct"/>
            <w:tcBorders>
              <w:top w:val="single" w:sz="8" w:space="0" w:color="002C47"/>
              <w:left w:val="single" w:sz="8" w:space="0" w:color="002C47"/>
              <w:bottom w:val="single" w:sz="8" w:space="0" w:color="002C47"/>
              <w:right w:val="single" w:sz="8" w:space="0" w:color="002C47"/>
            </w:tcBorders>
          </w:tcPr>
          <w:p w14:paraId="0B54B049" w14:textId="77777777" w:rsidR="00BD3AA5" w:rsidRPr="008339BB" w:rsidRDefault="00BD3AA5" w:rsidP="00B4546F">
            <w:r>
              <w:t>IRR</w:t>
            </w:r>
          </w:p>
        </w:tc>
        <w:tc>
          <w:tcPr>
            <w:tcW w:w="3669" w:type="pct"/>
            <w:tcBorders>
              <w:top w:val="single" w:sz="8" w:space="0" w:color="002C47"/>
              <w:left w:val="single" w:sz="8" w:space="0" w:color="002C47"/>
              <w:bottom w:val="single" w:sz="8" w:space="0" w:color="002C47"/>
              <w:right w:val="single" w:sz="8" w:space="0" w:color="002C47"/>
            </w:tcBorders>
          </w:tcPr>
          <w:p w14:paraId="4AFB84A2" w14:textId="750DB135" w:rsidR="00BD3AA5" w:rsidRPr="008339BB" w:rsidRDefault="00BD3AA5" w:rsidP="00B4546F">
            <w:r>
              <w:t>Infusion</w:t>
            </w:r>
            <w:r w:rsidR="00CB5B86">
              <w:t xml:space="preserve"> r</w:t>
            </w:r>
            <w:r>
              <w:t xml:space="preserve">elated </w:t>
            </w:r>
            <w:r w:rsidR="00CB5B86">
              <w:t>r</w:t>
            </w:r>
            <w:r>
              <w:t>eaction</w:t>
            </w:r>
          </w:p>
        </w:tc>
      </w:tr>
      <w:tr w:rsidR="009F5CFD" w14:paraId="129AA5F7" w14:textId="77777777" w:rsidTr="005A441A">
        <w:trPr>
          <w:cantSplit/>
        </w:trPr>
        <w:tc>
          <w:tcPr>
            <w:tcW w:w="1331" w:type="pct"/>
            <w:tcBorders>
              <w:top w:val="single" w:sz="8" w:space="0" w:color="002C47"/>
              <w:left w:val="single" w:sz="8" w:space="0" w:color="002C47"/>
              <w:bottom w:val="single" w:sz="8" w:space="0" w:color="002C47"/>
              <w:right w:val="single" w:sz="8" w:space="0" w:color="002C47"/>
            </w:tcBorders>
          </w:tcPr>
          <w:p w14:paraId="5AFDECA6" w14:textId="4120DFF7" w:rsidR="009F5CFD" w:rsidRDefault="009F5CFD" w:rsidP="00B4546F">
            <w:r>
              <w:t>LLN</w:t>
            </w:r>
          </w:p>
        </w:tc>
        <w:tc>
          <w:tcPr>
            <w:tcW w:w="3669" w:type="pct"/>
            <w:tcBorders>
              <w:top w:val="single" w:sz="8" w:space="0" w:color="002C47"/>
              <w:left w:val="single" w:sz="8" w:space="0" w:color="002C47"/>
              <w:bottom w:val="single" w:sz="8" w:space="0" w:color="002C47"/>
              <w:right w:val="single" w:sz="8" w:space="0" w:color="002C47"/>
            </w:tcBorders>
          </w:tcPr>
          <w:p w14:paraId="5A6C94F0" w14:textId="2E8AA757" w:rsidR="009F5CFD" w:rsidRDefault="009F5CFD" w:rsidP="00B4546F">
            <w:r>
              <w:t>Lower limit of normal</w:t>
            </w:r>
          </w:p>
        </w:tc>
      </w:tr>
      <w:tr w:rsidR="00BD3AA5" w14:paraId="28D7443D" w14:textId="77777777" w:rsidTr="005A441A">
        <w:trPr>
          <w:cantSplit/>
        </w:trPr>
        <w:tc>
          <w:tcPr>
            <w:tcW w:w="1331" w:type="pct"/>
            <w:tcBorders>
              <w:top w:val="single" w:sz="8" w:space="0" w:color="002C47"/>
              <w:left w:val="single" w:sz="8" w:space="0" w:color="002C47"/>
              <w:bottom w:val="single" w:sz="8" w:space="0" w:color="002C47"/>
              <w:right w:val="single" w:sz="8" w:space="0" w:color="002C47"/>
            </w:tcBorders>
          </w:tcPr>
          <w:p w14:paraId="097D3782" w14:textId="77777777" w:rsidR="00BD3AA5" w:rsidRPr="008339BB" w:rsidRDefault="00BD3AA5" w:rsidP="00B4546F">
            <w:r w:rsidRPr="008339BB">
              <w:t>mCR</w:t>
            </w:r>
          </w:p>
        </w:tc>
        <w:tc>
          <w:tcPr>
            <w:tcW w:w="3669" w:type="pct"/>
            <w:tcBorders>
              <w:top w:val="single" w:sz="8" w:space="0" w:color="002C47"/>
              <w:left w:val="single" w:sz="8" w:space="0" w:color="002C47"/>
              <w:bottom w:val="single" w:sz="8" w:space="0" w:color="002C47"/>
              <w:right w:val="single" w:sz="8" w:space="0" w:color="002C47"/>
            </w:tcBorders>
          </w:tcPr>
          <w:p w14:paraId="23C71E04" w14:textId="5ED1E708" w:rsidR="00BD3AA5" w:rsidRPr="008339BB" w:rsidRDefault="00BD3AA5" w:rsidP="00B4546F">
            <w:r>
              <w:t>M</w:t>
            </w:r>
            <w:r w:rsidRPr="008339BB">
              <w:t>odified complete response</w:t>
            </w:r>
          </w:p>
        </w:tc>
      </w:tr>
      <w:tr w:rsidR="00BD3AA5" w14:paraId="5E318916" w14:textId="77777777" w:rsidTr="005A441A">
        <w:trPr>
          <w:cantSplit/>
        </w:trPr>
        <w:tc>
          <w:tcPr>
            <w:tcW w:w="1331" w:type="pct"/>
            <w:tcBorders>
              <w:top w:val="single" w:sz="8" w:space="0" w:color="002C47"/>
              <w:left w:val="single" w:sz="8" w:space="0" w:color="002C47"/>
              <w:bottom w:val="single" w:sz="8" w:space="0" w:color="002C47"/>
              <w:right w:val="single" w:sz="8" w:space="0" w:color="002C47"/>
            </w:tcBorders>
          </w:tcPr>
          <w:p w14:paraId="6561A842" w14:textId="77777777" w:rsidR="00BD3AA5" w:rsidRPr="008339BB" w:rsidRDefault="00BD3AA5" w:rsidP="00B4546F">
            <w:r w:rsidRPr="008339BB">
              <w:t>MM</w:t>
            </w:r>
          </w:p>
        </w:tc>
        <w:tc>
          <w:tcPr>
            <w:tcW w:w="3669" w:type="pct"/>
            <w:tcBorders>
              <w:top w:val="single" w:sz="8" w:space="0" w:color="002C47"/>
              <w:left w:val="single" w:sz="8" w:space="0" w:color="002C47"/>
              <w:bottom w:val="single" w:sz="8" w:space="0" w:color="002C47"/>
              <w:right w:val="single" w:sz="8" w:space="0" w:color="002C47"/>
            </w:tcBorders>
          </w:tcPr>
          <w:p w14:paraId="6E80CC7B" w14:textId="77777777" w:rsidR="00BD3AA5" w:rsidRPr="008339BB" w:rsidRDefault="00BD3AA5" w:rsidP="00B4546F">
            <w:r w:rsidRPr="008339BB">
              <w:t>Multiple myeloma</w:t>
            </w:r>
          </w:p>
        </w:tc>
      </w:tr>
      <w:tr w:rsidR="00BD3AA5" w14:paraId="1DDE2F0F" w14:textId="77777777" w:rsidTr="005A441A">
        <w:trPr>
          <w:cantSplit/>
        </w:trPr>
        <w:tc>
          <w:tcPr>
            <w:tcW w:w="1331" w:type="pct"/>
            <w:tcBorders>
              <w:top w:val="single" w:sz="8" w:space="0" w:color="002C47"/>
              <w:left w:val="single" w:sz="8" w:space="0" w:color="002C47"/>
              <w:bottom w:val="single" w:sz="8" w:space="0" w:color="002C47"/>
              <w:right w:val="single" w:sz="8" w:space="0" w:color="002C47"/>
            </w:tcBorders>
          </w:tcPr>
          <w:p w14:paraId="2D64FB51" w14:textId="77777777" w:rsidR="00BD3AA5" w:rsidRPr="008339BB" w:rsidRDefault="00BD3AA5" w:rsidP="00B4546F">
            <w:r w:rsidRPr="008339BB">
              <w:t>MOD-EFS</w:t>
            </w:r>
          </w:p>
        </w:tc>
        <w:tc>
          <w:tcPr>
            <w:tcW w:w="3669" w:type="pct"/>
            <w:tcBorders>
              <w:top w:val="single" w:sz="8" w:space="0" w:color="002C47"/>
              <w:left w:val="single" w:sz="8" w:space="0" w:color="002C47"/>
              <w:bottom w:val="single" w:sz="8" w:space="0" w:color="002C47"/>
              <w:right w:val="single" w:sz="8" w:space="0" w:color="002C47"/>
            </w:tcBorders>
          </w:tcPr>
          <w:p w14:paraId="160A229A" w14:textId="49BE1C8A" w:rsidR="00BD3AA5" w:rsidRPr="008339BB" w:rsidRDefault="00BD3AA5" w:rsidP="00B4546F">
            <w:r>
              <w:t>M</w:t>
            </w:r>
            <w:r w:rsidRPr="008339BB">
              <w:t>ajor organ deterioration event free survival</w:t>
            </w:r>
          </w:p>
        </w:tc>
      </w:tr>
      <w:tr w:rsidR="00BD3AA5" w14:paraId="69E547B0" w14:textId="77777777" w:rsidTr="005A441A">
        <w:trPr>
          <w:cantSplit/>
        </w:trPr>
        <w:tc>
          <w:tcPr>
            <w:tcW w:w="1331" w:type="pct"/>
            <w:tcBorders>
              <w:top w:val="single" w:sz="8" w:space="0" w:color="002C47"/>
              <w:left w:val="single" w:sz="8" w:space="0" w:color="002C47"/>
              <w:bottom w:val="single" w:sz="8" w:space="0" w:color="002C47"/>
              <w:right w:val="single" w:sz="8" w:space="0" w:color="002C47"/>
            </w:tcBorders>
          </w:tcPr>
          <w:p w14:paraId="6FC0265E" w14:textId="77777777" w:rsidR="00BD3AA5" w:rsidRDefault="00BD3AA5" w:rsidP="00B4546F">
            <w:r w:rsidRPr="008339BB">
              <w:t>MOD-PFS</w:t>
            </w:r>
          </w:p>
        </w:tc>
        <w:tc>
          <w:tcPr>
            <w:tcW w:w="3669" w:type="pct"/>
            <w:tcBorders>
              <w:top w:val="single" w:sz="8" w:space="0" w:color="002C47"/>
              <w:left w:val="single" w:sz="8" w:space="0" w:color="002C47"/>
              <w:bottom w:val="single" w:sz="8" w:space="0" w:color="002C47"/>
              <w:right w:val="single" w:sz="8" w:space="0" w:color="002C47"/>
            </w:tcBorders>
          </w:tcPr>
          <w:p w14:paraId="398CCEC6" w14:textId="77777777" w:rsidR="00BD3AA5" w:rsidRDefault="00BD3AA5" w:rsidP="00B4546F">
            <w:r w:rsidRPr="008339BB">
              <w:t>Major organ deterioration progression free survival</w:t>
            </w:r>
          </w:p>
        </w:tc>
      </w:tr>
      <w:tr w:rsidR="00BD3AA5" w14:paraId="02D4F81C" w14:textId="77777777" w:rsidTr="005A441A">
        <w:trPr>
          <w:cantSplit/>
        </w:trPr>
        <w:tc>
          <w:tcPr>
            <w:tcW w:w="1331" w:type="pct"/>
            <w:tcBorders>
              <w:top w:val="single" w:sz="8" w:space="0" w:color="002C47"/>
              <w:left w:val="single" w:sz="8" w:space="0" w:color="002C47"/>
              <w:bottom w:val="single" w:sz="8" w:space="0" w:color="002C47"/>
              <w:right w:val="single" w:sz="8" w:space="0" w:color="002C47"/>
            </w:tcBorders>
          </w:tcPr>
          <w:p w14:paraId="1BFC08E6" w14:textId="625BB728" w:rsidR="00BD3AA5" w:rsidRDefault="00BD3AA5" w:rsidP="00B4546F">
            <w:bookmarkStart w:id="6" w:name="_Hlk110338353"/>
            <w:r w:rsidRPr="008339BB">
              <w:t>NT-proBNP</w:t>
            </w:r>
            <w:bookmarkEnd w:id="6"/>
          </w:p>
        </w:tc>
        <w:tc>
          <w:tcPr>
            <w:tcW w:w="3669" w:type="pct"/>
            <w:tcBorders>
              <w:top w:val="single" w:sz="8" w:space="0" w:color="002C47"/>
              <w:left w:val="single" w:sz="8" w:space="0" w:color="002C47"/>
              <w:bottom w:val="single" w:sz="8" w:space="0" w:color="002C47"/>
              <w:right w:val="single" w:sz="8" w:space="0" w:color="002C47"/>
            </w:tcBorders>
          </w:tcPr>
          <w:p w14:paraId="2EEE30DA" w14:textId="43CD003F" w:rsidR="00BD3AA5" w:rsidRDefault="00BD3AA5" w:rsidP="00B4546F">
            <w:bookmarkStart w:id="7" w:name="_Hlk110338362"/>
            <w:r w:rsidRPr="003C5D13">
              <w:t xml:space="preserve">N-terminal prohormone </w:t>
            </w:r>
            <w:r w:rsidR="00BA5891">
              <w:t xml:space="preserve">of </w:t>
            </w:r>
            <w:r>
              <w:t>brain natriuretic peptide</w:t>
            </w:r>
            <w:bookmarkEnd w:id="7"/>
          </w:p>
        </w:tc>
      </w:tr>
      <w:tr w:rsidR="00BD3AA5" w14:paraId="2D68FC18" w14:textId="77777777" w:rsidTr="005A441A">
        <w:trPr>
          <w:cantSplit/>
        </w:trPr>
        <w:tc>
          <w:tcPr>
            <w:tcW w:w="1331" w:type="pct"/>
            <w:tcBorders>
              <w:top w:val="single" w:sz="8" w:space="0" w:color="002C47"/>
              <w:left w:val="single" w:sz="8" w:space="0" w:color="002C47"/>
              <w:bottom w:val="single" w:sz="8" w:space="0" w:color="002C47"/>
              <w:right w:val="single" w:sz="8" w:space="0" w:color="002C47"/>
            </w:tcBorders>
          </w:tcPr>
          <w:p w14:paraId="3F3F06A4" w14:textId="77777777" w:rsidR="00BD3AA5" w:rsidRDefault="00BD3AA5" w:rsidP="00B4546F">
            <w:r w:rsidRPr="008339BB">
              <w:t>NYHA</w:t>
            </w:r>
          </w:p>
        </w:tc>
        <w:tc>
          <w:tcPr>
            <w:tcW w:w="3669" w:type="pct"/>
            <w:tcBorders>
              <w:top w:val="single" w:sz="8" w:space="0" w:color="002C47"/>
              <w:left w:val="single" w:sz="8" w:space="0" w:color="002C47"/>
              <w:bottom w:val="single" w:sz="8" w:space="0" w:color="002C47"/>
              <w:right w:val="single" w:sz="8" w:space="0" w:color="002C47"/>
            </w:tcBorders>
          </w:tcPr>
          <w:p w14:paraId="6FEE8B75" w14:textId="77777777" w:rsidR="00BD3AA5" w:rsidRPr="008339BB" w:rsidRDefault="00BD3AA5" w:rsidP="00B4546F">
            <w:r w:rsidRPr="008339BB">
              <w:t>New York Heart Association</w:t>
            </w:r>
          </w:p>
        </w:tc>
      </w:tr>
      <w:tr w:rsidR="00BD3AA5" w14:paraId="1E3A3AB5" w14:textId="77777777" w:rsidTr="005A441A">
        <w:trPr>
          <w:cantSplit/>
        </w:trPr>
        <w:tc>
          <w:tcPr>
            <w:tcW w:w="1331" w:type="pct"/>
            <w:tcBorders>
              <w:top w:val="single" w:sz="8" w:space="0" w:color="002C47"/>
              <w:left w:val="single" w:sz="8" w:space="0" w:color="002C47"/>
              <w:bottom w:val="single" w:sz="8" w:space="0" w:color="002C47"/>
              <w:right w:val="single" w:sz="8" w:space="0" w:color="002C47"/>
            </w:tcBorders>
          </w:tcPr>
          <w:p w14:paraId="2F9BF079" w14:textId="77777777" w:rsidR="00BD3AA5" w:rsidRPr="008339BB" w:rsidRDefault="00BD3AA5" w:rsidP="00B4546F">
            <w:r w:rsidRPr="008339BB">
              <w:t>OS</w:t>
            </w:r>
          </w:p>
        </w:tc>
        <w:tc>
          <w:tcPr>
            <w:tcW w:w="3669" w:type="pct"/>
            <w:tcBorders>
              <w:top w:val="single" w:sz="8" w:space="0" w:color="002C47"/>
              <w:left w:val="single" w:sz="8" w:space="0" w:color="002C47"/>
              <w:bottom w:val="single" w:sz="8" w:space="0" w:color="002C47"/>
              <w:right w:val="single" w:sz="8" w:space="0" w:color="002C47"/>
            </w:tcBorders>
          </w:tcPr>
          <w:p w14:paraId="0C651DF0" w14:textId="29543744" w:rsidR="00BD3AA5" w:rsidRPr="008339BB" w:rsidRDefault="00BD3AA5" w:rsidP="00B4546F">
            <w:r w:rsidRPr="008339BB">
              <w:t xml:space="preserve">Overall </w:t>
            </w:r>
            <w:r w:rsidR="00CB5B86">
              <w:t>s</w:t>
            </w:r>
            <w:r w:rsidRPr="008339BB">
              <w:t>urvival</w:t>
            </w:r>
          </w:p>
        </w:tc>
      </w:tr>
      <w:tr w:rsidR="00BD3AA5" w14:paraId="28D080FB" w14:textId="77777777" w:rsidTr="005A441A">
        <w:trPr>
          <w:cantSplit/>
        </w:trPr>
        <w:tc>
          <w:tcPr>
            <w:tcW w:w="1331" w:type="pct"/>
            <w:tcBorders>
              <w:top w:val="single" w:sz="8" w:space="0" w:color="002C47"/>
              <w:left w:val="single" w:sz="8" w:space="0" w:color="002C47"/>
              <w:bottom w:val="single" w:sz="8" w:space="0" w:color="002C47"/>
              <w:right w:val="single" w:sz="8" w:space="0" w:color="002C47"/>
            </w:tcBorders>
            <w:hideMark/>
          </w:tcPr>
          <w:p w14:paraId="3AEB0646" w14:textId="77777777" w:rsidR="00BD3AA5" w:rsidRDefault="00BD3AA5" w:rsidP="00B4546F">
            <w:r>
              <w:t>RMP</w:t>
            </w:r>
          </w:p>
        </w:tc>
        <w:tc>
          <w:tcPr>
            <w:tcW w:w="3669" w:type="pct"/>
            <w:tcBorders>
              <w:top w:val="single" w:sz="8" w:space="0" w:color="002C47"/>
              <w:left w:val="single" w:sz="8" w:space="0" w:color="002C47"/>
              <w:bottom w:val="single" w:sz="8" w:space="0" w:color="002C47"/>
              <w:right w:val="single" w:sz="8" w:space="0" w:color="002C47"/>
            </w:tcBorders>
            <w:hideMark/>
          </w:tcPr>
          <w:p w14:paraId="655C8112" w14:textId="77777777" w:rsidR="00BD3AA5" w:rsidRDefault="00BD3AA5" w:rsidP="00B4546F">
            <w:r>
              <w:t>Risk management plan</w:t>
            </w:r>
          </w:p>
        </w:tc>
      </w:tr>
      <w:tr w:rsidR="00BD3AA5" w14:paraId="6A6CC25D" w14:textId="77777777" w:rsidTr="005A441A">
        <w:trPr>
          <w:cantSplit/>
        </w:trPr>
        <w:tc>
          <w:tcPr>
            <w:tcW w:w="1331" w:type="pct"/>
            <w:tcBorders>
              <w:top w:val="single" w:sz="8" w:space="0" w:color="002C47"/>
              <w:left w:val="single" w:sz="8" w:space="0" w:color="002C47"/>
              <w:bottom w:val="single" w:sz="8" w:space="0" w:color="002C47"/>
              <w:right w:val="single" w:sz="8" w:space="0" w:color="002C47"/>
            </w:tcBorders>
          </w:tcPr>
          <w:p w14:paraId="61F0F72C" w14:textId="77777777" w:rsidR="00BD3AA5" w:rsidRPr="008339BB" w:rsidRDefault="00BD3AA5" w:rsidP="00B4546F">
            <w:r>
              <w:t>SAE</w:t>
            </w:r>
          </w:p>
        </w:tc>
        <w:tc>
          <w:tcPr>
            <w:tcW w:w="3669" w:type="pct"/>
            <w:tcBorders>
              <w:top w:val="single" w:sz="8" w:space="0" w:color="002C47"/>
              <w:left w:val="single" w:sz="8" w:space="0" w:color="002C47"/>
              <w:bottom w:val="single" w:sz="8" w:space="0" w:color="002C47"/>
              <w:right w:val="single" w:sz="8" w:space="0" w:color="002C47"/>
            </w:tcBorders>
          </w:tcPr>
          <w:p w14:paraId="74473297" w14:textId="2A8F427C" w:rsidR="00BD3AA5" w:rsidRPr="008339BB" w:rsidRDefault="00BD3AA5" w:rsidP="00B4546F">
            <w:r w:rsidRPr="008339BB">
              <w:t xml:space="preserve">Serious </w:t>
            </w:r>
            <w:r w:rsidR="00CB5B86">
              <w:t>a</w:t>
            </w:r>
            <w:r w:rsidRPr="008339BB">
              <w:t xml:space="preserve">dverse </w:t>
            </w:r>
            <w:r w:rsidR="00CB5B86">
              <w:t>e</w:t>
            </w:r>
            <w:r w:rsidRPr="008339BB">
              <w:t>vent</w:t>
            </w:r>
          </w:p>
        </w:tc>
      </w:tr>
      <w:tr w:rsidR="00BD3AA5" w14:paraId="69FFFD43" w14:textId="77777777" w:rsidTr="005A441A">
        <w:trPr>
          <w:cantSplit/>
        </w:trPr>
        <w:tc>
          <w:tcPr>
            <w:tcW w:w="1331" w:type="pct"/>
            <w:tcBorders>
              <w:top w:val="single" w:sz="8" w:space="0" w:color="002C47"/>
              <w:left w:val="single" w:sz="8" w:space="0" w:color="002C47"/>
              <w:bottom w:val="single" w:sz="8" w:space="0" w:color="002C47"/>
              <w:right w:val="single" w:sz="8" w:space="0" w:color="002C47"/>
            </w:tcBorders>
          </w:tcPr>
          <w:p w14:paraId="69695F32" w14:textId="77777777" w:rsidR="00BD3AA5" w:rsidRPr="008339BB" w:rsidRDefault="00BD3AA5" w:rsidP="00B4546F">
            <w:r>
              <w:t>TEAE</w:t>
            </w:r>
          </w:p>
        </w:tc>
        <w:tc>
          <w:tcPr>
            <w:tcW w:w="3669" w:type="pct"/>
            <w:tcBorders>
              <w:top w:val="single" w:sz="8" w:space="0" w:color="002C47"/>
              <w:left w:val="single" w:sz="8" w:space="0" w:color="002C47"/>
              <w:bottom w:val="single" w:sz="8" w:space="0" w:color="002C47"/>
              <w:right w:val="single" w:sz="8" w:space="0" w:color="002C47"/>
            </w:tcBorders>
          </w:tcPr>
          <w:p w14:paraId="0A75F335" w14:textId="54F66178" w:rsidR="00BD3AA5" w:rsidRPr="008339BB" w:rsidRDefault="00BD3AA5" w:rsidP="00B4546F">
            <w:r>
              <w:t>Treatment</w:t>
            </w:r>
            <w:r w:rsidR="00BA5891">
              <w:noBreakHyphen/>
            </w:r>
            <w:r>
              <w:t>emergent adverse event</w:t>
            </w:r>
          </w:p>
        </w:tc>
      </w:tr>
      <w:tr w:rsidR="00BD3AA5" w14:paraId="727A8185" w14:textId="77777777" w:rsidTr="005A441A">
        <w:trPr>
          <w:cantSplit/>
        </w:trPr>
        <w:tc>
          <w:tcPr>
            <w:tcW w:w="1331" w:type="pct"/>
            <w:tcBorders>
              <w:top w:val="single" w:sz="8" w:space="0" w:color="002C47"/>
              <w:left w:val="single" w:sz="8" w:space="0" w:color="002C47"/>
              <w:bottom w:val="single" w:sz="8" w:space="0" w:color="002C47"/>
              <w:right w:val="single" w:sz="8" w:space="0" w:color="002C47"/>
            </w:tcBorders>
          </w:tcPr>
          <w:p w14:paraId="0E00DBB7" w14:textId="77777777" w:rsidR="00BD3AA5" w:rsidRDefault="00BD3AA5" w:rsidP="00B4546F">
            <w:r w:rsidRPr="008339BB">
              <w:t>uFLC</w:t>
            </w:r>
          </w:p>
        </w:tc>
        <w:tc>
          <w:tcPr>
            <w:tcW w:w="3669" w:type="pct"/>
            <w:tcBorders>
              <w:top w:val="single" w:sz="8" w:space="0" w:color="002C47"/>
              <w:left w:val="single" w:sz="8" w:space="0" w:color="002C47"/>
              <w:bottom w:val="single" w:sz="8" w:space="0" w:color="002C47"/>
              <w:right w:val="single" w:sz="8" w:space="0" w:color="002C47"/>
            </w:tcBorders>
          </w:tcPr>
          <w:p w14:paraId="51F9AD4F" w14:textId="15E9E2AA" w:rsidR="00BD3AA5" w:rsidRPr="008339BB" w:rsidRDefault="00BD3AA5" w:rsidP="00B4546F">
            <w:r>
              <w:t>U</w:t>
            </w:r>
            <w:r w:rsidRPr="008339BB">
              <w:t>ninvolved free light chain</w:t>
            </w:r>
          </w:p>
        </w:tc>
      </w:tr>
      <w:tr w:rsidR="00BD3AA5" w14:paraId="41E11578" w14:textId="77777777" w:rsidTr="005A441A">
        <w:trPr>
          <w:cantSplit/>
        </w:trPr>
        <w:tc>
          <w:tcPr>
            <w:tcW w:w="1331" w:type="pct"/>
            <w:tcBorders>
              <w:top w:val="single" w:sz="8" w:space="0" w:color="002C47"/>
              <w:left w:val="single" w:sz="8" w:space="0" w:color="002C47"/>
              <w:bottom w:val="single" w:sz="8" w:space="0" w:color="002C47"/>
              <w:right w:val="single" w:sz="8" w:space="0" w:color="002C47"/>
            </w:tcBorders>
          </w:tcPr>
          <w:p w14:paraId="60C7B2A4" w14:textId="77777777" w:rsidR="00BD3AA5" w:rsidRDefault="00BD3AA5" w:rsidP="00B4546F">
            <w:r w:rsidRPr="008339BB">
              <w:t>ULN</w:t>
            </w:r>
          </w:p>
        </w:tc>
        <w:tc>
          <w:tcPr>
            <w:tcW w:w="3669" w:type="pct"/>
            <w:tcBorders>
              <w:top w:val="single" w:sz="8" w:space="0" w:color="002C47"/>
              <w:left w:val="single" w:sz="8" w:space="0" w:color="002C47"/>
              <w:bottom w:val="single" w:sz="8" w:space="0" w:color="002C47"/>
              <w:right w:val="single" w:sz="8" w:space="0" w:color="002C47"/>
            </w:tcBorders>
          </w:tcPr>
          <w:p w14:paraId="681D29FF" w14:textId="77777777" w:rsidR="00BD3AA5" w:rsidRDefault="00BD3AA5" w:rsidP="00B4546F">
            <w:r w:rsidRPr="008339BB">
              <w:t>Upper limit of normal</w:t>
            </w:r>
          </w:p>
        </w:tc>
      </w:tr>
      <w:tr w:rsidR="009F5CFD" w14:paraId="7BBEC11C" w14:textId="77777777" w:rsidTr="005A441A">
        <w:trPr>
          <w:cantSplit/>
        </w:trPr>
        <w:tc>
          <w:tcPr>
            <w:tcW w:w="1331" w:type="pct"/>
            <w:tcBorders>
              <w:top w:val="single" w:sz="8" w:space="0" w:color="002C47"/>
              <w:left w:val="single" w:sz="8" w:space="0" w:color="002C47"/>
              <w:bottom w:val="single" w:sz="8" w:space="0" w:color="002C47"/>
              <w:right w:val="single" w:sz="8" w:space="0" w:color="002C47"/>
            </w:tcBorders>
          </w:tcPr>
          <w:p w14:paraId="5B70CC69" w14:textId="0E529381" w:rsidR="009F5CFD" w:rsidRPr="008339BB" w:rsidRDefault="009F5CFD" w:rsidP="00B4546F">
            <w:r>
              <w:t>US(A)</w:t>
            </w:r>
          </w:p>
        </w:tc>
        <w:tc>
          <w:tcPr>
            <w:tcW w:w="3669" w:type="pct"/>
            <w:tcBorders>
              <w:top w:val="single" w:sz="8" w:space="0" w:color="002C47"/>
              <w:left w:val="single" w:sz="8" w:space="0" w:color="002C47"/>
              <w:bottom w:val="single" w:sz="8" w:space="0" w:color="002C47"/>
              <w:right w:val="single" w:sz="8" w:space="0" w:color="002C47"/>
            </w:tcBorders>
          </w:tcPr>
          <w:p w14:paraId="115EC52B" w14:textId="31D35EAF" w:rsidR="009F5CFD" w:rsidRPr="008339BB" w:rsidRDefault="009F5CFD" w:rsidP="00B4546F">
            <w:r>
              <w:t>United States (of America)</w:t>
            </w:r>
          </w:p>
        </w:tc>
      </w:tr>
      <w:tr w:rsidR="00F620D2" w14:paraId="722D78B2" w14:textId="77777777" w:rsidTr="005A441A">
        <w:trPr>
          <w:cantSplit/>
        </w:trPr>
        <w:tc>
          <w:tcPr>
            <w:tcW w:w="1331" w:type="pct"/>
            <w:tcBorders>
              <w:top w:val="single" w:sz="8" w:space="0" w:color="002C47"/>
              <w:left w:val="single" w:sz="8" w:space="0" w:color="002C47"/>
              <w:bottom w:val="single" w:sz="8" w:space="0" w:color="002C47"/>
              <w:right w:val="single" w:sz="8" w:space="0" w:color="002C47"/>
            </w:tcBorders>
          </w:tcPr>
          <w:p w14:paraId="32071E4C" w14:textId="2AD5554B" w:rsidR="00F620D2" w:rsidRDefault="00F620D2" w:rsidP="00B4546F">
            <w:r>
              <w:t>VCd</w:t>
            </w:r>
          </w:p>
        </w:tc>
        <w:tc>
          <w:tcPr>
            <w:tcW w:w="3669" w:type="pct"/>
            <w:tcBorders>
              <w:top w:val="single" w:sz="8" w:space="0" w:color="002C47"/>
              <w:left w:val="single" w:sz="8" w:space="0" w:color="002C47"/>
              <w:bottom w:val="single" w:sz="8" w:space="0" w:color="002C47"/>
              <w:right w:val="single" w:sz="8" w:space="0" w:color="002C47"/>
            </w:tcBorders>
          </w:tcPr>
          <w:p w14:paraId="5622052D" w14:textId="20235FDA" w:rsidR="00F620D2" w:rsidRDefault="00F620D2" w:rsidP="00F620D2">
            <w:proofErr w:type="spellStart"/>
            <w:r>
              <w:t>Velcade</w:t>
            </w:r>
            <w:proofErr w:type="spellEnd"/>
            <w:r>
              <w:t xml:space="preserve"> (tradename for bortezomib), cyclophosphamide and dexamethasone combination therapy</w:t>
            </w:r>
            <w:r w:rsidR="00751998">
              <w:t xml:space="preserve"> (also known as CyBorD)</w:t>
            </w:r>
          </w:p>
        </w:tc>
      </w:tr>
      <w:tr w:rsidR="009F5CFD" w14:paraId="3EB6AF64" w14:textId="77777777" w:rsidTr="005A441A">
        <w:trPr>
          <w:cantSplit/>
        </w:trPr>
        <w:tc>
          <w:tcPr>
            <w:tcW w:w="1331" w:type="pct"/>
            <w:tcBorders>
              <w:top w:val="single" w:sz="8" w:space="0" w:color="002C47"/>
              <w:left w:val="single" w:sz="8" w:space="0" w:color="002C47"/>
              <w:bottom w:val="single" w:sz="8" w:space="0" w:color="002C47"/>
              <w:right w:val="single" w:sz="8" w:space="0" w:color="002C47"/>
            </w:tcBorders>
          </w:tcPr>
          <w:p w14:paraId="6AB89BFC" w14:textId="49CAF188" w:rsidR="009F5CFD" w:rsidRPr="008339BB" w:rsidRDefault="009F5CFD" w:rsidP="00B4546F">
            <w:r>
              <w:t>VGPR</w:t>
            </w:r>
          </w:p>
        </w:tc>
        <w:tc>
          <w:tcPr>
            <w:tcW w:w="3669" w:type="pct"/>
            <w:tcBorders>
              <w:top w:val="single" w:sz="8" w:space="0" w:color="002C47"/>
              <w:left w:val="single" w:sz="8" w:space="0" w:color="002C47"/>
              <w:bottom w:val="single" w:sz="8" w:space="0" w:color="002C47"/>
              <w:right w:val="single" w:sz="8" w:space="0" w:color="002C47"/>
            </w:tcBorders>
          </w:tcPr>
          <w:p w14:paraId="47450AA8" w14:textId="4EA2DDEE" w:rsidR="009F5CFD" w:rsidRPr="008339BB" w:rsidRDefault="009F5CFD" w:rsidP="00B4546F">
            <w:r>
              <w:t>Very good partial response</w:t>
            </w:r>
          </w:p>
        </w:tc>
      </w:tr>
      <w:bookmarkEnd w:id="5"/>
    </w:tbl>
    <w:p w14:paraId="45BC5147" w14:textId="12956E73" w:rsidR="00FD119B" w:rsidRPr="00FD119B" w:rsidRDefault="00FD119B" w:rsidP="00FD119B">
      <w:pPr>
        <w:spacing w:before="0" w:after="200" w:line="0" w:lineRule="auto"/>
        <w:rPr>
          <w:b/>
          <w:i/>
          <w:sz w:val="24"/>
          <w:szCs w:val="24"/>
        </w:rPr>
      </w:pPr>
    </w:p>
    <w:p w14:paraId="39478B1E" w14:textId="4D87BFAC" w:rsidR="008E7846" w:rsidRDefault="009F2673" w:rsidP="00294DE9">
      <w:pPr>
        <w:pStyle w:val="Heading2"/>
        <w:pageBreakBefore/>
      </w:pPr>
      <w:bookmarkStart w:id="8" w:name="_Toc117158635"/>
      <w:r>
        <w:lastRenderedPageBreak/>
        <w:t>Pr</w:t>
      </w:r>
      <w:r w:rsidR="008E7846">
        <w:t>oduct submission</w:t>
      </w:r>
      <w:bookmarkEnd w:id="8"/>
      <w:bookmarkEnd w:id="2"/>
      <w:bookmarkEnd w:id="0"/>
    </w:p>
    <w:p w14:paraId="0317C1EC" w14:textId="77777777" w:rsidR="008E7846" w:rsidRDefault="008E7846" w:rsidP="009E5A87">
      <w:pPr>
        <w:pStyle w:val="Heading3"/>
        <w:rPr>
          <w:lang w:eastAsia="en-AU"/>
        </w:rPr>
      </w:pPr>
      <w:bookmarkStart w:id="9" w:name="_Toc247691502"/>
      <w:bookmarkStart w:id="10" w:name="_Toc314842483"/>
      <w:bookmarkStart w:id="11" w:name="_Toc117158636"/>
      <w:r>
        <w:rPr>
          <w:lang w:eastAsia="en-AU"/>
        </w:rPr>
        <w:t>Submission details</w:t>
      </w:r>
      <w:bookmarkEnd w:id="9"/>
      <w:bookmarkEnd w:id="10"/>
      <w:bookmarkEnd w:id="11"/>
    </w:p>
    <w:tbl>
      <w:tblPr>
        <w:tblW w:w="5000" w:type="pct"/>
        <w:tblLook w:val="01E0" w:firstRow="1" w:lastRow="1" w:firstColumn="1" w:lastColumn="1" w:noHBand="0" w:noVBand="0"/>
      </w:tblPr>
      <w:tblGrid>
        <w:gridCol w:w="2682"/>
        <w:gridCol w:w="5823"/>
      </w:tblGrid>
      <w:tr w:rsidR="009F2673" w:rsidRPr="003D1E62" w14:paraId="6910BE9F" w14:textId="77777777" w:rsidTr="005C44DF">
        <w:tc>
          <w:tcPr>
            <w:tcW w:w="1577" w:type="pct"/>
          </w:tcPr>
          <w:p w14:paraId="41773375" w14:textId="77777777" w:rsidR="009F2673" w:rsidRPr="003D1E62" w:rsidRDefault="009F2673" w:rsidP="009E5A87">
            <w:pPr>
              <w:rPr>
                <w:i/>
              </w:rPr>
            </w:pPr>
            <w:r>
              <w:rPr>
                <w:i/>
              </w:rPr>
              <w:t>Type of s</w:t>
            </w:r>
            <w:r w:rsidRPr="003D1E62">
              <w:rPr>
                <w:i/>
              </w:rPr>
              <w:t>ubmission</w:t>
            </w:r>
            <w:r>
              <w:rPr>
                <w:i/>
              </w:rPr>
              <w:t>:</w:t>
            </w:r>
          </w:p>
        </w:tc>
        <w:tc>
          <w:tcPr>
            <w:tcW w:w="3423" w:type="pct"/>
          </w:tcPr>
          <w:p w14:paraId="14FDD63E" w14:textId="0DB8CC46" w:rsidR="009F2673" w:rsidRPr="003D1E62" w:rsidRDefault="00F1128B" w:rsidP="009E5A87">
            <w:r w:rsidRPr="00F1128B">
              <w:t>Extension of indications</w:t>
            </w:r>
          </w:p>
        </w:tc>
      </w:tr>
      <w:tr w:rsidR="009F2673" w:rsidRPr="003D1E62" w14:paraId="5DCFDEB2" w14:textId="77777777" w:rsidTr="005C44DF">
        <w:tc>
          <w:tcPr>
            <w:tcW w:w="1577" w:type="pct"/>
          </w:tcPr>
          <w:p w14:paraId="426DB925" w14:textId="6CCA000F" w:rsidR="009F2673" w:rsidRPr="003D1E62" w:rsidRDefault="009F2673" w:rsidP="009E5A87">
            <w:pPr>
              <w:rPr>
                <w:i/>
              </w:rPr>
            </w:pPr>
            <w:r w:rsidRPr="00460036">
              <w:rPr>
                <w:i/>
              </w:rPr>
              <w:t>Product nam</w:t>
            </w:r>
            <w:r w:rsidR="00F1128B">
              <w:rPr>
                <w:i/>
              </w:rPr>
              <w:t>e</w:t>
            </w:r>
            <w:r w:rsidRPr="00460036">
              <w:rPr>
                <w:i/>
              </w:rPr>
              <w:t>:</w:t>
            </w:r>
          </w:p>
        </w:tc>
        <w:tc>
          <w:tcPr>
            <w:tcW w:w="3423" w:type="pct"/>
          </w:tcPr>
          <w:p w14:paraId="0664A30D" w14:textId="47E1DFDC" w:rsidR="009F2673" w:rsidRPr="003D1E62" w:rsidRDefault="00F1128B" w:rsidP="009E5A87">
            <w:r>
              <w:t>Darzalex SC</w:t>
            </w:r>
          </w:p>
        </w:tc>
      </w:tr>
      <w:tr w:rsidR="009F2673" w:rsidRPr="003D1E62" w14:paraId="070BA9A8" w14:textId="77777777" w:rsidTr="005C44DF">
        <w:tc>
          <w:tcPr>
            <w:tcW w:w="1577" w:type="pct"/>
          </w:tcPr>
          <w:p w14:paraId="0A9F3C9E" w14:textId="47E78E44" w:rsidR="009F2673" w:rsidRPr="003D1E62" w:rsidRDefault="009F2673" w:rsidP="009E5A87">
            <w:pPr>
              <w:rPr>
                <w:i/>
              </w:rPr>
            </w:pPr>
            <w:r w:rsidRPr="00460036">
              <w:rPr>
                <w:i/>
              </w:rPr>
              <w:t>Active ingredien</w:t>
            </w:r>
            <w:r w:rsidR="00233862">
              <w:rPr>
                <w:i/>
              </w:rPr>
              <w:t>t</w:t>
            </w:r>
            <w:r w:rsidRPr="00460036">
              <w:rPr>
                <w:i/>
              </w:rPr>
              <w:t>:</w:t>
            </w:r>
          </w:p>
        </w:tc>
        <w:tc>
          <w:tcPr>
            <w:tcW w:w="3423" w:type="pct"/>
          </w:tcPr>
          <w:p w14:paraId="19E526BC" w14:textId="17DBBA55" w:rsidR="009F2673" w:rsidRPr="003D1E62" w:rsidRDefault="00F1128B" w:rsidP="009E5A87">
            <w:r>
              <w:t>Daratumumab</w:t>
            </w:r>
          </w:p>
        </w:tc>
      </w:tr>
      <w:tr w:rsidR="009F2673" w:rsidRPr="003D1E62" w14:paraId="65F71550" w14:textId="77777777" w:rsidTr="005C44DF">
        <w:tc>
          <w:tcPr>
            <w:tcW w:w="1577" w:type="pct"/>
          </w:tcPr>
          <w:p w14:paraId="65783DB6" w14:textId="77777777" w:rsidR="009F2673" w:rsidRPr="009F2673" w:rsidRDefault="009F2673" w:rsidP="009E5A87">
            <w:pPr>
              <w:rPr>
                <w:i/>
              </w:rPr>
            </w:pPr>
            <w:r w:rsidRPr="003D1E62">
              <w:rPr>
                <w:i/>
              </w:rPr>
              <w:t>Decision</w:t>
            </w:r>
            <w:r w:rsidRPr="009F2673">
              <w:rPr>
                <w:i/>
              </w:rPr>
              <w:t>:</w:t>
            </w:r>
          </w:p>
        </w:tc>
        <w:tc>
          <w:tcPr>
            <w:tcW w:w="3423" w:type="pct"/>
          </w:tcPr>
          <w:p w14:paraId="50E46B59" w14:textId="57FE8872" w:rsidR="009F2673" w:rsidRPr="003D1E62" w:rsidRDefault="009F2673" w:rsidP="009E5A87">
            <w:r w:rsidRPr="00460036">
              <w:t>Approved</w:t>
            </w:r>
          </w:p>
        </w:tc>
      </w:tr>
      <w:tr w:rsidR="009F2673" w:rsidRPr="003D1E62" w14:paraId="77909815" w14:textId="77777777" w:rsidTr="005C44DF">
        <w:tc>
          <w:tcPr>
            <w:tcW w:w="1577" w:type="pct"/>
          </w:tcPr>
          <w:p w14:paraId="52F9920D" w14:textId="77777777" w:rsidR="009F2673" w:rsidRPr="003D1E62" w:rsidRDefault="009F2673" w:rsidP="009E5A87">
            <w:pPr>
              <w:rPr>
                <w:i/>
              </w:rPr>
            </w:pPr>
            <w:r w:rsidRPr="003D1E62">
              <w:rPr>
                <w:i/>
              </w:rPr>
              <w:t xml:space="preserve">Date of </w:t>
            </w:r>
            <w:r>
              <w:rPr>
                <w:i/>
              </w:rPr>
              <w:t>d</w:t>
            </w:r>
            <w:r w:rsidRPr="003D1E62">
              <w:rPr>
                <w:i/>
              </w:rPr>
              <w:t>ecision:</w:t>
            </w:r>
          </w:p>
        </w:tc>
        <w:tc>
          <w:tcPr>
            <w:tcW w:w="3423" w:type="pct"/>
          </w:tcPr>
          <w:p w14:paraId="4B64DD74" w14:textId="69D5E420" w:rsidR="009F2673" w:rsidRPr="003D1E62" w:rsidRDefault="00F1128B" w:rsidP="009E5A87">
            <w:r w:rsidRPr="00F1128B">
              <w:t>6 October 2021</w:t>
            </w:r>
          </w:p>
        </w:tc>
      </w:tr>
      <w:tr w:rsidR="009F2673" w:rsidRPr="003D1E62" w14:paraId="3BCBB015" w14:textId="77777777" w:rsidTr="005C44DF">
        <w:tc>
          <w:tcPr>
            <w:tcW w:w="1577" w:type="pct"/>
          </w:tcPr>
          <w:p w14:paraId="012761E2" w14:textId="77777777" w:rsidR="009F2673" w:rsidRPr="00441C3F" w:rsidRDefault="009F2673" w:rsidP="009E5A87">
            <w:pPr>
              <w:rPr>
                <w:i/>
              </w:rPr>
            </w:pPr>
            <w:r w:rsidRPr="00441C3F">
              <w:rPr>
                <w:i/>
              </w:rPr>
              <w:t>Date of entry onto ARTG</w:t>
            </w:r>
            <w:r>
              <w:rPr>
                <w:i/>
              </w:rPr>
              <w:t>:</w:t>
            </w:r>
          </w:p>
        </w:tc>
        <w:tc>
          <w:tcPr>
            <w:tcW w:w="3423" w:type="pct"/>
          </w:tcPr>
          <w:p w14:paraId="5EE2BF24" w14:textId="432EA023" w:rsidR="009F2673" w:rsidRPr="009F2673" w:rsidRDefault="00CB5B86" w:rsidP="009E5A87">
            <w:r>
              <w:t>6 October 2021</w:t>
            </w:r>
            <w:r w:rsidR="009F2673" w:rsidRPr="009F2673">
              <w:t xml:space="preserve"> </w:t>
            </w:r>
          </w:p>
        </w:tc>
      </w:tr>
      <w:tr w:rsidR="009F2673" w:rsidRPr="003D1E62" w14:paraId="67C47CC8" w14:textId="77777777" w:rsidTr="005C44DF">
        <w:tc>
          <w:tcPr>
            <w:tcW w:w="1577" w:type="pct"/>
          </w:tcPr>
          <w:p w14:paraId="102ED911" w14:textId="6A05B02F" w:rsidR="009F2673" w:rsidRPr="00441C3F" w:rsidRDefault="009F2673" w:rsidP="009E5A87">
            <w:pPr>
              <w:rPr>
                <w:i/>
              </w:rPr>
            </w:pPr>
            <w:r>
              <w:rPr>
                <w:i/>
              </w:rPr>
              <w:t>ARTG number:</w:t>
            </w:r>
          </w:p>
        </w:tc>
        <w:tc>
          <w:tcPr>
            <w:tcW w:w="3423" w:type="pct"/>
          </w:tcPr>
          <w:p w14:paraId="704A26EE" w14:textId="7A243AED" w:rsidR="009F2673" w:rsidRPr="00441C3F" w:rsidRDefault="00233862" w:rsidP="009E5A87">
            <w:r w:rsidRPr="00233862">
              <w:t>322685</w:t>
            </w:r>
          </w:p>
        </w:tc>
      </w:tr>
      <w:tr w:rsidR="009F2673" w:rsidRPr="003D1E62" w14:paraId="21395F90" w14:textId="77777777" w:rsidTr="005C44DF">
        <w:tc>
          <w:tcPr>
            <w:tcW w:w="1577" w:type="pct"/>
          </w:tcPr>
          <w:p w14:paraId="77F3FC77" w14:textId="77777777" w:rsidR="009F2673" w:rsidRDefault="001B1DA4" w:rsidP="009E5A87">
            <w:pPr>
              <w:rPr>
                <w:i/>
              </w:rPr>
            </w:pPr>
            <w:r>
              <w:rPr>
                <w:rFonts w:ascii="Wingdings 3" w:hAnsi="Wingdings 3"/>
                <w:sz w:val="34"/>
                <w:szCs w:val="34"/>
                <w:lang w:eastAsia="en-AU"/>
              </w:rPr>
              <w:t></w:t>
            </w:r>
            <w:hyperlink r:id="rId14" w:history="1">
              <w:r w:rsidR="009F2673" w:rsidRPr="009F2673">
                <w:rPr>
                  <w:rStyle w:val="Hyperlink"/>
                  <w:i/>
                </w:rPr>
                <w:t>Black Triangle Scheme</w:t>
              </w:r>
            </w:hyperlink>
            <w:r w:rsidR="009F2673">
              <w:rPr>
                <w:i/>
              </w:rPr>
              <w:t>:</w:t>
            </w:r>
          </w:p>
        </w:tc>
        <w:tc>
          <w:tcPr>
            <w:tcW w:w="3423" w:type="pct"/>
          </w:tcPr>
          <w:p w14:paraId="5C2F64C2" w14:textId="15983CCA" w:rsidR="009F2673" w:rsidRPr="00487162" w:rsidRDefault="009F2673" w:rsidP="00233862">
            <w:r>
              <w:t xml:space="preserve">No </w:t>
            </w:r>
          </w:p>
        </w:tc>
      </w:tr>
      <w:tr w:rsidR="009F2673" w:rsidRPr="003D1E62" w14:paraId="649C69BC" w14:textId="77777777" w:rsidTr="005C44DF">
        <w:tc>
          <w:tcPr>
            <w:tcW w:w="1577" w:type="pct"/>
          </w:tcPr>
          <w:p w14:paraId="3113DF2C" w14:textId="77777777" w:rsidR="009F2673" w:rsidRPr="009F2673" w:rsidRDefault="009F2673" w:rsidP="009E5A87">
            <w:pPr>
              <w:rPr>
                <w:i/>
              </w:rPr>
            </w:pPr>
            <w:r w:rsidRPr="00487162">
              <w:rPr>
                <w:i/>
              </w:rPr>
              <w:t xml:space="preserve">Sponsor’s </w:t>
            </w:r>
            <w:r>
              <w:rPr>
                <w:i/>
              </w:rPr>
              <w:t>n</w:t>
            </w:r>
            <w:r w:rsidRPr="00487162">
              <w:rPr>
                <w:i/>
              </w:rPr>
              <w:t xml:space="preserve">ame and </w:t>
            </w:r>
            <w:r>
              <w:rPr>
                <w:i/>
              </w:rPr>
              <w:t>a</w:t>
            </w:r>
            <w:r w:rsidRPr="00487162">
              <w:rPr>
                <w:i/>
              </w:rPr>
              <w:t>ddress:</w:t>
            </w:r>
          </w:p>
        </w:tc>
        <w:tc>
          <w:tcPr>
            <w:tcW w:w="3423" w:type="pct"/>
          </w:tcPr>
          <w:p w14:paraId="3A6E377F" w14:textId="77777777" w:rsidR="00233862" w:rsidRDefault="00233862" w:rsidP="00233862">
            <w:r>
              <w:t xml:space="preserve">Janssen-Cilag Pty Ltd </w:t>
            </w:r>
          </w:p>
          <w:p w14:paraId="3153CB25" w14:textId="77777777" w:rsidR="00233862" w:rsidRDefault="00233862" w:rsidP="00233862">
            <w:r>
              <w:t>1-5 Khartoum Road,</w:t>
            </w:r>
          </w:p>
          <w:p w14:paraId="626555E0" w14:textId="76A51345" w:rsidR="009F2673" w:rsidRDefault="00233862" w:rsidP="00233862">
            <w:r>
              <w:t>Macquarie Park, NSW 2113</w:t>
            </w:r>
          </w:p>
        </w:tc>
      </w:tr>
      <w:tr w:rsidR="009F2673" w:rsidRPr="003D1E62" w14:paraId="618E2090" w14:textId="77777777" w:rsidTr="005C44DF">
        <w:tc>
          <w:tcPr>
            <w:tcW w:w="1577" w:type="pct"/>
          </w:tcPr>
          <w:p w14:paraId="5F9138B2" w14:textId="474758B1" w:rsidR="009F2673" w:rsidRPr="00487162" w:rsidRDefault="009F2673" w:rsidP="009E5A87">
            <w:pPr>
              <w:rPr>
                <w:i/>
              </w:rPr>
            </w:pPr>
            <w:r>
              <w:rPr>
                <w:i/>
              </w:rPr>
              <w:t>Dose form:</w:t>
            </w:r>
          </w:p>
        </w:tc>
        <w:tc>
          <w:tcPr>
            <w:tcW w:w="3423" w:type="pct"/>
          </w:tcPr>
          <w:p w14:paraId="6138F7FA" w14:textId="56D3B497" w:rsidR="009F2673" w:rsidRDefault="00233862" w:rsidP="009E5A87">
            <w:r>
              <w:t>Solution for injection</w:t>
            </w:r>
          </w:p>
        </w:tc>
      </w:tr>
      <w:tr w:rsidR="009F2673" w:rsidRPr="003D1E62" w14:paraId="5785E679" w14:textId="77777777" w:rsidTr="005C44DF">
        <w:tc>
          <w:tcPr>
            <w:tcW w:w="1577" w:type="pct"/>
          </w:tcPr>
          <w:p w14:paraId="24841FFD" w14:textId="40517A4D" w:rsidR="009F2673" w:rsidRPr="00487162" w:rsidRDefault="009F2673" w:rsidP="009E5A87">
            <w:pPr>
              <w:rPr>
                <w:i/>
              </w:rPr>
            </w:pPr>
            <w:r w:rsidRPr="00487162">
              <w:rPr>
                <w:i/>
              </w:rPr>
              <w:t>Strength:</w:t>
            </w:r>
          </w:p>
        </w:tc>
        <w:tc>
          <w:tcPr>
            <w:tcW w:w="3423" w:type="pct"/>
          </w:tcPr>
          <w:p w14:paraId="7BCBE10F" w14:textId="1C5BE1D3" w:rsidR="009F2673" w:rsidRDefault="00233862" w:rsidP="009E5A87">
            <w:r>
              <w:t>120 mg/mL (</w:t>
            </w:r>
            <w:r w:rsidRPr="00233862">
              <w:t>1800 mg/15 mL</w:t>
            </w:r>
            <w:r>
              <w:t>)</w:t>
            </w:r>
          </w:p>
        </w:tc>
      </w:tr>
      <w:tr w:rsidR="009F2673" w:rsidRPr="003D1E62" w14:paraId="68DC50BB" w14:textId="77777777" w:rsidTr="005C44DF">
        <w:tc>
          <w:tcPr>
            <w:tcW w:w="1577" w:type="pct"/>
          </w:tcPr>
          <w:p w14:paraId="46E78AB2" w14:textId="3CA67B7E" w:rsidR="009F2673" w:rsidRPr="00487162" w:rsidRDefault="009F2673" w:rsidP="009E5A87">
            <w:pPr>
              <w:rPr>
                <w:i/>
              </w:rPr>
            </w:pPr>
            <w:r w:rsidRPr="00487162">
              <w:rPr>
                <w:i/>
              </w:rPr>
              <w:t>Container:</w:t>
            </w:r>
          </w:p>
        </w:tc>
        <w:tc>
          <w:tcPr>
            <w:tcW w:w="3423" w:type="pct"/>
          </w:tcPr>
          <w:p w14:paraId="3BC0A73B" w14:textId="1F983331" w:rsidR="009F2673" w:rsidRDefault="00233862" w:rsidP="009E5A87">
            <w:r>
              <w:t>Vial</w:t>
            </w:r>
          </w:p>
        </w:tc>
      </w:tr>
      <w:tr w:rsidR="009F2673" w:rsidRPr="003D1E62" w14:paraId="645B79BD" w14:textId="77777777" w:rsidTr="005C44DF">
        <w:tc>
          <w:tcPr>
            <w:tcW w:w="1577" w:type="pct"/>
          </w:tcPr>
          <w:p w14:paraId="67120F04" w14:textId="177F94B1" w:rsidR="009F2673" w:rsidRPr="00487162" w:rsidRDefault="009F2673" w:rsidP="009E5A87">
            <w:pPr>
              <w:rPr>
                <w:i/>
              </w:rPr>
            </w:pPr>
            <w:r w:rsidRPr="00487162">
              <w:rPr>
                <w:i/>
              </w:rPr>
              <w:t>Pack size:</w:t>
            </w:r>
          </w:p>
        </w:tc>
        <w:tc>
          <w:tcPr>
            <w:tcW w:w="3423" w:type="pct"/>
          </w:tcPr>
          <w:p w14:paraId="3AD6FAAC" w14:textId="163CB2F3" w:rsidR="009F2673" w:rsidRDefault="006A0281" w:rsidP="009E5A87">
            <w:r>
              <w:t>1</w:t>
            </w:r>
          </w:p>
        </w:tc>
      </w:tr>
      <w:tr w:rsidR="009F2673" w:rsidRPr="003D1E62" w14:paraId="2233534C" w14:textId="77777777" w:rsidTr="005C44DF">
        <w:tc>
          <w:tcPr>
            <w:tcW w:w="1577" w:type="pct"/>
          </w:tcPr>
          <w:p w14:paraId="245A3F06" w14:textId="77777777" w:rsidR="009F2673" w:rsidRPr="00487162" w:rsidRDefault="009F2673" w:rsidP="009E5A87">
            <w:pPr>
              <w:rPr>
                <w:i/>
              </w:rPr>
            </w:pPr>
            <w:r w:rsidRPr="00487162">
              <w:rPr>
                <w:i/>
              </w:rPr>
              <w:t xml:space="preserve">Approved </w:t>
            </w:r>
            <w:r>
              <w:rPr>
                <w:i/>
              </w:rPr>
              <w:t>t</w:t>
            </w:r>
            <w:r w:rsidRPr="00487162">
              <w:rPr>
                <w:i/>
              </w:rPr>
              <w:t>herapeutic use:</w:t>
            </w:r>
          </w:p>
        </w:tc>
        <w:tc>
          <w:tcPr>
            <w:tcW w:w="3423" w:type="pct"/>
          </w:tcPr>
          <w:p w14:paraId="35308A38" w14:textId="0DEFCA40" w:rsidR="009F2673" w:rsidRPr="006A0281" w:rsidRDefault="006A0281" w:rsidP="006A0281">
            <w:pPr>
              <w:rPr>
                <w:i/>
                <w:iCs/>
              </w:rPr>
            </w:pPr>
            <w:r w:rsidRPr="006A0281">
              <w:rPr>
                <w:i/>
                <w:iCs/>
              </w:rPr>
              <w:t>D</w:t>
            </w:r>
            <w:r w:rsidR="00CB5B86">
              <w:rPr>
                <w:i/>
                <w:iCs/>
              </w:rPr>
              <w:t xml:space="preserve">arzalex SC </w:t>
            </w:r>
            <w:r w:rsidRPr="006A0281">
              <w:rPr>
                <w:i/>
                <w:iCs/>
              </w:rPr>
              <w:t>in combination with bortezomib, cyclophosphamide and dexamethasone, is indicated for the treatment of patients with light chain AL amyloidosis.</w:t>
            </w:r>
          </w:p>
        </w:tc>
      </w:tr>
      <w:tr w:rsidR="009F2673" w:rsidRPr="003D1E62" w14:paraId="67C9F1A4" w14:textId="77777777" w:rsidTr="005C44DF">
        <w:tc>
          <w:tcPr>
            <w:tcW w:w="1577" w:type="pct"/>
          </w:tcPr>
          <w:p w14:paraId="260F52FE" w14:textId="455D2D5B" w:rsidR="009F2673" w:rsidRPr="00487162" w:rsidRDefault="009F2673" w:rsidP="009E5A87">
            <w:pPr>
              <w:rPr>
                <w:i/>
              </w:rPr>
            </w:pPr>
            <w:r w:rsidRPr="00487162">
              <w:rPr>
                <w:i/>
              </w:rPr>
              <w:t>Route of administration:</w:t>
            </w:r>
          </w:p>
        </w:tc>
        <w:tc>
          <w:tcPr>
            <w:tcW w:w="3423" w:type="pct"/>
          </w:tcPr>
          <w:p w14:paraId="34EF9F95" w14:textId="048A76F4" w:rsidR="009F2673" w:rsidRPr="00487162" w:rsidRDefault="00233862" w:rsidP="009E5A87">
            <w:r>
              <w:t>Subcutaneous injection</w:t>
            </w:r>
          </w:p>
        </w:tc>
      </w:tr>
      <w:tr w:rsidR="009F2673" w:rsidRPr="003D1E62" w14:paraId="32CD6390" w14:textId="77777777" w:rsidTr="005C44DF">
        <w:tc>
          <w:tcPr>
            <w:tcW w:w="1577" w:type="pct"/>
          </w:tcPr>
          <w:p w14:paraId="49480A9A" w14:textId="77777777" w:rsidR="009F2673" w:rsidRPr="00487162" w:rsidRDefault="009F2673" w:rsidP="009E5A87">
            <w:pPr>
              <w:rPr>
                <w:i/>
              </w:rPr>
            </w:pPr>
            <w:r w:rsidRPr="00487162">
              <w:rPr>
                <w:i/>
              </w:rPr>
              <w:t>Dosage:</w:t>
            </w:r>
          </w:p>
        </w:tc>
        <w:tc>
          <w:tcPr>
            <w:tcW w:w="3423" w:type="pct"/>
          </w:tcPr>
          <w:p w14:paraId="34D99509" w14:textId="675FFB7E" w:rsidR="00FE7A3D" w:rsidRDefault="00FE7A3D" w:rsidP="00FE7A3D">
            <w:r>
              <w:t xml:space="preserve">Darzalex SC (subcutaneous daratumumab) is </w:t>
            </w:r>
            <w:r w:rsidR="006A73B4">
              <w:t xml:space="preserve">to be </w:t>
            </w:r>
            <w:r>
              <w:t xml:space="preserve">used </w:t>
            </w:r>
            <w:r w:rsidR="006A73B4">
              <w:t xml:space="preserve">along with </w:t>
            </w:r>
            <w:r>
              <w:t xml:space="preserve">bortezomib, cyclophosphamide and dexamethasone </w:t>
            </w:r>
            <w:r w:rsidR="006A73B4">
              <w:t xml:space="preserve">combination </w:t>
            </w:r>
            <w:r>
              <w:t xml:space="preserve">in </w:t>
            </w:r>
            <w:r w:rsidR="006A73B4">
              <w:t xml:space="preserve">a regimen of </w:t>
            </w:r>
            <w:r>
              <w:t>4</w:t>
            </w:r>
            <w:r>
              <w:noBreakHyphen/>
            </w:r>
            <w:proofErr w:type="gramStart"/>
            <w:r w:rsidR="005A441A">
              <w:t>week long</w:t>
            </w:r>
            <w:proofErr w:type="gramEnd"/>
            <w:r w:rsidR="006A73B4">
              <w:t xml:space="preserve"> </w:t>
            </w:r>
            <w:r>
              <w:t>cycle</w:t>
            </w:r>
            <w:r w:rsidR="006A73B4">
              <w:t>s</w:t>
            </w:r>
            <w:r>
              <w:t xml:space="preserve"> for </w:t>
            </w:r>
            <w:r w:rsidR="00ED3474">
              <w:t xml:space="preserve">the treatment of </w:t>
            </w:r>
            <w:r>
              <w:t>patients with AL amyloidosis.</w:t>
            </w:r>
          </w:p>
          <w:p w14:paraId="46CF583B" w14:textId="7848AA7F" w:rsidR="00FE7A3D" w:rsidRDefault="00FE7A3D" w:rsidP="00FE7A3D">
            <w:r>
              <w:t xml:space="preserve">The recommended dose is Darzalex SC 1800 mg administered subcutaneously, over approximately 3 to 5 minutes, according to the </w:t>
            </w:r>
            <w:r w:rsidR="005F6161">
              <w:t>dosage schedule shown</w:t>
            </w:r>
            <w:r w:rsidR="006A73B4">
              <w:t xml:space="preserve"> in the table</w:t>
            </w:r>
            <w:r w:rsidR="005F6161">
              <w:t xml:space="preserve"> below.</w:t>
            </w:r>
          </w:p>
          <w:p w14:paraId="6D84EDDF" w14:textId="5065F55E" w:rsidR="00ED3474" w:rsidRDefault="005F6161" w:rsidP="00FE7A3D">
            <w:r>
              <w:t>For dosing instructions of medicinal products administered with Darzalex SC, see section 5.1 Pharmacodynamic properties, Clinical trials and the Product Information of the individual medicinal products.</w:t>
            </w:r>
          </w:p>
          <w:p w14:paraId="6218F812" w14:textId="46E4C11E" w:rsidR="00ED3474" w:rsidRDefault="00ED3474" w:rsidP="00FE7A3D"/>
          <w:p w14:paraId="7600CB42" w14:textId="272BCB6F" w:rsidR="00ED3474" w:rsidRDefault="005F6161" w:rsidP="00FE7A3D">
            <w:r>
              <w:lastRenderedPageBreak/>
              <w:t>Darzalex SC dosing schedule for AL amyloidosis, used in combination with bortezomib, cyclophosphamide and dexamethasone (</w:t>
            </w:r>
            <w:r w:rsidR="00855994">
              <w:t xml:space="preserve">known as CyBorD, or </w:t>
            </w:r>
            <w:r>
              <w:t xml:space="preserve">VCd); via </w:t>
            </w:r>
            <w:r w:rsidR="00855994">
              <w:t xml:space="preserve">a </w:t>
            </w:r>
            <w:r>
              <w:t>4-week cycle dosing regimen:</w:t>
            </w:r>
          </w:p>
          <w:p w14:paraId="0089111A" w14:textId="2560AEFA" w:rsidR="006A73B4" w:rsidRPr="006A73B4" w:rsidRDefault="006A73B4" w:rsidP="00FE7A3D">
            <w:pPr>
              <w:rPr>
                <w:b/>
              </w:rPr>
            </w:pPr>
            <w:r w:rsidRPr="006A73B4">
              <w:rPr>
                <w:b/>
              </w:rPr>
              <w:t>Darzalex SC dosing schedule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59"/>
              <w:gridCol w:w="3438"/>
            </w:tblGrid>
            <w:tr w:rsidR="00ED3474" w14:paraId="4B0FB81C" w14:textId="77777777" w:rsidTr="005A441A">
              <w:tc>
                <w:tcPr>
                  <w:tcW w:w="2159" w:type="dxa"/>
                </w:tcPr>
                <w:p w14:paraId="2A77E37A" w14:textId="02F9B8D3" w:rsidR="00ED3474" w:rsidRPr="005A441A" w:rsidRDefault="00ED3474" w:rsidP="00FE7A3D">
                  <w:pPr>
                    <w:rPr>
                      <w:b/>
                    </w:rPr>
                  </w:pPr>
                  <w:r w:rsidRPr="005A441A">
                    <w:rPr>
                      <w:b/>
                    </w:rPr>
                    <w:t>Weeks</w:t>
                  </w:r>
                </w:p>
              </w:tc>
              <w:tc>
                <w:tcPr>
                  <w:tcW w:w="3438" w:type="dxa"/>
                </w:tcPr>
                <w:p w14:paraId="545E91E4" w14:textId="57246507" w:rsidR="00ED3474" w:rsidRPr="005A441A" w:rsidRDefault="005F6161" w:rsidP="00FE7A3D">
                  <w:pPr>
                    <w:rPr>
                      <w:b/>
                    </w:rPr>
                  </w:pPr>
                  <w:r>
                    <w:rPr>
                      <w:b/>
                    </w:rPr>
                    <w:t xml:space="preserve">Darzalex SC dosing </w:t>
                  </w:r>
                  <w:r w:rsidRPr="005F6161">
                    <w:rPr>
                      <w:b/>
                    </w:rPr>
                    <w:t>s</w:t>
                  </w:r>
                  <w:r w:rsidR="00ED3474" w:rsidRPr="005A441A">
                    <w:rPr>
                      <w:b/>
                    </w:rPr>
                    <w:t>chedule</w:t>
                  </w:r>
                </w:p>
              </w:tc>
            </w:tr>
            <w:tr w:rsidR="00ED3474" w14:paraId="1FDD3D61" w14:textId="77777777" w:rsidTr="005A441A">
              <w:tc>
                <w:tcPr>
                  <w:tcW w:w="2159" w:type="dxa"/>
                </w:tcPr>
                <w:p w14:paraId="3516F3AC" w14:textId="4C1A3CC8" w:rsidR="00ED3474" w:rsidRDefault="00ED3474" w:rsidP="00FE7A3D">
                  <w:r>
                    <w:t>Weeks 1 to 8</w:t>
                  </w:r>
                </w:p>
              </w:tc>
              <w:tc>
                <w:tcPr>
                  <w:tcW w:w="3438" w:type="dxa"/>
                </w:tcPr>
                <w:p w14:paraId="4C8EDDBB" w14:textId="5A4D0FC1" w:rsidR="00ED3474" w:rsidRDefault="00ED3474" w:rsidP="00FE7A3D">
                  <w:r>
                    <w:t>Weekly (total of 8 doses)</w:t>
                  </w:r>
                </w:p>
              </w:tc>
            </w:tr>
            <w:tr w:rsidR="00ED3474" w14:paraId="2B85DF3B" w14:textId="77777777" w:rsidTr="005A441A">
              <w:tc>
                <w:tcPr>
                  <w:tcW w:w="2159" w:type="dxa"/>
                </w:tcPr>
                <w:p w14:paraId="0588820A" w14:textId="468CB8C3" w:rsidR="00ED3474" w:rsidRDefault="00ED3474" w:rsidP="00FE7A3D">
                  <w:r>
                    <w:t>Weeks 9 to 24</w:t>
                  </w:r>
                </w:p>
              </w:tc>
              <w:tc>
                <w:tcPr>
                  <w:tcW w:w="3438" w:type="dxa"/>
                </w:tcPr>
                <w:p w14:paraId="60F17E44" w14:textId="19807833" w:rsidR="00ED3474" w:rsidRDefault="00ED3474" w:rsidP="00FE7A3D">
                  <w:r>
                    <w:t>Every two weeks (total of 8 doses)</w:t>
                  </w:r>
                </w:p>
              </w:tc>
            </w:tr>
            <w:tr w:rsidR="00ED3474" w14:paraId="27B54E0F" w14:textId="77777777" w:rsidTr="005A441A">
              <w:tc>
                <w:tcPr>
                  <w:tcW w:w="2159" w:type="dxa"/>
                </w:tcPr>
                <w:p w14:paraId="49D19CD2" w14:textId="5616AD27" w:rsidR="00ED3474" w:rsidRDefault="00ED3474" w:rsidP="00FE7A3D">
                  <w:r>
                    <w:t>Weeks 25 onwards</w:t>
                  </w:r>
                </w:p>
              </w:tc>
              <w:tc>
                <w:tcPr>
                  <w:tcW w:w="3438" w:type="dxa"/>
                </w:tcPr>
                <w:p w14:paraId="0979FB96" w14:textId="791BB535" w:rsidR="00ED3474" w:rsidRDefault="00ED3474" w:rsidP="00FE7A3D">
                  <w:r>
                    <w:t>Until disease progression every 4</w:t>
                  </w:r>
                  <w:r w:rsidR="006A73B4">
                    <w:t> </w:t>
                  </w:r>
                  <w:r>
                    <w:t>weeks</w:t>
                  </w:r>
                </w:p>
              </w:tc>
            </w:tr>
          </w:tbl>
          <w:p w14:paraId="16B377CA" w14:textId="7976DF6B" w:rsidR="006A0281" w:rsidRDefault="006A0281" w:rsidP="006A0281">
            <w:r>
              <w:t>D</w:t>
            </w:r>
            <w:r w:rsidR="000A53C3">
              <w:t>arzalex</w:t>
            </w:r>
            <w:r>
              <w:t xml:space="preserve"> SC is for subcutaneous use only.</w:t>
            </w:r>
            <w:r w:rsidR="00ED3474">
              <w:t xml:space="preserve"> </w:t>
            </w:r>
            <w:r>
              <w:t>D</w:t>
            </w:r>
            <w:r w:rsidR="000A53C3">
              <w:t>arzalex</w:t>
            </w:r>
            <w:r>
              <w:t xml:space="preserve"> SC has different dosage and administration instructions than intravenous daratumumab.</w:t>
            </w:r>
            <w:r w:rsidR="00ED3474">
              <w:t xml:space="preserve"> </w:t>
            </w:r>
            <w:r>
              <w:t>Do not administer</w:t>
            </w:r>
            <w:r w:rsidR="003B25BF">
              <w:t xml:space="preserve"> Darzalex SC</w:t>
            </w:r>
            <w:r>
              <w:t xml:space="preserve"> intravenously.</w:t>
            </w:r>
          </w:p>
          <w:p w14:paraId="151F8498" w14:textId="2CE2BCDE" w:rsidR="003B25BF" w:rsidRDefault="006A0281" w:rsidP="006A0281">
            <w:r>
              <w:t xml:space="preserve">Serious </w:t>
            </w:r>
            <w:r w:rsidR="003B25BF">
              <w:t>i</w:t>
            </w:r>
            <w:r>
              <w:t>nfusion-</w:t>
            </w:r>
            <w:r w:rsidR="003B25BF">
              <w:t>r</w:t>
            </w:r>
            <w:r>
              <w:t xml:space="preserve">elated </w:t>
            </w:r>
            <w:r w:rsidR="003B25BF">
              <w:t>r</w:t>
            </w:r>
            <w:r>
              <w:t xml:space="preserve">eactions can occur with administration of </w:t>
            </w:r>
            <w:r w:rsidR="003B25BF">
              <w:t>both Darzalex (</w:t>
            </w:r>
            <w:r w:rsidR="0008724B">
              <w:t>intravenous</w:t>
            </w:r>
            <w:r w:rsidR="003B25BF">
              <w:t xml:space="preserve"> daratumumab)</w:t>
            </w:r>
            <w:r>
              <w:t xml:space="preserve"> or D</w:t>
            </w:r>
            <w:r w:rsidR="000D18F5">
              <w:t>arzalex</w:t>
            </w:r>
            <w:r w:rsidR="003B25BF">
              <w:t xml:space="preserve"> SC (subcutaneous daratumumab)</w:t>
            </w:r>
            <w:r>
              <w:t>.</w:t>
            </w:r>
            <w:r w:rsidR="003B25BF">
              <w:t xml:space="preserve"> </w:t>
            </w:r>
            <w:r>
              <w:t xml:space="preserve">The rate of </w:t>
            </w:r>
            <w:r w:rsidR="003B25BF">
              <w:t xml:space="preserve">infusion-related reactions </w:t>
            </w:r>
            <w:r>
              <w:t xml:space="preserve">in clinical trials is higher </w:t>
            </w:r>
            <w:r w:rsidR="003B25BF">
              <w:t xml:space="preserve">with intravenous administration, compared to subcutaneous </w:t>
            </w:r>
            <w:r>
              <w:t>administration.</w:t>
            </w:r>
          </w:p>
          <w:p w14:paraId="7E4D1661" w14:textId="3B51724A" w:rsidR="006A0281" w:rsidRDefault="003B25BF" w:rsidP="006A0281">
            <w:r>
              <w:t xml:space="preserve">Darzalex and Darzalex SC </w:t>
            </w:r>
            <w:r w:rsidR="006A0281">
              <w:t xml:space="preserve">should be administered by a healthcare professional, and the first </w:t>
            </w:r>
            <w:r>
              <w:t xml:space="preserve">subcutaneous </w:t>
            </w:r>
            <w:r w:rsidR="006A0281">
              <w:t>dose</w:t>
            </w:r>
            <w:r>
              <w:t xml:space="preserve"> (that is, first dose of Darzalex SC) </w:t>
            </w:r>
            <w:r w:rsidR="006A0281">
              <w:t>in daratumumab</w:t>
            </w:r>
            <w:r>
              <w:noBreakHyphen/>
            </w:r>
            <w:r w:rsidR="006A0281">
              <w:t>naïve patients should be administered in an environment where resuscitation facilities are available.</w:t>
            </w:r>
          </w:p>
          <w:p w14:paraId="60B15E7E" w14:textId="3E9A4C69" w:rsidR="006A0281" w:rsidRDefault="006A0281" w:rsidP="00BA5891">
            <w:r>
              <w:t>Before D</w:t>
            </w:r>
            <w:r w:rsidR="000D18F5">
              <w:t>arzalex</w:t>
            </w:r>
            <w:r>
              <w:t xml:space="preserve"> SC therapy is commenced, clinicians should arrange for extended red cell phenotyping of patients</w:t>
            </w:r>
            <w:r w:rsidR="00BA5891">
              <w:t xml:space="preserve"> (see section 4.4 Special warnings and precautions for use, Effects on laboratory tests, in the Product Information).</w:t>
            </w:r>
          </w:p>
          <w:p w14:paraId="30547950" w14:textId="787E5C02" w:rsidR="006A0281" w:rsidRDefault="006A0281" w:rsidP="00BA5891">
            <w:r>
              <w:t>Pre</w:t>
            </w:r>
            <w:r w:rsidR="00BA5891">
              <w:t>-</w:t>
            </w:r>
            <w:r>
              <w:t xml:space="preserve"> and post</w:t>
            </w:r>
            <w:r w:rsidR="00BA5891">
              <w:t>-</w:t>
            </w:r>
            <w:r>
              <w:t xml:space="preserve">injection medications </w:t>
            </w:r>
            <w:r w:rsidR="00FE7A3D">
              <w:t xml:space="preserve">(such as corticosteroids, antipyretics and antihistamines) </w:t>
            </w:r>
            <w:r>
              <w:t>should be administered</w:t>
            </w:r>
            <w:r w:rsidR="00FE7A3D">
              <w:t>. See ‘</w:t>
            </w:r>
            <w:r w:rsidR="00BA5891">
              <w:t>Reco</w:t>
            </w:r>
            <w:r w:rsidR="00FE7A3D">
              <w:t>mmended concomitant medications’ in the Product Information for further information</w:t>
            </w:r>
            <w:r w:rsidR="00BA5891">
              <w:t>.</w:t>
            </w:r>
          </w:p>
          <w:p w14:paraId="70E21BA2" w14:textId="77777777" w:rsidR="009F2673" w:rsidRDefault="006A0281" w:rsidP="006A0281">
            <w:r>
              <w:t xml:space="preserve">For patients currently receiving </w:t>
            </w:r>
            <w:r w:rsidR="003B25BF">
              <w:t>Darzalex (</w:t>
            </w:r>
            <w:r>
              <w:t>daratumumab intravenous formulation</w:t>
            </w:r>
            <w:r w:rsidR="003B25BF">
              <w:t>)</w:t>
            </w:r>
            <w:r>
              <w:t>, D</w:t>
            </w:r>
            <w:r w:rsidR="000D18F5">
              <w:t>arzalex</w:t>
            </w:r>
            <w:r>
              <w:t xml:space="preserve"> SC solution for subcutaneous injection may be used as an alternative to the intravenous daratumumab formulation starting at the next scheduled dose.</w:t>
            </w:r>
          </w:p>
          <w:p w14:paraId="7B778244" w14:textId="444761E2" w:rsidR="00FE7A3D" w:rsidRPr="00487162" w:rsidRDefault="00FE7A3D" w:rsidP="006A0281">
            <w:r>
              <w:t xml:space="preserve">See the Product Information for further information, including </w:t>
            </w:r>
          </w:p>
        </w:tc>
      </w:tr>
      <w:tr w:rsidR="009F2673" w:rsidRPr="003D1E62" w14:paraId="356ED239" w14:textId="77777777" w:rsidTr="005C44DF">
        <w:tc>
          <w:tcPr>
            <w:tcW w:w="1577" w:type="pct"/>
          </w:tcPr>
          <w:p w14:paraId="0C7164B5" w14:textId="77777777" w:rsidR="009F2673" w:rsidRPr="00487162" w:rsidRDefault="009F2673" w:rsidP="009E5A87">
            <w:pPr>
              <w:rPr>
                <w:i/>
              </w:rPr>
            </w:pPr>
            <w:r w:rsidRPr="00460036">
              <w:rPr>
                <w:i/>
              </w:rPr>
              <w:lastRenderedPageBreak/>
              <w:t>Pregnancy category</w:t>
            </w:r>
            <w:r>
              <w:rPr>
                <w:i/>
              </w:rPr>
              <w:t>:</w:t>
            </w:r>
          </w:p>
        </w:tc>
        <w:tc>
          <w:tcPr>
            <w:tcW w:w="3423" w:type="pct"/>
          </w:tcPr>
          <w:p w14:paraId="021514F9" w14:textId="77777777" w:rsidR="006A0281" w:rsidRDefault="006A0281" w:rsidP="009F2673">
            <w:r>
              <w:t>C</w:t>
            </w:r>
          </w:p>
          <w:p w14:paraId="5B101254" w14:textId="77777777" w:rsidR="006A0281" w:rsidRPr="006A0281" w:rsidRDefault="006A0281" w:rsidP="006A0281">
            <w:r w:rsidRPr="006A0281">
              <w:t xml:space="preserve">Drugs which, owing to their pharmacological effects, have caused or may be suspected of causing, harmful effects on </w:t>
            </w:r>
            <w:r w:rsidRPr="006A0281">
              <w:lastRenderedPageBreak/>
              <w:t>the human fetus or neonate without causing malformations. These effects may be reversible. Accompanying texts should be consulted for further details.</w:t>
            </w:r>
          </w:p>
          <w:p w14:paraId="0C04F670" w14:textId="27193EB3" w:rsidR="009F2673" w:rsidRPr="00487162" w:rsidRDefault="009F2673" w:rsidP="006A0281">
            <w:r>
              <w:t>The use of any medicine during pregnancy requires careful consideration of both risks and benefits by the treating health professional. This must not be used as the sole basis of decision making in the use of medicines during pregnancy. The TGA does not provide advice on the use of medicines in pregnancy for specific cases. More information is available from obstetric drug information services in your State or Territory.</w:t>
            </w:r>
          </w:p>
        </w:tc>
      </w:tr>
    </w:tbl>
    <w:p w14:paraId="77839CA3" w14:textId="77777777" w:rsidR="008E7846" w:rsidRDefault="008E7846" w:rsidP="008E7846">
      <w:pPr>
        <w:pStyle w:val="Heading3"/>
      </w:pPr>
      <w:bookmarkStart w:id="12" w:name="_Toc247691503"/>
      <w:bookmarkStart w:id="13" w:name="_Toc314842484"/>
      <w:bookmarkStart w:id="14" w:name="_Toc117158637"/>
      <w:r>
        <w:lastRenderedPageBreak/>
        <w:t>Product background</w:t>
      </w:r>
      <w:bookmarkEnd w:id="12"/>
      <w:bookmarkEnd w:id="13"/>
      <w:bookmarkEnd w:id="14"/>
    </w:p>
    <w:p w14:paraId="0F1D0172" w14:textId="616621DF" w:rsidR="009F2673" w:rsidRPr="000A4A42" w:rsidRDefault="009F2673" w:rsidP="009F2673">
      <w:r w:rsidRPr="000A4A42">
        <w:t xml:space="preserve">This AusPAR describes the </w:t>
      </w:r>
      <w:r w:rsidR="001E359E">
        <w:t>submission</w:t>
      </w:r>
      <w:r w:rsidRPr="000A4A42">
        <w:t xml:space="preserve"> by </w:t>
      </w:r>
      <w:r w:rsidR="006A0281" w:rsidRPr="006A0281">
        <w:t xml:space="preserve">Janssen-Cilag Pty Ltd </w:t>
      </w:r>
      <w:r w:rsidRPr="000A4A42">
        <w:t xml:space="preserve">(the sponsor) to register </w:t>
      </w:r>
      <w:r w:rsidR="00675AD5">
        <w:t>Darzalex SC</w:t>
      </w:r>
      <w:r w:rsidR="00675AD5" w:rsidRPr="000A4A42">
        <w:t xml:space="preserve"> </w:t>
      </w:r>
      <w:r w:rsidRPr="000A4A42">
        <w:t>(</w:t>
      </w:r>
      <w:r w:rsidR="00675AD5">
        <w:t>daratumumab</w:t>
      </w:r>
      <w:r w:rsidRPr="000A4A42">
        <w:t xml:space="preserve">) </w:t>
      </w:r>
      <w:r w:rsidR="00675AD5" w:rsidRPr="00675AD5">
        <w:t>1800 mg/15 mL solution for</w:t>
      </w:r>
      <w:r w:rsidR="005F6161">
        <w:t xml:space="preserve"> subcutaneous</w:t>
      </w:r>
      <w:r w:rsidR="00675AD5" w:rsidRPr="00675AD5">
        <w:t xml:space="preserve"> injection </w:t>
      </w:r>
      <w:r w:rsidR="005F6161">
        <w:t>(</w:t>
      </w:r>
      <w:r w:rsidR="00675AD5" w:rsidRPr="00675AD5">
        <w:t>vial</w:t>
      </w:r>
      <w:r w:rsidR="005F6161">
        <w:t>)</w:t>
      </w:r>
      <w:r w:rsidR="00675AD5" w:rsidRPr="00675AD5">
        <w:t xml:space="preserve"> </w:t>
      </w:r>
      <w:r w:rsidRPr="000A4A42">
        <w:t>for the following proposed extension of indications:</w:t>
      </w:r>
    </w:p>
    <w:p w14:paraId="388E0F6F" w14:textId="0841493F" w:rsidR="00675AD5" w:rsidRPr="00675AD5" w:rsidRDefault="00675AD5" w:rsidP="00675AD5">
      <w:pPr>
        <w:ind w:left="720"/>
        <w:rPr>
          <w:i/>
          <w:iCs/>
        </w:rPr>
      </w:pPr>
      <w:r w:rsidRPr="00675AD5">
        <w:rPr>
          <w:i/>
          <w:iCs/>
        </w:rPr>
        <w:t>D</w:t>
      </w:r>
      <w:r w:rsidR="00364DEE">
        <w:rPr>
          <w:i/>
          <w:iCs/>
        </w:rPr>
        <w:t xml:space="preserve">arzalex </w:t>
      </w:r>
      <w:r w:rsidRPr="00675AD5">
        <w:rPr>
          <w:i/>
          <w:iCs/>
        </w:rPr>
        <w:t>SC is indicated for the treatment of patients with light chain (AL) amyloidosis.</w:t>
      </w:r>
    </w:p>
    <w:p w14:paraId="0B8C6CBD" w14:textId="42B24E16" w:rsidR="00675AD5" w:rsidRDefault="00675AD5" w:rsidP="00675AD5">
      <w:pPr>
        <w:pStyle w:val="Heading4"/>
      </w:pPr>
      <w:r>
        <w:t>C</w:t>
      </w:r>
      <w:r w:rsidRPr="00AA53F4">
        <w:t>ondition</w:t>
      </w:r>
    </w:p>
    <w:p w14:paraId="36F3AB57" w14:textId="32BBB76C" w:rsidR="006A1A40" w:rsidRDefault="00757BBF" w:rsidP="005A441A">
      <w:r w:rsidRPr="00757BBF">
        <w:t>Amyloidosis</w:t>
      </w:r>
      <w:r>
        <w:t xml:space="preserve"> refers to a diverse group</w:t>
      </w:r>
      <w:r w:rsidRPr="00757BBF">
        <w:t xml:space="preserve"> of </w:t>
      </w:r>
      <w:r w:rsidR="006A1A40">
        <w:t xml:space="preserve">rare </w:t>
      </w:r>
      <w:r w:rsidRPr="00757BBF">
        <w:t>diseases</w:t>
      </w:r>
      <w:r>
        <w:t xml:space="preserve"> characterised by the production </w:t>
      </w:r>
      <w:r w:rsidR="006A1A40">
        <w:t>of abnormal proteins</w:t>
      </w:r>
      <w:r w:rsidR="00CB7B13">
        <w:t xml:space="preserve"> known as amyloi</w:t>
      </w:r>
      <w:r w:rsidR="00855994">
        <w:t>d fibrils. Over time, accumulation</w:t>
      </w:r>
      <w:r w:rsidR="00CB7B13">
        <w:t xml:space="preserve"> of these</w:t>
      </w:r>
      <w:r w:rsidR="006A1A40">
        <w:t xml:space="preserve"> amyloid fibrils </w:t>
      </w:r>
      <w:r w:rsidR="00855994">
        <w:t>results in amyloid build up (or amyloid deposits) in</w:t>
      </w:r>
      <w:r w:rsidR="00CB7B13">
        <w:t xml:space="preserve"> tissue</w:t>
      </w:r>
      <w:r w:rsidR="00855994">
        <w:t>s of the body</w:t>
      </w:r>
      <w:r w:rsidR="00B931AE">
        <w:t xml:space="preserve">. </w:t>
      </w:r>
      <w:r w:rsidR="006F3B4D">
        <w:t>Over time, the increase in</w:t>
      </w:r>
      <w:r w:rsidR="00B931AE">
        <w:t xml:space="preserve"> amyloid deposits </w:t>
      </w:r>
      <w:r w:rsidR="006F3B4D">
        <w:t>can impact</w:t>
      </w:r>
      <w:r w:rsidR="006A1A40">
        <w:t xml:space="preserve"> the normal function of the organs affected.</w:t>
      </w:r>
      <w:r w:rsidR="00CB7B13">
        <w:t xml:space="preserve"> </w:t>
      </w:r>
      <w:r w:rsidR="00B931AE">
        <w:t>The presentation of amyloidosis varies depending on the site of amyloid accumulation</w:t>
      </w:r>
      <w:r w:rsidR="00AC66A4">
        <w:t>.</w:t>
      </w:r>
      <w:r w:rsidR="00B931AE">
        <w:t xml:space="preserve"> The formation of amyloid deposits may be limited to a specific organ, </w:t>
      </w:r>
      <w:r w:rsidR="00AC66A4">
        <w:t xml:space="preserve">however systemic amyloidosis is most common, where amyloid deposits </w:t>
      </w:r>
      <w:r w:rsidR="00B931AE">
        <w:t>can affect many different tissues and organs.</w:t>
      </w:r>
    </w:p>
    <w:p w14:paraId="432EC8EA" w14:textId="04F32CCB" w:rsidR="00B931AE" w:rsidRDefault="006A1A40" w:rsidP="00BD768B">
      <w:pPr>
        <w:rPr>
          <w:vertAlign w:val="superscript"/>
        </w:rPr>
      </w:pPr>
      <w:r>
        <w:t xml:space="preserve">There are many </w:t>
      </w:r>
      <w:r w:rsidR="00CB7B13">
        <w:t>types</w:t>
      </w:r>
      <w:r>
        <w:t xml:space="preserve"> of amyloidosis</w:t>
      </w:r>
      <w:r w:rsidR="00CB7B13">
        <w:t xml:space="preserve">, each characterised by </w:t>
      </w:r>
      <w:r w:rsidR="009F0262">
        <w:t>a different type of protein misfolding.</w:t>
      </w:r>
      <w:r w:rsidR="009F0262">
        <w:rPr>
          <w:rStyle w:val="FootnoteReference"/>
        </w:rPr>
        <w:footnoteReference w:id="1"/>
      </w:r>
      <w:r w:rsidR="009F0262">
        <w:t xml:space="preserve"> </w:t>
      </w:r>
      <w:r w:rsidR="00757BBF">
        <w:t xml:space="preserve">Systemic amyloid light chain </w:t>
      </w:r>
      <w:r w:rsidR="006A73B4">
        <w:t>(</w:t>
      </w:r>
      <w:r w:rsidR="00757BBF" w:rsidRPr="00757BBF">
        <w:t>AL</w:t>
      </w:r>
      <w:r w:rsidR="006A73B4">
        <w:t>)</w:t>
      </w:r>
      <w:r w:rsidR="00757BBF">
        <w:t xml:space="preserve"> amyloidosis (previously known as primary systemic amyloidosis) </w:t>
      </w:r>
      <w:r w:rsidR="00BD768B">
        <w:t xml:space="preserve">is the most common form of systemic amyloidosis with an annual incidence of about 1.2 cases per 100,000 population in </w:t>
      </w:r>
      <w:r w:rsidR="00BD768B" w:rsidRPr="00933371">
        <w:t>Australia.</w:t>
      </w:r>
      <w:bookmarkStart w:id="15" w:name="_Ref117063564"/>
      <w:r w:rsidR="00BD768B">
        <w:rPr>
          <w:rStyle w:val="FootnoteReference"/>
        </w:rPr>
        <w:footnoteReference w:id="2"/>
      </w:r>
      <w:bookmarkEnd w:id="15"/>
      <w:r w:rsidR="00B931AE">
        <w:rPr>
          <w:vertAlign w:val="superscript"/>
        </w:rPr>
        <w:t>,</w:t>
      </w:r>
      <w:r w:rsidR="00BD768B">
        <w:rPr>
          <w:rStyle w:val="FootnoteReference"/>
        </w:rPr>
        <w:footnoteReference w:id="3"/>
      </w:r>
    </w:p>
    <w:p w14:paraId="497D42B9" w14:textId="0E1B6B73" w:rsidR="001373DB" w:rsidRDefault="00AC66A4" w:rsidP="00B86532">
      <w:r w:rsidRPr="00933371">
        <w:t xml:space="preserve">Systemic </w:t>
      </w:r>
      <w:r>
        <w:t>a</w:t>
      </w:r>
      <w:r w:rsidRPr="00314E70">
        <w:t xml:space="preserve">myloid light-chain (AL) amyloidosis </w:t>
      </w:r>
      <w:r>
        <w:t>can be defined as</w:t>
      </w:r>
      <w:r w:rsidRPr="00933371">
        <w:t xml:space="preserve"> a protein </w:t>
      </w:r>
      <w:proofErr w:type="gramStart"/>
      <w:r w:rsidRPr="00933371">
        <w:t>misfolding</w:t>
      </w:r>
      <w:proofErr w:type="gramEnd"/>
      <w:r w:rsidRPr="00933371">
        <w:t xml:space="preserve"> and deposition disorder associated with monoclonal gammopathy</w:t>
      </w:r>
      <w:r>
        <w:t>.</w:t>
      </w:r>
      <w:r w:rsidRPr="005A441A">
        <w:rPr>
          <w:vertAlign w:val="superscript"/>
        </w:rPr>
        <w:fldChar w:fldCharType="begin"/>
      </w:r>
      <w:r w:rsidRPr="005A441A">
        <w:rPr>
          <w:vertAlign w:val="superscript"/>
        </w:rPr>
        <w:instrText xml:space="preserve"> NOTEREF _Ref117063564 \h </w:instrText>
      </w:r>
      <w:r>
        <w:rPr>
          <w:vertAlign w:val="superscript"/>
        </w:rPr>
        <w:instrText xml:space="preserve"> \* MERGEFORMAT </w:instrText>
      </w:r>
      <w:r w:rsidRPr="005A441A">
        <w:rPr>
          <w:vertAlign w:val="superscript"/>
        </w:rPr>
      </w:r>
      <w:r w:rsidRPr="005A441A">
        <w:rPr>
          <w:vertAlign w:val="superscript"/>
        </w:rPr>
        <w:fldChar w:fldCharType="separate"/>
      </w:r>
      <w:r w:rsidRPr="005A441A">
        <w:rPr>
          <w:vertAlign w:val="superscript"/>
        </w:rPr>
        <w:t>2</w:t>
      </w:r>
      <w:r w:rsidRPr="005A441A">
        <w:rPr>
          <w:vertAlign w:val="superscript"/>
        </w:rPr>
        <w:fldChar w:fldCharType="end"/>
      </w:r>
      <w:r>
        <w:rPr>
          <w:vertAlign w:val="superscript"/>
        </w:rPr>
        <w:t xml:space="preserve"> </w:t>
      </w:r>
      <w:r w:rsidR="00B86532">
        <w:t>AL amyloidosis results from an abnormality in plasma cells found in bone marrow. These plasma cells are responsible for the production of immunoglobulins (or antibodies).</w:t>
      </w:r>
      <w:r w:rsidR="001373DB">
        <w:t xml:space="preserve"> </w:t>
      </w:r>
      <w:r w:rsidR="00B86532" w:rsidRPr="00B86532">
        <w:t>Immunoglobulins are composed of four protein ch</w:t>
      </w:r>
      <w:r w:rsidR="00B86532">
        <w:t>ains: two light chains (</w:t>
      </w:r>
      <w:r w:rsidR="00B86532" w:rsidRPr="00B86532">
        <w:t>either kappa or lambda light chains</w:t>
      </w:r>
      <w:r w:rsidR="00B86532">
        <w:t>)</w:t>
      </w:r>
      <w:r w:rsidR="00B86532" w:rsidRPr="00B86532">
        <w:t>, and two heavy chains, of which there are several types</w:t>
      </w:r>
      <w:r w:rsidR="00B86532">
        <w:t>.</w:t>
      </w:r>
      <w:r w:rsidR="001373DB">
        <w:t xml:space="preserve"> </w:t>
      </w:r>
      <w:r w:rsidR="009F5CFD">
        <w:t xml:space="preserve">In </w:t>
      </w:r>
      <w:r w:rsidR="001373DB" w:rsidRPr="001373DB">
        <w:t xml:space="preserve">AL </w:t>
      </w:r>
      <w:r w:rsidR="001373DB">
        <w:t xml:space="preserve">(or amyloid + light chain) </w:t>
      </w:r>
      <w:r w:rsidR="001373DB" w:rsidRPr="001373DB">
        <w:t xml:space="preserve">amyloidosis, the amyloid forming protein is derived from the </w:t>
      </w:r>
      <w:r w:rsidR="001373DB">
        <w:t xml:space="preserve">free </w:t>
      </w:r>
      <w:r w:rsidR="001373DB" w:rsidRPr="001373DB">
        <w:t xml:space="preserve">light chain component of </w:t>
      </w:r>
      <w:r w:rsidR="001373DB">
        <w:t>the monoclonal immunoglobulin, most commonly the lambda chain.</w:t>
      </w:r>
      <w:r w:rsidR="001373DB" w:rsidRPr="005209A9">
        <w:rPr>
          <w:vertAlign w:val="superscript"/>
        </w:rPr>
        <w:fldChar w:fldCharType="begin"/>
      </w:r>
      <w:r w:rsidR="001373DB" w:rsidRPr="005209A9">
        <w:rPr>
          <w:vertAlign w:val="superscript"/>
        </w:rPr>
        <w:instrText xml:space="preserve"> NOTEREF _Ref117063564 \h </w:instrText>
      </w:r>
      <w:r w:rsidR="001373DB">
        <w:rPr>
          <w:vertAlign w:val="superscript"/>
        </w:rPr>
        <w:instrText xml:space="preserve"> \* MERGEFORMAT </w:instrText>
      </w:r>
      <w:r w:rsidR="001373DB" w:rsidRPr="005209A9">
        <w:rPr>
          <w:vertAlign w:val="superscript"/>
        </w:rPr>
      </w:r>
      <w:r w:rsidR="001373DB" w:rsidRPr="005209A9">
        <w:rPr>
          <w:vertAlign w:val="superscript"/>
        </w:rPr>
        <w:fldChar w:fldCharType="separate"/>
      </w:r>
      <w:r w:rsidR="001373DB" w:rsidRPr="005209A9">
        <w:rPr>
          <w:vertAlign w:val="superscript"/>
        </w:rPr>
        <w:t>2</w:t>
      </w:r>
      <w:r w:rsidR="001373DB" w:rsidRPr="005209A9">
        <w:rPr>
          <w:vertAlign w:val="superscript"/>
        </w:rPr>
        <w:fldChar w:fldCharType="end"/>
      </w:r>
    </w:p>
    <w:p w14:paraId="5A484434" w14:textId="0BF48885" w:rsidR="00757BBF" w:rsidRDefault="001373DB" w:rsidP="005A441A">
      <w:r w:rsidRPr="00933371">
        <w:lastRenderedPageBreak/>
        <w:t xml:space="preserve">These </w:t>
      </w:r>
      <w:r>
        <w:t xml:space="preserve">free light chains </w:t>
      </w:r>
      <w:r w:rsidRPr="00933371">
        <w:t>fold abnormally to form fibrils with a beta pleated sheet structure. The fibrils associate with serum amyloid P protein and glycosaminoglycans to form amyloid deposits in extracellular tissues that progressively accumulate and disrupt organ function.</w:t>
      </w:r>
    </w:p>
    <w:p w14:paraId="45ADC4C7" w14:textId="07AA0FCC" w:rsidR="006F3B4D" w:rsidRDefault="00DA5C13" w:rsidP="00DA5C13">
      <w:r w:rsidRPr="00933371">
        <w:t>Whilst most monoclonal light chains are not amyloidogenic, it is currently not possible to predict those that are.</w:t>
      </w:r>
      <w:r w:rsidR="006F3B4D">
        <w:t xml:space="preserve"> </w:t>
      </w:r>
      <w:r w:rsidR="006F3B4D" w:rsidRPr="006F3B4D">
        <w:t>A major challenge with the prognosis and treatment of AL amyloidosis is high diversity o</w:t>
      </w:r>
      <w:r w:rsidR="0098685C">
        <w:t>f antibodies among individuals</w:t>
      </w:r>
      <w:r w:rsidR="006F3B4D" w:rsidRPr="006F3B4D">
        <w:t>.</w:t>
      </w:r>
      <w:bookmarkStart w:id="16" w:name="_Ref117065980"/>
      <w:r w:rsidR="0098685C">
        <w:rPr>
          <w:rStyle w:val="FootnoteReference"/>
        </w:rPr>
        <w:footnoteReference w:id="4"/>
      </w:r>
      <w:bookmarkEnd w:id="16"/>
      <w:r w:rsidR="0098685C">
        <w:rPr>
          <w:vertAlign w:val="superscript"/>
        </w:rPr>
        <w:t>,</w:t>
      </w:r>
      <w:r w:rsidR="0098685C">
        <w:rPr>
          <w:rStyle w:val="FootnoteReference"/>
        </w:rPr>
        <w:footnoteReference w:id="5"/>
      </w:r>
      <w:r w:rsidR="006F3B4D" w:rsidRPr="006F3B4D">
        <w:t xml:space="preserve"> Although there are methods for high-throughput sequencing of antibody repertoires, it is not feasible to experimentally determine the amyloidogenicity for each antibody.</w:t>
      </w:r>
      <w:r w:rsidR="0098685C" w:rsidRPr="005A441A">
        <w:rPr>
          <w:vertAlign w:val="superscript"/>
        </w:rPr>
        <w:fldChar w:fldCharType="begin"/>
      </w:r>
      <w:r w:rsidR="0098685C" w:rsidRPr="005A441A">
        <w:rPr>
          <w:vertAlign w:val="superscript"/>
        </w:rPr>
        <w:instrText xml:space="preserve"> NOTEREF _Ref117065980 \h </w:instrText>
      </w:r>
      <w:r w:rsidR="0098685C">
        <w:rPr>
          <w:vertAlign w:val="superscript"/>
        </w:rPr>
        <w:instrText xml:space="preserve"> \* MERGEFORMAT </w:instrText>
      </w:r>
      <w:r w:rsidR="0098685C" w:rsidRPr="005A441A">
        <w:rPr>
          <w:vertAlign w:val="superscript"/>
        </w:rPr>
      </w:r>
      <w:r w:rsidR="0098685C" w:rsidRPr="005A441A">
        <w:rPr>
          <w:vertAlign w:val="superscript"/>
        </w:rPr>
        <w:fldChar w:fldCharType="separate"/>
      </w:r>
      <w:r w:rsidR="0098685C" w:rsidRPr="005A441A">
        <w:rPr>
          <w:vertAlign w:val="superscript"/>
        </w:rPr>
        <w:t>4</w:t>
      </w:r>
      <w:r w:rsidR="0098685C" w:rsidRPr="005A441A">
        <w:rPr>
          <w:vertAlign w:val="superscript"/>
        </w:rPr>
        <w:fldChar w:fldCharType="end"/>
      </w:r>
    </w:p>
    <w:p w14:paraId="722E110E" w14:textId="7A851863" w:rsidR="008C6DB2" w:rsidRPr="00933371" w:rsidRDefault="0098685C" w:rsidP="008C6DB2">
      <w:r>
        <w:t xml:space="preserve">Systemic </w:t>
      </w:r>
      <w:r w:rsidR="00DA5C13" w:rsidRPr="00933371">
        <w:t xml:space="preserve">AL amyloidosis </w:t>
      </w:r>
      <w:r>
        <w:t>is most commonly diagnosed in those over the age of 50, with a slight male predominance. AL amyloidosis can be difficult to recognise,</w:t>
      </w:r>
      <w:r w:rsidR="003E0220">
        <w:t xml:space="preserve"> with variable involvement of organs affected and a range of presentations.</w:t>
      </w:r>
      <w:r w:rsidR="008C6DB2">
        <w:t xml:space="preserve"> Patients are often diagnosed late, and an estimated 20% of patients die within six months of diagnosis.</w:t>
      </w:r>
      <w:r w:rsidR="008C6DB2" w:rsidRPr="00785829">
        <w:rPr>
          <w:vertAlign w:val="superscript"/>
        </w:rPr>
        <w:fldChar w:fldCharType="begin"/>
      </w:r>
      <w:r w:rsidR="008C6DB2" w:rsidRPr="00785829">
        <w:rPr>
          <w:vertAlign w:val="superscript"/>
        </w:rPr>
        <w:instrText xml:space="preserve"> NOTEREF _Ref117063564 \h </w:instrText>
      </w:r>
      <w:r w:rsidR="008C6DB2">
        <w:rPr>
          <w:vertAlign w:val="superscript"/>
        </w:rPr>
        <w:instrText xml:space="preserve"> \* MERGEFORMAT </w:instrText>
      </w:r>
      <w:r w:rsidR="008C6DB2" w:rsidRPr="00785829">
        <w:rPr>
          <w:vertAlign w:val="superscript"/>
        </w:rPr>
      </w:r>
      <w:r w:rsidR="008C6DB2" w:rsidRPr="00785829">
        <w:rPr>
          <w:vertAlign w:val="superscript"/>
        </w:rPr>
        <w:fldChar w:fldCharType="separate"/>
      </w:r>
      <w:r w:rsidR="008C6DB2" w:rsidRPr="00785829">
        <w:rPr>
          <w:vertAlign w:val="superscript"/>
        </w:rPr>
        <w:t>2</w:t>
      </w:r>
      <w:r w:rsidR="008C6DB2" w:rsidRPr="00785829">
        <w:rPr>
          <w:vertAlign w:val="superscript"/>
        </w:rPr>
        <w:fldChar w:fldCharType="end"/>
      </w:r>
    </w:p>
    <w:p w14:paraId="057C0B81" w14:textId="4A598526" w:rsidR="00557EB4" w:rsidRDefault="00855994" w:rsidP="00DA5C13">
      <w:r>
        <w:t xml:space="preserve">Systemic AL amyloidosis </w:t>
      </w:r>
      <w:r w:rsidR="00DA5C13" w:rsidRPr="00933371">
        <w:t>most commonly affects the heart, kidney, liver, gastrointestinal tract, carpal tunnels and nerves, with variable involvement of other organs.</w:t>
      </w:r>
      <w:r w:rsidR="003E0220" w:rsidRPr="005209A9">
        <w:rPr>
          <w:vertAlign w:val="superscript"/>
        </w:rPr>
        <w:fldChar w:fldCharType="begin"/>
      </w:r>
      <w:r w:rsidR="003E0220" w:rsidRPr="005209A9">
        <w:rPr>
          <w:vertAlign w:val="superscript"/>
        </w:rPr>
        <w:instrText xml:space="preserve"> NOTEREF _Ref117063564 \h </w:instrText>
      </w:r>
      <w:r w:rsidR="003E0220">
        <w:rPr>
          <w:vertAlign w:val="superscript"/>
        </w:rPr>
        <w:instrText xml:space="preserve"> \* MERGEFORMAT </w:instrText>
      </w:r>
      <w:r w:rsidR="003E0220" w:rsidRPr="005209A9">
        <w:rPr>
          <w:vertAlign w:val="superscript"/>
        </w:rPr>
      </w:r>
      <w:r w:rsidR="003E0220" w:rsidRPr="005209A9">
        <w:rPr>
          <w:vertAlign w:val="superscript"/>
        </w:rPr>
        <w:fldChar w:fldCharType="separate"/>
      </w:r>
      <w:r w:rsidR="003E0220" w:rsidRPr="005209A9">
        <w:rPr>
          <w:vertAlign w:val="superscript"/>
        </w:rPr>
        <w:t>2</w:t>
      </w:r>
      <w:r w:rsidR="003E0220" w:rsidRPr="005209A9">
        <w:rPr>
          <w:vertAlign w:val="superscript"/>
        </w:rPr>
        <w:fldChar w:fldCharType="end"/>
      </w:r>
      <w:r w:rsidR="003E0220">
        <w:t xml:space="preserve"> </w:t>
      </w:r>
      <w:r w:rsidR="00557EB4">
        <w:t>At diagnosis, evidence of organ involvement is most prevalent in the heart (74%, with heart failure evident in 47%), kidneys (65%, with nephrosis in 42%), liver (17%)</w:t>
      </w:r>
      <w:r w:rsidR="009F5CFD">
        <w:t>,</w:t>
      </w:r>
      <w:r w:rsidR="00557EB4">
        <w:t xml:space="preserve"> and </w:t>
      </w:r>
      <w:r w:rsidR="003E0220">
        <w:t xml:space="preserve">the </w:t>
      </w:r>
      <w:r w:rsidR="00557EB4">
        <w:t>peripheral nervous syndrome (15% peripheral, 14% autonomic).</w:t>
      </w:r>
      <w:r w:rsidR="00557EB4" w:rsidRPr="005A441A">
        <w:rPr>
          <w:vertAlign w:val="superscript"/>
        </w:rPr>
        <w:fldChar w:fldCharType="begin"/>
      </w:r>
      <w:r w:rsidR="00557EB4" w:rsidRPr="005A441A">
        <w:rPr>
          <w:vertAlign w:val="superscript"/>
        </w:rPr>
        <w:instrText xml:space="preserve"> NOTEREF _Ref117063564 \h </w:instrText>
      </w:r>
      <w:r w:rsidR="00557EB4">
        <w:rPr>
          <w:vertAlign w:val="superscript"/>
        </w:rPr>
        <w:instrText xml:space="preserve"> \* MERGEFORMAT </w:instrText>
      </w:r>
      <w:r w:rsidR="00557EB4" w:rsidRPr="005A441A">
        <w:rPr>
          <w:vertAlign w:val="superscript"/>
        </w:rPr>
      </w:r>
      <w:r w:rsidR="00557EB4" w:rsidRPr="005A441A">
        <w:rPr>
          <w:vertAlign w:val="superscript"/>
        </w:rPr>
        <w:fldChar w:fldCharType="separate"/>
      </w:r>
      <w:r w:rsidR="00557EB4" w:rsidRPr="005A441A">
        <w:rPr>
          <w:vertAlign w:val="superscript"/>
        </w:rPr>
        <w:t>2</w:t>
      </w:r>
      <w:r w:rsidR="00557EB4" w:rsidRPr="005A441A">
        <w:rPr>
          <w:vertAlign w:val="superscript"/>
        </w:rPr>
        <w:fldChar w:fldCharType="end"/>
      </w:r>
      <w:r w:rsidR="00557EB4" w:rsidRPr="005A441A">
        <w:rPr>
          <w:vertAlign w:val="superscript"/>
        </w:rPr>
        <w:t>,</w:t>
      </w:r>
      <w:r w:rsidR="003E0220">
        <w:rPr>
          <w:rStyle w:val="FootnoteReference"/>
        </w:rPr>
        <w:footnoteReference w:id="6"/>
      </w:r>
      <w:r w:rsidR="003E0220">
        <w:rPr>
          <w:vertAlign w:val="superscript"/>
        </w:rPr>
        <w:t>,</w:t>
      </w:r>
      <w:r w:rsidR="003E0220">
        <w:rPr>
          <w:rStyle w:val="FootnoteReference"/>
        </w:rPr>
        <w:footnoteReference w:id="7"/>
      </w:r>
      <w:r w:rsidR="003E0220">
        <w:rPr>
          <w:vertAlign w:val="superscript"/>
        </w:rPr>
        <w:t>,</w:t>
      </w:r>
      <w:r w:rsidR="003E0220">
        <w:rPr>
          <w:rStyle w:val="FootnoteReference"/>
        </w:rPr>
        <w:footnoteReference w:id="8"/>
      </w:r>
    </w:p>
    <w:p w14:paraId="1BE6B9BD" w14:textId="142B0BA6" w:rsidR="00DA5C13" w:rsidRDefault="00DA5C13" w:rsidP="00DA5C13">
      <w:r w:rsidRPr="00933371">
        <w:t xml:space="preserve">Progressive infiltration leads to organ dysfunction and </w:t>
      </w:r>
      <w:r w:rsidR="00314E70" w:rsidRPr="00933371">
        <w:t>end stage</w:t>
      </w:r>
      <w:r w:rsidRPr="00933371">
        <w:t xml:space="preserve"> complications including restrictive cardiomyopathy and nephrotic syndrome. Involvement of the peripheral nervous system occurs in more than 20% of cases, causing a predominantly sensory peripheral neuropathy</w:t>
      </w:r>
      <w:r>
        <w:t xml:space="preserve"> with a</w:t>
      </w:r>
      <w:r w:rsidRPr="00933371">
        <w:t>utonomic dysfunction</w:t>
      </w:r>
      <w:r>
        <w:t>.</w:t>
      </w:r>
      <w:r w:rsidRPr="00933371">
        <w:t xml:space="preserve"> </w:t>
      </w:r>
    </w:p>
    <w:p w14:paraId="7D80C4B6" w14:textId="77777777" w:rsidR="00DA5C13" w:rsidRDefault="00DA5C13" w:rsidP="00DA5C13">
      <w:pPr>
        <w:pStyle w:val="Heading4"/>
      </w:pPr>
      <w:r>
        <w:t>Current treatment options</w:t>
      </w:r>
    </w:p>
    <w:p w14:paraId="50076C62" w14:textId="77777777" w:rsidR="00DA5C13" w:rsidRDefault="00DA5C13" w:rsidP="00DA5C13">
      <w:r>
        <w:t>In Australia there are no treatments specifically registered for AL amyloidosis.</w:t>
      </w:r>
    </w:p>
    <w:p w14:paraId="47D5C597" w14:textId="176C1283" w:rsidR="00DA5C13" w:rsidRDefault="00DA5C13" w:rsidP="00DA5C13">
      <w:r>
        <w:t>The treatment of AL amyloidosis is based on multiple myeloma approaches. The aim is to address the malignant clone and to allow the amyloid to clear by existing processes.</w:t>
      </w:r>
    </w:p>
    <w:p w14:paraId="6F0A1176" w14:textId="5B2E4589" w:rsidR="00DA5C13" w:rsidRDefault="00DA5C13" w:rsidP="00DA5C13">
      <w:r>
        <w:t xml:space="preserve">The Australian </w:t>
      </w:r>
      <w:r w:rsidR="008C6DB2">
        <w:t xml:space="preserve">Clinical Practice </w:t>
      </w:r>
      <w:proofErr w:type="gramStart"/>
      <w:r>
        <w:t>guidelines</w:t>
      </w:r>
      <w:r w:rsidR="008C6DB2">
        <w:t>;</w:t>
      </w:r>
      <w:proofErr w:type="gramEnd"/>
      <w:r w:rsidR="008C6DB2" w:rsidRPr="005A441A">
        <w:rPr>
          <w:vertAlign w:val="superscript"/>
        </w:rPr>
        <w:fldChar w:fldCharType="begin"/>
      </w:r>
      <w:r w:rsidR="008C6DB2" w:rsidRPr="005A441A">
        <w:rPr>
          <w:vertAlign w:val="superscript"/>
        </w:rPr>
        <w:instrText xml:space="preserve"> NOTEREF _Ref117063564 \h </w:instrText>
      </w:r>
      <w:r w:rsidR="008C6DB2">
        <w:rPr>
          <w:vertAlign w:val="superscript"/>
        </w:rPr>
        <w:instrText xml:space="preserve"> \* MERGEFORMAT </w:instrText>
      </w:r>
      <w:r w:rsidR="008C6DB2" w:rsidRPr="005A441A">
        <w:rPr>
          <w:vertAlign w:val="superscript"/>
        </w:rPr>
      </w:r>
      <w:r w:rsidR="008C6DB2" w:rsidRPr="005A441A">
        <w:rPr>
          <w:vertAlign w:val="superscript"/>
        </w:rPr>
        <w:fldChar w:fldCharType="separate"/>
      </w:r>
      <w:r w:rsidR="008C6DB2" w:rsidRPr="005A441A">
        <w:rPr>
          <w:vertAlign w:val="superscript"/>
        </w:rPr>
        <w:t>2</w:t>
      </w:r>
      <w:r w:rsidR="008C6DB2" w:rsidRPr="005A441A">
        <w:rPr>
          <w:vertAlign w:val="superscript"/>
        </w:rPr>
        <w:fldChar w:fldCharType="end"/>
      </w:r>
      <w:r>
        <w:t xml:space="preserve"> note bortezomib based therapies are the preferred front</w:t>
      </w:r>
      <w:r w:rsidR="008B0AC3">
        <w:t xml:space="preserve"> </w:t>
      </w:r>
      <w:r>
        <w:t xml:space="preserve">line therapy, with the combination of melphalan and dexamethasone where there are contraindications to bortezomib, such as pre-existing autonomic neuropathy. High dose melphalan prior to autologous </w:t>
      </w:r>
      <w:r w:rsidR="00314E70" w:rsidRPr="00314E70">
        <w:t xml:space="preserve">stem cell transplant </w:t>
      </w:r>
      <w:r>
        <w:t>is a therapeutic option but careful patient selection is required to reduce the risk of treatment</w:t>
      </w:r>
      <w:r w:rsidR="00E26866">
        <w:t xml:space="preserve"> </w:t>
      </w:r>
      <w:r>
        <w:t>related mortality.</w:t>
      </w:r>
    </w:p>
    <w:p w14:paraId="704CD360" w14:textId="0406C2DC" w:rsidR="00DA5C13" w:rsidRDefault="00DA5C13" w:rsidP="00DA5C13">
      <w:r>
        <w:t>The combination of cyclophosphamide, bortezomib and dexamethasone (CyBorD</w:t>
      </w:r>
      <w:r w:rsidR="00855994">
        <w:t>, also named VCd</w:t>
      </w:r>
      <w:r>
        <w:t xml:space="preserve">), while reasonably tolerated in AL amyloid may not be sufficient to address the plasma cell clone. Haematological complete responses seen with CyBorD range from 23 </w:t>
      </w:r>
      <w:r w:rsidR="00E738FE">
        <w:t>to</w:t>
      </w:r>
      <w:r>
        <w:t xml:space="preserve"> 47%.</w:t>
      </w:r>
    </w:p>
    <w:p w14:paraId="4E55FF49" w14:textId="25A2EB05" w:rsidR="00DA5C13" w:rsidRDefault="00DA5C13" w:rsidP="00DA5C13">
      <w:r>
        <w:t>There is currently no standard of care for relapsed or refractory AL amyloidosis.</w:t>
      </w:r>
    </w:p>
    <w:p w14:paraId="761EDB6E" w14:textId="0DDE6202" w:rsidR="009F5CFD" w:rsidRDefault="009F5CFD" w:rsidP="009F5CFD">
      <w:pPr>
        <w:pStyle w:val="Heading4"/>
      </w:pPr>
      <w:r>
        <w:lastRenderedPageBreak/>
        <w:t>Daratumumab</w:t>
      </w:r>
    </w:p>
    <w:p w14:paraId="3E268A31" w14:textId="5474053B" w:rsidR="00DA5C13" w:rsidRDefault="00DA5C13" w:rsidP="00DA5C13">
      <w:r>
        <w:t>Daratumumab is a fully human IgG1κ anti-CD38 monoclonal antibody that acts as a plasma</w:t>
      </w:r>
      <w:r w:rsidR="008744CD">
        <w:t xml:space="preserve"> </w:t>
      </w:r>
      <w:r>
        <w:t>cell depleting agent and as an immunomodulator</w:t>
      </w:r>
      <w:r w:rsidR="008744CD">
        <w:t>.</w:t>
      </w:r>
    </w:p>
    <w:p w14:paraId="01F98C64" w14:textId="6C62EEC1" w:rsidR="001F6988" w:rsidRPr="00795E16" w:rsidRDefault="001F6988" w:rsidP="00DA5C13">
      <w:r>
        <w:t>Daratumumab SC is a combination of daratumumab, an immunoglobulin (Ig) G1κ anti-CD38 antibody and hyaluronidase</w:t>
      </w:r>
      <w:r w:rsidR="001260D1">
        <w:t>, intended for subcutaneous use</w:t>
      </w:r>
      <w:r>
        <w:t xml:space="preserve">. Daratumumab binds to CD38 and inhibits the growth of CD38 expressing tumour cells by inducing apoptosis directly through </w:t>
      </w:r>
      <w:r w:rsidRPr="005F6779">
        <w:t>fragment crystallizable regi</w:t>
      </w:r>
      <w:r>
        <w:t>on mediated cross-linking as well as by immune mediated tumour cell lysis through complement dependent cytotoxicity, antibody dependent cell mediated cytotoxicity and antibody dependent cellular phagocytosis.</w:t>
      </w:r>
    </w:p>
    <w:p w14:paraId="0E3D56BD" w14:textId="61027357" w:rsidR="009F2673" w:rsidRDefault="009F2673" w:rsidP="009F2673">
      <w:bookmarkStart w:id="17" w:name="_Toc314842485"/>
      <w:bookmarkStart w:id="18" w:name="_Toc247691504"/>
      <w:r w:rsidRPr="000A4A42">
        <w:t xml:space="preserve">This evaluation was facilitated through </w:t>
      </w:r>
      <w:hyperlink r:id="rId15" w:history="1">
        <w:r w:rsidRPr="000702B6">
          <w:rPr>
            <w:rStyle w:val="Hyperlink"/>
          </w:rPr>
          <w:t>Project Orbis</w:t>
        </w:r>
      </w:hyperlink>
      <w:r w:rsidR="00833ED8">
        <w:t>,</w:t>
      </w:r>
      <w:r w:rsidRPr="000A4A42">
        <w:t xml:space="preserve"> an initiative of the United States (US) Food and Drug Administration (FDA) Oncology Center of Excellence (OCE). Under this </w:t>
      </w:r>
      <w:r w:rsidRPr="00F24841">
        <w:t xml:space="preserve">project, the FDA, Health Canada, Swissmedic (Switzerland), and the TGA collaboratively reviewed the </w:t>
      </w:r>
      <w:r w:rsidR="00BB0B78" w:rsidRPr="00F24841">
        <w:t>submission</w:t>
      </w:r>
      <w:r w:rsidRPr="00F24841">
        <w:t xml:space="preserve">. This evaluation process provided a framework for process alignment and management of evaluation issues in real-time across </w:t>
      </w:r>
      <w:r>
        <w:t xml:space="preserve">jurisdictions. </w:t>
      </w:r>
      <w:r w:rsidRPr="000A4A42">
        <w:t>Each regulator made independent decisions regarding approval (market authorisation) of the new medicine.</w:t>
      </w:r>
    </w:p>
    <w:p w14:paraId="6FAA2DD9" w14:textId="77777777" w:rsidR="008E7846" w:rsidRPr="003F31A2" w:rsidRDefault="00386150" w:rsidP="008E7846">
      <w:pPr>
        <w:pStyle w:val="Heading3"/>
      </w:pPr>
      <w:bookmarkStart w:id="19" w:name="_Toc117158638"/>
      <w:r>
        <w:t>Regulatory s</w:t>
      </w:r>
      <w:r w:rsidR="008E7846">
        <w:t>tatus</w:t>
      </w:r>
      <w:bookmarkEnd w:id="17"/>
      <w:bookmarkEnd w:id="18"/>
      <w:bookmarkEnd w:id="19"/>
    </w:p>
    <w:p w14:paraId="391DE9C6" w14:textId="0174B01C" w:rsidR="00E738FE" w:rsidRDefault="00E738FE" w:rsidP="00E738FE">
      <w:pPr>
        <w:rPr>
          <w:lang w:val="en-US"/>
        </w:rPr>
      </w:pPr>
      <w:bookmarkStart w:id="20" w:name="_Toc247691505"/>
      <w:bookmarkStart w:id="21" w:name="_Toc314842486"/>
      <w:r>
        <w:rPr>
          <w:lang w:val="en-US"/>
        </w:rPr>
        <w:t xml:space="preserve">Daratumumab is </w:t>
      </w:r>
      <w:r w:rsidR="00CF4506">
        <w:rPr>
          <w:lang w:val="en-US"/>
        </w:rPr>
        <w:t xml:space="preserve">currently </w:t>
      </w:r>
      <w:r>
        <w:rPr>
          <w:lang w:val="en-US"/>
        </w:rPr>
        <w:t>registered in Australia as concentration solution for intravenous infusion and a concentrated solution for subcutaneous injection.</w:t>
      </w:r>
    </w:p>
    <w:p w14:paraId="4A7A0324" w14:textId="4EDE1614" w:rsidR="001260D1" w:rsidRDefault="00CF4506" w:rsidP="00E738FE">
      <w:pPr>
        <w:rPr>
          <w:vertAlign w:val="superscript"/>
          <w:lang w:val="en-US"/>
        </w:rPr>
      </w:pPr>
      <w:r>
        <w:rPr>
          <w:lang w:val="en-US"/>
        </w:rPr>
        <w:t>Darzalex (d</w:t>
      </w:r>
      <w:r w:rsidR="001260D1">
        <w:rPr>
          <w:lang w:val="en-US"/>
        </w:rPr>
        <w:t>aratumumab</w:t>
      </w:r>
      <w:r>
        <w:rPr>
          <w:lang w:val="en-US"/>
        </w:rPr>
        <w:t xml:space="preserve">), for intravenous infusion </w:t>
      </w:r>
      <w:r w:rsidR="001260D1">
        <w:rPr>
          <w:lang w:val="en-US"/>
        </w:rPr>
        <w:t>has been registered in Australia since July 2017.</w:t>
      </w:r>
      <w:r w:rsidR="001260D1">
        <w:rPr>
          <w:rStyle w:val="FootnoteReference"/>
          <w:lang w:val="en-US"/>
        </w:rPr>
        <w:footnoteReference w:id="9"/>
      </w:r>
      <w:r w:rsidR="001260D1">
        <w:rPr>
          <w:vertAlign w:val="superscript"/>
          <w:lang w:val="en-US"/>
        </w:rPr>
        <w:t>,</w:t>
      </w:r>
      <w:r w:rsidR="001260D1">
        <w:rPr>
          <w:rStyle w:val="FootnoteReference"/>
          <w:lang w:val="en-US"/>
        </w:rPr>
        <w:footnoteReference w:id="10"/>
      </w:r>
    </w:p>
    <w:p w14:paraId="3A317FFB" w14:textId="3BF09D3A" w:rsidR="00CF4506" w:rsidRDefault="00CF4506" w:rsidP="002C3139">
      <w:r>
        <w:t xml:space="preserve">This product, Darzalex SC (daratumumab), concentrated solution for </w:t>
      </w:r>
      <w:r w:rsidR="009F5CFD">
        <w:t>subcutaneous</w:t>
      </w:r>
      <w:r>
        <w:t xml:space="preserve"> injection, received initial registration on the Australian Register of Therapeutic Goods (ARTG) on</w:t>
      </w:r>
      <w:r w:rsidRPr="000E2470">
        <w:t xml:space="preserve"> </w:t>
      </w:r>
      <w:r>
        <w:t>8 September 2020.</w:t>
      </w:r>
      <w:r w:rsidR="00B23B43">
        <w:rPr>
          <w:rStyle w:val="FootnoteReference"/>
        </w:rPr>
        <w:footnoteReference w:id="11"/>
      </w:r>
    </w:p>
    <w:p w14:paraId="78FB01A5" w14:textId="67C50129" w:rsidR="00CF4506" w:rsidRPr="005A441A" w:rsidRDefault="00CF4506" w:rsidP="002C3139">
      <w:r>
        <w:t>At the time the TGA considered this submission, Darzalex SC (daratumumab, concentrated solution for subcutaneous injection) was approved for the following indications:</w:t>
      </w:r>
    </w:p>
    <w:p w14:paraId="1E0639A7" w14:textId="5F4CB301" w:rsidR="00E738FE" w:rsidRPr="005A441A" w:rsidRDefault="002F192A" w:rsidP="005A441A">
      <w:pPr>
        <w:ind w:left="720"/>
        <w:rPr>
          <w:i/>
          <w:lang w:val="en-US"/>
        </w:rPr>
      </w:pPr>
      <w:r w:rsidRPr="002C3139">
        <w:rPr>
          <w:i/>
          <w:iCs/>
        </w:rPr>
        <w:t>D</w:t>
      </w:r>
      <w:r w:rsidR="00E26866" w:rsidRPr="009E2FC0">
        <w:rPr>
          <w:i/>
          <w:iCs/>
        </w:rPr>
        <w:t>arzalex</w:t>
      </w:r>
      <w:r w:rsidRPr="00B23B43">
        <w:rPr>
          <w:i/>
          <w:iCs/>
        </w:rPr>
        <w:t xml:space="preserve"> SC is indicated for the treatment of patients</w:t>
      </w:r>
      <w:r w:rsidR="00B23B43" w:rsidRPr="00B23B43">
        <w:rPr>
          <w:i/>
          <w:iCs/>
        </w:rPr>
        <w:t>:</w:t>
      </w:r>
      <w:r w:rsidR="00CF4506" w:rsidRPr="00B23B43">
        <w:rPr>
          <w:i/>
          <w:iCs/>
        </w:rPr>
        <w:t xml:space="preserve"> </w:t>
      </w:r>
      <w:r w:rsidR="00E738FE" w:rsidRPr="005A441A">
        <w:rPr>
          <w:i/>
          <w:lang w:val="en-US"/>
        </w:rPr>
        <w:t>with newly diagnosed multiple myeloma</w:t>
      </w:r>
      <w:r w:rsidR="00CF4506" w:rsidRPr="005A441A">
        <w:rPr>
          <w:i/>
          <w:lang w:val="en-US"/>
        </w:rPr>
        <w:t xml:space="preserve">; </w:t>
      </w:r>
      <w:r w:rsidR="00E738FE" w:rsidRPr="005A441A">
        <w:rPr>
          <w:i/>
          <w:lang w:val="en-US"/>
        </w:rPr>
        <w:t>who are eligible for autologous stem cell transplant. For use in combination with</w:t>
      </w:r>
      <w:r w:rsidR="00B23B43" w:rsidRPr="005A441A">
        <w:rPr>
          <w:i/>
          <w:lang w:val="en-US"/>
        </w:rPr>
        <w:t xml:space="preserve"> </w:t>
      </w:r>
      <w:r w:rsidR="00E738FE" w:rsidRPr="005A441A">
        <w:rPr>
          <w:i/>
          <w:lang w:val="en-US"/>
        </w:rPr>
        <w:t>bortezomib, thalidomide and dexamethasone</w:t>
      </w:r>
      <w:r w:rsidR="00B23B43" w:rsidRPr="005A441A">
        <w:rPr>
          <w:i/>
          <w:lang w:val="en-US"/>
        </w:rPr>
        <w:t xml:space="preserve"> </w:t>
      </w:r>
      <w:r w:rsidR="00E738FE" w:rsidRPr="005A441A">
        <w:rPr>
          <w:i/>
          <w:lang w:val="en-US"/>
        </w:rPr>
        <w:t xml:space="preserve">who are eligible for autologous stem cell transplant. For use in combination </w:t>
      </w:r>
      <w:r w:rsidRPr="005A441A">
        <w:rPr>
          <w:i/>
          <w:lang w:val="en-US"/>
        </w:rPr>
        <w:t>with:</w:t>
      </w:r>
    </w:p>
    <w:p w14:paraId="6FDE7AAE" w14:textId="241AF025" w:rsidR="00E738FE" w:rsidRPr="005A441A" w:rsidRDefault="00E738FE" w:rsidP="005A441A">
      <w:pPr>
        <w:pStyle w:val="ListBullet3"/>
        <w:rPr>
          <w:i/>
          <w:lang w:val="en-US"/>
        </w:rPr>
      </w:pPr>
      <w:r w:rsidRPr="005A441A">
        <w:rPr>
          <w:i/>
          <w:lang w:val="en-US"/>
        </w:rPr>
        <w:t>bortezomib, melphalan and prednisone</w:t>
      </w:r>
      <w:r w:rsidR="00B23B43" w:rsidRPr="005A441A">
        <w:rPr>
          <w:i/>
          <w:lang w:val="en-US"/>
        </w:rPr>
        <w:t>; or</w:t>
      </w:r>
    </w:p>
    <w:p w14:paraId="45155C32" w14:textId="4ACF59D1" w:rsidR="00E738FE" w:rsidRPr="005A441A" w:rsidRDefault="00E738FE" w:rsidP="005A441A">
      <w:pPr>
        <w:pStyle w:val="ListBullet3"/>
        <w:rPr>
          <w:i/>
          <w:lang w:val="en-US"/>
        </w:rPr>
      </w:pPr>
      <w:r w:rsidRPr="005A441A">
        <w:rPr>
          <w:i/>
          <w:lang w:val="en-US"/>
        </w:rPr>
        <w:t>lenalidomide and dexamethasone</w:t>
      </w:r>
      <w:r w:rsidR="00B23B43" w:rsidRPr="005A441A">
        <w:rPr>
          <w:i/>
          <w:lang w:val="en-US"/>
        </w:rPr>
        <w:t>.</w:t>
      </w:r>
    </w:p>
    <w:p w14:paraId="1FC18E8D" w14:textId="1C7C2806" w:rsidR="00E738FE" w:rsidRPr="005A441A" w:rsidRDefault="00E738FE" w:rsidP="005A441A">
      <w:pPr>
        <w:ind w:left="720"/>
        <w:rPr>
          <w:i/>
          <w:lang w:val="en-US"/>
        </w:rPr>
      </w:pPr>
      <w:r w:rsidRPr="005A441A">
        <w:rPr>
          <w:i/>
          <w:lang w:val="en-US"/>
        </w:rPr>
        <w:t>with multiple myeloma who have received:</w:t>
      </w:r>
      <w:r w:rsidR="00B23B43" w:rsidRPr="005A441A">
        <w:rPr>
          <w:i/>
          <w:lang w:val="en-US"/>
        </w:rPr>
        <w:t xml:space="preserve"> </w:t>
      </w:r>
      <w:r w:rsidRPr="005A441A">
        <w:rPr>
          <w:i/>
          <w:lang w:val="en-US"/>
        </w:rPr>
        <w:t>at least one prior therapy. For use in combination with:</w:t>
      </w:r>
    </w:p>
    <w:p w14:paraId="5F867DBB" w14:textId="77777777" w:rsidR="00E738FE" w:rsidRPr="005A441A" w:rsidRDefault="00E738FE" w:rsidP="005A441A">
      <w:pPr>
        <w:pStyle w:val="ListBullet3"/>
        <w:rPr>
          <w:i/>
          <w:lang w:val="en-US"/>
        </w:rPr>
      </w:pPr>
      <w:r w:rsidRPr="005A441A">
        <w:rPr>
          <w:i/>
          <w:lang w:val="en-US"/>
        </w:rPr>
        <w:t>bortezomib and dexamethasone, or</w:t>
      </w:r>
    </w:p>
    <w:p w14:paraId="459245DA" w14:textId="790C6E37" w:rsidR="00E738FE" w:rsidRPr="002C3139" w:rsidRDefault="00E738FE" w:rsidP="005A441A">
      <w:pPr>
        <w:pStyle w:val="ListBullet3"/>
        <w:rPr>
          <w:lang w:val="en-US"/>
        </w:rPr>
      </w:pPr>
      <w:r w:rsidRPr="005A441A">
        <w:rPr>
          <w:i/>
          <w:lang w:val="en-US"/>
        </w:rPr>
        <w:t>lenalidomide and dexamethasone</w:t>
      </w:r>
      <w:r w:rsidR="00B23B43" w:rsidRPr="005A441A">
        <w:rPr>
          <w:i/>
          <w:lang w:val="en-US"/>
        </w:rPr>
        <w:t>.</w:t>
      </w:r>
    </w:p>
    <w:p w14:paraId="178E8AA6" w14:textId="77777777" w:rsidR="00E738FE" w:rsidRPr="005A441A" w:rsidRDefault="00E738FE" w:rsidP="00294DE9">
      <w:pPr>
        <w:pageBreakBefore/>
        <w:ind w:left="720"/>
        <w:rPr>
          <w:i/>
          <w:lang w:val="en-US"/>
        </w:rPr>
      </w:pPr>
      <w:r w:rsidRPr="005A441A">
        <w:rPr>
          <w:i/>
          <w:lang w:val="en-US"/>
        </w:rPr>
        <w:lastRenderedPageBreak/>
        <w:t>at least three prior lines of therapy including a proteasome inhibitor (PI) and an immunomodulatory agent or who are refractory to both a PI and an immunomodulatory agent. For use as:</w:t>
      </w:r>
    </w:p>
    <w:p w14:paraId="5269BC99" w14:textId="77777777" w:rsidR="00E738FE" w:rsidRPr="005A441A" w:rsidRDefault="00E738FE" w:rsidP="005A441A">
      <w:pPr>
        <w:pStyle w:val="ListBullet3"/>
        <w:rPr>
          <w:i/>
          <w:lang w:val="en-US"/>
        </w:rPr>
      </w:pPr>
      <w:r w:rsidRPr="005A441A">
        <w:rPr>
          <w:i/>
          <w:lang w:val="en-US"/>
        </w:rPr>
        <w:t>monotherapy</w:t>
      </w:r>
    </w:p>
    <w:p w14:paraId="51157B85" w14:textId="77777777" w:rsidR="00B23B43" w:rsidRDefault="00332715" w:rsidP="00332715">
      <w:r>
        <w:t xml:space="preserve">At the time the TGA considered this </w:t>
      </w:r>
      <w:r w:rsidR="00BB0B78">
        <w:t>submission</w:t>
      </w:r>
      <w:r>
        <w:t xml:space="preserve">, a similar </w:t>
      </w:r>
      <w:r w:rsidR="00BB0B78">
        <w:t>submission</w:t>
      </w:r>
      <w:r>
        <w:t xml:space="preserve"> had been approved in</w:t>
      </w:r>
      <w:r w:rsidR="00806C0B">
        <w:t xml:space="preserve"> the European Union on 21 June 2021, the United States of America on 15 January 2021, </w:t>
      </w:r>
      <w:r w:rsidR="00806C0B" w:rsidRPr="0083303E">
        <w:t>Canada</w:t>
      </w:r>
      <w:r w:rsidR="00806C0B">
        <w:t xml:space="preserve"> on 12 April 2021 and Switzerland on 14 April 2021.</w:t>
      </w:r>
    </w:p>
    <w:p w14:paraId="06175F48" w14:textId="62182EEA" w:rsidR="00332715" w:rsidRDefault="00332715" w:rsidP="00332715">
      <w:r>
        <w:t xml:space="preserve">A similar </w:t>
      </w:r>
      <w:r w:rsidR="00BB0B78">
        <w:t>submission</w:t>
      </w:r>
      <w:r>
        <w:t xml:space="preserve"> was under consideration in</w:t>
      </w:r>
      <w:r w:rsidR="00806C0B">
        <w:t xml:space="preserve"> New Zealand (</w:t>
      </w:r>
      <w:r>
        <w:t xml:space="preserve">submitted on </w:t>
      </w:r>
      <w:r w:rsidR="00806C0B">
        <w:t>19 May 2021) and Singapore (submitted on 30 April 2021)</w:t>
      </w:r>
      <w:r>
        <w:t>.</w:t>
      </w:r>
    </w:p>
    <w:p w14:paraId="5892E5B7" w14:textId="77777777" w:rsidR="00332715" w:rsidRDefault="0072292E" w:rsidP="00332715">
      <w:r>
        <w:t xml:space="preserve">The following table </w:t>
      </w:r>
      <w:r w:rsidR="00332715">
        <w:t xml:space="preserve">summarises these </w:t>
      </w:r>
      <w:r w:rsidR="00BB0B78">
        <w:t>submissions</w:t>
      </w:r>
      <w:r w:rsidR="00332715">
        <w:t xml:space="preserve"> and provides the indications where approved.</w:t>
      </w:r>
    </w:p>
    <w:p w14:paraId="16837539" w14:textId="2C191C08" w:rsidR="00324E45" w:rsidRDefault="0011684A" w:rsidP="0011684A">
      <w:pPr>
        <w:pStyle w:val="TableTitle"/>
      </w:pPr>
      <w:r>
        <w:t xml:space="preserve">Table </w:t>
      </w:r>
      <w:fldSimple w:instr=" SEQ Table \* ARABIC ">
        <w:r>
          <w:rPr>
            <w:noProof/>
          </w:rPr>
          <w:t>1</w:t>
        </w:r>
      </w:fldSimple>
      <w:r>
        <w:t xml:space="preserve">: </w:t>
      </w:r>
      <w:r w:rsidR="00324E45">
        <w:t>International regulatory status</w:t>
      </w:r>
    </w:p>
    <w:tbl>
      <w:tblPr>
        <w:tblStyle w:val="TableTGAblue"/>
        <w:tblW w:w="8815" w:type="dxa"/>
        <w:tblLook w:val="04A0" w:firstRow="1" w:lastRow="0" w:firstColumn="1" w:lastColumn="0" w:noHBand="0" w:noVBand="1"/>
        <w:tblCaption w:val="International regulatory status"/>
        <w:tblDescription w:val="International regulatory status for Darzalex SC at the tie of the decision. "/>
      </w:tblPr>
      <w:tblGrid>
        <w:gridCol w:w="1345"/>
        <w:gridCol w:w="2070"/>
        <w:gridCol w:w="1890"/>
        <w:gridCol w:w="3510"/>
      </w:tblGrid>
      <w:tr w:rsidR="00006FAB" w14:paraId="413E528A" w14:textId="77777777" w:rsidTr="005A441A">
        <w:trPr>
          <w:cnfStyle w:val="100000000000" w:firstRow="1" w:lastRow="0" w:firstColumn="0" w:lastColumn="0" w:oddVBand="0" w:evenVBand="0" w:oddHBand="0" w:evenHBand="0" w:firstRowFirstColumn="0" w:firstRowLastColumn="0" w:lastRowFirstColumn="0" w:lastRowLastColumn="0"/>
        </w:trPr>
        <w:tc>
          <w:tcPr>
            <w:tcW w:w="1345" w:type="dxa"/>
            <w:tcBorders>
              <w:top w:val="single" w:sz="4" w:space="0" w:color="auto"/>
              <w:left w:val="single" w:sz="4" w:space="0" w:color="auto"/>
              <w:bottom w:val="single" w:sz="4" w:space="0" w:color="auto"/>
              <w:right w:val="single" w:sz="4" w:space="0" w:color="auto"/>
            </w:tcBorders>
          </w:tcPr>
          <w:p w14:paraId="4C34DA15" w14:textId="77777777" w:rsidR="00006FAB" w:rsidRDefault="00006FAB" w:rsidP="002C3139">
            <w:pPr>
              <w:ind w:left="0" w:right="0"/>
            </w:pPr>
            <w:r>
              <w:t>Region</w:t>
            </w:r>
          </w:p>
        </w:tc>
        <w:tc>
          <w:tcPr>
            <w:tcW w:w="2070" w:type="dxa"/>
            <w:tcBorders>
              <w:top w:val="single" w:sz="4" w:space="0" w:color="auto"/>
              <w:left w:val="single" w:sz="4" w:space="0" w:color="auto"/>
              <w:bottom w:val="single" w:sz="4" w:space="0" w:color="auto"/>
              <w:right w:val="single" w:sz="4" w:space="0" w:color="auto"/>
            </w:tcBorders>
          </w:tcPr>
          <w:p w14:paraId="229F3152" w14:textId="77777777" w:rsidR="00006FAB" w:rsidRDefault="00006FAB" w:rsidP="009E2FC0">
            <w:pPr>
              <w:ind w:left="0" w:right="0"/>
            </w:pPr>
            <w:r>
              <w:t>Submission date</w:t>
            </w:r>
          </w:p>
        </w:tc>
        <w:tc>
          <w:tcPr>
            <w:tcW w:w="1890" w:type="dxa"/>
            <w:tcBorders>
              <w:top w:val="single" w:sz="4" w:space="0" w:color="auto"/>
              <w:left w:val="single" w:sz="4" w:space="0" w:color="auto"/>
              <w:bottom w:val="single" w:sz="4" w:space="0" w:color="auto"/>
              <w:right w:val="single" w:sz="4" w:space="0" w:color="auto"/>
            </w:tcBorders>
          </w:tcPr>
          <w:p w14:paraId="5033DA86" w14:textId="77777777" w:rsidR="00006FAB" w:rsidRDefault="00006FAB">
            <w:pPr>
              <w:ind w:left="0" w:right="0"/>
            </w:pPr>
            <w:r>
              <w:t>Status</w:t>
            </w:r>
          </w:p>
        </w:tc>
        <w:tc>
          <w:tcPr>
            <w:tcW w:w="3510" w:type="dxa"/>
            <w:tcBorders>
              <w:top w:val="single" w:sz="4" w:space="0" w:color="auto"/>
              <w:left w:val="single" w:sz="4" w:space="0" w:color="auto"/>
              <w:bottom w:val="single" w:sz="4" w:space="0" w:color="auto"/>
              <w:right w:val="single" w:sz="4" w:space="0" w:color="auto"/>
            </w:tcBorders>
          </w:tcPr>
          <w:p w14:paraId="7053284F" w14:textId="77777777" w:rsidR="00006FAB" w:rsidRDefault="00006FAB">
            <w:pPr>
              <w:ind w:left="0" w:right="0"/>
            </w:pPr>
            <w:r>
              <w:t>Approved indications</w:t>
            </w:r>
          </w:p>
        </w:tc>
      </w:tr>
      <w:tr w:rsidR="00006FAB" w14:paraId="1D26040A" w14:textId="77777777" w:rsidTr="005A441A">
        <w:tc>
          <w:tcPr>
            <w:tcW w:w="1345" w:type="dxa"/>
            <w:tcBorders>
              <w:top w:val="single" w:sz="4" w:space="0" w:color="auto"/>
            </w:tcBorders>
          </w:tcPr>
          <w:p w14:paraId="0EF14B15" w14:textId="147833AD" w:rsidR="00006FAB" w:rsidRDefault="0083303E" w:rsidP="002C3139">
            <w:pPr>
              <w:ind w:left="0" w:right="0"/>
            </w:pPr>
            <w:r w:rsidRPr="0083303E">
              <w:t>European Union</w:t>
            </w:r>
          </w:p>
        </w:tc>
        <w:tc>
          <w:tcPr>
            <w:tcW w:w="2070" w:type="dxa"/>
            <w:tcBorders>
              <w:top w:val="single" w:sz="4" w:space="0" w:color="auto"/>
            </w:tcBorders>
          </w:tcPr>
          <w:p w14:paraId="59DA1B07" w14:textId="280EEF1A" w:rsidR="00006FAB" w:rsidRDefault="00C62260" w:rsidP="009E2FC0">
            <w:pPr>
              <w:ind w:left="0" w:right="0"/>
            </w:pPr>
            <w:r>
              <w:t>5 November 2020</w:t>
            </w:r>
          </w:p>
        </w:tc>
        <w:tc>
          <w:tcPr>
            <w:tcW w:w="1890" w:type="dxa"/>
            <w:tcBorders>
              <w:top w:val="single" w:sz="4" w:space="0" w:color="auto"/>
            </w:tcBorders>
          </w:tcPr>
          <w:p w14:paraId="1F4BB070" w14:textId="79C6F645" w:rsidR="00006FAB" w:rsidRDefault="00C62260">
            <w:pPr>
              <w:ind w:left="0" w:right="0"/>
            </w:pPr>
            <w:r>
              <w:t>Approved on 21</w:t>
            </w:r>
            <w:r w:rsidR="00B23B43">
              <w:t> </w:t>
            </w:r>
            <w:r>
              <w:t>June 2021</w:t>
            </w:r>
          </w:p>
        </w:tc>
        <w:tc>
          <w:tcPr>
            <w:tcW w:w="3510" w:type="dxa"/>
            <w:tcBorders>
              <w:top w:val="single" w:sz="4" w:space="0" w:color="auto"/>
            </w:tcBorders>
          </w:tcPr>
          <w:p w14:paraId="35BC8ACF" w14:textId="7DE55876" w:rsidR="00006FAB" w:rsidRPr="00806C0B" w:rsidRDefault="00C62260" w:rsidP="005A441A">
            <w:pPr>
              <w:ind w:left="0" w:right="0"/>
              <w:rPr>
                <w:i/>
                <w:iCs/>
              </w:rPr>
            </w:pPr>
            <w:r w:rsidRPr="00806C0B">
              <w:rPr>
                <w:i/>
                <w:iCs/>
              </w:rPr>
              <w:t>Darzalex is indicated in combination with cyclophosphamide, bortezomib and dexamethasone for the treatment of adult patients with newly diagnosed systemic light chain (AL) amyloidosis.</w:t>
            </w:r>
          </w:p>
        </w:tc>
      </w:tr>
      <w:tr w:rsidR="0083303E" w14:paraId="452E977F" w14:textId="77777777" w:rsidTr="005A441A">
        <w:tc>
          <w:tcPr>
            <w:tcW w:w="1345" w:type="dxa"/>
            <w:tcBorders>
              <w:top w:val="single" w:sz="4" w:space="0" w:color="auto"/>
            </w:tcBorders>
          </w:tcPr>
          <w:p w14:paraId="542876DC" w14:textId="5FF7852C" w:rsidR="0083303E" w:rsidRPr="0083303E" w:rsidRDefault="0083303E" w:rsidP="002C3139">
            <w:pPr>
              <w:ind w:left="0" w:right="0"/>
            </w:pPr>
            <w:r>
              <w:t>United States of</w:t>
            </w:r>
            <w:r w:rsidR="00C62260">
              <w:t xml:space="preserve"> </w:t>
            </w:r>
            <w:r>
              <w:t>America</w:t>
            </w:r>
          </w:p>
        </w:tc>
        <w:tc>
          <w:tcPr>
            <w:tcW w:w="2070" w:type="dxa"/>
            <w:tcBorders>
              <w:top w:val="single" w:sz="4" w:space="0" w:color="auto"/>
            </w:tcBorders>
          </w:tcPr>
          <w:p w14:paraId="2F64B78E" w14:textId="4BBC89D4" w:rsidR="0083303E" w:rsidRDefault="0083303E" w:rsidP="009E2FC0">
            <w:pPr>
              <w:ind w:left="0" w:right="0"/>
            </w:pPr>
            <w:r w:rsidRPr="0083303E">
              <w:t>9 September 2020</w:t>
            </w:r>
          </w:p>
        </w:tc>
        <w:tc>
          <w:tcPr>
            <w:tcW w:w="1890" w:type="dxa"/>
            <w:tcBorders>
              <w:top w:val="single" w:sz="4" w:space="0" w:color="auto"/>
            </w:tcBorders>
          </w:tcPr>
          <w:p w14:paraId="45E29010" w14:textId="60E2AE99" w:rsidR="0083303E" w:rsidRPr="00006FAB" w:rsidRDefault="003A5D70">
            <w:pPr>
              <w:ind w:left="0" w:right="0"/>
            </w:pPr>
            <w:r>
              <w:t>Approved on 15</w:t>
            </w:r>
            <w:r w:rsidR="00B23B43">
              <w:t> </w:t>
            </w:r>
            <w:r>
              <w:t>January 2021</w:t>
            </w:r>
          </w:p>
        </w:tc>
        <w:tc>
          <w:tcPr>
            <w:tcW w:w="3510" w:type="dxa"/>
            <w:tcBorders>
              <w:top w:val="single" w:sz="4" w:space="0" w:color="auto"/>
            </w:tcBorders>
          </w:tcPr>
          <w:p w14:paraId="557E57C4" w14:textId="77777777" w:rsidR="0083303E" w:rsidRDefault="0083303E" w:rsidP="005A441A">
            <w:pPr>
              <w:ind w:left="0" w:right="0"/>
              <w:rPr>
                <w:i/>
                <w:iCs/>
                <w:szCs w:val="22"/>
                <w:lang w:val="en-US"/>
              </w:rPr>
            </w:pPr>
            <w:proofErr w:type="spellStart"/>
            <w:r w:rsidRPr="00806C0B">
              <w:rPr>
                <w:i/>
                <w:iCs/>
                <w:lang w:val="en-US"/>
              </w:rPr>
              <w:t>Darzalex</w:t>
            </w:r>
            <w:proofErr w:type="spellEnd"/>
            <w:r w:rsidRPr="00806C0B">
              <w:rPr>
                <w:i/>
                <w:iCs/>
                <w:lang w:val="en-US"/>
              </w:rPr>
              <w:t xml:space="preserve"> </w:t>
            </w:r>
            <w:proofErr w:type="spellStart"/>
            <w:r w:rsidRPr="00806C0B">
              <w:rPr>
                <w:i/>
                <w:iCs/>
                <w:lang w:val="en-US"/>
              </w:rPr>
              <w:t>Fasbro</w:t>
            </w:r>
            <w:proofErr w:type="spellEnd"/>
            <w:r w:rsidRPr="00806C0B">
              <w:rPr>
                <w:i/>
                <w:iCs/>
                <w:lang w:val="en-US"/>
              </w:rPr>
              <w:t xml:space="preserve"> in combination with bortezomib, cyclophosphamide and dexamethasone (CyBorD) for the treatment of patients with newly diagnosed AL amyloidosis has accelerated approval.</w:t>
            </w:r>
          </w:p>
          <w:p w14:paraId="1FBD889C" w14:textId="65DF1754" w:rsidR="00C62260" w:rsidRPr="00806C0B" w:rsidRDefault="00C62260" w:rsidP="005A441A">
            <w:pPr>
              <w:ind w:left="0" w:right="0"/>
              <w:rPr>
                <w:i/>
                <w:iCs/>
                <w:szCs w:val="22"/>
              </w:rPr>
            </w:pPr>
            <w:r w:rsidRPr="00C62260">
              <w:rPr>
                <w:i/>
                <w:iCs/>
                <w:szCs w:val="22"/>
              </w:rPr>
              <w:t>The indication is approved under accelerated</w:t>
            </w:r>
            <w:r>
              <w:rPr>
                <w:i/>
                <w:iCs/>
                <w:szCs w:val="22"/>
              </w:rPr>
              <w:t xml:space="preserve"> </w:t>
            </w:r>
            <w:r w:rsidRPr="00C62260">
              <w:rPr>
                <w:i/>
                <w:iCs/>
                <w:szCs w:val="22"/>
              </w:rPr>
              <w:t>approval based on response rate [see Clinical</w:t>
            </w:r>
            <w:r>
              <w:rPr>
                <w:i/>
                <w:iCs/>
                <w:szCs w:val="22"/>
              </w:rPr>
              <w:t xml:space="preserve"> </w:t>
            </w:r>
            <w:r w:rsidRPr="00C62260">
              <w:rPr>
                <w:i/>
                <w:iCs/>
                <w:szCs w:val="22"/>
              </w:rPr>
              <w:t>Studies (14.1)]. Continued approval for this</w:t>
            </w:r>
            <w:r>
              <w:rPr>
                <w:i/>
                <w:iCs/>
                <w:szCs w:val="22"/>
              </w:rPr>
              <w:t xml:space="preserve"> </w:t>
            </w:r>
            <w:r w:rsidRPr="00C62260">
              <w:rPr>
                <w:i/>
                <w:iCs/>
                <w:szCs w:val="22"/>
              </w:rPr>
              <w:t>indication may be contingent upon verification</w:t>
            </w:r>
            <w:r>
              <w:rPr>
                <w:i/>
                <w:iCs/>
                <w:szCs w:val="22"/>
              </w:rPr>
              <w:t xml:space="preserve"> </w:t>
            </w:r>
            <w:r w:rsidRPr="00C62260">
              <w:rPr>
                <w:i/>
                <w:iCs/>
                <w:szCs w:val="22"/>
              </w:rPr>
              <w:t>and description of clinical benefit in</w:t>
            </w:r>
            <w:r>
              <w:rPr>
                <w:i/>
                <w:iCs/>
                <w:szCs w:val="22"/>
              </w:rPr>
              <w:t xml:space="preserve"> </w:t>
            </w:r>
            <w:r w:rsidRPr="00C62260">
              <w:rPr>
                <w:i/>
                <w:iCs/>
                <w:szCs w:val="22"/>
              </w:rPr>
              <w:t>confirmatory trial(s).</w:t>
            </w:r>
          </w:p>
        </w:tc>
      </w:tr>
      <w:tr w:rsidR="0083303E" w14:paraId="740CD1EB" w14:textId="77777777" w:rsidTr="005A441A">
        <w:tc>
          <w:tcPr>
            <w:tcW w:w="1345" w:type="dxa"/>
            <w:tcBorders>
              <w:top w:val="single" w:sz="4" w:space="0" w:color="auto"/>
            </w:tcBorders>
          </w:tcPr>
          <w:p w14:paraId="711EE525" w14:textId="2247ED25" w:rsidR="0083303E" w:rsidRPr="0083303E" w:rsidRDefault="0083303E" w:rsidP="005A441A">
            <w:pPr>
              <w:ind w:left="0" w:right="0"/>
            </w:pPr>
            <w:r w:rsidRPr="0083303E">
              <w:t>Canada</w:t>
            </w:r>
          </w:p>
        </w:tc>
        <w:tc>
          <w:tcPr>
            <w:tcW w:w="2070" w:type="dxa"/>
            <w:tcBorders>
              <w:top w:val="single" w:sz="4" w:space="0" w:color="auto"/>
            </w:tcBorders>
          </w:tcPr>
          <w:p w14:paraId="49499EBF" w14:textId="59F841A8" w:rsidR="0083303E" w:rsidRDefault="00C62260" w:rsidP="005A441A">
            <w:pPr>
              <w:ind w:left="0" w:right="0"/>
            </w:pPr>
            <w:r>
              <w:t>18 September 2020</w:t>
            </w:r>
          </w:p>
        </w:tc>
        <w:tc>
          <w:tcPr>
            <w:tcW w:w="1890" w:type="dxa"/>
            <w:tcBorders>
              <w:top w:val="single" w:sz="4" w:space="0" w:color="auto"/>
            </w:tcBorders>
          </w:tcPr>
          <w:p w14:paraId="285BEB37" w14:textId="73511565" w:rsidR="0083303E" w:rsidRPr="00006FAB" w:rsidRDefault="00C62260" w:rsidP="005A441A">
            <w:pPr>
              <w:ind w:left="0" w:right="0"/>
            </w:pPr>
            <w:r>
              <w:t>Approved on 12</w:t>
            </w:r>
            <w:r w:rsidR="00B23B43">
              <w:t> </w:t>
            </w:r>
            <w:r>
              <w:t>April 2021</w:t>
            </w:r>
          </w:p>
        </w:tc>
        <w:tc>
          <w:tcPr>
            <w:tcW w:w="3510" w:type="dxa"/>
            <w:tcBorders>
              <w:top w:val="single" w:sz="4" w:space="0" w:color="auto"/>
            </w:tcBorders>
          </w:tcPr>
          <w:p w14:paraId="695B710C" w14:textId="258AEA53" w:rsidR="0083303E" w:rsidRPr="00806C0B" w:rsidRDefault="00171F46" w:rsidP="005A441A">
            <w:pPr>
              <w:ind w:left="0" w:right="0"/>
              <w:rPr>
                <w:i/>
                <w:iCs/>
                <w:szCs w:val="22"/>
              </w:rPr>
            </w:pPr>
            <w:r w:rsidRPr="00806C0B">
              <w:rPr>
                <w:i/>
                <w:iCs/>
                <w:lang w:val="en-US"/>
              </w:rPr>
              <w:t>Darzalex SC</w:t>
            </w:r>
            <w:r w:rsidR="0083303E" w:rsidRPr="00806C0B">
              <w:rPr>
                <w:i/>
                <w:iCs/>
                <w:lang w:val="en-US"/>
              </w:rPr>
              <w:t xml:space="preserve"> in combination with bortezomib, cyclophosphamide, and dexamethasone, for the treatment of adult patients with newly diagnosed light chain (AL) amyloidosis.</w:t>
            </w:r>
          </w:p>
        </w:tc>
      </w:tr>
      <w:tr w:rsidR="0083303E" w14:paraId="0B95F7BD" w14:textId="77777777" w:rsidTr="005A441A">
        <w:tc>
          <w:tcPr>
            <w:tcW w:w="1345" w:type="dxa"/>
            <w:tcBorders>
              <w:top w:val="single" w:sz="4" w:space="0" w:color="auto"/>
            </w:tcBorders>
          </w:tcPr>
          <w:p w14:paraId="1C4FD8B7" w14:textId="71A3DCF4" w:rsidR="0083303E" w:rsidRPr="0083303E" w:rsidRDefault="0083303E" w:rsidP="005A441A">
            <w:pPr>
              <w:ind w:left="0" w:right="0"/>
            </w:pPr>
            <w:r>
              <w:t>Switzerland</w:t>
            </w:r>
          </w:p>
        </w:tc>
        <w:tc>
          <w:tcPr>
            <w:tcW w:w="2070" w:type="dxa"/>
            <w:tcBorders>
              <w:top w:val="single" w:sz="4" w:space="0" w:color="auto"/>
            </w:tcBorders>
          </w:tcPr>
          <w:p w14:paraId="3E39969C" w14:textId="557A7E6C" w:rsidR="00C62260" w:rsidRDefault="00C62260" w:rsidP="005A441A">
            <w:pPr>
              <w:ind w:left="0" w:right="0"/>
            </w:pPr>
            <w:r>
              <w:t>25 September 2020</w:t>
            </w:r>
          </w:p>
        </w:tc>
        <w:tc>
          <w:tcPr>
            <w:tcW w:w="1890" w:type="dxa"/>
            <w:tcBorders>
              <w:top w:val="single" w:sz="4" w:space="0" w:color="auto"/>
            </w:tcBorders>
          </w:tcPr>
          <w:p w14:paraId="4253A601" w14:textId="08AEC087" w:rsidR="0083303E" w:rsidRPr="00006FAB" w:rsidRDefault="00C62260" w:rsidP="005A441A">
            <w:pPr>
              <w:ind w:left="0" w:right="0"/>
            </w:pPr>
            <w:r>
              <w:t>Approved on 14</w:t>
            </w:r>
            <w:r w:rsidR="00B23B43">
              <w:t> </w:t>
            </w:r>
            <w:r>
              <w:t>April 2021</w:t>
            </w:r>
          </w:p>
        </w:tc>
        <w:tc>
          <w:tcPr>
            <w:tcW w:w="3510" w:type="dxa"/>
            <w:tcBorders>
              <w:top w:val="single" w:sz="4" w:space="0" w:color="auto"/>
            </w:tcBorders>
          </w:tcPr>
          <w:p w14:paraId="1E144B35" w14:textId="762E964B" w:rsidR="0083303E" w:rsidRPr="00806C0B" w:rsidRDefault="0083303E" w:rsidP="005A441A">
            <w:pPr>
              <w:ind w:left="0" w:right="0"/>
              <w:rPr>
                <w:i/>
                <w:iCs/>
                <w:szCs w:val="22"/>
              </w:rPr>
            </w:pPr>
            <w:r w:rsidRPr="00806C0B">
              <w:rPr>
                <w:i/>
                <w:iCs/>
                <w:lang w:val="en-US"/>
              </w:rPr>
              <w:t xml:space="preserve">Darzalex SC in combination with bortezomib, cyclophosphamide, and dexamethasone is indicted for the treatment of previously untreated patients with AL amyloidosis (light </w:t>
            </w:r>
            <w:r w:rsidRPr="00806C0B">
              <w:rPr>
                <w:i/>
                <w:iCs/>
                <w:lang w:val="en-US"/>
              </w:rPr>
              <w:lastRenderedPageBreak/>
              <w:t>chain amyloidosis) who have not cardiac disease NYHA stage IIIB or stage IV newly diagnosed systemic light chain (AL) amyloidosis.</w:t>
            </w:r>
          </w:p>
        </w:tc>
      </w:tr>
      <w:tr w:rsidR="0083303E" w14:paraId="52D118B6" w14:textId="77777777" w:rsidTr="005A441A">
        <w:tc>
          <w:tcPr>
            <w:tcW w:w="1345" w:type="dxa"/>
            <w:tcBorders>
              <w:top w:val="single" w:sz="4" w:space="0" w:color="auto"/>
            </w:tcBorders>
          </w:tcPr>
          <w:p w14:paraId="65E81D34" w14:textId="6D9D6974" w:rsidR="0083303E" w:rsidRPr="0083303E" w:rsidRDefault="0083303E" w:rsidP="005A441A">
            <w:pPr>
              <w:ind w:left="0" w:right="0"/>
            </w:pPr>
            <w:r>
              <w:lastRenderedPageBreak/>
              <w:t>New Zealand</w:t>
            </w:r>
          </w:p>
        </w:tc>
        <w:tc>
          <w:tcPr>
            <w:tcW w:w="2070" w:type="dxa"/>
            <w:tcBorders>
              <w:top w:val="single" w:sz="4" w:space="0" w:color="auto"/>
            </w:tcBorders>
          </w:tcPr>
          <w:p w14:paraId="14B53FA4" w14:textId="485F5C23" w:rsidR="0083303E" w:rsidRDefault="00C62260" w:rsidP="005A441A">
            <w:pPr>
              <w:ind w:left="0" w:right="0"/>
            </w:pPr>
            <w:r>
              <w:t>19 May 2021</w:t>
            </w:r>
          </w:p>
        </w:tc>
        <w:tc>
          <w:tcPr>
            <w:tcW w:w="1890" w:type="dxa"/>
            <w:tcBorders>
              <w:top w:val="single" w:sz="4" w:space="0" w:color="auto"/>
            </w:tcBorders>
          </w:tcPr>
          <w:p w14:paraId="085731B3" w14:textId="2658A6EA" w:rsidR="0083303E" w:rsidRPr="00006FAB" w:rsidRDefault="00C62260" w:rsidP="005A441A">
            <w:pPr>
              <w:ind w:left="0" w:right="0"/>
            </w:pPr>
            <w:r>
              <w:t>Under consideration</w:t>
            </w:r>
          </w:p>
        </w:tc>
        <w:tc>
          <w:tcPr>
            <w:tcW w:w="3510" w:type="dxa"/>
            <w:tcBorders>
              <w:top w:val="single" w:sz="4" w:space="0" w:color="auto"/>
            </w:tcBorders>
          </w:tcPr>
          <w:p w14:paraId="141A5F92" w14:textId="76A96D5D" w:rsidR="0083303E" w:rsidRDefault="00C62260" w:rsidP="005A441A">
            <w:pPr>
              <w:ind w:left="0" w:right="0"/>
            </w:pPr>
            <w:r>
              <w:t>Under consideration</w:t>
            </w:r>
          </w:p>
        </w:tc>
      </w:tr>
      <w:tr w:rsidR="00006FAB" w14:paraId="5114B798" w14:textId="77777777" w:rsidTr="005A441A">
        <w:tc>
          <w:tcPr>
            <w:tcW w:w="1345" w:type="dxa"/>
          </w:tcPr>
          <w:p w14:paraId="5675A921" w14:textId="5EADCBCB" w:rsidR="00006FAB" w:rsidRDefault="0083303E" w:rsidP="002C3139">
            <w:pPr>
              <w:ind w:left="0" w:right="0"/>
            </w:pPr>
            <w:r>
              <w:t>Singapore</w:t>
            </w:r>
          </w:p>
        </w:tc>
        <w:tc>
          <w:tcPr>
            <w:tcW w:w="2070" w:type="dxa"/>
          </w:tcPr>
          <w:p w14:paraId="7AE64B59" w14:textId="20C0458C" w:rsidR="00006FAB" w:rsidRDefault="00C62260" w:rsidP="009E2FC0">
            <w:pPr>
              <w:ind w:left="0" w:right="0"/>
            </w:pPr>
            <w:r>
              <w:t>30 April 2021</w:t>
            </w:r>
          </w:p>
        </w:tc>
        <w:tc>
          <w:tcPr>
            <w:tcW w:w="1890" w:type="dxa"/>
          </w:tcPr>
          <w:p w14:paraId="6FE598E7" w14:textId="5B5B5AD4" w:rsidR="00006FAB" w:rsidRDefault="00C62260">
            <w:pPr>
              <w:ind w:left="0" w:right="0"/>
            </w:pPr>
            <w:r>
              <w:t>Under consideration</w:t>
            </w:r>
          </w:p>
        </w:tc>
        <w:tc>
          <w:tcPr>
            <w:tcW w:w="3510" w:type="dxa"/>
          </w:tcPr>
          <w:p w14:paraId="5627D49F" w14:textId="7E9B9AD0" w:rsidR="00006FAB" w:rsidRDefault="00C62260">
            <w:pPr>
              <w:ind w:left="0" w:right="0"/>
            </w:pPr>
            <w:r>
              <w:t>Under consideration</w:t>
            </w:r>
          </w:p>
        </w:tc>
      </w:tr>
    </w:tbl>
    <w:p w14:paraId="22D42846" w14:textId="6800E2F0" w:rsidR="008E7846" w:rsidRDefault="008E7846" w:rsidP="00940A89">
      <w:pPr>
        <w:pStyle w:val="Heading3"/>
      </w:pPr>
      <w:bookmarkStart w:id="22" w:name="_Toc117158639"/>
      <w:r>
        <w:t>Product Information</w:t>
      </w:r>
      <w:bookmarkEnd w:id="20"/>
      <w:bookmarkEnd w:id="21"/>
      <w:bookmarkEnd w:id="22"/>
    </w:p>
    <w:p w14:paraId="4019C80B" w14:textId="77777777" w:rsidR="00332715" w:rsidRDefault="00332715" w:rsidP="00332715">
      <w:bookmarkStart w:id="23" w:name="_Toc504480011"/>
      <w:bookmarkStart w:id="24" w:name="_Toc247691506"/>
      <w:bookmarkStart w:id="25" w:name="_Toc314842487"/>
      <w:r>
        <w:t xml:space="preserve">The Product Information (PI) approved with the submission which is described in this AusPAR can be found as Attachment 1. For the most recent PI, please refer to the TGA </w:t>
      </w:r>
      <w:hyperlink r:id="rId16" w:history="1">
        <w:r>
          <w:rPr>
            <w:rStyle w:val="Hyperlink"/>
          </w:rPr>
          <w:t>PI/CMI search facility</w:t>
        </w:r>
        <w:r w:rsidRPr="009556D7">
          <w:rPr>
            <w:rStyle w:val="Hyperlink"/>
            <w:color w:val="auto"/>
            <w:u w:val="none"/>
          </w:rPr>
          <w:t>.</w:t>
        </w:r>
      </w:hyperlink>
    </w:p>
    <w:p w14:paraId="283190F2" w14:textId="77777777" w:rsidR="00500337" w:rsidRDefault="00500337" w:rsidP="00500337">
      <w:pPr>
        <w:pStyle w:val="Heading2"/>
      </w:pPr>
      <w:bookmarkStart w:id="26" w:name="_Toc117158640"/>
      <w:r>
        <w:t>Registration timeline</w:t>
      </w:r>
      <w:bookmarkEnd w:id="23"/>
      <w:bookmarkEnd w:id="26"/>
    </w:p>
    <w:p w14:paraId="10926118" w14:textId="77777777" w:rsidR="0074163C" w:rsidRPr="00C93EC1" w:rsidRDefault="0074163C" w:rsidP="0074163C">
      <w:r w:rsidRPr="00C93EC1">
        <w:t xml:space="preserve">The following table captures the key steps and dates for this </w:t>
      </w:r>
      <w:r w:rsidR="00804D99">
        <w:t>submission</w:t>
      </w:r>
      <w:r w:rsidRPr="00C93EC1">
        <w:t>.</w:t>
      </w:r>
    </w:p>
    <w:p w14:paraId="627A62E7" w14:textId="32FFC4C0" w:rsidR="0074163C" w:rsidRPr="006A58A8" w:rsidRDefault="0011684A" w:rsidP="0011684A">
      <w:pPr>
        <w:pStyle w:val="Tabletitle0"/>
      </w:pPr>
      <w:bookmarkStart w:id="27" w:name="_Ref105508173"/>
      <w:r>
        <w:t xml:space="preserve">Table </w:t>
      </w:r>
      <w:fldSimple w:instr=" SEQ Table \* ARABIC ">
        <w:r>
          <w:rPr>
            <w:noProof/>
          </w:rPr>
          <w:t>2</w:t>
        </w:r>
      </w:fldSimple>
      <w:r>
        <w:t xml:space="preserve">: </w:t>
      </w:r>
      <w:bookmarkEnd w:id="27"/>
      <w:r w:rsidR="0074163C" w:rsidRPr="006A58A8">
        <w:t xml:space="preserve">Timeline for Submission </w:t>
      </w:r>
      <w:r w:rsidR="00F24841" w:rsidRPr="00F24841">
        <w:t>PM-2020-04809-1-6</w:t>
      </w:r>
    </w:p>
    <w:tbl>
      <w:tblPr>
        <w:tblStyle w:val="TableTGAblue"/>
        <w:tblW w:w="0" w:type="auto"/>
        <w:tblLook w:val="04A0" w:firstRow="1" w:lastRow="0" w:firstColumn="1" w:lastColumn="0" w:noHBand="0" w:noVBand="1"/>
        <w:tblCaption w:val="Timeline for Submission PM-2020-04809-1-6"/>
        <w:tblDescription w:val="Timeline for Submission PM-2020-04809-1-6. This is the registration timeline for Darzalex SC."/>
      </w:tblPr>
      <w:tblGrid>
        <w:gridCol w:w="4259"/>
        <w:gridCol w:w="4235"/>
      </w:tblGrid>
      <w:tr w:rsidR="0074163C" w14:paraId="5881EEF8" w14:textId="77777777" w:rsidTr="005C44DF">
        <w:trPr>
          <w:cnfStyle w:val="100000000000" w:firstRow="1" w:lastRow="0" w:firstColumn="0" w:lastColumn="0" w:oddVBand="0" w:evenVBand="0" w:oddHBand="0" w:evenHBand="0" w:firstRowFirstColumn="0" w:firstRowLastColumn="0" w:lastRowFirstColumn="0" w:lastRowLastColumn="0"/>
        </w:trPr>
        <w:tc>
          <w:tcPr>
            <w:tcW w:w="4259" w:type="dxa"/>
            <w:tcBorders>
              <w:top w:val="single" w:sz="4" w:space="0" w:color="auto"/>
              <w:left w:val="single" w:sz="4" w:space="0" w:color="auto"/>
              <w:bottom w:val="single" w:sz="4" w:space="0" w:color="auto"/>
              <w:right w:val="single" w:sz="4" w:space="0" w:color="auto"/>
            </w:tcBorders>
          </w:tcPr>
          <w:p w14:paraId="53DEB5FD" w14:textId="77777777" w:rsidR="0074163C" w:rsidRDefault="0074163C" w:rsidP="009E5A87">
            <w:r>
              <w:t>Description</w:t>
            </w:r>
          </w:p>
        </w:tc>
        <w:tc>
          <w:tcPr>
            <w:tcW w:w="4235" w:type="dxa"/>
            <w:tcBorders>
              <w:top w:val="single" w:sz="4" w:space="0" w:color="auto"/>
              <w:left w:val="single" w:sz="4" w:space="0" w:color="auto"/>
              <w:bottom w:val="single" w:sz="4" w:space="0" w:color="auto"/>
              <w:right w:val="single" w:sz="4" w:space="0" w:color="auto"/>
            </w:tcBorders>
          </w:tcPr>
          <w:p w14:paraId="21F8953C" w14:textId="77777777" w:rsidR="0074163C" w:rsidRDefault="0074163C" w:rsidP="009E5A87">
            <w:r>
              <w:t>Date</w:t>
            </w:r>
          </w:p>
        </w:tc>
      </w:tr>
      <w:tr w:rsidR="0074163C" w14:paraId="03DB04A2" w14:textId="77777777" w:rsidTr="005C44DF">
        <w:tc>
          <w:tcPr>
            <w:tcW w:w="4259" w:type="dxa"/>
            <w:tcBorders>
              <w:top w:val="single" w:sz="4" w:space="0" w:color="auto"/>
            </w:tcBorders>
          </w:tcPr>
          <w:p w14:paraId="0BB98793" w14:textId="77777777" w:rsidR="0074163C" w:rsidRDefault="0074163C" w:rsidP="009E5A87">
            <w:r>
              <w:t>Submission dossier accepted and first round evaluation commenced</w:t>
            </w:r>
          </w:p>
        </w:tc>
        <w:tc>
          <w:tcPr>
            <w:tcW w:w="4235" w:type="dxa"/>
            <w:tcBorders>
              <w:top w:val="single" w:sz="4" w:space="0" w:color="auto"/>
            </w:tcBorders>
          </w:tcPr>
          <w:p w14:paraId="6792BFF5" w14:textId="4A701BA1" w:rsidR="0074163C" w:rsidRDefault="003A5D70" w:rsidP="003A5D70">
            <w:pPr>
              <w:ind w:left="0"/>
            </w:pPr>
            <w:r>
              <w:t>2 November 2020</w:t>
            </w:r>
          </w:p>
        </w:tc>
      </w:tr>
      <w:tr w:rsidR="0074163C" w14:paraId="75C2EC3C" w14:textId="77777777" w:rsidTr="005C44DF">
        <w:tc>
          <w:tcPr>
            <w:tcW w:w="4259" w:type="dxa"/>
          </w:tcPr>
          <w:p w14:paraId="044D5A2D" w14:textId="77777777" w:rsidR="0074163C" w:rsidRDefault="0074163C" w:rsidP="009E5A87">
            <w:r>
              <w:t>First round evaluation completed</w:t>
            </w:r>
          </w:p>
        </w:tc>
        <w:tc>
          <w:tcPr>
            <w:tcW w:w="4235" w:type="dxa"/>
          </w:tcPr>
          <w:p w14:paraId="268920FA" w14:textId="73C98A0A" w:rsidR="0074163C" w:rsidRDefault="003A5D70" w:rsidP="003A5D70">
            <w:pPr>
              <w:ind w:left="0"/>
            </w:pPr>
            <w:r>
              <w:t>30 March 2021</w:t>
            </w:r>
          </w:p>
        </w:tc>
      </w:tr>
      <w:tr w:rsidR="0074163C" w14:paraId="73B75ACE" w14:textId="77777777" w:rsidTr="005C44DF">
        <w:tc>
          <w:tcPr>
            <w:tcW w:w="4259" w:type="dxa"/>
          </w:tcPr>
          <w:p w14:paraId="51EDBCB2" w14:textId="77777777" w:rsidR="0074163C" w:rsidRDefault="0074163C" w:rsidP="009E5A87">
            <w:r>
              <w:t>Sponsor provides responses on questions raised in first round evaluation</w:t>
            </w:r>
          </w:p>
        </w:tc>
        <w:tc>
          <w:tcPr>
            <w:tcW w:w="4235" w:type="dxa"/>
          </w:tcPr>
          <w:p w14:paraId="286CDF18" w14:textId="38E2FD24" w:rsidR="0074163C" w:rsidRDefault="003A5D70" w:rsidP="003A5D70">
            <w:pPr>
              <w:ind w:left="0"/>
            </w:pPr>
            <w:r>
              <w:t>30 April 2021</w:t>
            </w:r>
          </w:p>
        </w:tc>
      </w:tr>
      <w:tr w:rsidR="0074163C" w14:paraId="6C0E46E0" w14:textId="77777777" w:rsidTr="005C44DF">
        <w:tc>
          <w:tcPr>
            <w:tcW w:w="4259" w:type="dxa"/>
          </w:tcPr>
          <w:p w14:paraId="5C238ECA" w14:textId="77777777" w:rsidR="0074163C" w:rsidRDefault="0074163C" w:rsidP="009E5A87">
            <w:r>
              <w:t>Second round evaluation completed</w:t>
            </w:r>
          </w:p>
        </w:tc>
        <w:tc>
          <w:tcPr>
            <w:tcW w:w="4235" w:type="dxa"/>
          </w:tcPr>
          <w:p w14:paraId="5B29C242" w14:textId="04336223" w:rsidR="0074163C" w:rsidRDefault="003A5D70" w:rsidP="003A5D70">
            <w:pPr>
              <w:ind w:left="0"/>
            </w:pPr>
            <w:r>
              <w:t>1 June 2021</w:t>
            </w:r>
          </w:p>
        </w:tc>
      </w:tr>
      <w:tr w:rsidR="0074163C" w14:paraId="72407362" w14:textId="77777777" w:rsidTr="005C44DF">
        <w:tc>
          <w:tcPr>
            <w:tcW w:w="4259" w:type="dxa"/>
          </w:tcPr>
          <w:p w14:paraId="7AC1E49A" w14:textId="42489CFA" w:rsidR="0074163C" w:rsidRDefault="0074163C" w:rsidP="009E5A87">
            <w:r w:rsidRPr="00F24841">
              <w:rPr>
                <w:color w:val="auto"/>
              </w:rPr>
              <w:t xml:space="preserve">Delegate’s Overall benefit-risk assessment and request for Advisory Committee advice </w:t>
            </w:r>
          </w:p>
        </w:tc>
        <w:tc>
          <w:tcPr>
            <w:tcW w:w="4235" w:type="dxa"/>
          </w:tcPr>
          <w:p w14:paraId="7B6BD111" w14:textId="1A7F87A5" w:rsidR="0074163C" w:rsidRDefault="00F24841" w:rsidP="003A5D70">
            <w:pPr>
              <w:ind w:left="0"/>
            </w:pPr>
            <w:r>
              <w:t>4 July 2021</w:t>
            </w:r>
          </w:p>
        </w:tc>
      </w:tr>
      <w:tr w:rsidR="0074163C" w14:paraId="6DA69C08" w14:textId="77777777" w:rsidTr="005C44DF">
        <w:tc>
          <w:tcPr>
            <w:tcW w:w="4259" w:type="dxa"/>
          </w:tcPr>
          <w:p w14:paraId="2D975A55" w14:textId="77777777" w:rsidR="0074163C" w:rsidRDefault="0074163C" w:rsidP="009E5A87">
            <w:r>
              <w:t>Sponsor’s pre-Advisory Committee response</w:t>
            </w:r>
          </w:p>
        </w:tc>
        <w:tc>
          <w:tcPr>
            <w:tcW w:w="4235" w:type="dxa"/>
          </w:tcPr>
          <w:p w14:paraId="22713FBB" w14:textId="1D7118B3" w:rsidR="0074163C" w:rsidRDefault="00F24841" w:rsidP="00F24841">
            <w:pPr>
              <w:ind w:left="0"/>
            </w:pPr>
            <w:r>
              <w:t>22 July 2021</w:t>
            </w:r>
          </w:p>
        </w:tc>
      </w:tr>
      <w:tr w:rsidR="0074163C" w14:paraId="6AB0A081" w14:textId="77777777" w:rsidTr="005C44DF">
        <w:tc>
          <w:tcPr>
            <w:tcW w:w="4259" w:type="dxa"/>
          </w:tcPr>
          <w:p w14:paraId="2BBCDA77" w14:textId="77777777" w:rsidR="0074163C" w:rsidRDefault="0074163C" w:rsidP="009E5A87">
            <w:r>
              <w:t>Advisory Committee meeting</w:t>
            </w:r>
          </w:p>
        </w:tc>
        <w:tc>
          <w:tcPr>
            <w:tcW w:w="4235" w:type="dxa"/>
          </w:tcPr>
          <w:p w14:paraId="0715CEF1" w14:textId="2EFB2718" w:rsidR="0074163C" w:rsidRDefault="003A5D70" w:rsidP="003A5D70">
            <w:pPr>
              <w:ind w:left="0"/>
            </w:pPr>
            <w:r>
              <w:t>6 August 2021</w:t>
            </w:r>
          </w:p>
        </w:tc>
      </w:tr>
      <w:tr w:rsidR="0074163C" w14:paraId="4DF3B518" w14:textId="77777777" w:rsidTr="005C44DF">
        <w:tc>
          <w:tcPr>
            <w:tcW w:w="4259" w:type="dxa"/>
          </w:tcPr>
          <w:p w14:paraId="150A7478" w14:textId="77777777" w:rsidR="0074163C" w:rsidRDefault="0074163C" w:rsidP="009E5A87">
            <w:r>
              <w:t>Registration decision (Outcome)</w:t>
            </w:r>
          </w:p>
        </w:tc>
        <w:tc>
          <w:tcPr>
            <w:tcW w:w="4235" w:type="dxa"/>
          </w:tcPr>
          <w:p w14:paraId="4D22DFE2" w14:textId="253D9A69" w:rsidR="0074163C" w:rsidRDefault="003A5D70" w:rsidP="003A5D70">
            <w:pPr>
              <w:ind w:left="0"/>
            </w:pPr>
            <w:r>
              <w:t>6 October 2021</w:t>
            </w:r>
          </w:p>
        </w:tc>
      </w:tr>
      <w:tr w:rsidR="0074163C" w14:paraId="255EBA7E" w14:textId="77777777" w:rsidTr="005C44DF">
        <w:tc>
          <w:tcPr>
            <w:tcW w:w="4259" w:type="dxa"/>
          </w:tcPr>
          <w:p w14:paraId="19774B50" w14:textId="77777777" w:rsidR="0074163C" w:rsidRDefault="0074163C" w:rsidP="009E5A87">
            <w:r w:rsidRPr="005A79F5">
              <w:t>Completion of administrative activities and registration on the ARTG</w:t>
            </w:r>
          </w:p>
        </w:tc>
        <w:tc>
          <w:tcPr>
            <w:tcW w:w="4235" w:type="dxa"/>
          </w:tcPr>
          <w:p w14:paraId="1090FDA1" w14:textId="662991C7" w:rsidR="0074163C" w:rsidRDefault="00F24841" w:rsidP="003A5D70">
            <w:pPr>
              <w:ind w:left="0"/>
            </w:pPr>
            <w:r>
              <w:t>11 October 2021</w:t>
            </w:r>
          </w:p>
        </w:tc>
      </w:tr>
      <w:tr w:rsidR="0074163C" w14:paraId="7B668DBB" w14:textId="77777777" w:rsidTr="005C44DF">
        <w:tc>
          <w:tcPr>
            <w:tcW w:w="4259" w:type="dxa"/>
          </w:tcPr>
          <w:p w14:paraId="3E2545AC" w14:textId="77777777" w:rsidR="0074163C" w:rsidRDefault="0074163C" w:rsidP="009E5A87">
            <w:r>
              <w:lastRenderedPageBreak/>
              <w:t>Number of working days from submission dossier acceptance to registration decision*</w:t>
            </w:r>
          </w:p>
        </w:tc>
        <w:tc>
          <w:tcPr>
            <w:tcW w:w="4235" w:type="dxa"/>
          </w:tcPr>
          <w:p w14:paraId="36EE9F6B" w14:textId="5142E287" w:rsidR="0074163C" w:rsidRDefault="00F24841" w:rsidP="00F24841">
            <w:pPr>
              <w:ind w:left="0"/>
            </w:pPr>
            <w:r>
              <w:t>208</w:t>
            </w:r>
          </w:p>
        </w:tc>
      </w:tr>
    </w:tbl>
    <w:p w14:paraId="2858322D" w14:textId="77777777" w:rsidR="0074163C" w:rsidRDefault="0074163C" w:rsidP="0074163C">
      <w:pPr>
        <w:pStyle w:val="TableDescription"/>
      </w:pPr>
      <w:r>
        <w:t>*</w:t>
      </w:r>
      <w:r w:rsidRPr="00BF3774">
        <w:t xml:space="preserve">Statutory </w:t>
      </w:r>
      <w:r>
        <w:t xml:space="preserve">timeframe for standard </w:t>
      </w:r>
      <w:r w:rsidR="00BB0B78">
        <w:t>submission</w:t>
      </w:r>
      <w:r>
        <w:t>s is 255 working days</w:t>
      </w:r>
    </w:p>
    <w:p w14:paraId="68D1E7D2" w14:textId="77777777" w:rsidR="008E7846" w:rsidRPr="00792A32" w:rsidRDefault="00006FAB" w:rsidP="008E7846">
      <w:pPr>
        <w:pStyle w:val="Heading2"/>
      </w:pPr>
      <w:bookmarkStart w:id="28" w:name="_Toc196046504"/>
      <w:bookmarkStart w:id="29" w:name="_Toc247691527"/>
      <w:bookmarkStart w:id="30" w:name="_Toc314842510"/>
      <w:bookmarkStart w:id="31" w:name="_Toc117158641"/>
      <w:bookmarkEnd w:id="24"/>
      <w:bookmarkEnd w:id="25"/>
      <w:bookmarkEnd w:id="1"/>
      <w:r w:rsidRPr="00006FAB">
        <w:t xml:space="preserve">Submission overview </w:t>
      </w:r>
      <w:r w:rsidR="008E7846" w:rsidRPr="00792A32">
        <w:t xml:space="preserve">and </w:t>
      </w:r>
      <w:r w:rsidR="008E7846">
        <w:t>r</w:t>
      </w:r>
      <w:r w:rsidR="008E7846" w:rsidRPr="00792A32">
        <w:t>isk/</w:t>
      </w:r>
      <w:r w:rsidR="008E7846">
        <w:t>b</w:t>
      </w:r>
      <w:r w:rsidR="008E7846" w:rsidRPr="00792A32">
        <w:t xml:space="preserve">enefit </w:t>
      </w:r>
      <w:r w:rsidR="008E7846">
        <w:t>a</w:t>
      </w:r>
      <w:r w:rsidR="008E7846" w:rsidRPr="00792A32">
        <w:t>ssessment</w:t>
      </w:r>
      <w:bookmarkEnd w:id="28"/>
      <w:bookmarkEnd w:id="29"/>
      <w:bookmarkEnd w:id="30"/>
      <w:bookmarkEnd w:id="31"/>
    </w:p>
    <w:p w14:paraId="57B7412C" w14:textId="77777777" w:rsidR="005A79F5" w:rsidRDefault="005A79F5" w:rsidP="0074163C">
      <w:pPr>
        <w:pStyle w:val="Instructions"/>
        <w:rPr>
          <w:i w:val="0"/>
          <w:color w:val="auto"/>
        </w:rPr>
      </w:pPr>
      <w:bookmarkStart w:id="32" w:name="_Toc247691528"/>
      <w:bookmarkStart w:id="33" w:name="_Toc314842511"/>
      <w:r w:rsidRPr="005A79F5">
        <w:rPr>
          <w:i w:val="0"/>
          <w:color w:val="auto"/>
        </w:rPr>
        <w:t>A summary of the TGA’s assessment for this submission is provided below</w:t>
      </w:r>
      <w:r>
        <w:rPr>
          <w:i w:val="0"/>
          <w:color w:val="auto"/>
        </w:rPr>
        <w:t>.</w:t>
      </w:r>
    </w:p>
    <w:p w14:paraId="004E3EE2" w14:textId="2BED5904" w:rsidR="0074163C" w:rsidRDefault="0074163C" w:rsidP="0074163C">
      <w:r>
        <w:t>This section is a TGA summary of wording used in TGA’s evaluation report, which discussed numerous aspects of overseas evaluation reports and included some information that was commercial-in-confidence.</w:t>
      </w:r>
    </w:p>
    <w:p w14:paraId="4B7CBC4E" w14:textId="331C9FD5" w:rsidR="009F50D4" w:rsidRDefault="009F50D4" w:rsidP="0074163C">
      <w:r>
        <w:t>The Delegate refer</w:t>
      </w:r>
      <w:r w:rsidR="00B23B43">
        <w:t>red</w:t>
      </w:r>
      <w:r>
        <w:t xml:space="preserve"> to the following guidelines</w:t>
      </w:r>
      <w:r w:rsidR="00B23B43">
        <w:t xml:space="preserve"> as being applicable to this submission</w:t>
      </w:r>
      <w:r>
        <w:t>:</w:t>
      </w:r>
    </w:p>
    <w:p w14:paraId="5471A3BB" w14:textId="026D9BEC" w:rsidR="009F50D4" w:rsidRDefault="009F50D4" w:rsidP="00806C0B">
      <w:pPr>
        <w:pStyle w:val="ListBullet"/>
      </w:pPr>
      <w:r>
        <w:t>EMA/CHMP/703715/2012 Rev.2 Appendix 4 to the guideline on the evaluation of anticancer medicinal products in man Condition specific guidance</w:t>
      </w:r>
    </w:p>
    <w:p w14:paraId="2FBA9B59" w14:textId="17B41319" w:rsidR="009F50D4" w:rsidRDefault="009F50D4" w:rsidP="00806C0B">
      <w:pPr>
        <w:pStyle w:val="ListBullet"/>
      </w:pPr>
      <w:r>
        <w:t>EMA/CHMP/27994/2008/Rev 1 Appendix 1 to the guideline on the evaluation of anticancer medicinal products in man Methodological consideration for using progression-free survival (PFS) or disease-free survival (DFS) in confirmatory trials</w:t>
      </w:r>
    </w:p>
    <w:p w14:paraId="7B7344F7" w14:textId="360A5651" w:rsidR="008E7846" w:rsidRDefault="008E7846" w:rsidP="008E7846">
      <w:pPr>
        <w:pStyle w:val="Heading3"/>
      </w:pPr>
      <w:bookmarkStart w:id="34" w:name="_Toc117158642"/>
      <w:r>
        <w:t>Quality</w:t>
      </w:r>
      <w:bookmarkEnd w:id="32"/>
      <w:bookmarkEnd w:id="33"/>
      <w:bookmarkEnd w:id="34"/>
    </w:p>
    <w:p w14:paraId="39F3849D" w14:textId="77777777" w:rsidR="0074163C" w:rsidRDefault="0074163C" w:rsidP="0074163C">
      <w:r>
        <w:t>A full quality evaluation was conducted at the time this product received initial registration.</w:t>
      </w:r>
    </w:p>
    <w:p w14:paraId="4E333ACC" w14:textId="77777777" w:rsidR="008E7846" w:rsidRDefault="008E7846" w:rsidP="008E7846">
      <w:pPr>
        <w:pStyle w:val="Heading3"/>
      </w:pPr>
      <w:bookmarkStart w:id="35" w:name="_Toc314842512"/>
      <w:bookmarkStart w:id="36" w:name="_Toc117158643"/>
      <w:r>
        <w:t>Nonclinical</w:t>
      </w:r>
      <w:bookmarkEnd w:id="35"/>
      <w:bookmarkEnd w:id="36"/>
    </w:p>
    <w:p w14:paraId="705FDD69" w14:textId="77777777" w:rsidR="0074163C" w:rsidRPr="0074163C" w:rsidRDefault="0074163C" w:rsidP="0074163C">
      <w:r>
        <w:t>A full nonclinical evaluation was conducted at the time this product received initial registration.</w:t>
      </w:r>
    </w:p>
    <w:p w14:paraId="28BDF52A" w14:textId="77777777" w:rsidR="008E7846" w:rsidRDefault="008E7846" w:rsidP="008E7846">
      <w:pPr>
        <w:pStyle w:val="Heading3"/>
      </w:pPr>
      <w:bookmarkStart w:id="37" w:name="_Toc247691530"/>
      <w:bookmarkStart w:id="38" w:name="_Toc314842513"/>
      <w:bookmarkStart w:id="39" w:name="_Toc117158644"/>
      <w:r>
        <w:t>Clinical</w:t>
      </w:r>
      <w:bookmarkEnd w:id="37"/>
      <w:bookmarkEnd w:id="38"/>
      <w:bookmarkEnd w:id="39"/>
    </w:p>
    <w:p w14:paraId="748B88E8" w14:textId="77777777" w:rsidR="00F20392" w:rsidRPr="00901283" w:rsidRDefault="00F20392" w:rsidP="00F20392">
      <w:pPr>
        <w:pStyle w:val="Heading4"/>
        <w:rPr>
          <w:rFonts w:eastAsia="Times New Roman"/>
          <w:b w:val="0"/>
          <w:i/>
          <w:color w:val="0070B5" w:themeColor="accent1" w:themeTint="BF"/>
        </w:rPr>
      </w:pPr>
      <w:r w:rsidRPr="00AA53F4">
        <w:t>Pharmacology</w:t>
      </w:r>
      <w:r w:rsidRPr="00901283">
        <w:rPr>
          <w:rFonts w:eastAsia="Times New Roman"/>
          <w:b w:val="0"/>
          <w:i/>
          <w:color w:val="0070B5" w:themeColor="accent1" w:themeTint="BF"/>
        </w:rPr>
        <w:t xml:space="preserve"> </w:t>
      </w:r>
    </w:p>
    <w:p w14:paraId="2810345A" w14:textId="0554BB87" w:rsidR="00F20392" w:rsidRDefault="00F20392" w:rsidP="00F20392">
      <w:pPr>
        <w:pStyle w:val="Heading5"/>
        <w:rPr>
          <w:b w:val="0"/>
          <w:color w:val="auto"/>
        </w:rPr>
      </w:pPr>
      <w:r w:rsidRPr="00AA53F4">
        <w:t xml:space="preserve">Population </w:t>
      </w:r>
      <w:r w:rsidR="009F50D4">
        <w:t>pharmacokinetics</w:t>
      </w:r>
      <w:r w:rsidRPr="00AA53F4">
        <w:t xml:space="preserve"> data </w:t>
      </w:r>
    </w:p>
    <w:p w14:paraId="24E1A0EB" w14:textId="77777777" w:rsidR="00D26D1B" w:rsidRDefault="00F20392" w:rsidP="00F20392">
      <w:r>
        <w:t>The evaluation found body weight, renal stage in AL amyloidosis, proteinuria and alkaline phosphatase were identified as significant covariates on daratumumab clearance and volume of distribution.</w:t>
      </w:r>
    </w:p>
    <w:p w14:paraId="10B53525" w14:textId="558C41E5" w:rsidR="00F20392" w:rsidRDefault="00F20392" w:rsidP="00F20392">
      <w:r>
        <w:t xml:space="preserve">Sex, age, cardiac stage, renal function, hepatic function, baseline </w:t>
      </w:r>
      <w:r w:rsidR="00E738FE" w:rsidRPr="00E738FE">
        <w:t xml:space="preserve">Eastern Cooperative Oncology Group </w:t>
      </w:r>
      <w:r w:rsidR="00E738FE">
        <w:t>(</w:t>
      </w:r>
      <w:r>
        <w:t>ECOG</w:t>
      </w:r>
      <w:r w:rsidR="00E738FE">
        <w:t>)</w:t>
      </w:r>
      <w:r>
        <w:t xml:space="preserve"> </w:t>
      </w:r>
      <w:r w:rsidR="002C3139">
        <w:t xml:space="preserve">performance </w:t>
      </w:r>
      <w:r>
        <w:t>status,</w:t>
      </w:r>
      <w:bookmarkStart w:id="40" w:name="_Ref112406303"/>
      <w:r w:rsidR="00821EAC">
        <w:rPr>
          <w:rStyle w:val="FootnoteReference"/>
        </w:rPr>
        <w:footnoteReference w:id="12"/>
      </w:r>
      <w:bookmarkEnd w:id="40"/>
      <w:r>
        <w:t xml:space="preserve"> and </w:t>
      </w:r>
      <w:r w:rsidR="00E738FE">
        <w:t>anti</w:t>
      </w:r>
      <w:r w:rsidR="00DA1AAE">
        <w:t>-r</w:t>
      </w:r>
      <w:r w:rsidR="00DA1AAE" w:rsidRPr="00DA1AAE">
        <w:t xml:space="preserve">ecombinant human PH20 </w:t>
      </w:r>
      <w:r w:rsidR="00DA1AAE" w:rsidRPr="00DA1AAE">
        <w:lastRenderedPageBreak/>
        <w:t>hyaluronidase</w:t>
      </w:r>
      <w:r w:rsidR="00E738FE">
        <w:t xml:space="preserve"> (</w:t>
      </w:r>
      <w:r>
        <w:t>anti</w:t>
      </w:r>
      <w:r w:rsidR="00D26D1B">
        <w:noBreakHyphen/>
      </w:r>
      <w:r>
        <w:t>rHuPH20</w:t>
      </w:r>
      <w:r w:rsidR="00E738FE">
        <w:t xml:space="preserve">) </w:t>
      </w:r>
      <w:r>
        <w:t>status were not identified as covariates. The evaluat</w:t>
      </w:r>
      <w:r w:rsidR="00D26D1B">
        <w:t>ion</w:t>
      </w:r>
      <w:r>
        <w:t xml:space="preserve"> did not find the influence on the exposure of daratumumab from these covariates statistically significant or clinically relevant.</w:t>
      </w:r>
    </w:p>
    <w:p w14:paraId="12C474C2" w14:textId="4CF3F28D" w:rsidR="00F20392" w:rsidRDefault="00F20392" w:rsidP="00F20392">
      <w:r>
        <w:t xml:space="preserve">Flat dosing of 1800 mg resulted in a 37% higher </w:t>
      </w:r>
      <w:r w:rsidR="00416972">
        <w:t>m</w:t>
      </w:r>
      <w:r w:rsidR="00416972">
        <w:rPr>
          <w:rFonts w:cs="Calibri"/>
          <w:color w:val="000000"/>
        </w:rPr>
        <w:t>aximum plasma c</w:t>
      </w:r>
      <w:r w:rsidR="00416972" w:rsidRPr="002B01B1">
        <w:rPr>
          <w:rFonts w:cs="Calibri"/>
          <w:color w:val="000000"/>
        </w:rPr>
        <w:t>oncentration</w:t>
      </w:r>
      <w:r w:rsidR="00416972" w:rsidRPr="003D788B">
        <w:t xml:space="preserve"> </w:t>
      </w:r>
      <w:r w:rsidR="00416972">
        <w:t>(</w:t>
      </w:r>
      <w:r>
        <w:t>C</w:t>
      </w:r>
      <w:r w:rsidRPr="0021372A">
        <w:rPr>
          <w:vertAlign w:val="subscript"/>
        </w:rPr>
        <w:t>max</w:t>
      </w:r>
      <w:r w:rsidR="00416972" w:rsidRPr="00171F46">
        <w:t>)</w:t>
      </w:r>
      <w:r>
        <w:t xml:space="preserve"> in patients with a body weight &lt; 50 kg, and a 23% lower </w:t>
      </w:r>
      <w:r w:rsidR="00821EAC">
        <w:t>trough concentration (</w:t>
      </w:r>
      <w:r>
        <w:t>C</w:t>
      </w:r>
      <w:r w:rsidRPr="0021372A">
        <w:rPr>
          <w:vertAlign w:val="subscript"/>
        </w:rPr>
        <w:t>trough</w:t>
      </w:r>
      <w:r w:rsidR="00821EAC">
        <w:t>),</w:t>
      </w:r>
      <w:r>
        <w:t xml:space="preserve"> max</w:t>
      </w:r>
      <w:r w:rsidR="003259E6">
        <w:t>imum</w:t>
      </w:r>
      <w:r>
        <w:t xml:space="preserve"> in patients with baseline body weight &gt; 85 kg compared with patients in the body weight range of 50 to ≤</w:t>
      </w:r>
      <w:r w:rsidR="00821EAC">
        <w:t> </w:t>
      </w:r>
      <w:r>
        <w:t>85 kg.</w:t>
      </w:r>
    </w:p>
    <w:p w14:paraId="15BFDF51" w14:textId="18529507" w:rsidR="00F20392" w:rsidRDefault="00F20392" w:rsidP="00F20392">
      <w:r>
        <w:t>An exposure</w:t>
      </w:r>
      <w:r w:rsidR="00D26D1B">
        <w:noBreakHyphen/>
      </w:r>
      <w:r>
        <w:t>response analysis for efficacy did not find any meaningful differences in haematological response in patients at the extremes of body weight. In an exposure</w:t>
      </w:r>
      <w:r w:rsidR="00D26D1B">
        <w:noBreakHyphen/>
      </w:r>
      <w:r>
        <w:t>response analysis for safety</w:t>
      </w:r>
      <w:r w:rsidR="00D26D1B">
        <w:t>,</w:t>
      </w:r>
      <w:r>
        <w:t xml:space="preserve"> lower body weigh was associated with a higher incidence of any grade</w:t>
      </w:r>
      <w:r w:rsidR="00D26D1B">
        <w:t>,</w:t>
      </w:r>
      <w:r>
        <w:t xml:space="preserve"> and </w:t>
      </w:r>
      <w:r w:rsidR="00821EAC">
        <w:t>G</w:t>
      </w:r>
      <w:r>
        <w:t>rade 3</w:t>
      </w:r>
      <w:r w:rsidR="00D41009">
        <w:t xml:space="preserve"> to </w:t>
      </w:r>
      <w:r>
        <w:t xml:space="preserve">4 neutropenia and thrombocytopenia but </w:t>
      </w:r>
      <w:r w:rsidR="00D26D1B">
        <w:t xml:space="preserve">no </w:t>
      </w:r>
      <w:r>
        <w:t>influence of body weight on cardiac and renal disorders</w:t>
      </w:r>
      <w:r w:rsidR="00D26D1B">
        <w:t xml:space="preserve"> was found</w:t>
      </w:r>
      <w:r>
        <w:t>.</w:t>
      </w:r>
    </w:p>
    <w:p w14:paraId="7CE6D9AC" w14:textId="36B1BF7D" w:rsidR="00F20392" w:rsidRDefault="00F20392" w:rsidP="00F20392">
      <w:r>
        <w:t>Few AL amyloid</w:t>
      </w:r>
      <w:r w:rsidR="00D26D1B">
        <w:t>osis</w:t>
      </w:r>
      <w:r>
        <w:t xml:space="preserve"> patients who were non-White contributed to the </w:t>
      </w:r>
      <w:r w:rsidR="00416972">
        <w:t xml:space="preserve">population pharmacokinetic </w:t>
      </w:r>
      <w:r>
        <w:t xml:space="preserve">data in AL amyloidosis. </w:t>
      </w:r>
      <w:r w:rsidR="00D26D1B">
        <w:t>The evaluation</w:t>
      </w:r>
      <w:r>
        <w:t xml:space="preserve"> noted that from the data available there appeared higher exposures and a higher incidence of adverse events in these groups compared to White patients.</w:t>
      </w:r>
    </w:p>
    <w:p w14:paraId="3F39A4FA" w14:textId="5C0BE61D" w:rsidR="00F20392" w:rsidRDefault="00F20392" w:rsidP="00F20392">
      <w:r>
        <w:t>The evaluat</w:t>
      </w:r>
      <w:r w:rsidR="00D26D1B">
        <w:t>ion</w:t>
      </w:r>
      <w:r>
        <w:t xml:space="preserve"> considered the impact of body weight on safety and efficacy, however only </w:t>
      </w:r>
      <w:r w:rsidR="00821EAC">
        <w:t>nine</w:t>
      </w:r>
      <w:r>
        <w:t xml:space="preserve"> patients with evaluable data had a body weight &lt; 50 kg. In those patients, there was a higher risk of neutropenia and thrombocytopenia, but not cardiac and renal disorders in patients with patients with body weight &lt; 50 kg. In those &gt;</w:t>
      </w:r>
      <w:r w:rsidR="00821EAC">
        <w:t> </w:t>
      </w:r>
      <w:r>
        <w:t>85 kg</w:t>
      </w:r>
      <w:r w:rsidR="00D26D1B">
        <w:t>,</w:t>
      </w:r>
      <w:r>
        <w:t xml:space="preserve"> efficacy was not compromised.</w:t>
      </w:r>
    </w:p>
    <w:p w14:paraId="217AF0A6" w14:textId="7AF743C7" w:rsidR="00F20392" w:rsidRDefault="00F20392" w:rsidP="00F20392">
      <w:r>
        <w:t>After a detailed analysis</w:t>
      </w:r>
      <w:r w:rsidR="00D26D1B">
        <w:t xml:space="preserve">, the TGA evaluation </w:t>
      </w:r>
      <w:r>
        <w:t>concluded renal stage did not alter exposure in a clinically meaningful way and that dose adjustment based on renal stage was not warranted.</w:t>
      </w:r>
    </w:p>
    <w:p w14:paraId="046EE461" w14:textId="1B380217" w:rsidR="00F20392" w:rsidRPr="00F95DEE" w:rsidRDefault="00F20392" w:rsidP="00294DE9">
      <w:pPr>
        <w:pStyle w:val="Heading5"/>
      </w:pPr>
      <w:r>
        <w:t>Immunogenicity</w:t>
      </w:r>
    </w:p>
    <w:p w14:paraId="2D3C0913" w14:textId="699488F8" w:rsidR="00F20392" w:rsidRPr="00670BEC" w:rsidRDefault="00F20392" w:rsidP="00F20392">
      <w:r>
        <w:t xml:space="preserve">Daratumumab anti-drug antibodies (ADAs) were not found in </w:t>
      </w:r>
      <w:r w:rsidR="00D26D1B">
        <w:t>the key Phase III Study</w:t>
      </w:r>
      <w:r w:rsidR="00223DDB">
        <w:t> </w:t>
      </w:r>
      <w:r w:rsidR="00D26D1B">
        <w:t>AMY3001 (</w:t>
      </w:r>
      <w:r w:rsidR="002C3139">
        <w:t xml:space="preserve">the Andromeda </w:t>
      </w:r>
      <w:r w:rsidR="00D070A2">
        <w:t>trial</w:t>
      </w:r>
      <w:r w:rsidR="00D26D1B">
        <w:t>)</w:t>
      </w:r>
      <w:r>
        <w:t xml:space="preserve"> population and anti</w:t>
      </w:r>
      <w:r w:rsidR="00D070A2">
        <w:t>-</w:t>
      </w:r>
      <w:r>
        <w:t>rHuPH20</w:t>
      </w:r>
      <w:r w:rsidR="00D26D1B">
        <w:t xml:space="preserve"> antibodies</w:t>
      </w:r>
      <w:r>
        <w:t xml:space="preserve"> were found in 6.1% of patients. ADAs to hyaluronidase did not </w:t>
      </w:r>
      <w:r w:rsidR="00D26D1B">
        <w:t>affect</w:t>
      </w:r>
      <w:r>
        <w:t xml:space="preserve"> daratumumab exposure.</w:t>
      </w:r>
    </w:p>
    <w:p w14:paraId="7334DB57" w14:textId="03F92235" w:rsidR="00F20392" w:rsidRDefault="00F20392" w:rsidP="00F20392">
      <w:pPr>
        <w:pStyle w:val="Heading4"/>
      </w:pPr>
      <w:r w:rsidRPr="00AA53F4">
        <w:t>Efficacy</w:t>
      </w:r>
    </w:p>
    <w:p w14:paraId="4DCF96B6" w14:textId="4458D065" w:rsidR="00F20392" w:rsidRDefault="00D070A2" w:rsidP="008D0C14">
      <w:pPr>
        <w:keepNext/>
      </w:pPr>
      <w:r>
        <w:t xml:space="preserve">Study </w:t>
      </w:r>
      <w:r w:rsidR="00F20392">
        <w:t>AMY3001</w:t>
      </w:r>
      <w:r w:rsidR="00D26D1B">
        <w:t xml:space="preserve"> (also referred to as the </w:t>
      </w:r>
      <w:r w:rsidR="002C3139">
        <w:t xml:space="preserve">Andromeda </w:t>
      </w:r>
      <w:r w:rsidR="00D26D1B">
        <w:t>trial)</w:t>
      </w:r>
      <w:r w:rsidR="00F20392">
        <w:t xml:space="preserve"> was a </w:t>
      </w:r>
      <w:r w:rsidR="00171F46">
        <w:t>P</w:t>
      </w:r>
      <w:r w:rsidR="00F20392">
        <w:t xml:space="preserve">hase </w:t>
      </w:r>
      <w:r>
        <w:t>III</w:t>
      </w:r>
      <w:r w:rsidR="00F20392">
        <w:t xml:space="preserve"> multicentre, multinational, open</w:t>
      </w:r>
      <w:r w:rsidR="0097420E">
        <w:t xml:space="preserve"> </w:t>
      </w:r>
      <w:r w:rsidR="00F20392">
        <w:t>label, randomised study that randomised 388 patients with newly diagnosed AL amyloidosis that compared</w:t>
      </w:r>
      <w:r w:rsidR="00D26D1B">
        <w:t xml:space="preserve"> the addition of </w:t>
      </w:r>
      <w:r w:rsidR="00F20392">
        <w:t>Darzalex SC</w:t>
      </w:r>
      <w:r w:rsidR="00D26D1B">
        <w:t xml:space="preserve"> to CyBorD multidrug </w:t>
      </w:r>
      <w:r w:rsidR="00D26D1B">
        <w:lastRenderedPageBreak/>
        <w:t xml:space="preserve">therapy (CyBorD being </w:t>
      </w:r>
      <w:r w:rsidR="00751998">
        <w:t>bo</w:t>
      </w:r>
      <w:r w:rsidR="00F620D2">
        <w:t xml:space="preserve">rtezomib, </w:t>
      </w:r>
      <w:r w:rsidR="008D0C14">
        <w:t>cyclophosphamide and dexamethasone</w:t>
      </w:r>
      <w:r w:rsidR="00F620D2">
        <w:t xml:space="preserve"> multidrug therapy</w:t>
      </w:r>
      <w:r w:rsidR="00D26D1B">
        <w:t>)</w:t>
      </w:r>
      <w:r w:rsidR="008D0C14">
        <w:t xml:space="preserve"> </w:t>
      </w:r>
      <w:r w:rsidR="00D26D1B">
        <w:t xml:space="preserve">compared to treatment with </w:t>
      </w:r>
      <w:r w:rsidR="008D0C14" w:rsidRPr="008D0C14">
        <w:t>CyBorD</w:t>
      </w:r>
      <w:r w:rsidR="008D0C14">
        <w:t xml:space="preserve"> </w:t>
      </w:r>
      <w:r w:rsidR="00F620D2">
        <w:t xml:space="preserve">therapy </w:t>
      </w:r>
      <w:r w:rsidR="008D0C14">
        <w:t>alone.</w:t>
      </w:r>
      <w:r w:rsidR="00F620D2">
        <w:rPr>
          <w:rStyle w:val="FootnoteReference"/>
        </w:rPr>
        <w:footnoteReference w:id="13"/>
      </w:r>
    </w:p>
    <w:p w14:paraId="2F95497E" w14:textId="4D43B139" w:rsidR="0097420E" w:rsidRDefault="002C3139" w:rsidP="00E43A97">
      <w:pPr>
        <w:pStyle w:val="Heading5"/>
      </w:pPr>
      <w:r>
        <w:t>Study AMY3001 (Andromeda trial)</w:t>
      </w:r>
    </w:p>
    <w:p w14:paraId="70888ECC" w14:textId="77777777" w:rsidR="002C3139" w:rsidRDefault="002C3139" w:rsidP="0097420E">
      <w:r>
        <w:t>The first patient first visit was on</w:t>
      </w:r>
      <w:r w:rsidR="0097420E">
        <w:t xml:space="preserve"> 10 October 2017, </w:t>
      </w:r>
      <w:r>
        <w:t xml:space="preserve">with the </w:t>
      </w:r>
      <w:r w:rsidR="0097420E">
        <w:t>data cut</w:t>
      </w:r>
      <w:r w:rsidR="003259E6">
        <w:t>-</w:t>
      </w:r>
      <w:r>
        <w:t>off date for this analysis being 14 February 2020.</w:t>
      </w:r>
    </w:p>
    <w:p w14:paraId="61A826E0" w14:textId="77777777" w:rsidR="002C3139" w:rsidRDefault="002C3139" w:rsidP="0097420E">
      <w:r>
        <w:t>The c</w:t>
      </w:r>
      <w:r w:rsidR="0097420E">
        <w:t xml:space="preserve">linical </w:t>
      </w:r>
      <w:r w:rsidR="00687073">
        <w:t>s</w:t>
      </w:r>
      <w:r w:rsidR="0097420E">
        <w:t xml:space="preserve">tudy </w:t>
      </w:r>
      <w:r w:rsidR="00687073">
        <w:t>r</w:t>
      </w:r>
      <w:r>
        <w:t>eport date was 18 August 2020.</w:t>
      </w:r>
    </w:p>
    <w:p w14:paraId="6918E6FB" w14:textId="298B0290" w:rsidR="0097420E" w:rsidRDefault="002C3139" w:rsidP="0097420E">
      <w:r>
        <w:t xml:space="preserve">Study AMY3001 was conducted at </w:t>
      </w:r>
      <w:r w:rsidR="0097420E">
        <w:t>140 sites acros</w:t>
      </w:r>
      <w:r>
        <w:t>s 22 </w:t>
      </w:r>
      <w:r w:rsidR="0097420E">
        <w:t>countries.</w:t>
      </w:r>
    </w:p>
    <w:p w14:paraId="06229A79" w14:textId="7AAF7AA7" w:rsidR="0097420E" w:rsidRDefault="0097420E" w:rsidP="00E43A97">
      <w:pPr>
        <w:pStyle w:val="FigureTitle"/>
      </w:pPr>
      <w:r w:rsidRPr="0097420E">
        <w:t xml:space="preserve">Figure </w:t>
      </w:r>
      <w:r w:rsidR="006232AC">
        <w:fldChar w:fldCharType="begin"/>
      </w:r>
      <w:r w:rsidR="006232AC">
        <w:instrText xml:space="preserve"> SEQ Figure \* ARABIC </w:instrText>
      </w:r>
      <w:r w:rsidR="006232AC">
        <w:fldChar w:fldCharType="separate"/>
      </w:r>
      <w:r w:rsidRPr="00E43A97">
        <w:t>1</w:t>
      </w:r>
      <w:r w:rsidR="006232AC">
        <w:fldChar w:fldCharType="end"/>
      </w:r>
      <w:r>
        <w:t xml:space="preserve">: </w:t>
      </w:r>
      <w:r w:rsidR="002C3139">
        <w:t>Study AMY3001 (</w:t>
      </w:r>
      <w:r>
        <w:t>ANDROMEDA trial</w:t>
      </w:r>
      <w:r w:rsidR="002C3139">
        <w:t>)</w:t>
      </w:r>
      <w:r>
        <w:t xml:space="preserve"> design</w:t>
      </w:r>
    </w:p>
    <w:p w14:paraId="28400938" w14:textId="0B3DB899" w:rsidR="0097420E" w:rsidRDefault="0097420E" w:rsidP="0097420E">
      <w:r w:rsidRPr="00F20392">
        <w:rPr>
          <w:noProof/>
          <w:sz w:val="20"/>
          <w:szCs w:val="20"/>
          <w:lang w:val="en-GB" w:eastAsia="en-GB"/>
        </w:rPr>
        <w:drawing>
          <wp:inline distT="0" distB="0" distL="0" distR="0" wp14:anchorId="2E171456" wp14:editId="3B5B5C4E">
            <wp:extent cx="5400040" cy="2287284"/>
            <wp:effectExtent l="0" t="0" r="0" b="0"/>
            <wp:docPr id="2" name="Picture 2" descr="ANDROMEDA trial design&#10;Patients with newly diagnosed AL-amyloidosis are stratified by cardiac stage, countries that offer transplant (Arm A or Arm B) and renal function. A total of 193 patients are randomised to Arm A (CyBorD) and 195 patients are randomised to Arm B (Dara SC + CyBorD). The treatment duration for Arm A and B is 6 cycles (24 weeks). Arm A will be observed until MOD_PFS, while Arm B will be observed till Dara Q4 until MOD_PFS (a maximum of 2 years).&#10;&#10;Daratumumab dosing: 1800 mg SC. Weekly for 8 weeks (2 cycles), then every 2 weeks for 4 cycles and every 4 weeks thereaaf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NDROMEDA trial design&#10;Patients with newly diagnosed AL-amyloidosis are stratified by cardiac stage, countries that offer transplant (Arm A or Arm B) and renal function. A total of 193 patients are randomised to Arm A (CyBorD) and 195 patients are randomised to Arm B (Dara SC + CyBorD). The treatment duration for Arm A and B is 6 cycles (24 weeks). Arm A will be observed until MOD_PFS, while Arm B will be observed till Dara Q4 until MOD_PFS (a maximum of 2 years).&#10;&#10;Daratumumab dosing: 1800 mg SC. Weekly for 8 weeks (2 cycles), then every 2 weeks for 4 cycles and every 4 weeks thereaafte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400040" cy="2287284"/>
                    </a:xfrm>
                    <a:prstGeom prst="rect">
                      <a:avLst/>
                    </a:prstGeom>
                    <a:noFill/>
                    <a:ln>
                      <a:noFill/>
                    </a:ln>
                  </pic:spPr>
                </pic:pic>
              </a:graphicData>
            </a:graphic>
          </wp:inline>
        </w:drawing>
      </w:r>
    </w:p>
    <w:p w14:paraId="59DF8592" w14:textId="51B9C186" w:rsidR="002C3139" w:rsidRDefault="002C3139" w:rsidP="00870FE6">
      <w:pPr>
        <w:pStyle w:val="FigureDescription"/>
      </w:pPr>
      <w:r>
        <w:t xml:space="preserve">Abbreviations: AL-amyloidosis: amyloid light-chain amyloidosis; </w:t>
      </w:r>
      <w:proofErr w:type="spellStart"/>
      <w:r w:rsidR="00870FE6">
        <w:t>CrCl</w:t>
      </w:r>
      <w:proofErr w:type="spellEnd"/>
      <w:r w:rsidR="00870FE6">
        <w:t xml:space="preserve"> = creatinine clearance; Dara = daratumumab; </w:t>
      </w:r>
      <w:r>
        <w:t xml:space="preserve">ECOG = Eastern </w:t>
      </w:r>
      <w:r w:rsidR="00870FE6">
        <w:t xml:space="preserve">Cooperative Oncology Group; HemCR = overall haematologic complete response; </w:t>
      </w:r>
      <w:r>
        <w:t xml:space="preserve">MOD-PFS = major organ deterioration progression-free survival; </w:t>
      </w:r>
      <w:r w:rsidR="00870FE6">
        <w:t>OS = overall survival; Q4 = every four; SC = subcutaneous.</w:t>
      </w:r>
    </w:p>
    <w:p w14:paraId="3BEF9C93" w14:textId="1F84F19F" w:rsidR="00870FE6" w:rsidRDefault="00870FE6" w:rsidP="00870FE6">
      <w:pPr>
        <w:pStyle w:val="FigureDescription"/>
      </w:pPr>
      <w:r>
        <w:t>CyBorD refers to</w:t>
      </w:r>
      <w:r w:rsidR="009C07FB">
        <w:t xml:space="preserve"> </w:t>
      </w:r>
      <w:r>
        <w:t>cyclophosphamide, bortezomib and dexamethasone combination therapy</w:t>
      </w:r>
      <w:r w:rsidR="009C07FB">
        <w:t xml:space="preserve"> (also known as VCd)</w:t>
      </w:r>
      <w:r>
        <w:t>.</w:t>
      </w:r>
    </w:p>
    <w:p w14:paraId="7AB61F09" w14:textId="4FB1D4DF" w:rsidR="0097420E" w:rsidRDefault="0097420E" w:rsidP="00E43A97">
      <w:r>
        <w:t xml:space="preserve">A total </w:t>
      </w:r>
      <w:r w:rsidRPr="001066A6">
        <w:t>388</w:t>
      </w:r>
      <w:r>
        <w:t xml:space="preserve"> patients </w:t>
      </w:r>
      <w:r w:rsidR="00870FE6">
        <w:t>were</w:t>
      </w:r>
      <w:r w:rsidRPr="001066A6">
        <w:t xml:space="preserve"> randomised</w:t>
      </w:r>
      <w:r>
        <w:t xml:space="preserve">. </w:t>
      </w:r>
      <w:r w:rsidRPr="001066A6">
        <w:t>Enrolment</w:t>
      </w:r>
      <w:r>
        <w:t xml:space="preserve"> was</w:t>
      </w:r>
      <w:r w:rsidRPr="001066A6">
        <w:t xml:space="preserve"> stratified by </w:t>
      </w:r>
      <w:r w:rsidR="00870FE6">
        <w:t xml:space="preserve">the </w:t>
      </w:r>
      <w:r w:rsidRPr="001066A6">
        <w:t xml:space="preserve">European Modification of </w:t>
      </w:r>
      <w:r w:rsidR="009C07FB">
        <w:t xml:space="preserve">the </w:t>
      </w:r>
      <w:r w:rsidRPr="001066A6">
        <w:t>Mayo Cardi</w:t>
      </w:r>
      <w:r w:rsidR="00AE4068">
        <w:t>ac</w:t>
      </w:r>
      <w:r w:rsidR="00870FE6">
        <w:t xml:space="preserve"> Staging system;</w:t>
      </w:r>
      <w:r w:rsidR="00AE4068">
        <w:rPr>
          <w:rStyle w:val="FootnoteReference"/>
        </w:rPr>
        <w:footnoteReference w:id="14"/>
      </w:r>
      <w:r w:rsidRPr="001066A6">
        <w:t xml:space="preserve"> </w:t>
      </w:r>
      <w:r w:rsidR="00870FE6">
        <w:t>by the countries</w:t>
      </w:r>
      <w:r w:rsidRPr="001066A6">
        <w:t xml:space="preserve"> that offer </w:t>
      </w:r>
      <w:r w:rsidR="00870FE6">
        <w:t>transplant for AL amyloidosis (yes versus no</w:t>
      </w:r>
      <w:r w:rsidRPr="001066A6">
        <w:t>) and baseline creatinine clearance (&lt;</w:t>
      </w:r>
      <w:r w:rsidR="006710F3">
        <w:t xml:space="preserve"> </w:t>
      </w:r>
      <w:r w:rsidR="00870FE6">
        <w:t>60 mL/min versus ≥ </w:t>
      </w:r>
      <w:r w:rsidRPr="001066A6">
        <w:t xml:space="preserve">60 </w:t>
      </w:r>
      <w:r w:rsidRPr="000D18F5">
        <w:t>mL/min)</w:t>
      </w:r>
      <w:r w:rsidR="001066A6">
        <w:t xml:space="preserve">. </w:t>
      </w:r>
      <w:r w:rsidRPr="001066A6">
        <w:t xml:space="preserve">Treatment </w:t>
      </w:r>
      <w:r w:rsidR="00870FE6">
        <w:t>ran</w:t>
      </w:r>
      <w:r w:rsidR="001066A6">
        <w:t xml:space="preserve"> </w:t>
      </w:r>
      <w:r w:rsidRPr="001066A6">
        <w:t xml:space="preserve">in </w:t>
      </w:r>
      <w:r w:rsidR="007804A1">
        <w:t>4-week (</w:t>
      </w:r>
      <w:r w:rsidRPr="001066A6">
        <w:t>28 day</w:t>
      </w:r>
      <w:r w:rsidR="007804A1">
        <w:t>)</w:t>
      </w:r>
      <w:r w:rsidRPr="001066A6">
        <w:t xml:space="preserve"> cycles</w:t>
      </w:r>
      <w:r w:rsidR="007804A1">
        <w:t>, for 6 full cycles (24 weeks total).</w:t>
      </w:r>
    </w:p>
    <w:p w14:paraId="616679C8" w14:textId="337CD798" w:rsidR="00870FE6" w:rsidRPr="001066A6" w:rsidRDefault="00870FE6" w:rsidP="00E43A97">
      <w:r>
        <w:t>The treatment arms were as follows:</w:t>
      </w:r>
    </w:p>
    <w:p w14:paraId="30BDEE28" w14:textId="18823086" w:rsidR="00870FE6" w:rsidRDefault="00751998" w:rsidP="00870FE6">
      <w:pPr>
        <w:pStyle w:val="ListBullet"/>
      </w:pPr>
      <w:r>
        <w:t>Daratumumab</w:t>
      </w:r>
      <w:r w:rsidR="006710F3">
        <w:t xml:space="preserve"> </w:t>
      </w:r>
      <w:r w:rsidR="0097420E">
        <w:t>+</w:t>
      </w:r>
      <w:r w:rsidR="006710F3">
        <w:t xml:space="preserve"> </w:t>
      </w:r>
      <w:r w:rsidR="00870FE6">
        <w:t>CyBorD</w:t>
      </w:r>
      <w:r w:rsidR="007804A1">
        <w:t xml:space="preserve"> arm</w:t>
      </w:r>
      <w:r w:rsidR="00870FE6">
        <w:t xml:space="preserve"> (daratumumab + cyclophosphamide, bortezomib and dexamethasone combination therapy)</w:t>
      </w:r>
    </w:p>
    <w:p w14:paraId="68E75D15" w14:textId="0CBBEFB6" w:rsidR="00870FE6" w:rsidRDefault="00870FE6" w:rsidP="00870FE6">
      <w:pPr>
        <w:pStyle w:val="ListBullet2"/>
      </w:pPr>
      <w:r>
        <w:t>Daratumumab</w:t>
      </w:r>
      <w:r w:rsidR="007804A1">
        <w:t xml:space="preserve"> dosing</w:t>
      </w:r>
      <w:r>
        <w:t>:</w:t>
      </w:r>
    </w:p>
    <w:p w14:paraId="2A127829" w14:textId="2C45BFE4" w:rsidR="00870FE6" w:rsidRDefault="007804A1" w:rsidP="00870FE6">
      <w:pPr>
        <w:pStyle w:val="ListBullet3"/>
      </w:pPr>
      <w:r>
        <w:t>d</w:t>
      </w:r>
      <w:r w:rsidR="00870FE6">
        <w:t xml:space="preserve">aratumumab </w:t>
      </w:r>
      <w:r w:rsidR="0097420E" w:rsidRPr="00F20392">
        <w:t xml:space="preserve">1800 mg </w:t>
      </w:r>
      <w:r w:rsidR="00870FE6">
        <w:t xml:space="preserve">given </w:t>
      </w:r>
      <w:r w:rsidR="0097420E">
        <w:t xml:space="preserve">subcutaneous every week </w:t>
      </w:r>
      <w:r w:rsidR="0097420E" w:rsidRPr="00F20392">
        <w:t>for 8 weeks (</w:t>
      </w:r>
      <w:r w:rsidR="00870FE6">
        <w:t>for 2 x 4 week cycles); then</w:t>
      </w:r>
    </w:p>
    <w:p w14:paraId="66AA9531" w14:textId="77777777" w:rsidR="00870FE6" w:rsidRDefault="0097420E" w:rsidP="00870FE6">
      <w:pPr>
        <w:pStyle w:val="ListBullet3"/>
      </w:pPr>
      <w:r>
        <w:t xml:space="preserve">every two weeks </w:t>
      </w:r>
      <w:r w:rsidRPr="00F20392">
        <w:t xml:space="preserve">for 4 </w:t>
      </w:r>
      <w:r w:rsidR="00870FE6">
        <w:t>x 4-week cycles; then</w:t>
      </w:r>
    </w:p>
    <w:p w14:paraId="7DDF3467" w14:textId="77777777" w:rsidR="00870FE6" w:rsidRDefault="0097420E" w:rsidP="00870FE6">
      <w:pPr>
        <w:pStyle w:val="ListBullet3"/>
      </w:pPr>
      <w:r>
        <w:t xml:space="preserve">every four weeks </w:t>
      </w:r>
      <w:r w:rsidR="00870FE6">
        <w:t>until</w:t>
      </w:r>
      <w:r w:rsidRPr="00F20392">
        <w:t xml:space="preserve"> first of disease progression, start of subsequent therapy</w:t>
      </w:r>
      <w:r w:rsidR="00870FE6">
        <w:t>,</w:t>
      </w:r>
      <w:r w:rsidRPr="00F20392">
        <w:t xml:space="preserve"> or 2 years from treatment commencement</w:t>
      </w:r>
    </w:p>
    <w:p w14:paraId="1C34CB40" w14:textId="73F256DA" w:rsidR="007804A1" w:rsidRDefault="007804A1" w:rsidP="00870FE6">
      <w:pPr>
        <w:pStyle w:val="ListBullet2"/>
      </w:pPr>
      <w:r>
        <w:lastRenderedPageBreak/>
        <w:t>CyBorD dosing:</w:t>
      </w:r>
    </w:p>
    <w:p w14:paraId="79AF1E68" w14:textId="00C8D765" w:rsidR="007804A1" w:rsidRDefault="007804A1" w:rsidP="007804A1">
      <w:pPr>
        <w:pStyle w:val="ListBullet3"/>
      </w:pPr>
      <w:r>
        <w:t>d</w:t>
      </w:r>
      <w:r w:rsidRPr="00F20392">
        <w:t xml:space="preserve">examethasone 40 mg </w:t>
      </w:r>
      <w:r>
        <w:t>every week</w:t>
      </w:r>
      <w:r w:rsidRPr="00F20392">
        <w:t xml:space="preserve"> (Day</w:t>
      </w:r>
      <w:r>
        <w:t>s</w:t>
      </w:r>
      <w:r w:rsidRPr="00F20392">
        <w:t xml:space="preserve"> 1</w:t>
      </w:r>
      <w:r>
        <w:t>, 8, 15, and 22</w:t>
      </w:r>
      <w:r w:rsidRPr="00F20392">
        <w:t xml:space="preserve"> of </w:t>
      </w:r>
      <w:r>
        <w:t xml:space="preserve">a </w:t>
      </w:r>
      <w:r w:rsidRPr="00F20392">
        <w:t>cycle) or divided into 2 days</w:t>
      </w:r>
      <w:r>
        <w:t>; plus</w:t>
      </w:r>
    </w:p>
    <w:p w14:paraId="4E2E7E3B" w14:textId="153C8F56" w:rsidR="007804A1" w:rsidRDefault="007804A1" w:rsidP="007804A1">
      <w:pPr>
        <w:pStyle w:val="ListBullet3"/>
      </w:pPr>
      <w:r w:rsidRPr="00F20392">
        <w:t>cyclophosphamide 300 mg/m</w:t>
      </w:r>
      <w:r w:rsidRPr="00F20392">
        <w:rPr>
          <w:vertAlign w:val="superscript"/>
        </w:rPr>
        <w:t>2</w:t>
      </w:r>
      <w:r w:rsidRPr="00F20392">
        <w:t xml:space="preserve"> (max 500 mg</w:t>
      </w:r>
      <w:r>
        <w:t xml:space="preserve"> oral or intravenously); plus</w:t>
      </w:r>
    </w:p>
    <w:p w14:paraId="68AD8069" w14:textId="79DF6B62" w:rsidR="007804A1" w:rsidRPr="00F20392" w:rsidRDefault="007804A1" w:rsidP="00AC11DC">
      <w:pPr>
        <w:pStyle w:val="ListBullet3"/>
      </w:pPr>
      <w:r w:rsidRPr="00F20392">
        <w:t>bortezomib 1.3 mg/m</w:t>
      </w:r>
      <w:r w:rsidRPr="007804A1">
        <w:rPr>
          <w:vertAlign w:val="superscript"/>
        </w:rPr>
        <w:t xml:space="preserve">2 </w:t>
      </w:r>
      <w:r>
        <w:t>subcutaneously (</w:t>
      </w:r>
      <w:r w:rsidRPr="00F20392">
        <w:t>Day 1</w:t>
      </w:r>
      <w:r>
        <w:t>, 8, 15, and 22</w:t>
      </w:r>
      <w:r w:rsidRPr="00F20392">
        <w:t xml:space="preserve"> of </w:t>
      </w:r>
      <w:r>
        <w:t>a cycle).</w:t>
      </w:r>
    </w:p>
    <w:p w14:paraId="3EE4E43D" w14:textId="795FE905" w:rsidR="007804A1" w:rsidRDefault="0097420E" w:rsidP="007804A1">
      <w:pPr>
        <w:pStyle w:val="ListBullet"/>
      </w:pPr>
      <w:r w:rsidRPr="00F20392">
        <w:t>CyBorD</w:t>
      </w:r>
      <w:r w:rsidR="007804A1">
        <w:t xml:space="preserve"> only arm (cyclophosphamide, bortezomib and dexamethasone combination therapy).</w:t>
      </w:r>
    </w:p>
    <w:p w14:paraId="31D31B90" w14:textId="08AA4C97" w:rsidR="0097420E" w:rsidRPr="00F20392" w:rsidRDefault="007804A1" w:rsidP="007804A1">
      <w:pPr>
        <w:pStyle w:val="ListBullet2"/>
      </w:pPr>
      <w:r>
        <w:t>Patients were given the same dosage regimen as detailed above (without daratumumab).</w:t>
      </w:r>
    </w:p>
    <w:p w14:paraId="1FC7004C" w14:textId="08CD4373" w:rsidR="005827FB" w:rsidRDefault="005827FB" w:rsidP="005827FB">
      <w:pPr>
        <w:pStyle w:val="Heading6"/>
      </w:pPr>
      <w:r>
        <w:t>Patient flow</w:t>
      </w:r>
    </w:p>
    <w:p w14:paraId="0AD53164" w14:textId="71067518" w:rsidR="0097420E" w:rsidRPr="00F20392" w:rsidRDefault="007804A1" w:rsidP="007804A1">
      <w:r>
        <w:t>The p</w:t>
      </w:r>
      <w:r w:rsidR="0097420E" w:rsidRPr="00F20392">
        <w:t xml:space="preserve">atient flow </w:t>
      </w:r>
      <w:r>
        <w:t xml:space="preserve">as </w:t>
      </w:r>
      <w:proofErr w:type="gramStart"/>
      <w:r>
        <w:t>at</w:t>
      </w:r>
      <w:proofErr w:type="gramEnd"/>
      <w:r w:rsidR="0097420E" w:rsidRPr="00F20392">
        <w:t xml:space="preserve"> 14 February 2020</w:t>
      </w:r>
      <w:r>
        <w:t xml:space="preserve"> was as follows</w:t>
      </w:r>
      <w:r w:rsidR="0097420E" w:rsidRPr="00F20392">
        <w:t>:</w:t>
      </w:r>
    </w:p>
    <w:p w14:paraId="5D32DC5F" w14:textId="77777777" w:rsidR="005827FB" w:rsidRDefault="005827FB" w:rsidP="007804A1">
      <w:pPr>
        <w:pStyle w:val="ListBullet"/>
      </w:pPr>
      <w:r>
        <w:t>Received allocated treatment:</w:t>
      </w:r>
    </w:p>
    <w:p w14:paraId="421561C8" w14:textId="33FBF211" w:rsidR="005827FB" w:rsidRDefault="00751998" w:rsidP="005827FB">
      <w:pPr>
        <w:pStyle w:val="ListBullet2"/>
      </w:pPr>
      <w:r>
        <w:t>Daratumumab</w:t>
      </w:r>
      <w:r w:rsidR="005827FB">
        <w:t xml:space="preserve"> + CyBorD arm: 193 of 195 patients</w:t>
      </w:r>
    </w:p>
    <w:p w14:paraId="0EBF2E8C" w14:textId="743EC39B" w:rsidR="005827FB" w:rsidRDefault="005827FB" w:rsidP="005827FB">
      <w:pPr>
        <w:pStyle w:val="ListBullet2"/>
      </w:pPr>
      <w:r>
        <w:t>CyBorD only arm: 188 of 193 patients</w:t>
      </w:r>
    </w:p>
    <w:p w14:paraId="0B5B74DA" w14:textId="0F2D4A6A" w:rsidR="005827FB" w:rsidRDefault="0097420E" w:rsidP="005827FB">
      <w:pPr>
        <w:pStyle w:val="ListBullet"/>
      </w:pPr>
      <w:r w:rsidRPr="00F20392">
        <w:t>D</w:t>
      </w:r>
      <w:r w:rsidR="005827FB">
        <w:t>iscontinued intervention:</w:t>
      </w:r>
    </w:p>
    <w:p w14:paraId="578C8FF6" w14:textId="1913A8D4" w:rsidR="005827FB" w:rsidRDefault="00751998" w:rsidP="005827FB">
      <w:pPr>
        <w:pStyle w:val="ListBullet2"/>
      </w:pPr>
      <w:r>
        <w:t xml:space="preserve">Daratumumab </w:t>
      </w:r>
      <w:r w:rsidR="005827FB">
        <w:t>+ CyBorD arm: 52 of 193 patients (26.9%)</w:t>
      </w:r>
    </w:p>
    <w:p w14:paraId="51BC255B" w14:textId="165B5210" w:rsidR="005827FB" w:rsidRDefault="005827FB" w:rsidP="005827FB">
      <w:pPr>
        <w:pStyle w:val="ListBullet2"/>
      </w:pPr>
      <w:r>
        <w:t>CyBorD only arm: 68 of 188 patients (36.2%)</w:t>
      </w:r>
    </w:p>
    <w:p w14:paraId="14192B50" w14:textId="77777777" w:rsidR="005827FB" w:rsidRPr="005827FB" w:rsidRDefault="0097420E" w:rsidP="005827FB">
      <w:pPr>
        <w:pStyle w:val="ListBullet"/>
        <w:rPr>
          <w:color w:val="12220E" w:themeColor="accent6" w:themeShade="80"/>
        </w:rPr>
      </w:pPr>
      <w:r w:rsidRPr="00F20392">
        <w:t>Disc</w:t>
      </w:r>
      <w:r w:rsidR="005827FB">
        <w:t>ontinued due to adverse events</w:t>
      </w:r>
    </w:p>
    <w:p w14:paraId="677A1A12" w14:textId="20B08663" w:rsidR="005827FB" w:rsidRPr="005827FB" w:rsidRDefault="00751998" w:rsidP="00E43A97">
      <w:pPr>
        <w:pStyle w:val="ListBullet2"/>
        <w:rPr>
          <w:color w:val="12220E" w:themeColor="accent6" w:themeShade="80"/>
        </w:rPr>
      </w:pPr>
      <w:r>
        <w:t xml:space="preserve">Daratumumab </w:t>
      </w:r>
      <w:r w:rsidR="005827FB">
        <w:t xml:space="preserve">+ CyBorD arm: </w:t>
      </w:r>
      <w:r w:rsidR="0097420E" w:rsidRPr="00F20392">
        <w:t>8</w:t>
      </w:r>
      <w:r w:rsidR="001066A6">
        <w:t xml:space="preserve"> of </w:t>
      </w:r>
      <w:r w:rsidR="0097420E" w:rsidRPr="00F20392">
        <w:t xml:space="preserve">193 </w:t>
      </w:r>
      <w:r w:rsidR="005827FB">
        <w:t>patients (4.1%)</w:t>
      </w:r>
    </w:p>
    <w:p w14:paraId="5975B587" w14:textId="0AB17533" w:rsidR="0097420E" w:rsidRPr="00F20392" w:rsidRDefault="0097420E" w:rsidP="00E43A97">
      <w:pPr>
        <w:pStyle w:val="ListBullet2"/>
        <w:rPr>
          <w:color w:val="12220E" w:themeColor="accent6" w:themeShade="80"/>
        </w:rPr>
      </w:pPr>
      <w:r w:rsidRPr="00F20392">
        <w:t>CyBorD</w:t>
      </w:r>
      <w:r w:rsidR="005827FB">
        <w:t xml:space="preserve"> only arm:</w:t>
      </w:r>
      <w:r w:rsidRPr="00F20392">
        <w:t xml:space="preserve"> 8</w:t>
      </w:r>
      <w:r w:rsidR="001066A6">
        <w:t xml:space="preserve"> of </w:t>
      </w:r>
      <w:r w:rsidR="005827FB">
        <w:t>188 patients (4.2%)</w:t>
      </w:r>
    </w:p>
    <w:p w14:paraId="64F026B8" w14:textId="7CD411D8" w:rsidR="005827FB" w:rsidRPr="005827FB" w:rsidRDefault="005827FB" w:rsidP="005827FB">
      <w:pPr>
        <w:pStyle w:val="ListBullet"/>
        <w:rPr>
          <w:color w:val="12220E" w:themeColor="accent6" w:themeShade="80"/>
        </w:rPr>
      </w:pPr>
      <w:r>
        <w:t>Discontinued due to death:</w:t>
      </w:r>
    </w:p>
    <w:p w14:paraId="78DFE269" w14:textId="02C7D28B" w:rsidR="005827FB" w:rsidRDefault="00751998" w:rsidP="005827FB">
      <w:pPr>
        <w:pStyle w:val="ListBullet2"/>
      </w:pPr>
      <w:r>
        <w:t>Daratumumab</w:t>
      </w:r>
      <w:r w:rsidR="005827FB">
        <w:t xml:space="preserve"> + CyBorD arm: </w:t>
      </w:r>
      <w:r w:rsidR="0097420E" w:rsidRPr="00F20392">
        <w:t>20</w:t>
      </w:r>
      <w:r w:rsidR="001066A6">
        <w:t xml:space="preserve"> of </w:t>
      </w:r>
      <w:r w:rsidR="0097420E" w:rsidRPr="00F20392">
        <w:t xml:space="preserve">193 </w:t>
      </w:r>
      <w:r w:rsidR="005827FB">
        <w:t xml:space="preserve">patients </w:t>
      </w:r>
      <w:r w:rsidR="0097420E" w:rsidRPr="00F20392">
        <w:t>(</w:t>
      </w:r>
      <w:r w:rsidR="002E66CB">
        <w:t>10.4</w:t>
      </w:r>
      <w:r w:rsidR="005827FB">
        <w:t>%)</w:t>
      </w:r>
    </w:p>
    <w:p w14:paraId="13C1D79C" w14:textId="41046BA9" w:rsidR="0097420E" w:rsidRPr="005827FB" w:rsidRDefault="0097420E" w:rsidP="005827FB">
      <w:pPr>
        <w:pStyle w:val="ListBullet2"/>
      </w:pPr>
      <w:r w:rsidRPr="00F20392">
        <w:t>CyBorD</w:t>
      </w:r>
      <w:r w:rsidR="005827FB">
        <w:t xml:space="preserve"> only arm:</w:t>
      </w:r>
      <w:r w:rsidRPr="00F20392">
        <w:t xml:space="preserve"> 14</w:t>
      </w:r>
      <w:r w:rsidR="001066A6">
        <w:t xml:space="preserve"> of </w:t>
      </w:r>
      <w:r w:rsidR="005827FB">
        <w:t>188 patients (7.4%)</w:t>
      </w:r>
    </w:p>
    <w:p w14:paraId="47ECEFDC" w14:textId="77777777" w:rsidR="005827FB" w:rsidRDefault="0097420E" w:rsidP="005827FB">
      <w:pPr>
        <w:pStyle w:val="ListBullet"/>
      </w:pPr>
      <w:r w:rsidRPr="00F20392">
        <w:t>Discontin</w:t>
      </w:r>
      <w:r w:rsidR="005827FB">
        <w:t>ued due to progressive disease:</w:t>
      </w:r>
    </w:p>
    <w:p w14:paraId="35BB0802" w14:textId="46E4DFD5" w:rsidR="005827FB" w:rsidRDefault="00751998" w:rsidP="005827FB">
      <w:pPr>
        <w:pStyle w:val="ListBullet2"/>
      </w:pPr>
      <w:r>
        <w:t>Daratumumab</w:t>
      </w:r>
      <w:r w:rsidR="005827FB">
        <w:t xml:space="preserve"> + CyBorD arm: </w:t>
      </w:r>
      <w:r w:rsidR="0097420E" w:rsidRPr="00F20392">
        <w:t>2</w:t>
      </w:r>
      <w:r w:rsidR="001066A6">
        <w:t xml:space="preserve"> of </w:t>
      </w:r>
      <w:r w:rsidR="005827FB">
        <w:t>193 patients (1%)</w:t>
      </w:r>
    </w:p>
    <w:p w14:paraId="0E792DCD" w14:textId="556BD734" w:rsidR="0097420E" w:rsidRPr="00F20392" w:rsidRDefault="005827FB" w:rsidP="005827FB">
      <w:pPr>
        <w:pStyle w:val="ListBullet2"/>
      </w:pPr>
      <w:r>
        <w:t xml:space="preserve">CyBorD only arm: </w:t>
      </w:r>
      <w:r w:rsidR="0097420E" w:rsidRPr="00F20392">
        <w:t>11</w:t>
      </w:r>
      <w:r w:rsidR="001066A6">
        <w:t xml:space="preserve"> </w:t>
      </w:r>
      <w:r>
        <w:t>of</w:t>
      </w:r>
      <w:r w:rsidR="001066A6">
        <w:t xml:space="preserve"> </w:t>
      </w:r>
      <w:r w:rsidR="0097420E" w:rsidRPr="00F20392">
        <w:t xml:space="preserve">188 </w:t>
      </w:r>
      <w:r>
        <w:t xml:space="preserve">patients </w:t>
      </w:r>
      <w:r w:rsidR="0097420E" w:rsidRPr="00F20392">
        <w:t>(5.</w:t>
      </w:r>
      <w:r w:rsidR="002E66CB">
        <w:t>9</w:t>
      </w:r>
      <w:r w:rsidR="0097420E" w:rsidRPr="00F20392">
        <w:t>%</w:t>
      </w:r>
      <w:r>
        <w:t>)</w:t>
      </w:r>
    </w:p>
    <w:p w14:paraId="6A1359A8" w14:textId="77777777" w:rsidR="005827FB" w:rsidRDefault="0097420E" w:rsidP="005827FB">
      <w:pPr>
        <w:pStyle w:val="ListBullet"/>
      </w:pPr>
      <w:r w:rsidRPr="00F20392">
        <w:t>Received subsequ</w:t>
      </w:r>
      <w:r w:rsidR="005827FB">
        <w:t>ent therapy for AL amyloidosis:</w:t>
      </w:r>
    </w:p>
    <w:p w14:paraId="5E1DA64B" w14:textId="252BDB28" w:rsidR="005827FB" w:rsidRDefault="00751998" w:rsidP="005827FB">
      <w:pPr>
        <w:pStyle w:val="ListBullet2"/>
      </w:pPr>
      <w:r>
        <w:t>Daratumumab</w:t>
      </w:r>
      <w:r w:rsidR="005827FB">
        <w:t xml:space="preserve"> + CyBorD arm: </w:t>
      </w:r>
      <w:r w:rsidR="0097420E" w:rsidRPr="00F20392">
        <w:t>5</w:t>
      </w:r>
      <w:r w:rsidR="001066A6">
        <w:t xml:space="preserve"> of </w:t>
      </w:r>
      <w:r w:rsidR="0097420E" w:rsidRPr="00F20392">
        <w:t xml:space="preserve">193 </w:t>
      </w:r>
      <w:r w:rsidR="005827FB">
        <w:t>patients (2.6%)</w:t>
      </w:r>
    </w:p>
    <w:p w14:paraId="59DED8CE" w14:textId="37A48308" w:rsidR="0097420E" w:rsidRPr="00F20392" w:rsidRDefault="005827FB" w:rsidP="005827FB">
      <w:pPr>
        <w:pStyle w:val="ListBullet2"/>
      </w:pPr>
      <w:r>
        <w:t xml:space="preserve">CyBorD only arm: </w:t>
      </w:r>
      <w:r w:rsidR="0097420E" w:rsidRPr="00F20392">
        <w:t>23</w:t>
      </w:r>
      <w:r w:rsidR="001066A6">
        <w:t xml:space="preserve"> of </w:t>
      </w:r>
      <w:r w:rsidR="0097420E" w:rsidRPr="00F20392">
        <w:t>188</w:t>
      </w:r>
      <w:r>
        <w:t xml:space="preserve"> patients (12.2%)</w:t>
      </w:r>
    </w:p>
    <w:p w14:paraId="08099B52" w14:textId="77777777" w:rsidR="005827FB" w:rsidRDefault="0097420E" w:rsidP="005827FB">
      <w:pPr>
        <w:pStyle w:val="ListBullet"/>
      </w:pPr>
      <w:r w:rsidRPr="00F20392">
        <w:t>Received autologous s</w:t>
      </w:r>
      <w:r w:rsidR="005827FB">
        <w:t>tem cell transplant:</w:t>
      </w:r>
    </w:p>
    <w:p w14:paraId="2004CC57" w14:textId="1E834B46" w:rsidR="005827FB" w:rsidRDefault="00751998" w:rsidP="005827FB">
      <w:pPr>
        <w:pStyle w:val="ListBullet2"/>
      </w:pPr>
      <w:r>
        <w:t xml:space="preserve">Daratumumab </w:t>
      </w:r>
      <w:r w:rsidR="005827FB">
        <w:t xml:space="preserve">+ CyBorD arm: </w:t>
      </w:r>
      <w:r w:rsidR="0097420E" w:rsidRPr="00F20392">
        <w:t>12</w:t>
      </w:r>
      <w:r w:rsidR="001066A6">
        <w:t xml:space="preserve"> of </w:t>
      </w:r>
      <w:r w:rsidR="0097420E" w:rsidRPr="00F20392">
        <w:t>193</w:t>
      </w:r>
      <w:r w:rsidR="005827FB">
        <w:t xml:space="preserve"> patients (6.2%)</w:t>
      </w:r>
    </w:p>
    <w:p w14:paraId="55302DAD" w14:textId="7201538D" w:rsidR="0097420E" w:rsidRPr="00F20392" w:rsidRDefault="005827FB" w:rsidP="005827FB">
      <w:pPr>
        <w:pStyle w:val="ListBullet2"/>
      </w:pPr>
      <w:r>
        <w:t xml:space="preserve">CyBorD arm: </w:t>
      </w:r>
      <w:r w:rsidR="0097420E" w:rsidRPr="00F20392">
        <w:t>3</w:t>
      </w:r>
      <w:r w:rsidR="001066A6">
        <w:t xml:space="preserve"> of </w:t>
      </w:r>
      <w:r>
        <w:t>188 (1.6%)</w:t>
      </w:r>
    </w:p>
    <w:p w14:paraId="029CC221" w14:textId="77777777" w:rsidR="005827FB" w:rsidRDefault="0097420E" w:rsidP="005827FB">
      <w:pPr>
        <w:pStyle w:val="ListBullet"/>
        <w:rPr>
          <w:lang w:eastAsia="en-AU"/>
        </w:rPr>
      </w:pPr>
      <w:r w:rsidRPr="00F20392">
        <w:rPr>
          <w:lang w:eastAsia="en-AU"/>
        </w:rPr>
        <w:t>Received subsequent non-cross resistant, anti-plasma cell therapy</w:t>
      </w:r>
      <w:r w:rsidR="005827FB">
        <w:rPr>
          <w:lang w:eastAsia="en-AU"/>
        </w:rPr>
        <w:t>:</w:t>
      </w:r>
    </w:p>
    <w:p w14:paraId="3F178E8A" w14:textId="6A03FC6A" w:rsidR="005827FB" w:rsidRDefault="00751998" w:rsidP="005827FB">
      <w:pPr>
        <w:pStyle w:val="ListBullet2"/>
        <w:rPr>
          <w:lang w:eastAsia="en-AU"/>
        </w:rPr>
      </w:pPr>
      <w:r>
        <w:t xml:space="preserve">Daratumumab </w:t>
      </w:r>
      <w:r w:rsidR="0097420E">
        <w:rPr>
          <w:lang w:eastAsia="en-AU"/>
        </w:rPr>
        <w:t>+</w:t>
      </w:r>
      <w:r w:rsidR="006710F3">
        <w:rPr>
          <w:lang w:eastAsia="en-AU"/>
        </w:rPr>
        <w:t xml:space="preserve"> </w:t>
      </w:r>
      <w:r w:rsidR="0097420E" w:rsidRPr="00F20392">
        <w:rPr>
          <w:lang w:eastAsia="en-AU"/>
        </w:rPr>
        <w:t xml:space="preserve">CyBorD </w:t>
      </w:r>
      <w:r w:rsidR="005827FB">
        <w:rPr>
          <w:lang w:eastAsia="en-AU"/>
        </w:rPr>
        <w:t xml:space="preserve">arm: </w:t>
      </w:r>
      <w:r w:rsidR="0097420E" w:rsidRPr="00F20392">
        <w:rPr>
          <w:lang w:eastAsia="en-AU"/>
        </w:rPr>
        <w:t>(</w:t>
      </w:r>
      <w:r w:rsidR="002E66CB">
        <w:rPr>
          <w:lang w:eastAsia="en-AU"/>
        </w:rPr>
        <w:t>9</w:t>
      </w:r>
      <w:r w:rsidR="0097420E" w:rsidRPr="00F20392">
        <w:rPr>
          <w:lang w:eastAsia="en-AU"/>
        </w:rPr>
        <w:t>.8%)</w:t>
      </w:r>
    </w:p>
    <w:p w14:paraId="257A49D9" w14:textId="35F770E2" w:rsidR="0097420E" w:rsidRDefault="005827FB" w:rsidP="005827FB">
      <w:pPr>
        <w:pStyle w:val="ListBullet2"/>
        <w:rPr>
          <w:lang w:eastAsia="en-AU"/>
        </w:rPr>
      </w:pPr>
      <w:r>
        <w:rPr>
          <w:lang w:eastAsia="en-AU"/>
        </w:rPr>
        <w:t xml:space="preserve">CyBorD only arm: </w:t>
      </w:r>
      <w:r w:rsidR="0097420E" w:rsidRPr="00F20392">
        <w:rPr>
          <w:lang w:eastAsia="en-AU"/>
        </w:rPr>
        <w:t>(4</w:t>
      </w:r>
      <w:r w:rsidR="002E66CB">
        <w:rPr>
          <w:lang w:eastAsia="en-AU"/>
        </w:rPr>
        <w:t>2</w:t>
      </w:r>
      <w:r>
        <w:rPr>
          <w:lang w:eastAsia="en-AU"/>
        </w:rPr>
        <w:t>%)</w:t>
      </w:r>
    </w:p>
    <w:p w14:paraId="1F47A0EA" w14:textId="34DB11E0" w:rsidR="001066A6" w:rsidRDefault="005827FB" w:rsidP="00E43A97">
      <w:pPr>
        <w:pStyle w:val="Heading6"/>
      </w:pPr>
      <w:r>
        <w:t>Key inclusion criteria</w:t>
      </w:r>
    </w:p>
    <w:p w14:paraId="53498183" w14:textId="63A8C4C4" w:rsidR="00223DDB" w:rsidRPr="00223DDB" w:rsidRDefault="00223DDB" w:rsidP="00223DDB">
      <w:r>
        <w:t>Key inclusion criteria were patients:</w:t>
      </w:r>
    </w:p>
    <w:p w14:paraId="19F4EB61" w14:textId="4E5F1A8B" w:rsidR="001066A6" w:rsidRDefault="001066A6" w:rsidP="00E43A97">
      <w:pPr>
        <w:pStyle w:val="ListBullet"/>
      </w:pPr>
      <w:r>
        <w:t>≥ 18 years, and with no prior therapy</w:t>
      </w:r>
    </w:p>
    <w:p w14:paraId="63F6AED2" w14:textId="1CD0605B" w:rsidR="001066A6" w:rsidRDefault="001066A6" w:rsidP="00E43A97">
      <w:pPr>
        <w:pStyle w:val="ListBullet"/>
      </w:pPr>
      <w:r>
        <w:lastRenderedPageBreak/>
        <w:t xml:space="preserve">≥ 1 organ impacted </w:t>
      </w:r>
    </w:p>
    <w:p w14:paraId="099D8C2E" w14:textId="726ADD84" w:rsidR="001066A6" w:rsidRDefault="001066A6" w:rsidP="00E43A97">
      <w:pPr>
        <w:pStyle w:val="ListBullet"/>
      </w:pPr>
      <w:r>
        <w:t>Histopathologic diagnosis of systemic AL amyloidosis</w:t>
      </w:r>
    </w:p>
    <w:p w14:paraId="7C1764AC" w14:textId="44A971D1" w:rsidR="001066A6" w:rsidRDefault="001066A6" w:rsidP="00E43A97">
      <w:pPr>
        <w:pStyle w:val="ListBullet2"/>
      </w:pPr>
      <w:r>
        <w:t xml:space="preserve">Immunohistochemistry and polarizing light microscopy of green birefringent material in Congo Red stained tissue in organ </w:t>
      </w:r>
      <w:proofErr w:type="gramStart"/>
      <w:r>
        <w:t>not bone</w:t>
      </w:r>
      <w:proofErr w:type="gramEnd"/>
      <w:r>
        <w:t xml:space="preserve"> marrow, or unbranched 10</w:t>
      </w:r>
      <w:r w:rsidR="00223DDB">
        <w:t> </w:t>
      </w:r>
      <w:r>
        <w:t>nm thick fibrils on electron microscopy (bone marrow only disease excluded)</w:t>
      </w:r>
    </w:p>
    <w:p w14:paraId="287E21E2" w14:textId="74F25862" w:rsidR="001066A6" w:rsidRDefault="001066A6" w:rsidP="00E43A97">
      <w:pPr>
        <w:pStyle w:val="ListBullet2"/>
      </w:pPr>
      <w:r>
        <w:t xml:space="preserve">If of African descent </w:t>
      </w:r>
      <w:r w:rsidR="00447D7A">
        <w:t xml:space="preserve">or male ≥ 70 years with cardiac involvement only, </w:t>
      </w:r>
      <w:r>
        <w:t>using mass spectrometry typing of amyloid deposits in a tissue biopsy</w:t>
      </w:r>
    </w:p>
    <w:p w14:paraId="09E69746" w14:textId="4AC79104" w:rsidR="001066A6" w:rsidRDefault="001066A6" w:rsidP="00E43A97">
      <w:pPr>
        <w:pStyle w:val="ListBullet"/>
      </w:pPr>
      <w:r>
        <w:t>measurable disease defined by ≥ 1 of:</w:t>
      </w:r>
    </w:p>
    <w:p w14:paraId="7030994E" w14:textId="77777777" w:rsidR="00223DDB" w:rsidRDefault="001066A6" w:rsidP="00E43A97">
      <w:pPr>
        <w:pStyle w:val="ListBullet2"/>
      </w:pPr>
      <w:r>
        <w:t>serum free light-chain (FLC) ≥ 50 mg</w:t>
      </w:r>
      <w:r w:rsidR="00223DDB">
        <w:t>/L with abnormal κ:λ ratio, or</w:t>
      </w:r>
    </w:p>
    <w:p w14:paraId="6E46066F" w14:textId="70B26A09" w:rsidR="001066A6" w:rsidRDefault="001066A6" w:rsidP="00E43A97">
      <w:pPr>
        <w:pStyle w:val="ListBullet2"/>
      </w:pPr>
      <w:r>
        <w:t xml:space="preserve">difference between involved FLC (iFLC) and uninvolved </w:t>
      </w:r>
      <w:r w:rsidR="009C07FB">
        <w:t xml:space="preserve">FLC </w:t>
      </w:r>
      <w:r>
        <w:t>(uFLC) ≥ 50 mg/L, or</w:t>
      </w:r>
    </w:p>
    <w:p w14:paraId="0F71BE66" w14:textId="3F506DA0" w:rsidR="001066A6" w:rsidRDefault="001066A6" w:rsidP="00E43A97">
      <w:pPr>
        <w:pStyle w:val="ListBullet2"/>
      </w:pPr>
      <w:r>
        <w:t>serum M protein ≥</w:t>
      </w:r>
      <w:r w:rsidR="00890762">
        <w:t xml:space="preserve"> </w:t>
      </w:r>
      <w:r>
        <w:t>5g/L</w:t>
      </w:r>
    </w:p>
    <w:p w14:paraId="19A1FC17" w14:textId="049E662A" w:rsidR="001066A6" w:rsidRDefault="001066A6" w:rsidP="00E43A97">
      <w:pPr>
        <w:pStyle w:val="ListBullet"/>
      </w:pPr>
      <w:r>
        <w:t xml:space="preserve">Pre-treatment laboratory values: </w:t>
      </w:r>
    </w:p>
    <w:p w14:paraId="3A12F5BA" w14:textId="77777777" w:rsidR="009F5CFD" w:rsidRDefault="001066A6" w:rsidP="00E43A97">
      <w:pPr>
        <w:pStyle w:val="ListBullet2"/>
      </w:pPr>
      <w:r>
        <w:t>Absolute neutrophil count ≥ 1 x 10</w:t>
      </w:r>
      <w:r w:rsidRPr="00E43A97">
        <w:rPr>
          <w:vertAlign w:val="superscript"/>
        </w:rPr>
        <w:t>9</w:t>
      </w:r>
      <w:r w:rsidR="009F5CFD">
        <w:t>/L;</w:t>
      </w:r>
    </w:p>
    <w:p w14:paraId="7650B832" w14:textId="2EF2E047" w:rsidR="001066A6" w:rsidRDefault="009F5CFD" w:rsidP="00E43A97">
      <w:pPr>
        <w:pStyle w:val="ListBullet2"/>
      </w:pPr>
      <w:r>
        <w:t>haemoglobin</w:t>
      </w:r>
      <w:r w:rsidR="001066A6">
        <w:t xml:space="preserve"> ≥ 80 g/L;</w:t>
      </w:r>
    </w:p>
    <w:p w14:paraId="11B75F10" w14:textId="05CCF6B9" w:rsidR="001066A6" w:rsidRDefault="001066A6" w:rsidP="00E43A97">
      <w:pPr>
        <w:pStyle w:val="ListBullet2"/>
      </w:pPr>
      <w:r>
        <w:t>platelet count ≥ 50 x 10</w:t>
      </w:r>
      <w:r w:rsidRPr="00E43A97">
        <w:rPr>
          <w:vertAlign w:val="superscript"/>
        </w:rPr>
        <w:t>9</w:t>
      </w:r>
      <w:r>
        <w:t xml:space="preserve">/L; </w:t>
      </w:r>
    </w:p>
    <w:p w14:paraId="70C7DB24" w14:textId="77777777" w:rsidR="009F5CFD" w:rsidRDefault="009F5CFD" w:rsidP="00E43A97">
      <w:pPr>
        <w:pStyle w:val="ListBullet2"/>
      </w:pPr>
      <w:r>
        <w:t>a</w:t>
      </w:r>
      <w:r w:rsidR="001066A6">
        <w:t>lan</w:t>
      </w:r>
      <w:r>
        <w:t>ine aminotransferase (ALT) and a</w:t>
      </w:r>
      <w:r w:rsidR="001066A6">
        <w:t>spartate aminotransferase (AST) ≤ 2.5</w:t>
      </w:r>
      <w:r>
        <w:t xml:space="preserve"> x upper limit of normal (ULN);</w:t>
      </w:r>
    </w:p>
    <w:p w14:paraId="42C696E5" w14:textId="3BBD85EE" w:rsidR="001066A6" w:rsidRDefault="001066A6" w:rsidP="00E43A97">
      <w:pPr>
        <w:pStyle w:val="ListBullet2"/>
      </w:pPr>
      <w:r>
        <w:t>total bilirubin ≤ 1.5 x ULN;</w:t>
      </w:r>
    </w:p>
    <w:p w14:paraId="57979DDD" w14:textId="59A04325" w:rsidR="001066A6" w:rsidRDefault="009F5CFD" w:rsidP="00E43A97">
      <w:pPr>
        <w:pStyle w:val="ListBullet2"/>
      </w:pPr>
      <w:r>
        <w:t>e</w:t>
      </w:r>
      <w:r w:rsidR="00223DDB">
        <w:t>stimated glomerular filtration r</w:t>
      </w:r>
      <w:r w:rsidR="001066A6">
        <w:t>ate (eGFR) ≥</w:t>
      </w:r>
      <w:r w:rsidR="00BB089A">
        <w:t> </w:t>
      </w:r>
      <w:r w:rsidR="001066A6">
        <w:t>20 mL/min/1.73 m</w:t>
      </w:r>
      <w:r w:rsidR="001066A6" w:rsidRPr="00E43A97">
        <w:rPr>
          <w:vertAlign w:val="superscript"/>
        </w:rPr>
        <w:t>2</w:t>
      </w:r>
    </w:p>
    <w:p w14:paraId="7C13F605" w14:textId="3E3ADF41" w:rsidR="001066A6" w:rsidRDefault="001066A6" w:rsidP="001066A6">
      <w:pPr>
        <w:pStyle w:val="ListBullet"/>
      </w:pPr>
      <w:r>
        <w:t xml:space="preserve">ECOG performance status </w:t>
      </w:r>
      <w:r w:rsidR="00223DDB">
        <w:t xml:space="preserve">of 0 to </w:t>
      </w:r>
      <w:r>
        <w:t>2</w:t>
      </w:r>
      <w:r w:rsidR="00BB089A">
        <w:t>;</w:t>
      </w:r>
      <w:r w:rsidR="00BB089A">
        <w:fldChar w:fldCharType="begin"/>
      </w:r>
      <w:r w:rsidR="00BB089A">
        <w:instrText xml:space="preserve"> NOTEREF _Ref112406303 \f \h </w:instrText>
      </w:r>
      <w:r w:rsidR="00BB089A">
        <w:fldChar w:fldCharType="separate"/>
      </w:r>
      <w:r w:rsidR="00223DDB" w:rsidRPr="00223DDB">
        <w:rPr>
          <w:rStyle w:val="FootnoteReference"/>
        </w:rPr>
        <w:t>13</w:t>
      </w:r>
      <w:r w:rsidR="00BB089A">
        <w:fldChar w:fldCharType="end"/>
      </w:r>
    </w:p>
    <w:p w14:paraId="562FBD62" w14:textId="571F8B76" w:rsidR="001066A6" w:rsidRDefault="00223DDB" w:rsidP="00E43A97">
      <w:pPr>
        <w:pStyle w:val="Heading6"/>
      </w:pPr>
      <w:r>
        <w:t>Key exclusion criteria</w:t>
      </w:r>
    </w:p>
    <w:p w14:paraId="70360083" w14:textId="2B497ED2" w:rsidR="00223DDB" w:rsidRPr="00223DDB" w:rsidRDefault="00223DDB" w:rsidP="00223DDB">
      <w:r>
        <w:t>Key exclusion criteria included:</w:t>
      </w:r>
    </w:p>
    <w:p w14:paraId="00813C09" w14:textId="33DD20BD" w:rsidR="001066A6" w:rsidRPr="00F20392" w:rsidRDefault="001066A6" w:rsidP="00E43A97">
      <w:pPr>
        <w:pStyle w:val="ListBullet"/>
        <w:rPr>
          <w:lang w:eastAsia="en-AU"/>
        </w:rPr>
      </w:pPr>
      <w:r w:rsidRPr="00F20392">
        <w:rPr>
          <w:lang w:eastAsia="en-AU"/>
        </w:rPr>
        <w:t xml:space="preserve">Prior therapy for AL amyloidosis of </w:t>
      </w:r>
      <w:r>
        <w:rPr>
          <w:lang w:eastAsia="en-AU"/>
        </w:rPr>
        <w:t>m</w:t>
      </w:r>
      <w:r w:rsidRPr="00F20392">
        <w:rPr>
          <w:lang w:eastAsia="en-AU"/>
        </w:rPr>
        <w:t xml:space="preserve">ultiple </w:t>
      </w:r>
      <w:r>
        <w:rPr>
          <w:lang w:eastAsia="en-AU"/>
        </w:rPr>
        <w:t>m</w:t>
      </w:r>
      <w:r w:rsidRPr="00F20392">
        <w:rPr>
          <w:lang w:eastAsia="en-AU"/>
        </w:rPr>
        <w:t>yeloma</w:t>
      </w:r>
      <w:r>
        <w:rPr>
          <w:lang w:eastAsia="en-AU"/>
        </w:rPr>
        <w:t xml:space="preserve"> (MM)</w:t>
      </w:r>
      <w:r w:rsidR="009F5CFD">
        <w:rPr>
          <w:lang w:eastAsia="en-AU"/>
        </w:rPr>
        <w:t xml:space="preserve"> including CD38</w:t>
      </w:r>
      <w:r w:rsidR="009F5CFD">
        <w:rPr>
          <w:lang w:eastAsia="en-AU"/>
        </w:rPr>
        <w:noBreakHyphen/>
      </w:r>
      <w:r w:rsidRPr="00F20392">
        <w:rPr>
          <w:lang w:eastAsia="en-AU"/>
        </w:rPr>
        <w:t>targeted agents (could have had dexamethasone or equivalent)</w:t>
      </w:r>
    </w:p>
    <w:p w14:paraId="78E8DA2A" w14:textId="77777777" w:rsidR="001066A6" w:rsidRPr="00F20392" w:rsidRDefault="001066A6" w:rsidP="00E43A97">
      <w:pPr>
        <w:pStyle w:val="ListBullet"/>
      </w:pPr>
      <w:r w:rsidRPr="00F20392">
        <w:t>Planned stem cell transplant during first 6 cycles of therapy</w:t>
      </w:r>
    </w:p>
    <w:p w14:paraId="1806869B" w14:textId="079AD69B" w:rsidR="001066A6" w:rsidRPr="00F20392" w:rsidRDefault="00930E2D" w:rsidP="00E43A97">
      <w:pPr>
        <w:pStyle w:val="ListBullet"/>
      </w:pPr>
      <w:r>
        <w:rPr>
          <w:lang w:eastAsia="en-AU"/>
        </w:rPr>
        <w:t>Any form of non-AL amyloidosis</w:t>
      </w:r>
      <w:r w:rsidRPr="00F20392">
        <w:rPr>
          <w:lang w:eastAsia="en-AU"/>
        </w:rPr>
        <w:t xml:space="preserve"> </w:t>
      </w:r>
    </w:p>
    <w:p w14:paraId="4D66A560" w14:textId="77777777" w:rsidR="001066A6" w:rsidRPr="00F20392" w:rsidRDefault="001066A6" w:rsidP="00E43A97">
      <w:pPr>
        <w:pStyle w:val="ListBullet"/>
      </w:pPr>
      <w:r w:rsidRPr="00F20392">
        <w:t>Previous or current diagnosis of MM</w:t>
      </w:r>
    </w:p>
    <w:p w14:paraId="75E32F22" w14:textId="15BB67E7" w:rsidR="001066A6" w:rsidRPr="00F20392" w:rsidRDefault="001066A6" w:rsidP="00E43A97">
      <w:pPr>
        <w:pStyle w:val="ListBullet"/>
      </w:pPr>
      <w:r w:rsidRPr="00F20392">
        <w:t>Signific</w:t>
      </w:r>
      <w:r w:rsidR="00223DDB">
        <w:t>ant cardiovascular conditions, for example:</w:t>
      </w:r>
    </w:p>
    <w:p w14:paraId="279434B2" w14:textId="09E87DD8" w:rsidR="001066A6" w:rsidRPr="00F20392" w:rsidRDefault="001066A6" w:rsidP="00E43A97">
      <w:pPr>
        <w:pStyle w:val="ListBullet2"/>
      </w:pPr>
      <w:r w:rsidRPr="007B43C2">
        <w:t xml:space="preserve">N-terminal pro hormone brain natriuretic peptide </w:t>
      </w:r>
      <w:r>
        <w:t>(</w:t>
      </w:r>
      <w:r w:rsidRPr="00F20392">
        <w:t>NT-proBNP</w:t>
      </w:r>
      <w:r>
        <w:t xml:space="preserve">) </w:t>
      </w:r>
      <w:r w:rsidRPr="00F20392">
        <w:t xml:space="preserve">&gt; 8500 </w:t>
      </w:r>
      <w:r w:rsidR="002830E1">
        <w:t>m</w:t>
      </w:r>
      <w:r w:rsidRPr="00F20392">
        <w:t xml:space="preserve">g/L </w:t>
      </w:r>
    </w:p>
    <w:p w14:paraId="7BB6688D" w14:textId="46694CAF" w:rsidR="001066A6" w:rsidRPr="00F20392" w:rsidRDefault="001066A6" w:rsidP="00E43A97">
      <w:pPr>
        <w:pStyle w:val="ListBullet2"/>
      </w:pPr>
      <w:r w:rsidRPr="003C5D13">
        <w:t>New York Heart Association</w:t>
      </w:r>
      <w:r w:rsidRPr="00F20392">
        <w:t xml:space="preserve"> </w:t>
      </w:r>
      <w:r>
        <w:t>(</w:t>
      </w:r>
      <w:r w:rsidRPr="00F20392">
        <w:t>NYHA</w:t>
      </w:r>
      <w:r>
        <w:t>)</w:t>
      </w:r>
      <w:r w:rsidR="00CB0BE6">
        <w:t>;</w:t>
      </w:r>
      <w:bookmarkStart w:id="41" w:name="_Ref112405255"/>
      <w:r w:rsidR="00CB0BE6">
        <w:rPr>
          <w:rStyle w:val="FootnoteReference"/>
        </w:rPr>
        <w:footnoteReference w:id="15"/>
      </w:r>
      <w:bookmarkEnd w:id="41"/>
      <w:r w:rsidRPr="00F20392">
        <w:t xml:space="preserve"> class IIIb or IV cardiac failure; </w:t>
      </w:r>
    </w:p>
    <w:p w14:paraId="1FD5EBE6" w14:textId="77777777" w:rsidR="001066A6" w:rsidRPr="00F20392" w:rsidRDefault="001066A6" w:rsidP="00E43A97">
      <w:pPr>
        <w:pStyle w:val="ListBullet2"/>
      </w:pPr>
      <w:r w:rsidRPr="00F20392">
        <w:t>Heart failure due to ischaemic heart disease or uncorrected valvular heart disease unrelated to AL amyloid cardiomyopathy;</w:t>
      </w:r>
    </w:p>
    <w:p w14:paraId="6CC7A800" w14:textId="5395CAFB" w:rsidR="001066A6" w:rsidRPr="00F20392" w:rsidRDefault="001066A6" w:rsidP="00E43A97">
      <w:pPr>
        <w:pStyle w:val="ListBullet2"/>
      </w:pPr>
      <w:r w:rsidRPr="00F20392">
        <w:lastRenderedPageBreak/>
        <w:t xml:space="preserve">Inpatient admission for unstable angina or myocardial infarction in last 6 months; or stent or </w:t>
      </w:r>
      <w:r w:rsidRPr="004F427B">
        <w:t xml:space="preserve">coronary artery bypass graft </w:t>
      </w:r>
      <w:r w:rsidRPr="00F20392">
        <w:t>in last 6 months</w:t>
      </w:r>
    </w:p>
    <w:p w14:paraId="4284F2D9" w14:textId="77777777" w:rsidR="001066A6" w:rsidRPr="00F20392" w:rsidRDefault="001066A6" w:rsidP="00E43A97">
      <w:pPr>
        <w:pStyle w:val="ListBullet2"/>
      </w:pPr>
      <w:r w:rsidRPr="00F20392">
        <w:t>If heart failure, no related hospitalisation within 4 weeks of randomisation</w:t>
      </w:r>
    </w:p>
    <w:p w14:paraId="01654993" w14:textId="3498D2BB" w:rsidR="001066A6" w:rsidRPr="00F20392" w:rsidRDefault="001066A6" w:rsidP="00E43A97">
      <w:pPr>
        <w:pStyle w:val="ListBullet2"/>
      </w:pPr>
      <w:r w:rsidRPr="00F20392">
        <w:t xml:space="preserve">sustained </w:t>
      </w:r>
      <w:r>
        <w:t>v</w:t>
      </w:r>
      <w:r w:rsidRPr="004F427B">
        <w:t xml:space="preserve">entricular tachycardia </w:t>
      </w:r>
      <w:r w:rsidRPr="00F20392">
        <w:t xml:space="preserve">or aborted </w:t>
      </w:r>
      <w:r>
        <w:t>v</w:t>
      </w:r>
      <w:r w:rsidRPr="004F427B">
        <w:t>entricular fibrillation</w:t>
      </w:r>
      <w:r w:rsidRPr="00F20392">
        <w:t xml:space="preserve">; </w:t>
      </w:r>
      <w:r w:rsidRPr="004F427B">
        <w:t xml:space="preserve">atrioventricular </w:t>
      </w:r>
      <w:r w:rsidRPr="00F20392">
        <w:t xml:space="preserve">nodal or </w:t>
      </w:r>
      <w:r w:rsidRPr="004F427B">
        <w:t xml:space="preserve">sinoatrial </w:t>
      </w:r>
      <w:r w:rsidRPr="00F20392">
        <w:t>nodal dysfunction without pacemaker/</w:t>
      </w:r>
      <w:r>
        <w:t xml:space="preserve"> </w:t>
      </w:r>
      <w:r w:rsidRPr="004F427B">
        <w:t>implantable cardioverter defibrillator</w:t>
      </w:r>
      <w:r w:rsidRPr="00F20392">
        <w:t>;</w:t>
      </w:r>
    </w:p>
    <w:p w14:paraId="25C43E9B" w14:textId="65D917B7" w:rsidR="001066A6" w:rsidRPr="00F20392" w:rsidRDefault="001066A6" w:rsidP="00E43A97">
      <w:pPr>
        <w:pStyle w:val="ListBullet2"/>
      </w:pPr>
      <w:r w:rsidRPr="004F427B">
        <w:t xml:space="preserve">QT corrected </w:t>
      </w:r>
      <w:r w:rsidRPr="00F20392">
        <w:t>&gt; 500 msec without pacemaker,</w:t>
      </w:r>
    </w:p>
    <w:p w14:paraId="74A28E9B" w14:textId="77777777" w:rsidR="001066A6" w:rsidRPr="00F20392" w:rsidRDefault="001066A6" w:rsidP="00E43A97">
      <w:pPr>
        <w:pStyle w:val="ListBullet2"/>
      </w:pPr>
      <w:r w:rsidRPr="00F20392">
        <w:t xml:space="preserve">supine blood pressure &lt; 90 mmHg or symptomatic orthostatic hypotension </w:t>
      </w:r>
    </w:p>
    <w:p w14:paraId="1B45D4E6" w14:textId="17683B9A" w:rsidR="001066A6" w:rsidRPr="00F20392" w:rsidRDefault="007F29A6" w:rsidP="00E43A97">
      <w:pPr>
        <w:pStyle w:val="ListBullet"/>
      </w:pPr>
      <w:r>
        <w:t>C</w:t>
      </w:r>
      <w:r w:rsidRPr="008339BB">
        <w:t>hronic obstructive pulmonary disease</w:t>
      </w:r>
      <w:r w:rsidR="001066A6" w:rsidRPr="00F20392">
        <w:rPr>
          <w:lang w:eastAsia="en-AU"/>
        </w:rPr>
        <w:t xml:space="preserve"> </w:t>
      </w:r>
      <w:r>
        <w:t>f</w:t>
      </w:r>
      <w:r w:rsidRPr="008339BB">
        <w:t>orced expiratory volume in one second</w:t>
      </w:r>
      <w:r w:rsidRPr="00F20392">
        <w:rPr>
          <w:lang w:eastAsia="en-AU"/>
        </w:rPr>
        <w:t xml:space="preserve"> </w:t>
      </w:r>
      <w:r w:rsidR="001066A6" w:rsidRPr="00F20392">
        <w:rPr>
          <w:lang w:eastAsia="en-AU"/>
        </w:rPr>
        <w:t>&lt; 50% predicted, or moderate/severe persistent asthma in last 2 years or uncontrolled asthma any classification</w:t>
      </w:r>
    </w:p>
    <w:p w14:paraId="61052BBB" w14:textId="61213615" w:rsidR="001066A6" w:rsidRPr="00F20392" w:rsidRDefault="001066A6" w:rsidP="00E43A97">
      <w:pPr>
        <w:pStyle w:val="ListBullet"/>
      </w:pPr>
      <w:r w:rsidRPr="00F20392">
        <w:rPr>
          <w:lang w:eastAsia="en-AU"/>
        </w:rPr>
        <w:t xml:space="preserve">Peripheral neuropathy </w:t>
      </w:r>
      <w:r w:rsidR="00223DDB">
        <w:rPr>
          <w:lang w:eastAsia="en-AU"/>
        </w:rPr>
        <w:t xml:space="preserve">of </w:t>
      </w:r>
      <w:r w:rsidRPr="00F20392">
        <w:rPr>
          <w:lang w:eastAsia="en-AU"/>
        </w:rPr>
        <w:t xml:space="preserve">Grade 2 </w:t>
      </w:r>
      <w:r w:rsidR="00223DDB">
        <w:rPr>
          <w:lang w:eastAsia="en-AU"/>
        </w:rPr>
        <w:t>(</w:t>
      </w:r>
      <w:r w:rsidRPr="00F20392">
        <w:rPr>
          <w:lang w:eastAsia="en-AU"/>
        </w:rPr>
        <w:t>sensory</w:t>
      </w:r>
      <w:r w:rsidR="00223DDB">
        <w:rPr>
          <w:lang w:eastAsia="en-AU"/>
        </w:rPr>
        <w:t>)</w:t>
      </w:r>
      <w:r w:rsidRPr="00F20392">
        <w:rPr>
          <w:lang w:eastAsia="en-AU"/>
        </w:rPr>
        <w:t xml:space="preserve"> or Grade 1 </w:t>
      </w:r>
      <w:r w:rsidR="00223DDB">
        <w:rPr>
          <w:lang w:eastAsia="en-AU"/>
        </w:rPr>
        <w:t>(</w:t>
      </w:r>
      <w:r w:rsidRPr="00F20392">
        <w:rPr>
          <w:lang w:eastAsia="en-AU"/>
        </w:rPr>
        <w:t>painful</w:t>
      </w:r>
      <w:r w:rsidR="00223DDB">
        <w:rPr>
          <w:lang w:eastAsia="en-AU"/>
        </w:rPr>
        <w:t>)</w:t>
      </w:r>
    </w:p>
    <w:p w14:paraId="4FBE7461" w14:textId="20E691FD" w:rsidR="001066A6" w:rsidRPr="00F72495" w:rsidRDefault="00223DDB" w:rsidP="00E43A97">
      <w:pPr>
        <w:pStyle w:val="Heading6"/>
      </w:pPr>
      <w:r>
        <w:t>Study e</w:t>
      </w:r>
      <w:r w:rsidR="00497989" w:rsidRPr="00F72495">
        <w:t>ndpoint</w:t>
      </w:r>
    </w:p>
    <w:p w14:paraId="48A08F51" w14:textId="77777777" w:rsidR="00497989" w:rsidRPr="00F72495" w:rsidRDefault="00497989">
      <w:r w:rsidRPr="00223DDB">
        <w:rPr>
          <w:i/>
        </w:rPr>
        <w:t>Primary endpoint</w:t>
      </w:r>
      <w:r w:rsidRPr="00F72495">
        <w:t>: overall haematologic complete response rate (hCR) by independent review committees (IRC)</w:t>
      </w:r>
    </w:p>
    <w:p w14:paraId="52A6F390" w14:textId="04757163" w:rsidR="00497989" w:rsidRPr="00F72495" w:rsidRDefault="00497989">
      <w:r w:rsidRPr="00223DDB">
        <w:rPr>
          <w:i/>
        </w:rPr>
        <w:t>Key secondary</w:t>
      </w:r>
      <w:r w:rsidR="00223DDB">
        <w:rPr>
          <w:i/>
        </w:rPr>
        <w:t xml:space="preserve"> endpoints</w:t>
      </w:r>
      <w:r w:rsidRPr="00F72495">
        <w:t xml:space="preserve">: Major organ deterioration progression free survival (MOD-PFS), major organ deterioration event free survival (MOD-EFS) and </w:t>
      </w:r>
      <w:r w:rsidR="00CB0BE6">
        <w:t>o</w:t>
      </w:r>
      <w:r w:rsidRPr="00F72495">
        <w:t xml:space="preserve">verall </w:t>
      </w:r>
      <w:r w:rsidR="00CB0BE6">
        <w:t>s</w:t>
      </w:r>
      <w:r w:rsidRPr="00F72495">
        <w:t>urvival (OS)</w:t>
      </w:r>
    </w:p>
    <w:p w14:paraId="6EB7CE3A" w14:textId="0E918391" w:rsidR="00497989" w:rsidRPr="00F72495" w:rsidRDefault="00497989">
      <w:r w:rsidRPr="00F72495">
        <w:t>Other secondary</w:t>
      </w:r>
      <w:r w:rsidR="00223DDB">
        <w:t xml:space="preserve"> endpoints</w:t>
      </w:r>
      <w:r w:rsidRPr="00F72495">
        <w:t>: hCR at 6 months; ≥ hVGPR ; time to</w:t>
      </w:r>
      <w:r w:rsidR="00D81ED0" w:rsidRPr="00D81ED0">
        <w:t xml:space="preserve"> </w:t>
      </w:r>
      <w:r w:rsidR="00D81ED0">
        <w:t>and duration of</w:t>
      </w:r>
      <w:r w:rsidRPr="00F72495">
        <w:t xml:space="preserve"> haematologic response</w:t>
      </w:r>
      <w:r w:rsidR="00D81ED0">
        <w:t xml:space="preserve">  (≥VGPR; CR)</w:t>
      </w:r>
      <w:r w:rsidRPr="00F72495">
        <w:t>; ; organ response rate; improvement in patient</w:t>
      </w:r>
      <w:r w:rsidR="007F29A6">
        <w:t xml:space="preserve"> </w:t>
      </w:r>
      <w:r w:rsidRPr="00F72495">
        <w:t xml:space="preserve">reported fatigue according to the </w:t>
      </w:r>
      <w:r w:rsidR="007F29A6" w:rsidRPr="008339BB">
        <w:t>European Organization for the Research and Treatment of Cancer Quality of Life</w:t>
      </w:r>
      <w:r w:rsidRPr="00F72495">
        <w:t>,</w:t>
      </w:r>
      <w:r w:rsidR="00AE4068">
        <w:rPr>
          <w:rStyle w:val="FootnoteReference"/>
        </w:rPr>
        <w:footnoteReference w:id="16"/>
      </w:r>
      <w:r w:rsidRPr="00F72495">
        <w:t xml:space="preserve"> </w:t>
      </w:r>
      <w:r w:rsidR="00223DDB">
        <w:t xml:space="preserve">and </w:t>
      </w:r>
      <w:r w:rsidRPr="00F72495">
        <w:t>time to next treatment</w:t>
      </w:r>
      <w:r w:rsidR="00223DDB">
        <w:t>.</w:t>
      </w:r>
    </w:p>
    <w:p w14:paraId="7E25D3D6" w14:textId="3E70DEB3" w:rsidR="00497989" w:rsidRPr="00F72495" w:rsidRDefault="00497989" w:rsidP="00E43A97">
      <w:pPr>
        <w:pStyle w:val="Heading6"/>
      </w:pPr>
      <w:r w:rsidRPr="00F72495">
        <w:t>Endpoint definition</w:t>
      </w:r>
      <w:r w:rsidR="00223DDB">
        <w:t>s</w:t>
      </w:r>
    </w:p>
    <w:p w14:paraId="2AA39F12" w14:textId="77777777" w:rsidR="00223DDB" w:rsidRDefault="00497989" w:rsidP="00341D6A">
      <w:pPr>
        <w:pStyle w:val="ListBullet"/>
      </w:pPr>
      <w:r w:rsidRPr="00F72495">
        <w:t xml:space="preserve">Complete haematologic response rate (hCR) </w:t>
      </w:r>
      <w:r w:rsidR="00223DDB">
        <w:t xml:space="preserve">was defined according to </w:t>
      </w:r>
      <w:r w:rsidRPr="00F72495">
        <w:t xml:space="preserve">International Amyloidosis </w:t>
      </w:r>
      <w:r w:rsidRPr="00341D6A">
        <w:t>Conse</w:t>
      </w:r>
      <w:r w:rsidR="00223DDB" w:rsidRPr="00341D6A">
        <w:t>nsus</w:t>
      </w:r>
      <w:r w:rsidR="00223DDB">
        <w:t xml:space="preserve"> Criteria (IACC) guidelines</w:t>
      </w:r>
      <w:r w:rsidRPr="00F72495">
        <w:t>:</w:t>
      </w:r>
      <w:bookmarkStart w:id="42" w:name="_Ref117076955"/>
      <w:r w:rsidR="00AE4068">
        <w:rPr>
          <w:rStyle w:val="FootnoteReference"/>
        </w:rPr>
        <w:footnoteReference w:id="17"/>
      </w:r>
      <w:bookmarkEnd w:id="42"/>
    </w:p>
    <w:p w14:paraId="0BE467A9" w14:textId="77777777" w:rsidR="00223DDB" w:rsidRPr="00341D6A" w:rsidRDefault="00497989" w:rsidP="00341D6A">
      <w:pPr>
        <w:pStyle w:val="ListBullet2"/>
      </w:pPr>
      <w:r w:rsidRPr="00341D6A">
        <w:t xml:space="preserve">normalisation of </w:t>
      </w:r>
      <w:r w:rsidR="00223DDB" w:rsidRPr="00341D6A">
        <w:t>free light chain (</w:t>
      </w:r>
      <w:r w:rsidRPr="00341D6A">
        <w:t>FLC</w:t>
      </w:r>
      <w:r w:rsidR="00223DDB" w:rsidRPr="00341D6A">
        <w:t>)</w:t>
      </w:r>
      <w:r w:rsidRPr="00341D6A">
        <w:t xml:space="preserve"> levels and ratio, a</w:t>
      </w:r>
      <w:r w:rsidR="00223DDB" w:rsidRPr="00341D6A">
        <w:t>nd</w:t>
      </w:r>
    </w:p>
    <w:p w14:paraId="73231AB4" w14:textId="75B7166E" w:rsidR="00497989" w:rsidRPr="00341D6A" w:rsidRDefault="00497989" w:rsidP="00341D6A">
      <w:pPr>
        <w:pStyle w:val="ListBullet2"/>
      </w:pPr>
      <w:r w:rsidRPr="00341D6A">
        <w:t>negative urine immunofixation (IFE).</w:t>
      </w:r>
    </w:p>
    <w:p w14:paraId="4F31790E" w14:textId="2D8A68AC" w:rsidR="00497989" w:rsidRPr="00341D6A" w:rsidRDefault="00497989" w:rsidP="00341D6A">
      <w:pPr>
        <w:pStyle w:val="ListBullet2"/>
      </w:pPr>
      <w:r w:rsidRPr="00341D6A">
        <w:t xml:space="preserve">Negative serum and urine </w:t>
      </w:r>
      <w:r w:rsidR="00223DDB" w:rsidRPr="00341D6A">
        <w:t>immunofixation</w:t>
      </w:r>
      <w:r w:rsidRPr="00341D6A">
        <w:t xml:space="preserve"> without normalised </w:t>
      </w:r>
      <w:r w:rsidR="00223DDB" w:rsidRPr="00341D6A">
        <w:t>free light chain</w:t>
      </w:r>
      <w:r w:rsidRPr="00341D6A">
        <w:t xml:space="preserve"> ratio because suppression of u</w:t>
      </w:r>
      <w:r w:rsidR="00341D6A" w:rsidRPr="00341D6A">
        <w:t>ninvolved free light chain (uFLC)</w:t>
      </w:r>
      <w:r w:rsidRPr="00341D6A">
        <w:t xml:space="preserve"> &lt; </w:t>
      </w:r>
      <w:r w:rsidR="00341D6A" w:rsidRPr="00341D6A">
        <w:t>lower limit of normal (</w:t>
      </w:r>
      <w:r w:rsidRPr="00341D6A">
        <w:t>LLN</w:t>
      </w:r>
      <w:r w:rsidR="00341D6A" w:rsidRPr="00341D6A">
        <w:t>)</w:t>
      </w:r>
      <w:r w:rsidRPr="00341D6A">
        <w:t xml:space="preserve"> (FLC normal ratio abnormal or normal) with normalised</w:t>
      </w:r>
      <w:r w:rsidR="00341D6A" w:rsidRPr="00341D6A">
        <w:t xml:space="preserve"> involved free light chain</w:t>
      </w:r>
      <w:r w:rsidRPr="00341D6A">
        <w:t xml:space="preserve"> </w:t>
      </w:r>
      <w:r w:rsidR="00341D6A" w:rsidRPr="00341D6A">
        <w:t>(</w:t>
      </w:r>
      <w:r w:rsidRPr="00341D6A">
        <w:t>iFLC</w:t>
      </w:r>
      <w:r w:rsidR="00341D6A" w:rsidRPr="00341D6A">
        <w:t>)</w:t>
      </w:r>
      <w:r w:rsidRPr="00341D6A">
        <w:t xml:space="preserve"> levels classified as modified complete response (mCR).</w:t>
      </w:r>
    </w:p>
    <w:p w14:paraId="34D72741" w14:textId="22A9798A" w:rsidR="00341D6A" w:rsidRPr="00341D6A" w:rsidRDefault="00497989" w:rsidP="00341D6A">
      <w:pPr>
        <w:pStyle w:val="ListBullet"/>
      </w:pPr>
      <w:r w:rsidRPr="00341D6A">
        <w:t xml:space="preserve">Very good </w:t>
      </w:r>
      <w:r w:rsidR="00341D6A" w:rsidRPr="00341D6A">
        <w:t xml:space="preserve">partial </w:t>
      </w:r>
      <w:r w:rsidR="009F5CFD">
        <w:t>haematologic response (hVGP</w:t>
      </w:r>
      <w:r w:rsidR="00341D6A" w:rsidRPr="00341D6A">
        <w:t>R):</w:t>
      </w:r>
    </w:p>
    <w:p w14:paraId="3A5E500B" w14:textId="53A0CA95" w:rsidR="00497989" w:rsidRPr="00F72495" w:rsidRDefault="00497989" w:rsidP="00341D6A">
      <w:pPr>
        <w:pStyle w:val="ListBullet2"/>
      </w:pPr>
      <w:r w:rsidRPr="00F72495">
        <w:t xml:space="preserve">reduction of </w:t>
      </w:r>
      <w:r w:rsidR="00341D6A">
        <w:t>difference in involved and uninvolved free light chain (</w:t>
      </w:r>
      <w:r w:rsidRPr="00F72495">
        <w:t>dFLC</w:t>
      </w:r>
      <w:r w:rsidR="00341D6A">
        <w:t>) to &lt; </w:t>
      </w:r>
      <w:r w:rsidRPr="00F72495">
        <w:t>40 mg/L in patients with measurable difference between involved and uninvolved FLC (dFLC ≥ 50 mg/L</w:t>
      </w:r>
    </w:p>
    <w:p w14:paraId="07D79EF3" w14:textId="7C87DB48" w:rsidR="00497989" w:rsidRPr="00E43A97" w:rsidRDefault="00341D6A" w:rsidP="00341D6A">
      <w:pPr>
        <w:pStyle w:val="ListBullet2"/>
      </w:pPr>
      <w:r>
        <w:t>p</w:t>
      </w:r>
      <w:r w:rsidR="00210861" w:rsidRPr="00E43A97">
        <w:t>artial</w:t>
      </w:r>
      <w:r w:rsidR="00497989" w:rsidRPr="00E43A97">
        <w:t xml:space="preserve"> response(hPR): Decreased in dFLC &gt;</w:t>
      </w:r>
      <w:r>
        <w:t> </w:t>
      </w:r>
      <w:r w:rsidR="00497989" w:rsidRPr="00E43A97">
        <w:t>50% in patients with measurable difference between involved and uninvolved FLC (dFLC ≥ 50 mg/L)</w:t>
      </w:r>
    </w:p>
    <w:p w14:paraId="7FCEE4FB" w14:textId="77777777" w:rsidR="00341D6A" w:rsidRDefault="00497989" w:rsidP="00341D6A">
      <w:pPr>
        <w:pStyle w:val="ListBullet"/>
      </w:pPr>
      <w:r w:rsidRPr="00341D6A">
        <w:t>Major organ deterioration progr</w:t>
      </w:r>
      <w:r w:rsidR="00341D6A">
        <w:t>ession free survival (MOD-PFS):</w:t>
      </w:r>
    </w:p>
    <w:p w14:paraId="007509FB" w14:textId="0BD830A5" w:rsidR="00CF46AD" w:rsidRPr="00341D6A" w:rsidRDefault="00497989" w:rsidP="00341D6A">
      <w:pPr>
        <w:pStyle w:val="ListBullet2"/>
      </w:pPr>
      <w:r w:rsidRPr="00341D6A">
        <w:lastRenderedPageBreak/>
        <w:t>First of death, clinical manifestation of cardiac or renal failure, or haematologic progressive disease (consensus guidelines).</w:t>
      </w:r>
    </w:p>
    <w:p w14:paraId="20821C4F" w14:textId="77777777" w:rsidR="00341D6A" w:rsidRDefault="00162B92" w:rsidP="00341D6A">
      <w:pPr>
        <w:pStyle w:val="ListBullet"/>
      </w:pPr>
      <w:bookmarkStart w:id="43" w:name="_Hlk113968585"/>
      <w:r w:rsidRPr="00341D6A">
        <w:t>Cardiac failure defined:</w:t>
      </w:r>
    </w:p>
    <w:p w14:paraId="100D930C" w14:textId="637527BB" w:rsidR="00162B92" w:rsidRPr="00341D6A" w:rsidRDefault="00162B92" w:rsidP="00341D6A">
      <w:pPr>
        <w:pStyle w:val="ListBullet2"/>
      </w:pPr>
      <w:r w:rsidRPr="00341D6A">
        <w:t>need for left ventricular assist device, intra-aortic balloon pump, or cardiac transplant</w:t>
      </w:r>
    </w:p>
    <w:p w14:paraId="4AAAF0C0" w14:textId="77777777" w:rsidR="00341D6A" w:rsidRDefault="00162B92" w:rsidP="00341D6A">
      <w:pPr>
        <w:pStyle w:val="ListBullet"/>
      </w:pPr>
      <w:r w:rsidRPr="00341D6A">
        <w:t>Renal failure defined:</w:t>
      </w:r>
    </w:p>
    <w:p w14:paraId="2CBAA9B7" w14:textId="4520654F" w:rsidR="00162B92" w:rsidRDefault="00162B92" w:rsidP="00F72495">
      <w:pPr>
        <w:pStyle w:val="ListBullet2"/>
      </w:pPr>
      <w:r w:rsidRPr="00341D6A">
        <w:t>development of end stage renal disease requiring haemodialysis or renal transplant</w:t>
      </w:r>
      <w:bookmarkEnd w:id="43"/>
      <w:r w:rsidR="00341D6A">
        <w:t>.</w:t>
      </w:r>
    </w:p>
    <w:p w14:paraId="64EE8CB8" w14:textId="5882D528" w:rsidR="00F72495" w:rsidRPr="00E43A97" w:rsidRDefault="00F72495" w:rsidP="00E43A97">
      <w:pPr>
        <w:pStyle w:val="Heading6"/>
        <w:rPr>
          <w:szCs w:val="22"/>
        </w:rPr>
      </w:pPr>
      <w:r w:rsidRPr="00F72495">
        <w:t>Definitions of organ response or deterioration</w:t>
      </w:r>
    </w:p>
    <w:p w14:paraId="01228A4B" w14:textId="77777777" w:rsidR="00341D6A" w:rsidRDefault="00341D6A" w:rsidP="00341D6A">
      <w:pPr>
        <w:pStyle w:val="ListBullet"/>
      </w:pPr>
      <w:r>
        <w:t>Cardiac response:</w:t>
      </w:r>
    </w:p>
    <w:p w14:paraId="14B5E70B" w14:textId="620551DE" w:rsidR="00341D6A" w:rsidRDefault="00497989" w:rsidP="00341D6A">
      <w:pPr>
        <w:pStyle w:val="ListBullet2"/>
      </w:pPr>
      <w:r w:rsidRPr="00F72495">
        <w:t>&gt;</w:t>
      </w:r>
      <w:r w:rsidR="00890762">
        <w:t xml:space="preserve"> </w:t>
      </w:r>
      <w:r w:rsidRPr="00F72495">
        <w:t>30% improvement and &gt; 30 ng/L decrease in NT-proBNP in patients with a baseline of ≥ 650 ng/L</w:t>
      </w:r>
    </w:p>
    <w:p w14:paraId="7FBAA0EB" w14:textId="77777777" w:rsidR="00341D6A" w:rsidRDefault="00341D6A" w:rsidP="00341D6A">
      <w:pPr>
        <w:pStyle w:val="ListBullet"/>
      </w:pPr>
      <w:r>
        <w:t>Cardiac progression:</w:t>
      </w:r>
    </w:p>
    <w:p w14:paraId="7A6CEBC1" w14:textId="47FE3EC3" w:rsidR="00162B92" w:rsidRDefault="00497989" w:rsidP="00341D6A">
      <w:pPr>
        <w:pStyle w:val="ListBullet2"/>
      </w:pPr>
      <w:r w:rsidRPr="00F72495">
        <w:t>&gt;</w:t>
      </w:r>
      <w:r w:rsidR="00890762">
        <w:t xml:space="preserve"> </w:t>
      </w:r>
      <w:r w:rsidRPr="00F72495">
        <w:t>30% and &gt;</w:t>
      </w:r>
      <w:r w:rsidR="00890762">
        <w:t xml:space="preserve"> </w:t>
      </w:r>
      <w:r w:rsidRPr="00F72495">
        <w:t>300ng/L increase in NT-proBNP, ≥ 33% increase in cardiac troponin levels, or ≥ 10%</w:t>
      </w:r>
    </w:p>
    <w:p w14:paraId="240AE976" w14:textId="732609E2" w:rsidR="00341D6A" w:rsidRDefault="00341D6A" w:rsidP="00341D6A">
      <w:pPr>
        <w:pStyle w:val="ListBullet"/>
      </w:pPr>
      <w:r>
        <w:t>Renal response:</w:t>
      </w:r>
    </w:p>
    <w:p w14:paraId="0587B773" w14:textId="33C19200" w:rsidR="00497989" w:rsidRPr="00F72495" w:rsidRDefault="00497989" w:rsidP="00341D6A">
      <w:pPr>
        <w:pStyle w:val="ListBullet2"/>
      </w:pPr>
      <w:r w:rsidRPr="00F72495">
        <w:t>≥ 30% decrease in proteinuria and decrease in proteinuria &lt; 0.5 g/24 hours without renal progression.</w:t>
      </w:r>
    </w:p>
    <w:p w14:paraId="1F717046" w14:textId="77777777" w:rsidR="00341D6A" w:rsidRDefault="00341D6A" w:rsidP="00341D6A">
      <w:pPr>
        <w:pStyle w:val="ListBullet"/>
      </w:pPr>
      <w:r>
        <w:t>Renal progression:</w:t>
      </w:r>
    </w:p>
    <w:p w14:paraId="429579D7" w14:textId="6AA0372C" w:rsidR="00497989" w:rsidRPr="00F72495" w:rsidRDefault="00497989" w:rsidP="00341D6A">
      <w:pPr>
        <w:pStyle w:val="ListBullet2"/>
      </w:pPr>
      <w:r w:rsidRPr="00F72495">
        <w:t>≥ 25% increase in eGFR.</w:t>
      </w:r>
    </w:p>
    <w:p w14:paraId="4E6E117D" w14:textId="77777777" w:rsidR="00341D6A" w:rsidRDefault="00341D6A" w:rsidP="00341D6A">
      <w:pPr>
        <w:pStyle w:val="ListBullet"/>
      </w:pPr>
      <w:r>
        <w:t>Hepatic response:</w:t>
      </w:r>
    </w:p>
    <w:p w14:paraId="7B6FF662" w14:textId="1CD5BADA" w:rsidR="00497989" w:rsidRPr="00F72495" w:rsidRDefault="00497989" w:rsidP="00341D6A">
      <w:pPr>
        <w:pStyle w:val="ListBullet2"/>
      </w:pPr>
      <w:r w:rsidRPr="00F72495">
        <w:t xml:space="preserve">50% decrease in abnormal </w:t>
      </w:r>
      <w:r w:rsidR="007F29A6">
        <w:t>a</w:t>
      </w:r>
      <w:r w:rsidRPr="00F72495">
        <w:t>lkaline phosphatase (ALP)</w:t>
      </w:r>
    </w:p>
    <w:p w14:paraId="4E0F71B0" w14:textId="77777777" w:rsidR="00341D6A" w:rsidRDefault="00497989" w:rsidP="00341D6A">
      <w:pPr>
        <w:pStyle w:val="ListBullet"/>
      </w:pPr>
      <w:r w:rsidRPr="00F72495">
        <w:t>Hepat</w:t>
      </w:r>
      <w:r w:rsidR="00341D6A">
        <w:t>ic progression:</w:t>
      </w:r>
    </w:p>
    <w:p w14:paraId="114C002C" w14:textId="679B5B6E" w:rsidR="00497989" w:rsidRPr="00F72495" w:rsidRDefault="00497989" w:rsidP="00341D6A">
      <w:pPr>
        <w:pStyle w:val="ListBullet2"/>
      </w:pPr>
      <w:r w:rsidRPr="00F72495">
        <w:t>50% increase in ALP above the lowest value</w:t>
      </w:r>
    </w:p>
    <w:p w14:paraId="31083E6D" w14:textId="604CC47E" w:rsidR="00341D6A" w:rsidRDefault="00497989" w:rsidP="00E43A97">
      <w:pPr>
        <w:pStyle w:val="Heading6"/>
      </w:pPr>
      <w:r w:rsidRPr="00F72495">
        <w:t>H</w:t>
      </w:r>
      <w:r w:rsidR="00300685">
        <w:t>aematologic progression</w:t>
      </w:r>
    </w:p>
    <w:p w14:paraId="2BAF411F" w14:textId="723B5535" w:rsidR="00497989" w:rsidRPr="00F72495" w:rsidRDefault="00341D6A" w:rsidP="00341D6A">
      <w:r>
        <w:t xml:space="preserve">Defined according to </w:t>
      </w:r>
      <w:r w:rsidRPr="00F72495">
        <w:t xml:space="preserve">International Amyloidosis </w:t>
      </w:r>
      <w:r w:rsidRPr="00341D6A">
        <w:t>Consensus</w:t>
      </w:r>
      <w:r>
        <w:t xml:space="preserve"> Criteria (IACC) guidelines:</w:t>
      </w:r>
      <w:r w:rsidRPr="00341D6A">
        <w:rPr>
          <w:vertAlign w:val="superscript"/>
        </w:rPr>
        <w:fldChar w:fldCharType="begin"/>
      </w:r>
      <w:r w:rsidRPr="00341D6A">
        <w:rPr>
          <w:vertAlign w:val="superscript"/>
        </w:rPr>
        <w:instrText xml:space="preserve"> NOTEREF _Ref117076955 \h </w:instrText>
      </w:r>
      <w:r>
        <w:rPr>
          <w:vertAlign w:val="superscript"/>
        </w:rPr>
        <w:instrText xml:space="preserve"> \* MERGEFORMAT </w:instrText>
      </w:r>
      <w:r w:rsidRPr="00341D6A">
        <w:rPr>
          <w:vertAlign w:val="superscript"/>
        </w:rPr>
      </w:r>
      <w:r w:rsidRPr="00341D6A">
        <w:rPr>
          <w:vertAlign w:val="superscript"/>
        </w:rPr>
        <w:fldChar w:fldCharType="separate"/>
      </w:r>
      <w:r w:rsidRPr="00341D6A">
        <w:rPr>
          <w:vertAlign w:val="superscript"/>
        </w:rPr>
        <w:t>17</w:t>
      </w:r>
      <w:r w:rsidRPr="00341D6A">
        <w:rPr>
          <w:vertAlign w:val="superscript"/>
        </w:rPr>
        <w:fldChar w:fldCharType="end"/>
      </w:r>
    </w:p>
    <w:p w14:paraId="7D621162" w14:textId="19C4DAF6" w:rsidR="00497989" w:rsidRPr="00E43A97" w:rsidRDefault="00497989" w:rsidP="009F5CFD">
      <w:pPr>
        <w:pStyle w:val="ListBullet"/>
      </w:pPr>
      <w:r w:rsidRPr="00E43A97">
        <w:t xml:space="preserve">Starting from </w:t>
      </w:r>
      <w:r w:rsidR="009F5CFD">
        <w:t>complete response (</w:t>
      </w:r>
      <w:r w:rsidRPr="00E43A97">
        <w:t>CR</w:t>
      </w:r>
      <w:r w:rsidR="009F5CFD">
        <w:t>)</w:t>
      </w:r>
      <w:r w:rsidRPr="00E43A97">
        <w:t>, a</w:t>
      </w:r>
      <w:r w:rsidR="00341D6A">
        <w:t xml:space="preserve"> change to abnormal FLC ratio (involved </w:t>
      </w:r>
      <w:r w:rsidRPr="00E43A97">
        <w:t xml:space="preserve">FLC ≥ 2x and ≥ ULN) or reappearance of the involved monoclonal protein on </w:t>
      </w:r>
      <w:r w:rsidR="00341D6A">
        <w:t>immunofixation</w:t>
      </w:r>
      <w:r w:rsidRPr="00E43A97">
        <w:t>;</w:t>
      </w:r>
    </w:p>
    <w:p w14:paraId="3641D59D" w14:textId="704E6145" w:rsidR="00497989" w:rsidRPr="00E43A97" w:rsidRDefault="00497989" w:rsidP="009F5CFD">
      <w:pPr>
        <w:pStyle w:val="ListBullet"/>
      </w:pPr>
      <w:r w:rsidRPr="00E43A97">
        <w:t xml:space="preserve">Starting from </w:t>
      </w:r>
      <w:r w:rsidR="009F5CFD">
        <w:t>complete response (</w:t>
      </w:r>
      <w:r w:rsidRPr="00E43A97">
        <w:t>CR</w:t>
      </w:r>
      <w:r w:rsidR="009F5CFD">
        <w:t>), very good partial response (VGFR), or a partial response (</w:t>
      </w:r>
      <w:r w:rsidRPr="00E43A97">
        <w:t>PR</w:t>
      </w:r>
      <w:r w:rsidR="009F5CFD">
        <w:t>)</w:t>
      </w:r>
      <w:r w:rsidRPr="00E43A97">
        <w:t>, a 50% increase in serum M-protein &gt; 0.5 g/dL or a 50% increase in urine M-protein to &gt; 200 mg/day (must have visible peak); or FLC increase of 50% to &gt; 100 mg/L.</w:t>
      </w:r>
    </w:p>
    <w:p w14:paraId="267F972F" w14:textId="2A177F12" w:rsidR="00497989" w:rsidRDefault="00497989" w:rsidP="00F72495">
      <w:r w:rsidRPr="00E43A97">
        <w:t>Haematologic responses were evaluated weekly for cycle 1, every 4 weeks for cycles 2 to 6 and every other month thereafter until MOD-PFS, death, withdrawal of consent to participate or the end of the study.</w:t>
      </w:r>
    </w:p>
    <w:p w14:paraId="62729EBE" w14:textId="7A350D4D" w:rsidR="001E7FEA" w:rsidRPr="001E7FEA" w:rsidRDefault="001E7FEA" w:rsidP="00E43A97">
      <w:pPr>
        <w:pStyle w:val="Heading6"/>
      </w:pPr>
      <w:r w:rsidRPr="001E7FEA">
        <w:t>Statistic</w:t>
      </w:r>
      <w:r w:rsidR="00300685">
        <w:t>al analysis</w:t>
      </w:r>
    </w:p>
    <w:p w14:paraId="668C4ED0" w14:textId="473EC4AC" w:rsidR="001E7FEA" w:rsidRPr="001E7FEA" w:rsidRDefault="007F29A6" w:rsidP="001E7FEA">
      <w:r>
        <w:t>Patients were r</w:t>
      </w:r>
      <w:r w:rsidR="001E7FEA" w:rsidRPr="001E7FEA">
        <w:t xml:space="preserve">andomised </w:t>
      </w:r>
      <w:r>
        <w:t xml:space="preserve">to </w:t>
      </w:r>
      <w:r w:rsidR="001E7FEA" w:rsidRPr="001E7FEA">
        <w:t>1:1</w:t>
      </w:r>
      <w:r>
        <w:t xml:space="preserve"> ratio.</w:t>
      </w:r>
    </w:p>
    <w:p w14:paraId="4972CB34" w14:textId="77777777" w:rsidR="00300685" w:rsidRDefault="001E7FEA" w:rsidP="001E7FEA">
      <w:r w:rsidRPr="00300685">
        <w:rPr>
          <w:i/>
        </w:rPr>
        <w:t>Interim analyses</w:t>
      </w:r>
      <w:r w:rsidRPr="001E7FEA">
        <w:t xml:space="preserve">: </w:t>
      </w:r>
      <w:r w:rsidR="007F29A6">
        <w:t>Two</w:t>
      </w:r>
      <w:r w:rsidR="00300685">
        <w:t xml:space="preserve"> interim analyses (IA) planned;</w:t>
      </w:r>
    </w:p>
    <w:p w14:paraId="17537827" w14:textId="77777777" w:rsidR="00300685" w:rsidRDefault="00300685" w:rsidP="00300685">
      <w:pPr>
        <w:pStyle w:val="ListBullet"/>
      </w:pPr>
      <w:r>
        <w:t>Interim analysis 1 (</w:t>
      </w:r>
      <w:r w:rsidR="001E7FEA" w:rsidRPr="001E7FEA">
        <w:t>IA1</w:t>
      </w:r>
      <w:r>
        <w:t>)</w:t>
      </w:r>
      <w:r w:rsidR="001E7FEA" w:rsidRPr="001E7FEA">
        <w:t xml:space="preserve"> for safety after 30 completed </w:t>
      </w:r>
      <w:r w:rsidR="007F29A6">
        <w:t>one</w:t>
      </w:r>
      <w:r>
        <w:t xml:space="preserve"> cycle;</w:t>
      </w:r>
    </w:p>
    <w:p w14:paraId="35C452C6" w14:textId="27FE9D25" w:rsidR="00300685" w:rsidRDefault="00E963D9" w:rsidP="00300685">
      <w:pPr>
        <w:pStyle w:val="ListBullet"/>
      </w:pPr>
      <w:r>
        <w:t>Interim analysis 2 (</w:t>
      </w:r>
      <w:r w:rsidR="001E7FEA" w:rsidRPr="001E7FEA">
        <w:t>IA2</w:t>
      </w:r>
      <w:r>
        <w:t>)</w:t>
      </w:r>
      <w:r w:rsidR="001E7FEA" w:rsidRPr="001E7FEA">
        <w:t xml:space="preserve"> after 180 completed </w:t>
      </w:r>
      <w:r w:rsidR="007F29A6">
        <w:t>six</w:t>
      </w:r>
      <w:r w:rsidR="00300685">
        <w:t xml:space="preserve"> cycles.</w:t>
      </w:r>
    </w:p>
    <w:p w14:paraId="4F1B8A24" w14:textId="37E3B5DB" w:rsidR="001E7FEA" w:rsidRDefault="001E7FEA" w:rsidP="00300685">
      <w:pPr>
        <w:pStyle w:val="ListBullet"/>
      </w:pPr>
      <w:r w:rsidRPr="001E7FEA">
        <w:lastRenderedPageBreak/>
        <w:t>The primary analysis for hCR performed after all patients completed 6 cycles of treatment.</w:t>
      </w:r>
    </w:p>
    <w:p w14:paraId="38E52E9F" w14:textId="77777777" w:rsidR="00300685" w:rsidRDefault="001E7FEA" w:rsidP="001E7FEA">
      <w:r>
        <w:t xml:space="preserve">The sample size for the study was based on the alternative hypothesis of a 15% improvement in overall </w:t>
      </w:r>
      <w:r w:rsidR="00300685">
        <w:t>haematologic complete response (</w:t>
      </w:r>
      <w:r>
        <w:t>hCR</w:t>
      </w:r>
      <w:r w:rsidR="00300685">
        <w:t>)</w:t>
      </w:r>
      <w:r>
        <w:t xml:space="preserve">. Taking hCR estimated to be 25% for the CyBorD </w:t>
      </w:r>
      <w:r w:rsidR="00300685">
        <w:t xml:space="preserve">only </w:t>
      </w:r>
      <w:r>
        <w:t xml:space="preserve">arm and adding 15% improvement givens and overall hCR of 40% for the </w:t>
      </w:r>
      <w:r w:rsidR="00300685">
        <w:t>daratumumab SC</w:t>
      </w:r>
      <w:r w:rsidR="00711BD7">
        <w:t xml:space="preserve"> + CyBorD</w:t>
      </w:r>
      <w:r w:rsidR="00300685">
        <w:t xml:space="preserve"> arm.</w:t>
      </w:r>
    </w:p>
    <w:p w14:paraId="0DCAE5F1" w14:textId="633951FC" w:rsidR="001E7FEA" w:rsidRDefault="001E7FEA" w:rsidP="001E7FEA">
      <w:r>
        <w:t>Around 360 (180 subject per arm) would provide more than 85% power to detect a 15% improvement in overall hCR using a likelihood ratio test with a 2-s</w:t>
      </w:r>
      <w:r w:rsidR="00300685">
        <w:t>ided alpha of 0.05. T</w:t>
      </w:r>
      <w:r>
        <w:t xml:space="preserve">he post-treatment observation phase will continue until 200 </w:t>
      </w:r>
      <w:r w:rsidR="00CB0BE6">
        <w:t>m</w:t>
      </w:r>
      <w:r w:rsidR="00CB0BE6" w:rsidRPr="00CB0BE6">
        <w:t xml:space="preserve">ajor </w:t>
      </w:r>
      <w:r w:rsidR="00CB0BE6">
        <w:t>o</w:t>
      </w:r>
      <w:r w:rsidR="00CB0BE6" w:rsidRPr="00CB0BE6">
        <w:t xml:space="preserve">rgan </w:t>
      </w:r>
      <w:r w:rsidR="00CB0BE6">
        <w:t>d</w:t>
      </w:r>
      <w:r w:rsidR="00CB0BE6" w:rsidRPr="00CB0BE6">
        <w:t>eterioration –</w:t>
      </w:r>
      <w:r>
        <w:t>MOD-PFS events have been observed. The 200 events will provide approximately 80% power to detect a 33% reduction in the risk of haematologic progression, major organ deterioration or death with a log-rank test (</w:t>
      </w:r>
      <w:r w:rsidR="007F29A6">
        <w:t>two</w:t>
      </w:r>
      <w:r>
        <w:t xml:space="preserve"> sided alpha 0.05)</w:t>
      </w:r>
      <w:r w:rsidR="00300685">
        <w:t>.</w:t>
      </w:r>
    </w:p>
    <w:p w14:paraId="378FFCCC" w14:textId="3D7B6C14" w:rsidR="001E7FEA" w:rsidRDefault="001E7FEA" w:rsidP="001E7FEA">
      <w:r>
        <w:t xml:space="preserve">There were two amendments to the </w:t>
      </w:r>
      <w:r w:rsidR="007F29A6">
        <w:t>s</w:t>
      </w:r>
      <w:r>
        <w:t xml:space="preserve">tatistical </w:t>
      </w:r>
      <w:r w:rsidR="007F29A6">
        <w:t>a</w:t>
      </w:r>
      <w:r>
        <w:t xml:space="preserve">nalysis </w:t>
      </w:r>
      <w:r w:rsidR="007F29A6">
        <w:t>p</w:t>
      </w:r>
      <w:r>
        <w:t>lan. The second introduced an Inverse probability of censoring weights method used for primary analysis of MOD-PFS.</w:t>
      </w:r>
    </w:p>
    <w:p w14:paraId="2BDD21A4" w14:textId="6020EC9C" w:rsidR="001E7FEA" w:rsidRDefault="001E7FEA" w:rsidP="001E7FEA">
      <w:r>
        <w:t>Primary endpoint: (</w:t>
      </w:r>
      <w:r w:rsidR="00300685">
        <w:t xml:space="preserve">haematologic complete response) </w:t>
      </w:r>
      <w:r>
        <w:t>(overall hCR) tested at 0.05</w:t>
      </w:r>
      <w:r w:rsidR="008B4EA9">
        <w:t xml:space="preserve"> (2</w:t>
      </w:r>
      <w:r w:rsidR="00300685">
        <w:noBreakHyphen/>
      </w:r>
      <w:r w:rsidR="008B4EA9">
        <w:t>sided)</w:t>
      </w:r>
      <w:r>
        <w:t xml:space="preserve"> significance</w:t>
      </w:r>
      <w:r w:rsidR="008B4EA9">
        <w:t xml:space="preserve"> level overall</w:t>
      </w:r>
      <w:r>
        <w:t>, p</w:t>
      </w:r>
      <w:r w:rsidR="00890762">
        <w:t xml:space="preserve"> </w:t>
      </w:r>
      <w:r>
        <w:t>=</w:t>
      </w:r>
      <w:r w:rsidR="00890762">
        <w:t xml:space="preserve"> </w:t>
      </w:r>
      <w:r>
        <w:t xml:space="preserve">0.0499 </w:t>
      </w:r>
      <w:r w:rsidR="008B4EA9">
        <w:t xml:space="preserve">(2-sided) at the primary analysis </w:t>
      </w:r>
      <w:r>
        <w:t xml:space="preserve">after </w:t>
      </w:r>
      <w:r w:rsidR="008B4EA9" w:rsidRPr="00A76CA4">
        <w:t>0.0001(2-sided)</w:t>
      </w:r>
      <w:r w:rsidR="008B4EA9">
        <w:t xml:space="preserve"> </w:t>
      </w:r>
      <w:r>
        <w:t>alpha</w:t>
      </w:r>
      <w:r w:rsidR="008B4EA9">
        <w:t xml:space="preserve"> </w:t>
      </w:r>
      <w:r>
        <w:t xml:space="preserve">spent at </w:t>
      </w:r>
      <w:r w:rsidR="007F29A6">
        <w:t>I</w:t>
      </w:r>
      <w:r>
        <w:t>A2.</w:t>
      </w:r>
    </w:p>
    <w:p w14:paraId="558F0BAC" w14:textId="15561EE3" w:rsidR="001E7FEA" w:rsidRDefault="001E7FEA" w:rsidP="001E7FEA">
      <w:r>
        <w:t>Key secondary MOD-PFS</w:t>
      </w:r>
      <w:r w:rsidR="008B4EA9">
        <w:t xml:space="preserve"> </w:t>
      </w:r>
      <w:r w:rsidR="008B4EA9" w:rsidRPr="00A76CA4">
        <w:t>tested at 0.05</w:t>
      </w:r>
      <w:r w:rsidR="008B4EA9">
        <w:t xml:space="preserve"> (2-sided)</w:t>
      </w:r>
      <w:r w:rsidR="008B4EA9" w:rsidRPr="00A76CA4">
        <w:t xml:space="preserve"> significance</w:t>
      </w:r>
      <w:r w:rsidR="008B4EA9">
        <w:t xml:space="preserve"> level overall using O’Brien-Fleming alpha spending function as implemented by the Lan-</w:t>
      </w:r>
      <w:proofErr w:type="spellStart"/>
      <w:r w:rsidR="008B4EA9">
        <w:t>DeMets</w:t>
      </w:r>
      <w:proofErr w:type="spellEnd"/>
      <w:r w:rsidR="008B4EA9">
        <w:t xml:space="preserve"> method</w:t>
      </w:r>
      <w:r>
        <w:t>: Inverse probability of censoring weights method used for primary analysis of MOD-PFS. This was to be tested at p</w:t>
      </w:r>
      <w:r w:rsidR="00A81ED8">
        <w:t xml:space="preserve"> </w:t>
      </w:r>
      <w:r>
        <w:t>=</w:t>
      </w:r>
      <w:r w:rsidR="00A81ED8">
        <w:t xml:space="preserve"> </w:t>
      </w:r>
      <w:r>
        <w:t>0.00136 significance level using an O</w:t>
      </w:r>
      <w:r w:rsidR="00A81ED8">
        <w:t>’</w:t>
      </w:r>
      <w:r>
        <w:t>Brien Fleming spending function</w:t>
      </w:r>
      <w:r w:rsidR="007F29A6">
        <w:t>;</w:t>
      </w:r>
      <w:r w:rsidR="00A81ED8">
        <w:rPr>
          <w:rStyle w:val="FootnoteReference"/>
        </w:rPr>
        <w:footnoteReference w:id="18"/>
      </w:r>
      <w:r>
        <w:t xml:space="preserve"> for this is an interim analysis for this endpoint</w:t>
      </w:r>
      <w:r w:rsidR="008B4EA9">
        <w:t xml:space="preserve"> at the time of primary analysis of hCR.</w:t>
      </w:r>
    </w:p>
    <w:p w14:paraId="2B3F0B54" w14:textId="64F8419E" w:rsidR="001E7FEA" w:rsidRDefault="001E7FEA" w:rsidP="001E7FEA">
      <w:r>
        <w:t xml:space="preserve">If both hCR and MOD-PFS </w:t>
      </w:r>
      <w:proofErr w:type="gramStart"/>
      <w:r>
        <w:t>were</w:t>
      </w:r>
      <w:proofErr w:type="gramEnd"/>
      <w:r>
        <w:t xml:space="preserve"> statistically significant OS would be test to an overall alpha of 0.05 (2 sided) using O’Brien-Fleming spending function.</w:t>
      </w:r>
    </w:p>
    <w:p w14:paraId="56BAC02E" w14:textId="1E1928CC" w:rsidR="001E7FEA" w:rsidRPr="001E7FEA" w:rsidRDefault="00300685" w:rsidP="00E43A97">
      <w:pPr>
        <w:pStyle w:val="Heading6"/>
      </w:pPr>
      <w:r>
        <w:t>Protocol amendments and d</w:t>
      </w:r>
      <w:r w:rsidR="001E7FEA" w:rsidRPr="001E7FEA">
        <w:t>eviations</w:t>
      </w:r>
    </w:p>
    <w:p w14:paraId="1D4E178D" w14:textId="08C0675A" w:rsidR="001E7FEA" w:rsidRPr="001E7FEA" w:rsidRDefault="001E7FEA" w:rsidP="001E7FEA">
      <w:r w:rsidRPr="001E7FEA">
        <w:t>Major amendments:</w:t>
      </w:r>
      <w:r>
        <w:t xml:space="preserve"> </w:t>
      </w:r>
      <w:r w:rsidRPr="001E7FEA">
        <w:t>Three amendments to the protocol were considered unlikely to have impacted the interpretation of the study.</w:t>
      </w:r>
    </w:p>
    <w:p w14:paraId="22FA3EEA" w14:textId="71B78E5B" w:rsidR="001E7FEA" w:rsidRDefault="001E7FEA" w:rsidP="00832EFA">
      <w:r w:rsidRPr="000D18F5">
        <w:t>Important Protocol Deviations: Major protocol deviations were infrequent (n</w:t>
      </w:r>
      <w:r w:rsidR="00A81ED8">
        <w:t xml:space="preserve"> </w:t>
      </w:r>
      <w:r w:rsidRPr="000D18F5">
        <w:t>=</w:t>
      </w:r>
      <w:r w:rsidR="00A81ED8">
        <w:t xml:space="preserve"> </w:t>
      </w:r>
      <w:r w:rsidRPr="000D18F5">
        <w:t xml:space="preserve">17 and balanced between the </w:t>
      </w:r>
      <w:r w:rsidR="008C310C">
        <w:t>two arms (daratumumab</w:t>
      </w:r>
      <w:r w:rsidR="00A81ED8">
        <w:t xml:space="preserve"> + </w:t>
      </w:r>
      <w:r w:rsidRPr="00073395">
        <w:t>CyBorD</w:t>
      </w:r>
      <w:r w:rsidR="008C310C">
        <w:t xml:space="preserve"> arm</w:t>
      </w:r>
      <w:r w:rsidRPr="00073395">
        <w:t>: 4.1%; CyBorD</w:t>
      </w:r>
      <w:r w:rsidR="008C310C">
        <w:t xml:space="preserve"> only arm</w:t>
      </w:r>
      <w:r w:rsidRPr="00073395">
        <w:t>: 4.7%).</w:t>
      </w:r>
    </w:p>
    <w:p w14:paraId="29DD2E19" w14:textId="490AE668" w:rsidR="00A01B6F" w:rsidRDefault="00A01B6F" w:rsidP="00A01B6F">
      <w:pPr>
        <w:pStyle w:val="Heading6"/>
      </w:pPr>
      <w:r>
        <w:t>Demographic and disease characteristics</w:t>
      </w:r>
    </w:p>
    <w:p w14:paraId="4235FAFF" w14:textId="78CAA1D7" w:rsidR="00A01B6F" w:rsidRPr="00A01B6F" w:rsidRDefault="00A01B6F" w:rsidP="00A01B6F">
      <w:r w:rsidRPr="00A01B6F">
        <w:fldChar w:fldCharType="begin"/>
      </w:r>
      <w:r w:rsidRPr="00A01B6F">
        <w:instrText xml:space="preserve"> REF _Ref106187173 \h </w:instrText>
      </w:r>
      <w:r w:rsidRPr="00A01B6F">
        <w:fldChar w:fldCharType="separate"/>
      </w:r>
      <w:r w:rsidRPr="00A01B6F">
        <w:t>Table 3</w:t>
      </w:r>
      <w:r w:rsidRPr="00A01B6F">
        <w:fldChar w:fldCharType="end"/>
      </w:r>
      <w:r w:rsidRPr="00A01B6F">
        <w:t xml:space="preserve"> summarises the baseline demographic and d</w:t>
      </w:r>
      <w:r>
        <w:t>isease characteristics of Study AMY3001 (the ANDROMEDA trial).</w:t>
      </w:r>
    </w:p>
    <w:p w14:paraId="561C4937" w14:textId="435603FB" w:rsidR="00F20392" w:rsidRDefault="0011684A" w:rsidP="0011684A">
      <w:pPr>
        <w:pStyle w:val="Tabletitle0"/>
      </w:pPr>
      <w:bookmarkStart w:id="44" w:name="_Ref106187173"/>
      <w:r>
        <w:t xml:space="preserve">Table </w:t>
      </w:r>
      <w:r w:rsidR="006232AC">
        <w:fldChar w:fldCharType="begin"/>
      </w:r>
      <w:r w:rsidR="006232AC">
        <w:instrText xml:space="preserve"> SEQ Table \* ARABIC </w:instrText>
      </w:r>
      <w:r w:rsidR="006232AC">
        <w:fldChar w:fldCharType="separate"/>
      </w:r>
      <w:r w:rsidR="008C310C">
        <w:rPr>
          <w:noProof/>
        </w:rPr>
        <w:t>3</w:t>
      </w:r>
      <w:r w:rsidR="006232AC">
        <w:rPr>
          <w:noProof/>
        </w:rPr>
        <w:fldChar w:fldCharType="end"/>
      </w:r>
      <w:bookmarkEnd w:id="44"/>
      <w:r>
        <w:t xml:space="preserve">: </w:t>
      </w:r>
      <w:r w:rsidR="008C310C">
        <w:t>Study AMY3001 (Andromeda</w:t>
      </w:r>
      <w:r w:rsidR="001E7FEA">
        <w:t xml:space="preserve"> trial</w:t>
      </w:r>
      <w:r w:rsidR="008C310C">
        <w:t>)</w:t>
      </w:r>
      <w:r w:rsidR="0026506C">
        <w:t xml:space="preserve"> S</w:t>
      </w:r>
      <w:r w:rsidR="000E2470">
        <w:t>ummary of t</w:t>
      </w:r>
      <w:r w:rsidR="00F20392">
        <w:t>he baseline demographic and disease characteristics</w:t>
      </w:r>
    </w:p>
    <w:tbl>
      <w:tblPr>
        <w:tblStyle w:val="TableTGAblue"/>
        <w:tblW w:w="0" w:type="auto"/>
        <w:tblLook w:val="04A0" w:firstRow="1" w:lastRow="0" w:firstColumn="1" w:lastColumn="0" w:noHBand="0" w:noVBand="1"/>
        <w:tblCaption w:val="AMDROMEDA trial Summary of the baseline demographic and disease characteristics"/>
        <w:tblDescription w:val="This table summarises the baseline demographic and disease characteristics of the AMDROMEDA study."/>
      </w:tblPr>
      <w:tblGrid>
        <w:gridCol w:w="1372"/>
        <w:gridCol w:w="2533"/>
        <w:gridCol w:w="2222"/>
        <w:gridCol w:w="2358"/>
      </w:tblGrid>
      <w:tr w:rsidR="00054949" w:rsidRPr="00E1306D" w14:paraId="51C4D52B" w14:textId="77777777" w:rsidTr="00A01B6F">
        <w:trPr>
          <w:cnfStyle w:val="100000000000" w:firstRow="1" w:lastRow="0" w:firstColumn="0" w:lastColumn="0" w:oddVBand="0" w:evenVBand="0" w:oddHBand="0" w:evenHBand="0" w:firstRowFirstColumn="0" w:firstRowLastColumn="0" w:lastRowFirstColumn="0" w:lastRowLastColumn="0"/>
          <w:trHeight w:val="1027"/>
        </w:trPr>
        <w:tc>
          <w:tcPr>
            <w:tcW w:w="3860" w:type="dxa"/>
            <w:gridSpan w:val="2"/>
          </w:tcPr>
          <w:p w14:paraId="3F0B03DD" w14:textId="19CF2B66" w:rsidR="00054949" w:rsidRPr="008C310C" w:rsidRDefault="008C310C" w:rsidP="00A01B6F">
            <w:pPr>
              <w:ind w:left="0"/>
              <w:rPr>
                <w:sz w:val="20"/>
              </w:rPr>
            </w:pPr>
            <w:r w:rsidRPr="008C310C">
              <w:rPr>
                <w:sz w:val="20"/>
              </w:rPr>
              <w:t>Baseline d</w:t>
            </w:r>
            <w:r w:rsidR="00054949" w:rsidRPr="008C310C">
              <w:rPr>
                <w:sz w:val="20"/>
              </w:rPr>
              <w:t>emograph</w:t>
            </w:r>
            <w:r w:rsidRPr="008C310C">
              <w:rPr>
                <w:sz w:val="20"/>
              </w:rPr>
              <w:t>ics and disease c</w:t>
            </w:r>
            <w:r w:rsidR="00054949" w:rsidRPr="008C310C">
              <w:rPr>
                <w:sz w:val="20"/>
              </w:rPr>
              <w:t>haracteristics</w:t>
            </w:r>
          </w:p>
        </w:tc>
        <w:tc>
          <w:tcPr>
            <w:tcW w:w="2250" w:type="dxa"/>
          </w:tcPr>
          <w:p w14:paraId="2BA1EE1A" w14:textId="27E72E37" w:rsidR="00054949" w:rsidRPr="008C310C" w:rsidRDefault="00054949" w:rsidP="00A01B6F">
            <w:pPr>
              <w:ind w:left="0"/>
              <w:rPr>
                <w:sz w:val="20"/>
              </w:rPr>
            </w:pPr>
            <w:r w:rsidRPr="008C310C">
              <w:rPr>
                <w:sz w:val="20"/>
              </w:rPr>
              <w:t>CyBorD</w:t>
            </w:r>
            <w:r w:rsidR="00A01B6F">
              <w:rPr>
                <w:sz w:val="20"/>
              </w:rPr>
              <w:br/>
            </w:r>
            <w:r w:rsidR="008C310C">
              <w:rPr>
                <w:sz w:val="20"/>
              </w:rPr>
              <w:t>(n = 193)</w:t>
            </w:r>
          </w:p>
        </w:tc>
        <w:tc>
          <w:tcPr>
            <w:tcW w:w="2375" w:type="dxa"/>
          </w:tcPr>
          <w:p w14:paraId="488FDAAC" w14:textId="1A9AAC94" w:rsidR="00054949" w:rsidRPr="008C310C" w:rsidRDefault="008C310C" w:rsidP="00A01B6F">
            <w:pPr>
              <w:ind w:left="0"/>
              <w:rPr>
                <w:sz w:val="20"/>
              </w:rPr>
            </w:pPr>
            <w:r w:rsidRPr="008C310C">
              <w:rPr>
                <w:sz w:val="20"/>
              </w:rPr>
              <w:t>Daratumumab</w:t>
            </w:r>
            <w:r w:rsidR="00054949" w:rsidRPr="008C310C">
              <w:rPr>
                <w:sz w:val="20"/>
              </w:rPr>
              <w:t xml:space="preserve"> + CyBorD</w:t>
            </w:r>
            <w:r w:rsidR="00A01B6F">
              <w:rPr>
                <w:sz w:val="20"/>
              </w:rPr>
              <w:br/>
            </w:r>
            <w:r w:rsidRPr="008C310C">
              <w:rPr>
                <w:sz w:val="20"/>
              </w:rPr>
              <w:t>(n</w:t>
            </w:r>
            <w:r>
              <w:rPr>
                <w:sz w:val="20"/>
              </w:rPr>
              <w:t xml:space="preserve"> </w:t>
            </w:r>
            <w:r w:rsidRPr="008C310C">
              <w:rPr>
                <w:sz w:val="20"/>
              </w:rPr>
              <w:t>=</w:t>
            </w:r>
            <w:r>
              <w:rPr>
                <w:sz w:val="20"/>
              </w:rPr>
              <w:t xml:space="preserve"> </w:t>
            </w:r>
            <w:r w:rsidRPr="008C310C">
              <w:rPr>
                <w:sz w:val="20"/>
              </w:rPr>
              <w:t>195)</w:t>
            </w:r>
          </w:p>
        </w:tc>
      </w:tr>
      <w:tr w:rsidR="00A01B6F" w:rsidRPr="00E1306D" w14:paraId="619F8E5D" w14:textId="77777777" w:rsidTr="00A01B6F">
        <w:tc>
          <w:tcPr>
            <w:tcW w:w="1287" w:type="dxa"/>
          </w:tcPr>
          <w:p w14:paraId="0732C6EA" w14:textId="77777777" w:rsidR="00054949" w:rsidRPr="00A01B6F" w:rsidRDefault="00054949" w:rsidP="00A01B6F">
            <w:pPr>
              <w:ind w:left="0" w:right="0"/>
              <w:rPr>
                <w:b/>
                <w:color w:val="000000"/>
                <w:sz w:val="19"/>
                <w:szCs w:val="19"/>
              </w:rPr>
            </w:pPr>
            <w:r w:rsidRPr="00A01B6F">
              <w:rPr>
                <w:b/>
                <w:bCs/>
                <w:color w:val="auto"/>
                <w:sz w:val="20"/>
                <w:szCs w:val="20"/>
                <w:lang w:val="en-US"/>
              </w:rPr>
              <w:t>Age</w:t>
            </w:r>
          </w:p>
        </w:tc>
        <w:tc>
          <w:tcPr>
            <w:tcW w:w="2573" w:type="dxa"/>
          </w:tcPr>
          <w:p w14:paraId="4205AEE3" w14:textId="77777777" w:rsidR="00054949" w:rsidRPr="00E1306D" w:rsidRDefault="00054949" w:rsidP="00A01B6F">
            <w:pPr>
              <w:ind w:left="0" w:right="0"/>
              <w:rPr>
                <w:sz w:val="19"/>
                <w:szCs w:val="19"/>
              </w:rPr>
            </w:pPr>
            <w:r w:rsidRPr="00973B6E">
              <w:rPr>
                <w:iCs/>
                <w:color w:val="auto"/>
                <w:sz w:val="20"/>
                <w:szCs w:val="20"/>
                <w:lang w:val="en-US"/>
              </w:rPr>
              <w:t>Median (years, range)</w:t>
            </w:r>
          </w:p>
        </w:tc>
        <w:tc>
          <w:tcPr>
            <w:tcW w:w="2250" w:type="dxa"/>
          </w:tcPr>
          <w:p w14:paraId="6F1316EC" w14:textId="77777777" w:rsidR="00054949" w:rsidRPr="00E1306D" w:rsidRDefault="00054949" w:rsidP="00A01B6F">
            <w:pPr>
              <w:ind w:left="0" w:right="0"/>
              <w:rPr>
                <w:sz w:val="19"/>
                <w:szCs w:val="19"/>
              </w:rPr>
            </w:pPr>
            <w:r w:rsidRPr="00973B6E">
              <w:rPr>
                <w:iCs/>
                <w:color w:val="auto"/>
                <w:sz w:val="20"/>
                <w:szCs w:val="20"/>
              </w:rPr>
              <w:t>64 (35-86)</w:t>
            </w:r>
          </w:p>
        </w:tc>
        <w:tc>
          <w:tcPr>
            <w:tcW w:w="2375" w:type="dxa"/>
          </w:tcPr>
          <w:p w14:paraId="4A63617B" w14:textId="77777777" w:rsidR="00054949" w:rsidRPr="00E1306D" w:rsidRDefault="00054949" w:rsidP="00A01B6F">
            <w:pPr>
              <w:ind w:left="0" w:right="0"/>
              <w:rPr>
                <w:sz w:val="19"/>
                <w:szCs w:val="19"/>
              </w:rPr>
            </w:pPr>
            <w:r w:rsidRPr="00973B6E">
              <w:rPr>
                <w:iCs/>
                <w:color w:val="auto"/>
                <w:sz w:val="20"/>
                <w:szCs w:val="20"/>
              </w:rPr>
              <w:t>62 (34-87)</w:t>
            </w:r>
          </w:p>
        </w:tc>
      </w:tr>
      <w:tr w:rsidR="00A01B6F" w:rsidRPr="00E1306D" w14:paraId="4EDC5734" w14:textId="77777777" w:rsidTr="00A01B6F">
        <w:tc>
          <w:tcPr>
            <w:tcW w:w="1287" w:type="dxa"/>
          </w:tcPr>
          <w:p w14:paraId="41256817" w14:textId="77777777" w:rsidR="00054949" w:rsidRPr="00A01B6F" w:rsidRDefault="00054949" w:rsidP="00A01B6F">
            <w:pPr>
              <w:pStyle w:val="Tabletext"/>
              <w:ind w:left="0" w:right="0"/>
              <w:rPr>
                <w:b/>
                <w:bCs/>
                <w:color w:val="auto"/>
                <w:sz w:val="20"/>
                <w:szCs w:val="20"/>
                <w:lang w:val="en-US"/>
              </w:rPr>
            </w:pPr>
            <w:r w:rsidRPr="00A01B6F">
              <w:rPr>
                <w:b/>
                <w:bCs/>
                <w:color w:val="auto"/>
                <w:sz w:val="20"/>
                <w:szCs w:val="20"/>
                <w:lang w:val="en-US"/>
              </w:rPr>
              <w:t>Age group</w:t>
            </w:r>
          </w:p>
          <w:p w14:paraId="5317202F" w14:textId="77777777" w:rsidR="00054949" w:rsidRPr="00A01B6F" w:rsidRDefault="00054949" w:rsidP="00A01B6F">
            <w:pPr>
              <w:ind w:left="0" w:right="0"/>
              <w:rPr>
                <w:b/>
                <w:color w:val="000000"/>
                <w:sz w:val="19"/>
                <w:szCs w:val="19"/>
              </w:rPr>
            </w:pPr>
          </w:p>
        </w:tc>
        <w:tc>
          <w:tcPr>
            <w:tcW w:w="2573" w:type="dxa"/>
          </w:tcPr>
          <w:p w14:paraId="393A7F25" w14:textId="3D035F0C" w:rsidR="00054949" w:rsidRPr="00973B6E" w:rsidRDefault="00054949" w:rsidP="00A01B6F">
            <w:pPr>
              <w:pStyle w:val="Tabletext"/>
              <w:ind w:left="0" w:right="0"/>
              <w:rPr>
                <w:iCs/>
                <w:color w:val="auto"/>
                <w:sz w:val="20"/>
                <w:szCs w:val="20"/>
                <w:lang w:val="en-US"/>
              </w:rPr>
            </w:pPr>
            <w:r w:rsidRPr="00973B6E">
              <w:rPr>
                <w:iCs/>
                <w:color w:val="auto"/>
                <w:sz w:val="20"/>
                <w:szCs w:val="20"/>
                <w:lang w:val="en-US"/>
              </w:rPr>
              <w:t>&lt;</w:t>
            </w:r>
            <w:r w:rsidR="00A01B6F">
              <w:rPr>
                <w:iCs/>
                <w:color w:val="auto"/>
                <w:sz w:val="20"/>
                <w:szCs w:val="20"/>
                <w:lang w:val="en-US"/>
              </w:rPr>
              <w:t xml:space="preserve"> </w:t>
            </w:r>
            <w:r w:rsidRPr="00973B6E">
              <w:rPr>
                <w:iCs/>
                <w:color w:val="auto"/>
                <w:sz w:val="20"/>
                <w:szCs w:val="20"/>
                <w:lang w:val="en-US"/>
              </w:rPr>
              <w:t>65 years</w:t>
            </w:r>
          </w:p>
          <w:p w14:paraId="142C80A4" w14:textId="403F8C2F" w:rsidR="00054949" w:rsidRPr="00E1306D" w:rsidRDefault="00054949" w:rsidP="00A01B6F">
            <w:pPr>
              <w:ind w:left="0" w:right="0"/>
              <w:rPr>
                <w:sz w:val="19"/>
                <w:szCs w:val="19"/>
              </w:rPr>
            </w:pPr>
            <w:r w:rsidRPr="00973B6E">
              <w:rPr>
                <w:iCs/>
                <w:color w:val="auto"/>
                <w:sz w:val="20"/>
                <w:szCs w:val="20"/>
                <w:lang w:val="en-US"/>
              </w:rPr>
              <w:t>≥</w:t>
            </w:r>
            <w:r w:rsidR="00A01B6F">
              <w:rPr>
                <w:iCs/>
                <w:color w:val="auto"/>
                <w:sz w:val="20"/>
                <w:szCs w:val="20"/>
                <w:lang w:val="en-US"/>
              </w:rPr>
              <w:t xml:space="preserve"> </w:t>
            </w:r>
            <w:r w:rsidRPr="00973B6E">
              <w:rPr>
                <w:iCs/>
                <w:color w:val="auto"/>
                <w:sz w:val="20"/>
                <w:szCs w:val="20"/>
                <w:lang w:val="en-US"/>
              </w:rPr>
              <w:t>65 years</w:t>
            </w:r>
          </w:p>
        </w:tc>
        <w:tc>
          <w:tcPr>
            <w:tcW w:w="2250" w:type="dxa"/>
          </w:tcPr>
          <w:p w14:paraId="0A4FD106" w14:textId="77777777" w:rsidR="00054949" w:rsidRPr="00973B6E" w:rsidRDefault="00054949" w:rsidP="00A01B6F">
            <w:pPr>
              <w:pStyle w:val="Tabletext"/>
              <w:ind w:left="0" w:right="0"/>
              <w:rPr>
                <w:iCs/>
                <w:color w:val="auto"/>
                <w:sz w:val="20"/>
                <w:szCs w:val="20"/>
              </w:rPr>
            </w:pPr>
            <w:r w:rsidRPr="00973B6E">
              <w:rPr>
                <w:iCs/>
                <w:color w:val="auto"/>
                <w:sz w:val="20"/>
                <w:szCs w:val="20"/>
              </w:rPr>
              <w:t>97 (50.3%)</w:t>
            </w:r>
          </w:p>
          <w:p w14:paraId="3312848F" w14:textId="77777777" w:rsidR="00054949" w:rsidRPr="00E1306D" w:rsidRDefault="00054949" w:rsidP="00A01B6F">
            <w:pPr>
              <w:ind w:left="0" w:right="0"/>
              <w:rPr>
                <w:sz w:val="19"/>
                <w:szCs w:val="19"/>
              </w:rPr>
            </w:pPr>
            <w:r w:rsidRPr="00973B6E">
              <w:rPr>
                <w:iCs/>
                <w:color w:val="auto"/>
                <w:sz w:val="20"/>
                <w:szCs w:val="20"/>
              </w:rPr>
              <w:t>96 (49.7%)</w:t>
            </w:r>
          </w:p>
        </w:tc>
        <w:tc>
          <w:tcPr>
            <w:tcW w:w="2375" w:type="dxa"/>
          </w:tcPr>
          <w:p w14:paraId="68743052" w14:textId="77777777" w:rsidR="00054949" w:rsidRPr="00973B6E" w:rsidRDefault="00054949" w:rsidP="00A01B6F">
            <w:pPr>
              <w:pStyle w:val="Tabletext"/>
              <w:ind w:left="0" w:right="0"/>
              <w:rPr>
                <w:iCs/>
                <w:color w:val="auto"/>
                <w:sz w:val="20"/>
                <w:szCs w:val="20"/>
              </w:rPr>
            </w:pPr>
            <w:r w:rsidRPr="00973B6E">
              <w:rPr>
                <w:iCs/>
                <w:color w:val="auto"/>
                <w:sz w:val="20"/>
                <w:szCs w:val="20"/>
              </w:rPr>
              <w:t>108 (55.4%)</w:t>
            </w:r>
          </w:p>
          <w:p w14:paraId="4C6EB9D7" w14:textId="77777777" w:rsidR="00054949" w:rsidRPr="00E1306D" w:rsidRDefault="00054949" w:rsidP="00A01B6F">
            <w:pPr>
              <w:ind w:left="0" w:right="0"/>
              <w:rPr>
                <w:sz w:val="19"/>
                <w:szCs w:val="19"/>
              </w:rPr>
            </w:pPr>
            <w:r w:rsidRPr="00973B6E">
              <w:rPr>
                <w:iCs/>
                <w:color w:val="auto"/>
                <w:sz w:val="20"/>
                <w:szCs w:val="20"/>
              </w:rPr>
              <w:t>87 (44.6%)</w:t>
            </w:r>
          </w:p>
        </w:tc>
      </w:tr>
      <w:tr w:rsidR="00A01B6F" w:rsidRPr="00E1306D" w14:paraId="091AE587" w14:textId="77777777" w:rsidTr="00A01B6F">
        <w:tc>
          <w:tcPr>
            <w:tcW w:w="1287" w:type="dxa"/>
            <w:vMerge w:val="restart"/>
          </w:tcPr>
          <w:p w14:paraId="760A4785" w14:textId="77777777" w:rsidR="00054949" w:rsidRPr="00A01B6F" w:rsidRDefault="00054949" w:rsidP="00A01B6F">
            <w:pPr>
              <w:ind w:left="0" w:right="0"/>
              <w:rPr>
                <w:b/>
                <w:color w:val="000000"/>
                <w:sz w:val="19"/>
                <w:szCs w:val="19"/>
              </w:rPr>
            </w:pPr>
            <w:r w:rsidRPr="00A01B6F">
              <w:rPr>
                <w:b/>
                <w:bCs/>
                <w:color w:val="auto"/>
                <w:sz w:val="20"/>
                <w:szCs w:val="20"/>
                <w:lang w:val="en-US"/>
              </w:rPr>
              <w:lastRenderedPageBreak/>
              <w:t>Sex</w:t>
            </w:r>
          </w:p>
        </w:tc>
        <w:tc>
          <w:tcPr>
            <w:tcW w:w="2573" w:type="dxa"/>
          </w:tcPr>
          <w:p w14:paraId="0366AD29" w14:textId="77777777" w:rsidR="00054949" w:rsidRPr="00E1306D" w:rsidRDefault="00054949" w:rsidP="00A01B6F">
            <w:pPr>
              <w:ind w:left="0" w:right="0"/>
              <w:rPr>
                <w:sz w:val="19"/>
                <w:szCs w:val="19"/>
              </w:rPr>
            </w:pPr>
            <w:r w:rsidRPr="00973B6E">
              <w:rPr>
                <w:iCs/>
                <w:color w:val="auto"/>
                <w:sz w:val="20"/>
                <w:szCs w:val="20"/>
                <w:lang w:val="en-US"/>
              </w:rPr>
              <w:t>Male</w:t>
            </w:r>
          </w:p>
        </w:tc>
        <w:tc>
          <w:tcPr>
            <w:tcW w:w="2250" w:type="dxa"/>
          </w:tcPr>
          <w:p w14:paraId="150DAA7B" w14:textId="77777777" w:rsidR="00054949" w:rsidRPr="00E1306D" w:rsidRDefault="00054949" w:rsidP="00A01B6F">
            <w:pPr>
              <w:ind w:left="0" w:right="0"/>
              <w:rPr>
                <w:sz w:val="19"/>
                <w:szCs w:val="19"/>
              </w:rPr>
            </w:pPr>
            <w:r w:rsidRPr="00973B6E">
              <w:rPr>
                <w:iCs/>
                <w:color w:val="auto"/>
                <w:sz w:val="20"/>
                <w:szCs w:val="20"/>
              </w:rPr>
              <w:t>117 (60.6%)</w:t>
            </w:r>
          </w:p>
        </w:tc>
        <w:tc>
          <w:tcPr>
            <w:tcW w:w="2375" w:type="dxa"/>
          </w:tcPr>
          <w:p w14:paraId="4851E715" w14:textId="77777777" w:rsidR="00054949" w:rsidRPr="00E1306D" w:rsidRDefault="00054949" w:rsidP="00A01B6F">
            <w:pPr>
              <w:ind w:left="0" w:right="0"/>
              <w:rPr>
                <w:sz w:val="19"/>
                <w:szCs w:val="19"/>
              </w:rPr>
            </w:pPr>
            <w:r w:rsidRPr="00973B6E">
              <w:rPr>
                <w:iCs/>
                <w:color w:val="auto"/>
                <w:sz w:val="20"/>
                <w:szCs w:val="20"/>
              </w:rPr>
              <w:t>108 (55.4%)</w:t>
            </w:r>
          </w:p>
        </w:tc>
      </w:tr>
      <w:tr w:rsidR="00A01B6F" w:rsidRPr="00E1306D" w14:paraId="3AA9E646" w14:textId="77777777" w:rsidTr="00A01B6F">
        <w:tc>
          <w:tcPr>
            <w:tcW w:w="1287" w:type="dxa"/>
            <w:vMerge/>
          </w:tcPr>
          <w:p w14:paraId="67E417CD" w14:textId="77777777" w:rsidR="00054949" w:rsidRPr="00A01B6F" w:rsidRDefault="00054949" w:rsidP="00A01B6F">
            <w:pPr>
              <w:ind w:left="0" w:right="0"/>
              <w:rPr>
                <w:b/>
                <w:color w:val="000000"/>
                <w:sz w:val="19"/>
                <w:szCs w:val="19"/>
              </w:rPr>
            </w:pPr>
          </w:p>
        </w:tc>
        <w:tc>
          <w:tcPr>
            <w:tcW w:w="2573" w:type="dxa"/>
          </w:tcPr>
          <w:p w14:paraId="3471F04F" w14:textId="77777777" w:rsidR="00054949" w:rsidRPr="00E1306D" w:rsidRDefault="00054949" w:rsidP="00A01B6F">
            <w:pPr>
              <w:ind w:left="0" w:right="0"/>
              <w:rPr>
                <w:sz w:val="19"/>
                <w:szCs w:val="19"/>
              </w:rPr>
            </w:pPr>
            <w:r w:rsidRPr="00973B6E">
              <w:rPr>
                <w:iCs/>
                <w:color w:val="auto"/>
                <w:sz w:val="20"/>
                <w:szCs w:val="20"/>
                <w:lang w:val="en-US"/>
              </w:rPr>
              <w:t>Female</w:t>
            </w:r>
          </w:p>
        </w:tc>
        <w:tc>
          <w:tcPr>
            <w:tcW w:w="2250" w:type="dxa"/>
          </w:tcPr>
          <w:p w14:paraId="121CE290" w14:textId="77777777" w:rsidR="00054949" w:rsidRPr="00E1306D" w:rsidRDefault="00054949" w:rsidP="00A01B6F">
            <w:pPr>
              <w:ind w:left="0" w:right="0"/>
              <w:rPr>
                <w:sz w:val="19"/>
                <w:szCs w:val="19"/>
              </w:rPr>
            </w:pPr>
            <w:r w:rsidRPr="00973B6E">
              <w:rPr>
                <w:iCs/>
                <w:color w:val="auto"/>
                <w:sz w:val="20"/>
                <w:szCs w:val="20"/>
              </w:rPr>
              <w:t>76(39.4%)</w:t>
            </w:r>
          </w:p>
        </w:tc>
        <w:tc>
          <w:tcPr>
            <w:tcW w:w="2375" w:type="dxa"/>
          </w:tcPr>
          <w:p w14:paraId="792C7C4F" w14:textId="77777777" w:rsidR="00054949" w:rsidRPr="00E1306D" w:rsidRDefault="00054949" w:rsidP="00A01B6F">
            <w:pPr>
              <w:ind w:left="0" w:right="0"/>
              <w:rPr>
                <w:sz w:val="19"/>
                <w:szCs w:val="19"/>
              </w:rPr>
            </w:pPr>
            <w:r w:rsidRPr="00973B6E">
              <w:rPr>
                <w:iCs/>
                <w:color w:val="auto"/>
                <w:sz w:val="20"/>
                <w:szCs w:val="20"/>
              </w:rPr>
              <w:t>87 (44.6%)</w:t>
            </w:r>
          </w:p>
        </w:tc>
      </w:tr>
      <w:tr w:rsidR="00A01B6F" w:rsidRPr="00E1306D" w14:paraId="05B48B2D" w14:textId="77777777" w:rsidTr="00A01B6F">
        <w:tc>
          <w:tcPr>
            <w:tcW w:w="1287" w:type="dxa"/>
          </w:tcPr>
          <w:p w14:paraId="22F3E3C6" w14:textId="77777777" w:rsidR="00054949" w:rsidRPr="00A01B6F" w:rsidRDefault="00054949" w:rsidP="00A01B6F">
            <w:pPr>
              <w:pStyle w:val="Tabletext"/>
              <w:ind w:left="0" w:right="0"/>
              <w:rPr>
                <w:b/>
                <w:bCs/>
                <w:color w:val="auto"/>
                <w:sz w:val="20"/>
                <w:szCs w:val="20"/>
                <w:lang w:val="en-US"/>
              </w:rPr>
            </w:pPr>
            <w:r w:rsidRPr="00A01B6F">
              <w:rPr>
                <w:b/>
                <w:bCs/>
                <w:color w:val="auto"/>
                <w:sz w:val="20"/>
                <w:szCs w:val="20"/>
                <w:lang w:val="en-US"/>
              </w:rPr>
              <w:t>Race</w:t>
            </w:r>
          </w:p>
          <w:p w14:paraId="0175DC54" w14:textId="77777777" w:rsidR="00054949" w:rsidRPr="00A01B6F" w:rsidRDefault="00054949" w:rsidP="00A01B6F">
            <w:pPr>
              <w:ind w:left="0" w:right="0"/>
              <w:rPr>
                <w:b/>
                <w:color w:val="000000"/>
                <w:sz w:val="19"/>
                <w:szCs w:val="19"/>
              </w:rPr>
            </w:pPr>
          </w:p>
        </w:tc>
        <w:tc>
          <w:tcPr>
            <w:tcW w:w="2573" w:type="dxa"/>
          </w:tcPr>
          <w:p w14:paraId="21923B3D" w14:textId="77777777" w:rsidR="00054949" w:rsidRPr="00973B6E" w:rsidRDefault="00054949" w:rsidP="00A01B6F">
            <w:pPr>
              <w:pStyle w:val="Tabletext"/>
              <w:ind w:left="0" w:right="0"/>
              <w:rPr>
                <w:iCs/>
                <w:color w:val="auto"/>
                <w:sz w:val="20"/>
                <w:szCs w:val="20"/>
                <w:lang w:val="en-US"/>
              </w:rPr>
            </w:pPr>
            <w:r w:rsidRPr="00973B6E">
              <w:rPr>
                <w:iCs/>
                <w:color w:val="auto"/>
                <w:sz w:val="20"/>
                <w:szCs w:val="20"/>
                <w:lang w:val="en-US"/>
              </w:rPr>
              <w:t>White</w:t>
            </w:r>
          </w:p>
          <w:p w14:paraId="01F759E6" w14:textId="77777777" w:rsidR="00054949" w:rsidRPr="00E1306D" w:rsidRDefault="00054949" w:rsidP="00A01B6F">
            <w:pPr>
              <w:ind w:left="0" w:right="0"/>
              <w:rPr>
                <w:sz w:val="19"/>
                <w:szCs w:val="19"/>
              </w:rPr>
            </w:pPr>
            <w:r w:rsidRPr="00973B6E">
              <w:rPr>
                <w:iCs/>
                <w:color w:val="auto"/>
                <w:sz w:val="20"/>
                <w:szCs w:val="20"/>
                <w:lang w:val="en-US"/>
              </w:rPr>
              <w:t>Asian</w:t>
            </w:r>
          </w:p>
        </w:tc>
        <w:tc>
          <w:tcPr>
            <w:tcW w:w="2250" w:type="dxa"/>
          </w:tcPr>
          <w:p w14:paraId="09407728" w14:textId="77777777" w:rsidR="00054949" w:rsidRPr="00973B6E" w:rsidRDefault="00054949" w:rsidP="00A01B6F">
            <w:pPr>
              <w:pStyle w:val="Tabletext"/>
              <w:ind w:left="0" w:right="0"/>
              <w:rPr>
                <w:iCs/>
                <w:color w:val="auto"/>
                <w:sz w:val="20"/>
                <w:szCs w:val="20"/>
              </w:rPr>
            </w:pPr>
            <w:r w:rsidRPr="00973B6E">
              <w:rPr>
                <w:iCs/>
                <w:color w:val="auto"/>
                <w:sz w:val="20"/>
                <w:szCs w:val="20"/>
              </w:rPr>
              <w:t>143 (74.1%)</w:t>
            </w:r>
          </w:p>
          <w:p w14:paraId="0927E3E9" w14:textId="77777777" w:rsidR="00054949" w:rsidRPr="00E1306D" w:rsidRDefault="00054949" w:rsidP="00A01B6F">
            <w:pPr>
              <w:ind w:left="0" w:right="0"/>
              <w:rPr>
                <w:sz w:val="19"/>
                <w:szCs w:val="19"/>
              </w:rPr>
            </w:pPr>
            <w:r w:rsidRPr="00973B6E">
              <w:rPr>
                <w:iCs/>
                <w:color w:val="auto"/>
                <w:sz w:val="20"/>
                <w:szCs w:val="20"/>
              </w:rPr>
              <w:t>34 (17.6%)</w:t>
            </w:r>
          </w:p>
        </w:tc>
        <w:tc>
          <w:tcPr>
            <w:tcW w:w="2375" w:type="dxa"/>
          </w:tcPr>
          <w:p w14:paraId="5A5F0E1B" w14:textId="77777777" w:rsidR="00054949" w:rsidRPr="00973B6E" w:rsidRDefault="00054949" w:rsidP="00A01B6F">
            <w:pPr>
              <w:pStyle w:val="Tabletext"/>
              <w:ind w:left="0" w:right="0"/>
              <w:rPr>
                <w:iCs/>
                <w:color w:val="auto"/>
                <w:sz w:val="20"/>
                <w:szCs w:val="20"/>
              </w:rPr>
            </w:pPr>
            <w:r w:rsidRPr="00973B6E">
              <w:rPr>
                <w:iCs/>
                <w:color w:val="auto"/>
                <w:sz w:val="20"/>
                <w:szCs w:val="20"/>
              </w:rPr>
              <w:t>151 (77.4%)</w:t>
            </w:r>
          </w:p>
          <w:p w14:paraId="0BACF80C" w14:textId="77777777" w:rsidR="00054949" w:rsidRPr="00E1306D" w:rsidRDefault="00054949" w:rsidP="00A01B6F">
            <w:pPr>
              <w:ind w:left="0" w:right="0"/>
              <w:rPr>
                <w:sz w:val="19"/>
                <w:szCs w:val="19"/>
              </w:rPr>
            </w:pPr>
            <w:r w:rsidRPr="00973B6E">
              <w:rPr>
                <w:iCs/>
                <w:color w:val="auto"/>
                <w:sz w:val="20"/>
                <w:szCs w:val="20"/>
              </w:rPr>
              <w:t>30(15.4%)</w:t>
            </w:r>
          </w:p>
        </w:tc>
      </w:tr>
      <w:tr w:rsidR="00A01B6F" w:rsidRPr="00E1306D" w14:paraId="02FF82F0" w14:textId="77777777" w:rsidTr="00A01B6F">
        <w:tc>
          <w:tcPr>
            <w:tcW w:w="1287" w:type="dxa"/>
            <w:vMerge w:val="restart"/>
          </w:tcPr>
          <w:p w14:paraId="7A4BF444" w14:textId="77777777" w:rsidR="00054949" w:rsidRPr="00A01B6F" w:rsidRDefault="00054949" w:rsidP="00A01B6F">
            <w:pPr>
              <w:ind w:left="0" w:right="0"/>
              <w:rPr>
                <w:rFonts w:cs="Calibri"/>
                <w:b/>
                <w:color w:val="000000"/>
                <w:sz w:val="19"/>
                <w:szCs w:val="19"/>
              </w:rPr>
            </w:pPr>
            <w:r w:rsidRPr="00A01B6F">
              <w:rPr>
                <w:b/>
                <w:bCs/>
                <w:color w:val="auto"/>
                <w:sz w:val="20"/>
                <w:szCs w:val="20"/>
                <w:lang w:val="en-US"/>
              </w:rPr>
              <w:t>Weight</w:t>
            </w:r>
          </w:p>
        </w:tc>
        <w:tc>
          <w:tcPr>
            <w:tcW w:w="2573" w:type="dxa"/>
          </w:tcPr>
          <w:p w14:paraId="4EE6DA60" w14:textId="77777777" w:rsidR="00054949" w:rsidRPr="00E1306D" w:rsidRDefault="00054949" w:rsidP="00A01B6F">
            <w:pPr>
              <w:ind w:left="0" w:right="0"/>
              <w:rPr>
                <w:rFonts w:cs="Calibri"/>
                <w:sz w:val="19"/>
                <w:szCs w:val="19"/>
              </w:rPr>
            </w:pPr>
            <w:r w:rsidRPr="00973B6E">
              <w:rPr>
                <w:iCs/>
                <w:color w:val="auto"/>
                <w:sz w:val="20"/>
                <w:szCs w:val="20"/>
                <w:lang w:val="en-US"/>
              </w:rPr>
              <w:t>Median (range)</w:t>
            </w:r>
          </w:p>
        </w:tc>
        <w:tc>
          <w:tcPr>
            <w:tcW w:w="2250" w:type="dxa"/>
          </w:tcPr>
          <w:p w14:paraId="09547084" w14:textId="77777777" w:rsidR="00054949" w:rsidRPr="00E1306D" w:rsidRDefault="00054949" w:rsidP="00A01B6F">
            <w:pPr>
              <w:ind w:left="0" w:right="0"/>
              <w:rPr>
                <w:rFonts w:cs="Calibri"/>
                <w:sz w:val="19"/>
                <w:szCs w:val="19"/>
              </w:rPr>
            </w:pPr>
            <w:r w:rsidRPr="00973B6E">
              <w:rPr>
                <w:iCs/>
                <w:color w:val="auto"/>
                <w:sz w:val="20"/>
                <w:szCs w:val="20"/>
              </w:rPr>
              <w:t>70 (38, 134.6)</w:t>
            </w:r>
          </w:p>
        </w:tc>
        <w:tc>
          <w:tcPr>
            <w:tcW w:w="2375" w:type="dxa"/>
          </w:tcPr>
          <w:p w14:paraId="076D310D" w14:textId="77777777" w:rsidR="00054949" w:rsidRPr="00E1306D" w:rsidRDefault="00054949" w:rsidP="00A01B6F">
            <w:pPr>
              <w:ind w:left="0" w:right="0"/>
              <w:rPr>
                <w:rFonts w:cs="Calibri"/>
                <w:sz w:val="19"/>
                <w:szCs w:val="19"/>
              </w:rPr>
            </w:pPr>
            <w:r w:rsidRPr="00973B6E">
              <w:rPr>
                <w:iCs/>
                <w:color w:val="auto"/>
                <w:sz w:val="20"/>
                <w:szCs w:val="20"/>
              </w:rPr>
              <w:t>73 (41.5, 141.5)</w:t>
            </w:r>
          </w:p>
        </w:tc>
      </w:tr>
      <w:tr w:rsidR="00A01B6F" w:rsidRPr="00E1306D" w14:paraId="1E70EE03" w14:textId="77777777" w:rsidTr="00A01B6F">
        <w:tc>
          <w:tcPr>
            <w:tcW w:w="1287" w:type="dxa"/>
            <w:vMerge/>
          </w:tcPr>
          <w:p w14:paraId="1F4EE20B" w14:textId="77777777" w:rsidR="00054949" w:rsidRPr="00A01B6F" w:rsidRDefault="00054949" w:rsidP="00A01B6F">
            <w:pPr>
              <w:ind w:left="0" w:right="0"/>
              <w:rPr>
                <w:rFonts w:cs="Calibri"/>
                <w:b/>
                <w:color w:val="000000"/>
                <w:sz w:val="19"/>
                <w:szCs w:val="19"/>
              </w:rPr>
            </w:pPr>
          </w:p>
        </w:tc>
        <w:tc>
          <w:tcPr>
            <w:tcW w:w="2573" w:type="dxa"/>
          </w:tcPr>
          <w:p w14:paraId="304283F6" w14:textId="588ED70A" w:rsidR="00054949" w:rsidRPr="00E1306D" w:rsidRDefault="00054949" w:rsidP="00A01B6F">
            <w:pPr>
              <w:ind w:left="0" w:right="0"/>
              <w:rPr>
                <w:rFonts w:cs="Calibri"/>
                <w:sz w:val="19"/>
                <w:szCs w:val="19"/>
              </w:rPr>
            </w:pPr>
            <w:r w:rsidRPr="00973B6E">
              <w:rPr>
                <w:iCs/>
                <w:color w:val="auto"/>
                <w:sz w:val="20"/>
                <w:szCs w:val="20"/>
                <w:lang w:val="en-US"/>
              </w:rPr>
              <w:t>≤</w:t>
            </w:r>
            <w:r w:rsidR="00A01B6F">
              <w:rPr>
                <w:iCs/>
                <w:color w:val="auto"/>
                <w:sz w:val="20"/>
                <w:szCs w:val="20"/>
                <w:lang w:val="en-US"/>
              </w:rPr>
              <w:t xml:space="preserve"> </w:t>
            </w:r>
            <w:r w:rsidRPr="00973B6E">
              <w:rPr>
                <w:iCs/>
                <w:color w:val="auto"/>
                <w:sz w:val="20"/>
                <w:szCs w:val="20"/>
                <w:lang w:val="en-US"/>
              </w:rPr>
              <w:t>65 kg</w:t>
            </w:r>
          </w:p>
        </w:tc>
        <w:tc>
          <w:tcPr>
            <w:tcW w:w="2250" w:type="dxa"/>
          </w:tcPr>
          <w:p w14:paraId="02CD352F" w14:textId="77777777" w:rsidR="00054949" w:rsidRPr="00E1306D" w:rsidRDefault="00054949" w:rsidP="00A01B6F">
            <w:pPr>
              <w:ind w:left="0" w:right="0"/>
              <w:rPr>
                <w:rFonts w:cs="Calibri"/>
                <w:sz w:val="19"/>
                <w:szCs w:val="19"/>
              </w:rPr>
            </w:pPr>
            <w:r w:rsidRPr="00973B6E">
              <w:rPr>
                <w:iCs/>
                <w:color w:val="auto"/>
                <w:sz w:val="20"/>
                <w:szCs w:val="20"/>
              </w:rPr>
              <w:t>74 (38.3%)</w:t>
            </w:r>
          </w:p>
        </w:tc>
        <w:tc>
          <w:tcPr>
            <w:tcW w:w="2375" w:type="dxa"/>
          </w:tcPr>
          <w:p w14:paraId="157E0420" w14:textId="77777777" w:rsidR="00054949" w:rsidRPr="00E1306D" w:rsidRDefault="00054949" w:rsidP="00A01B6F">
            <w:pPr>
              <w:ind w:left="0" w:right="0"/>
              <w:rPr>
                <w:rFonts w:cs="Calibri"/>
                <w:sz w:val="19"/>
                <w:szCs w:val="19"/>
              </w:rPr>
            </w:pPr>
            <w:r w:rsidRPr="00973B6E">
              <w:rPr>
                <w:iCs/>
                <w:color w:val="auto"/>
                <w:sz w:val="20"/>
                <w:szCs w:val="20"/>
              </w:rPr>
              <w:t>62 (31.8%)</w:t>
            </w:r>
          </w:p>
        </w:tc>
      </w:tr>
      <w:tr w:rsidR="00A01B6F" w:rsidRPr="00E1306D" w14:paraId="0BD89CB9" w14:textId="77777777" w:rsidTr="00A01B6F">
        <w:tc>
          <w:tcPr>
            <w:tcW w:w="1287" w:type="dxa"/>
            <w:vMerge/>
          </w:tcPr>
          <w:p w14:paraId="6D679DE9" w14:textId="77777777" w:rsidR="00054949" w:rsidRPr="00A01B6F" w:rsidRDefault="00054949" w:rsidP="00A01B6F">
            <w:pPr>
              <w:ind w:left="0" w:right="0"/>
              <w:rPr>
                <w:rFonts w:cs="Calibri"/>
                <w:b/>
                <w:color w:val="000000"/>
                <w:sz w:val="19"/>
                <w:szCs w:val="19"/>
              </w:rPr>
            </w:pPr>
          </w:p>
        </w:tc>
        <w:tc>
          <w:tcPr>
            <w:tcW w:w="2573" w:type="dxa"/>
          </w:tcPr>
          <w:p w14:paraId="3B21F605" w14:textId="1489647C" w:rsidR="00054949" w:rsidRPr="00E1306D" w:rsidRDefault="00054949" w:rsidP="00A01B6F">
            <w:pPr>
              <w:ind w:left="0" w:right="0"/>
              <w:rPr>
                <w:rFonts w:cs="Calibri"/>
                <w:sz w:val="19"/>
                <w:szCs w:val="19"/>
              </w:rPr>
            </w:pPr>
            <w:r w:rsidRPr="00973B6E">
              <w:rPr>
                <w:iCs/>
                <w:color w:val="auto"/>
                <w:sz w:val="20"/>
                <w:szCs w:val="20"/>
                <w:lang w:val="en-US"/>
              </w:rPr>
              <w:t>&gt;</w:t>
            </w:r>
            <w:r w:rsidR="00A01B6F">
              <w:rPr>
                <w:iCs/>
                <w:color w:val="auto"/>
                <w:sz w:val="20"/>
                <w:szCs w:val="20"/>
                <w:lang w:val="en-US"/>
              </w:rPr>
              <w:t xml:space="preserve"> </w:t>
            </w:r>
            <w:r w:rsidRPr="00973B6E">
              <w:rPr>
                <w:iCs/>
                <w:color w:val="auto"/>
                <w:sz w:val="20"/>
                <w:szCs w:val="20"/>
                <w:lang w:val="en-US"/>
              </w:rPr>
              <w:t>65 to 85 kg</w:t>
            </w:r>
          </w:p>
        </w:tc>
        <w:tc>
          <w:tcPr>
            <w:tcW w:w="2250" w:type="dxa"/>
          </w:tcPr>
          <w:p w14:paraId="20E7F9C1" w14:textId="77777777" w:rsidR="00054949" w:rsidRPr="00E1306D" w:rsidRDefault="00054949" w:rsidP="00A01B6F">
            <w:pPr>
              <w:ind w:left="0" w:right="0"/>
              <w:rPr>
                <w:rFonts w:cs="Calibri"/>
                <w:sz w:val="19"/>
                <w:szCs w:val="19"/>
              </w:rPr>
            </w:pPr>
            <w:r w:rsidRPr="00973B6E">
              <w:rPr>
                <w:iCs/>
                <w:color w:val="auto"/>
                <w:sz w:val="20"/>
                <w:szCs w:val="20"/>
              </w:rPr>
              <w:t>74 (38.3%)</w:t>
            </w:r>
          </w:p>
        </w:tc>
        <w:tc>
          <w:tcPr>
            <w:tcW w:w="2375" w:type="dxa"/>
          </w:tcPr>
          <w:p w14:paraId="7E653614" w14:textId="77777777" w:rsidR="00054949" w:rsidRPr="00E1306D" w:rsidRDefault="00054949" w:rsidP="00A01B6F">
            <w:pPr>
              <w:ind w:left="0" w:right="0"/>
              <w:rPr>
                <w:rFonts w:cs="Calibri"/>
                <w:sz w:val="19"/>
                <w:szCs w:val="19"/>
              </w:rPr>
            </w:pPr>
            <w:r w:rsidRPr="00973B6E">
              <w:rPr>
                <w:iCs/>
                <w:color w:val="auto"/>
                <w:sz w:val="20"/>
                <w:szCs w:val="20"/>
              </w:rPr>
              <w:t>96 (49.2%)</w:t>
            </w:r>
          </w:p>
        </w:tc>
      </w:tr>
      <w:tr w:rsidR="00A01B6F" w:rsidRPr="00E1306D" w14:paraId="1ABC1768" w14:textId="77777777" w:rsidTr="00A01B6F">
        <w:tc>
          <w:tcPr>
            <w:tcW w:w="1287" w:type="dxa"/>
            <w:vMerge/>
          </w:tcPr>
          <w:p w14:paraId="100117A3" w14:textId="77777777" w:rsidR="00054949" w:rsidRPr="00A01B6F" w:rsidRDefault="00054949" w:rsidP="00A01B6F">
            <w:pPr>
              <w:ind w:left="0" w:right="0"/>
              <w:rPr>
                <w:rFonts w:cs="Calibri"/>
                <w:b/>
                <w:color w:val="000000"/>
                <w:sz w:val="19"/>
                <w:szCs w:val="19"/>
              </w:rPr>
            </w:pPr>
          </w:p>
        </w:tc>
        <w:tc>
          <w:tcPr>
            <w:tcW w:w="2573" w:type="dxa"/>
          </w:tcPr>
          <w:p w14:paraId="14F4850F" w14:textId="7FE39CEF" w:rsidR="00054949" w:rsidRPr="00E1306D" w:rsidRDefault="00054949" w:rsidP="00A01B6F">
            <w:pPr>
              <w:ind w:left="0" w:right="0"/>
              <w:rPr>
                <w:rFonts w:cs="Calibri"/>
                <w:sz w:val="19"/>
                <w:szCs w:val="19"/>
              </w:rPr>
            </w:pPr>
            <w:r w:rsidRPr="00973B6E">
              <w:rPr>
                <w:iCs/>
                <w:color w:val="auto"/>
                <w:sz w:val="20"/>
                <w:szCs w:val="20"/>
                <w:lang w:val="en-US"/>
              </w:rPr>
              <w:t>&gt;</w:t>
            </w:r>
            <w:r w:rsidR="00A01B6F">
              <w:rPr>
                <w:iCs/>
                <w:color w:val="auto"/>
                <w:sz w:val="20"/>
                <w:szCs w:val="20"/>
                <w:lang w:val="en-US"/>
              </w:rPr>
              <w:t xml:space="preserve"> </w:t>
            </w:r>
            <w:r w:rsidRPr="00973B6E">
              <w:rPr>
                <w:iCs/>
                <w:color w:val="auto"/>
                <w:sz w:val="20"/>
                <w:szCs w:val="20"/>
                <w:lang w:val="en-US"/>
              </w:rPr>
              <w:t>85 kg</w:t>
            </w:r>
          </w:p>
        </w:tc>
        <w:tc>
          <w:tcPr>
            <w:tcW w:w="2250" w:type="dxa"/>
          </w:tcPr>
          <w:p w14:paraId="03A156D0" w14:textId="77777777" w:rsidR="00054949" w:rsidRPr="00E1306D" w:rsidRDefault="00054949" w:rsidP="00A01B6F">
            <w:pPr>
              <w:ind w:left="0" w:right="0"/>
              <w:rPr>
                <w:rFonts w:cs="Calibri"/>
                <w:sz w:val="19"/>
                <w:szCs w:val="19"/>
              </w:rPr>
            </w:pPr>
            <w:r w:rsidRPr="00973B6E">
              <w:rPr>
                <w:iCs/>
                <w:color w:val="auto"/>
                <w:sz w:val="20"/>
                <w:szCs w:val="20"/>
              </w:rPr>
              <w:t>45 (23.3%)</w:t>
            </w:r>
          </w:p>
        </w:tc>
        <w:tc>
          <w:tcPr>
            <w:tcW w:w="2375" w:type="dxa"/>
          </w:tcPr>
          <w:p w14:paraId="5F8C0C2E" w14:textId="77777777" w:rsidR="00054949" w:rsidRPr="00E1306D" w:rsidRDefault="00054949" w:rsidP="00A01B6F">
            <w:pPr>
              <w:ind w:left="0" w:right="0"/>
              <w:rPr>
                <w:rFonts w:cs="Calibri"/>
                <w:sz w:val="19"/>
                <w:szCs w:val="19"/>
              </w:rPr>
            </w:pPr>
            <w:r w:rsidRPr="00973B6E">
              <w:rPr>
                <w:iCs/>
                <w:color w:val="auto"/>
                <w:sz w:val="20"/>
                <w:szCs w:val="20"/>
              </w:rPr>
              <w:t>37 (19.0%)</w:t>
            </w:r>
          </w:p>
        </w:tc>
      </w:tr>
      <w:tr w:rsidR="00A01B6F" w:rsidRPr="00E1306D" w14:paraId="3F033176" w14:textId="77777777" w:rsidTr="00A01B6F">
        <w:tc>
          <w:tcPr>
            <w:tcW w:w="1287" w:type="dxa"/>
          </w:tcPr>
          <w:p w14:paraId="3CDAAA54" w14:textId="77777777" w:rsidR="00054949" w:rsidRPr="00A01B6F" w:rsidRDefault="00054949" w:rsidP="00A01B6F">
            <w:pPr>
              <w:pStyle w:val="Tabletext"/>
              <w:ind w:left="0" w:right="0"/>
              <w:rPr>
                <w:b/>
                <w:bCs/>
                <w:color w:val="auto"/>
                <w:sz w:val="20"/>
                <w:szCs w:val="20"/>
                <w:lang w:val="en-US"/>
              </w:rPr>
            </w:pPr>
            <w:r w:rsidRPr="00A01B6F">
              <w:rPr>
                <w:b/>
                <w:bCs/>
                <w:color w:val="auto"/>
                <w:sz w:val="20"/>
                <w:szCs w:val="20"/>
                <w:lang w:val="en-US"/>
              </w:rPr>
              <w:t>ECOG status</w:t>
            </w:r>
          </w:p>
          <w:p w14:paraId="2BC51F2D" w14:textId="77777777" w:rsidR="00054949" w:rsidRPr="00A01B6F" w:rsidRDefault="00054949" w:rsidP="00A01B6F">
            <w:pPr>
              <w:ind w:left="0" w:right="0"/>
              <w:rPr>
                <w:rFonts w:cs="Calibri"/>
                <w:b/>
                <w:color w:val="000000"/>
                <w:sz w:val="19"/>
                <w:szCs w:val="19"/>
              </w:rPr>
            </w:pPr>
          </w:p>
        </w:tc>
        <w:tc>
          <w:tcPr>
            <w:tcW w:w="2573" w:type="dxa"/>
          </w:tcPr>
          <w:p w14:paraId="4449BFD7" w14:textId="77777777" w:rsidR="00054949" w:rsidRPr="00973B6E" w:rsidRDefault="00054949" w:rsidP="00A01B6F">
            <w:pPr>
              <w:pStyle w:val="Tabletext"/>
              <w:ind w:left="0" w:right="0"/>
              <w:rPr>
                <w:iCs/>
                <w:color w:val="auto"/>
                <w:sz w:val="20"/>
                <w:szCs w:val="20"/>
                <w:lang w:val="en-US"/>
              </w:rPr>
            </w:pPr>
            <w:r w:rsidRPr="00973B6E">
              <w:rPr>
                <w:iCs/>
                <w:color w:val="auto"/>
                <w:sz w:val="20"/>
                <w:szCs w:val="20"/>
                <w:lang w:val="en-US"/>
              </w:rPr>
              <w:t>0</w:t>
            </w:r>
          </w:p>
          <w:p w14:paraId="5C516150" w14:textId="77777777" w:rsidR="00054949" w:rsidRPr="00973B6E" w:rsidRDefault="00054949" w:rsidP="00A01B6F">
            <w:pPr>
              <w:pStyle w:val="Tabletext"/>
              <w:ind w:left="0" w:right="0"/>
              <w:rPr>
                <w:iCs/>
                <w:color w:val="auto"/>
                <w:sz w:val="20"/>
                <w:szCs w:val="20"/>
                <w:lang w:val="en-US"/>
              </w:rPr>
            </w:pPr>
            <w:r w:rsidRPr="00973B6E">
              <w:rPr>
                <w:iCs/>
                <w:color w:val="auto"/>
                <w:sz w:val="20"/>
                <w:szCs w:val="20"/>
                <w:lang w:val="en-US"/>
              </w:rPr>
              <w:t>1</w:t>
            </w:r>
          </w:p>
          <w:p w14:paraId="390F1B78" w14:textId="77777777" w:rsidR="00054949" w:rsidRPr="00E1306D" w:rsidRDefault="00054949" w:rsidP="00A01B6F">
            <w:pPr>
              <w:ind w:left="0" w:right="0"/>
              <w:rPr>
                <w:rFonts w:cs="Calibri"/>
                <w:sz w:val="19"/>
                <w:szCs w:val="19"/>
              </w:rPr>
            </w:pPr>
            <w:r w:rsidRPr="00973B6E">
              <w:rPr>
                <w:iCs/>
                <w:color w:val="auto"/>
                <w:sz w:val="20"/>
                <w:szCs w:val="20"/>
                <w:lang w:val="en-US"/>
              </w:rPr>
              <w:t>2</w:t>
            </w:r>
          </w:p>
        </w:tc>
        <w:tc>
          <w:tcPr>
            <w:tcW w:w="2250" w:type="dxa"/>
          </w:tcPr>
          <w:p w14:paraId="139DA988" w14:textId="77777777" w:rsidR="00054949" w:rsidRPr="00973B6E" w:rsidRDefault="00054949" w:rsidP="00A01B6F">
            <w:pPr>
              <w:pStyle w:val="Tabletext"/>
              <w:ind w:left="0" w:right="0"/>
              <w:rPr>
                <w:iCs/>
                <w:color w:val="auto"/>
                <w:sz w:val="20"/>
                <w:szCs w:val="20"/>
              </w:rPr>
            </w:pPr>
            <w:r w:rsidRPr="00973B6E">
              <w:rPr>
                <w:iCs/>
                <w:color w:val="auto"/>
                <w:sz w:val="20"/>
                <w:szCs w:val="20"/>
              </w:rPr>
              <w:t>71 (36.8%)</w:t>
            </w:r>
          </w:p>
          <w:p w14:paraId="227D7F34" w14:textId="77777777" w:rsidR="00054949" w:rsidRPr="00973B6E" w:rsidRDefault="00054949" w:rsidP="00A01B6F">
            <w:pPr>
              <w:pStyle w:val="Tabletext"/>
              <w:ind w:left="0" w:right="0"/>
              <w:rPr>
                <w:iCs/>
                <w:color w:val="auto"/>
                <w:sz w:val="20"/>
                <w:szCs w:val="20"/>
              </w:rPr>
            </w:pPr>
            <w:r w:rsidRPr="00973B6E">
              <w:rPr>
                <w:iCs/>
                <w:color w:val="auto"/>
                <w:sz w:val="20"/>
                <w:szCs w:val="20"/>
              </w:rPr>
              <w:t>106 (54.9%)</w:t>
            </w:r>
          </w:p>
          <w:p w14:paraId="4385BB97" w14:textId="77777777" w:rsidR="00054949" w:rsidRPr="00E1306D" w:rsidRDefault="00054949" w:rsidP="00A01B6F">
            <w:pPr>
              <w:ind w:left="0" w:right="0"/>
              <w:rPr>
                <w:rFonts w:cs="Calibri"/>
                <w:sz w:val="19"/>
                <w:szCs w:val="19"/>
              </w:rPr>
            </w:pPr>
            <w:r w:rsidRPr="00973B6E">
              <w:rPr>
                <w:iCs/>
                <w:color w:val="auto"/>
                <w:sz w:val="20"/>
                <w:szCs w:val="20"/>
              </w:rPr>
              <w:t>16 (8.3%)</w:t>
            </w:r>
          </w:p>
        </w:tc>
        <w:tc>
          <w:tcPr>
            <w:tcW w:w="2375" w:type="dxa"/>
          </w:tcPr>
          <w:p w14:paraId="7C7A778E" w14:textId="77777777" w:rsidR="00054949" w:rsidRPr="00973B6E" w:rsidRDefault="00054949" w:rsidP="00A01B6F">
            <w:pPr>
              <w:pStyle w:val="Tabletext"/>
              <w:ind w:left="0" w:right="0"/>
              <w:rPr>
                <w:iCs/>
                <w:color w:val="auto"/>
                <w:sz w:val="20"/>
                <w:szCs w:val="20"/>
              </w:rPr>
            </w:pPr>
            <w:r w:rsidRPr="00973B6E">
              <w:rPr>
                <w:iCs/>
                <w:color w:val="auto"/>
                <w:sz w:val="20"/>
                <w:szCs w:val="20"/>
              </w:rPr>
              <w:t>90 (46.2%)</w:t>
            </w:r>
          </w:p>
          <w:p w14:paraId="01496B6A" w14:textId="77777777" w:rsidR="00054949" w:rsidRPr="00973B6E" w:rsidRDefault="00054949" w:rsidP="00A01B6F">
            <w:pPr>
              <w:pStyle w:val="Tabletext"/>
              <w:ind w:left="0" w:right="0"/>
              <w:rPr>
                <w:iCs/>
                <w:color w:val="auto"/>
                <w:sz w:val="20"/>
                <w:szCs w:val="20"/>
              </w:rPr>
            </w:pPr>
            <w:r w:rsidRPr="00973B6E">
              <w:rPr>
                <w:iCs/>
                <w:color w:val="auto"/>
                <w:sz w:val="20"/>
                <w:szCs w:val="20"/>
              </w:rPr>
              <w:t>86 (44.1%)</w:t>
            </w:r>
          </w:p>
          <w:p w14:paraId="78AA797A" w14:textId="77777777" w:rsidR="00054949" w:rsidRPr="00E1306D" w:rsidRDefault="00054949" w:rsidP="00A01B6F">
            <w:pPr>
              <w:ind w:left="0" w:right="0"/>
              <w:rPr>
                <w:rFonts w:cs="Calibri"/>
                <w:sz w:val="19"/>
                <w:szCs w:val="19"/>
              </w:rPr>
            </w:pPr>
            <w:r w:rsidRPr="00973B6E">
              <w:rPr>
                <w:iCs/>
                <w:color w:val="auto"/>
                <w:sz w:val="20"/>
                <w:szCs w:val="20"/>
              </w:rPr>
              <w:t>19 (9.7%)</w:t>
            </w:r>
          </w:p>
        </w:tc>
      </w:tr>
      <w:tr w:rsidR="00A01B6F" w:rsidRPr="00E1306D" w14:paraId="3C9CA0BB" w14:textId="77777777" w:rsidTr="00A01B6F">
        <w:tc>
          <w:tcPr>
            <w:tcW w:w="1287" w:type="dxa"/>
            <w:vMerge w:val="restart"/>
          </w:tcPr>
          <w:p w14:paraId="788D4FB5" w14:textId="77777777" w:rsidR="00054949" w:rsidRPr="00A01B6F" w:rsidRDefault="00054949" w:rsidP="00A01B6F">
            <w:pPr>
              <w:ind w:left="0" w:right="0"/>
              <w:rPr>
                <w:rFonts w:cs="Calibri"/>
                <w:b/>
                <w:color w:val="000000"/>
                <w:sz w:val="19"/>
                <w:szCs w:val="19"/>
              </w:rPr>
            </w:pPr>
            <w:r w:rsidRPr="00A01B6F">
              <w:rPr>
                <w:b/>
                <w:bCs/>
                <w:color w:val="auto"/>
                <w:sz w:val="20"/>
                <w:szCs w:val="20"/>
                <w:lang w:val="en-US"/>
              </w:rPr>
              <w:t>Time since AL amyloidosis diagnosis</w:t>
            </w:r>
          </w:p>
        </w:tc>
        <w:tc>
          <w:tcPr>
            <w:tcW w:w="2573" w:type="dxa"/>
          </w:tcPr>
          <w:p w14:paraId="6037DCC5" w14:textId="77777777" w:rsidR="00054949" w:rsidRPr="00E1306D" w:rsidRDefault="00054949" w:rsidP="00A01B6F">
            <w:pPr>
              <w:ind w:left="0" w:right="0"/>
              <w:rPr>
                <w:rFonts w:cs="Calibri"/>
                <w:sz w:val="19"/>
                <w:szCs w:val="19"/>
              </w:rPr>
            </w:pPr>
            <w:r w:rsidRPr="00973B6E">
              <w:rPr>
                <w:iCs/>
                <w:color w:val="auto"/>
                <w:sz w:val="20"/>
                <w:szCs w:val="20"/>
                <w:lang w:val="en-US"/>
              </w:rPr>
              <w:t>Median (days, range)</w:t>
            </w:r>
          </w:p>
        </w:tc>
        <w:tc>
          <w:tcPr>
            <w:tcW w:w="2250" w:type="dxa"/>
          </w:tcPr>
          <w:p w14:paraId="5A1D61E2" w14:textId="77777777" w:rsidR="00054949" w:rsidRPr="00E1306D" w:rsidRDefault="00054949" w:rsidP="00A01B6F">
            <w:pPr>
              <w:ind w:left="0" w:right="0"/>
              <w:rPr>
                <w:rFonts w:cs="Calibri"/>
                <w:sz w:val="19"/>
                <w:szCs w:val="19"/>
              </w:rPr>
            </w:pPr>
            <w:r w:rsidRPr="00973B6E">
              <w:rPr>
                <w:iCs/>
                <w:color w:val="auto"/>
                <w:sz w:val="20"/>
                <w:szCs w:val="20"/>
              </w:rPr>
              <w:t>43 (5, 1102)</w:t>
            </w:r>
          </w:p>
        </w:tc>
        <w:tc>
          <w:tcPr>
            <w:tcW w:w="2375" w:type="dxa"/>
          </w:tcPr>
          <w:p w14:paraId="3440FFA8" w14:textId="77777777" w:rsidR="00054949" w:rsidRPr="00E1306D" w:rsidRDefault="00054949" w:rsidP="00A01B6F">
            <w:pPr>
              <w:ind w:left="0" w:right="0"/>
              <w:rPr>
                <w:rFonts w:cs="Calibri"/>
                <w:sz w:val="19"/>
                <w:szCs w:val="19"/>
              </w:rPr>
            </w:pPr>
            <w:r w:rsidRPr="00973B6E">
              <w:rPr>
                <w:iCs/>
                <w:color w:val="auto"/>
                <w:sz w:val="20"/>
                <w:szCs w:val="20"/>
              </w:rPr>
              <w:t>48 (8, 1611)</w:t>
            </w:r>
          </w:p>
        </w:tc>
      </w:tr>
      <w:tr w:rsidR="00A01B6F" w:rsidRPr="00E1306D" w14:paraId="1AFB19DF" w14:textId="77777777" w:rsidTr="00A01B6F">
        <w:tc>
          <w:tcPr>
            <w:tcW w:w="1287" w:type="dxa"/>
            <w:vMerge/>
          </w:tcPr>
          <w:p w14:paraId="5FCEF176" w14:textId="77777777" w:rsidR="00054949" w:rsidRPr="00A01B6F" w:rsidRDefault="00054949" w:rsidP="00A01B6F">
            <w:pPr>
              <w:ind w:left="0" w:right="0"/>
              <w:rPr>
                <w:rFonts w:cs="Calibri"/>
                <w:b/>
                <w:color w:val="000000"/>
                <w:sz w:val="19"/>
                <w:szCs w:val="19"/>
              </w:rPr>
            </w:pPr>
          </w:p>
        </w:tc>
        <w:tc>
          <w:tcPr>
            <w:tcW w:w="2573" w:type="dxa"/>
          </w:tcPr>
          <w:p w14:paraId="2112194E" w14:textId="6F924DA3" w:rsidR="00054949" w:rsidRPr="00E1306D" w:rsidRDefault="00054949" w:rsidP="00A01B6F">
            <w:pPr>
              <w:ind w:left="0" w:right="0"/>
              <w:rPr>
                <w:rFonts w:cs="Calibri"/>
                <w:sz w:val="19"/>
                <w:szCs w:val="19"/>
              </w:rPr>
            </w:pPr>
            <w:r w:rsidRPr="00973B6E">
              <w:rPr>
                <w:iCs/>
                <w:color w:val="auto"/>
                <w:sz w:val="20"/>
                <w:szCs w:val="20"/>
                <w:lang w:val="en-US"/>
              </w:rPr>
              <w:t>≤</w:t>
            </w:r>
            <w:r w:rsidR="00A01B6F">
              <w:rPr>
                <w:iCs/>
                <w:color w:val="auto"/>
                <w:sz w:val="20"/>
                <w:szCs w:val="20"/>
                <w:lang w:val="en-US"/>
              </w:rPr>
              <w:t xml:space="preserve"> </w:t>
            </w:r>
            <w:r w:rsidRPr="00973B6E">
              <w:rPr>
                <w:iCs/>
                <w:color w:val="auto"/>
                <w:sz w:val="20"/>
                <w:szCs w:val="20"/>
                <w:lang w:val="en-US"/>
              </w:rPr>
              <w:t>30</w:t>
            </w:r>
          </w:p>
        </w:tc>
        <w:tc>
          <w:tcPr>
            <w:tcW w:w="2250" w:type="dxa"/>
          </w:tcPr>
          <w:p w14:paraId="4E618C38" w14:textId="77777777" w:rsidR="00054949" w:rsidRPr="00E1306D" w:rsidRDefault="00054949" w:rsidP="00A01B6F">
            <w:pPr>
              <w:ind w:left="0" w:right="0"/>
              <w:rPr>
                <w:rFonts w:cs="Calibri"/>
                <w:sz w:val="19"/>
                <w:szCs w:val="19"/>
              </w:rPr>
            </w:pPr>
            <w:r w:rsidRPr="00973B6E">
              <w:rPr>
                <w:iCs/>
                <w:color w:val="auto"/>
                <w:sz w:val="20"/>
                <w:szCs w:val="20"/>
              </w:rPr>
              <w:t>55 (28.5%)</w:t>
            </w:r>
          </w:p>
        </w:tc>
        <w:tc>
          <w:tcPr>
            <w:tcW w:w="2375" w:type="dxa"/>
          </w:tcPr>
          <w:p w14:paraId="0F4D13BE" w14:textId="77777777" w:rsidR="00054949" w:rsidRPr="00E1306D" w:rsidRDefault="00054949" w:rsidP="00A01B6F">
            <w:pPr>
              <w:ind w:left="0" w:right="0"/>
              <w:rPr>
                <w:rFonts w:cs="Calibri"/>
                <w:sz w:val="19"/>
                <w:szCs w:val="19"/>
              </w:rPr>
            </w:pPr>
            <w:r w:rsidRPr="00973B6E">
              <w:rPr>
                <w:iCs/>
                <w:color w:val="auto"/>
                <w:sz w:val="20"/>
                <w:szCs w:val="20"/>
              </w:rPr>
              <w:t>51 (26.2%)</w:t>
            </w:r>
          </w:p>
        </w:tc>
      </w:tr>
      <w:tr w:rsidR="00A01B6F" w:rsidRPr="00E1306D" w14:paraId="0513398E" w14:textId="77777777" w:rsidTr="00A01B6F">
        <w:tc>
          <w:tcPr>
            <w:tcW w:w="1287" w:type="dxa"/>
            <w:vMerge/>
          </w:tcPr>
          <w:p w14:paraId="2E1C3C2E" w14:textId="77777777" w:rsidR="00054949" w:rsidRPr="00A01B6F" w:rsidRDefault="00054949" w:rsidP="00A01B6F">
            <w:pPr>
              <w:ind w:left="0" w:right="0"/>
              <w:rPr>
                <w:rFonts w:cs="Calibri"/>
                <w:b/>
                <w:color w:val="000000"/>
                <w:sz w:val="19"/>
                <w:szCs w:val="19"/>
              </w:rPr>
            </w:pPr>
          </w:p>
        </w:tc>
        <w:tc>
          <w:tcPr>
            <w:tcW w:w="2573" w:type="dxa"/>
          </w:tcPr>
          <w:p w14:paraId="0C3D8515" w14:textId="782EAE3F" w:rsidR="00054949" w:rsidRPr="00E1306D" w:rsidRDefault="00054949" w:rsidP="00A01B6F">
            <w:pPr>
              <w:ind w:left="0" w:right="0"/>
              <w:rPr>
                <w:rFonts w:cs="Calibri"/>
                <w:sz w:val="19"/>
                <w:szCs w:val="19"/>
              </w:rPr>
            </w:pPr>
            <w:r w:rsidRPr="00973B6E">
              <w:rPr>
                <w:iCs/>
                <w:sz w:val="20"/>
                <w:szCs w:val="20"/>
                <w:lang w:val="en-US"/>
              </w:rPr>
              <w:t>&gt;</w:t>
            </w:r>
            <w:r w:rsidR="00A01B6F">
              <w:rPr>
                <w:iCs/>
                <w:sz w:val="20"/>
                <w:szCs w:val="20"/>
                <w:lang w:val="en-US"/>
              </w:rPr>
              <w:t xml:space="preserve"> 30 to </w:t>
            </w:r>
            <w:r w:rsidRPr="00973B6E">
              <w:rPr>
                <w:iCs/>
                <w:sz w:val="20"/>
                <w:szCs w:val="20"/>
                <w:lang w:val="en-US"/>
              </w:rPr>
              <w:t>60</w:t>
            </w:r>
          </w:p>
        </w:tc>
        <w:tc>
          <w:tcPr>
            <w:tcW w:w="2250" w:type="dxa"/>
          </w:tcPr>
          <w:p w14:paraId="2F273E56" w14:textId="77777777" w:rsidR="00054949" w:rsidRPr="00E1306D" w:rsidRDefault="00054949" w:rsidP="00A01B6F">
            <w:pPr>
              <w:ind w:left="0" w:right="0"/>
              <w:rPr>
                <w:rFonts w:cs="Calibri"/>
                <w:sz w:val="19"/>
                <w:szCs w:val="19"/>
              </w:rPr>
            </w:pPr>
            <w:r w:rsidRPr="00973B6E">
              <w:rPr>
                <w:iCs/>
                <w:color w:val="auto"/>
                <w:sz w:val="20"/>
                <w:szCs w:val="20"/>
              </w:rPr>
              <w:t>83 (43.0%)</w:t>
            </w:r>
          </w:p>
        </w:tc>
        <w:tc>
          <w:tcPr>
            <w:tcW w:w="2375" w:type="dxa"/>
          </w:tcPr>
          <w:p w14:paraId="0F8F3C91" w14:textId="77777777" w:rsidR="00054949" w:rsidRPr="00E1306D" w:rsidRDefault="00054949" w:rsidP="00A01B6F">
            <w:pPr>
              <w:ind w:left="0" w:right="0"/>
              <w:rPr>
                <w:rFonts w:cs="Calibri"/>
                <w:sz w:val="19"/>
                <w:szCs w:val="19"/>
              </w:rPr>
            </w:pPr>
            <w:r w:rsidRPr="00973B6E">
              <w:rPr>
                <w:iCs/>
                <w:color w:val="auto"/>
                <w:sz w:val="20"/>
                <w:szCs w:val="20"/>
              </w:rPr>
              <w:t>74 (37.9%)</w:t>
            </w:r>
          </w:p>
        </w:tc>
      </w:tr>
      <w:tr w:rsidR="00A01B6F" w:rsidRPr="00E1306D" w14:paraId="592D57DB" w14:textId="77777777" w:rsidTr="00A01B6F">
        <w:tc>
          <w:tcPr>
            <w:tcW w:w="1287" w:type="dxa"/>
            <w:vMerge/>
          </w:tcPr>
          <w:p w14:paraId="4D93BCE0" w14:textId="77777777" w:rsidR="00054949" w:rsidRPr="00A01B6F" w:rsidRDefault="00054949" w:rsidP="00A01B6F">
            <w:pPr>
              <w:ind w:left="0" w:right="0"/>
              <w:rPr>
                <w:rFonts w:cs="Calibri"/>
                <w:b/>
                <w:color w:val="000000"/>
                <w:sz w:val="19"/>
                <w:szCs w:val="19"/>
              </w:rPr>
            </w:pPr>
          </w:p>
        </w:tc>
        <w:tc>
          <w:tcPr>
            <w:tcW w:w="2573" w:type="dxa"/>
          </w:tcPr>
          <w:p w14:paraId="37C1B15F" w14:textId="3F82BA82" w:rsidR="00054949" w:rsidRPr="00E1306D" w:rsidRDefault="00054949" w:rsidP="00A01B6F">
            <w:pPr>
              <w:ind w:left="0" w:right="0"/>
              <w:rPr>
                <w:rFonts w:cs="Calibri"/>
                <w:sz w:val="19"/>
                <w:szCs w:val="19"/>
              </w:rPr>
            </w:pPr>
            <w:r w:rsidRPr="00973B6E">
              <w:rPr>
                <w:iCs/>
                <w:sz w:val="20"/>
                <w:szCs w:val="20"/>
                <w:lang w:val="en-US"/>
              </w:rPr>
              <w:t>&gt;</w:t>
            </w:r>
            <w:r w:rsidR="00A01B6F">
              <w:rPr>
                <w:iCs/>
                <w:sz w:val="20"/>
                <w:szCs w:val="20"/>
                <w:lang w:val="en-US"/>
              </w:rPr>
              <w:t xml:space="preserve"> </w:t>
            </w:r>
            <w:r w:rsidRPr="00973B6E">
              <w:rPr>
                <w:iCs/>
                <w:sz w:val="20"/>
                <w:szCs w:val="20"/>
                <w:lang w:val="en-US"/>
              </w:rPr>
              <w:t>60</w:t>
            </w:r>
          </w:p>
        </w:tc>
        <w:tc>
          <w:tcPr>
            <w:tcW w:w="2250" w:type="dxa"/>
          </w:tcPr>
          <w:p w14:paraId="1CBE54BE" w14:textId="77777777" w:rsidR="00054949" w:rsidRPr="00E1306D" w:rsidRDefault="00054949" w:rsidP="00A01B6F">
            <w:pPr>
              <w:ind w:left="0" w:right="0"/>
              <w:rPr>
                <w:rFonts w:cs="Calibri"/>
                <w:sz w:val="19"/>
                <w:szCs w:val="19"/>
              </w:rPr>
            </w:pPr>
            <w:r w:rsidRPr="00973B6E">
              <w:rPr>
                <w:iCs/>
                <w:color w:val="auto"/>
                <w:sz w:val="20"/>
                <w:szCs w:val="20"/>
              </w:rPr>
              <w:t>55 (28.5%)</w:t>
            </w:r>
          </w:p>
        </w:tc>
        <w:tc>
          <w:tcPr>
            <w:tcW w:w="2375" w:type="dxa"/>
          </w:tcPr>
          <w:p w14:paraId="4CC5BE96" w14:textId="77777777" w:rsidR="00054949" w:rsidRPr="00E1306D" w:rsidRDefault="00054949" w:rsidP="00A01B6F">
            <w:pPr>
              <w:ind w:left="0" w:right="0"/>
              <w:rPr>
                <w:rFonts w:cs="Calibri"/>
                <w:sz w:val="19"/>
                <w:szCs w:val="19"/>
              </w:rPr>
            </w:pPr>
            <w:r w:rsidRPr="00973B6E">
              <w:rPr>
                <w:iCs/>
                <w:color w:val="auto"/>
                <w:sz w:val="20"/>
                <w:szCs w:val="20"/>
              </w:rPr>
              <w:t>70 (35.9%)</w:t>
            </w:r>
          </w:p>
        </w:tc>
      </w:tr>
      <w:tr w:rsidR="00A01B6F" w:rsidRPr="00E1306D" w14:paraId="604661C8" w14:textId="77777777" w:rsidTr="00A01B6F">
        <w:tc>
          <w:tcPr>
            <w:tcW w:w="1287" w:type="dxa"/>
          </w:tcPr>
          <w:p w14:paraId="3B9064D2" w14:textId="77777777" w:rsidR="00054949" w:rsidRPr="00A01B6F" w:rsidRDefault="00054949" w:rsidP="00A01B6F">
            <w:pPr>
              <w:ind w:left="0" w:right="0"/>
              <w:rPr>
                <w:rFonts w:cs="Calibri"/>
                <w:b/>
                <w:color w:val="000000"/>
                <w:sz w:val="19"/>
                <w:szCs w:val="19"/>
              </w:rPr>
            </w:pPr>
            <w:r w:rsidRPr="00A01B6F">
              <w:rPr>
                <w:b/>
                <w:bCs/>
                <w:color w:val="auto"/>
                <w:sz w:val="20"/>
                <w:szCs w:val="20"/>
                <w:lang w:val="en-US"/>
              </w:rPr>
              <w:t>Number of organs involved</w:t>
            </w:r>
          </w:p>
        </w:tc>
        <w:tc>
          <w:tcPr>
            <w:tcW w:w="2573" w:type="dxa"/>
          </w:tcPr>
          <w:p w14:paraId="2D789439" w14:textId="77777777" w:rsidR="00054949" w:rsidRPr="00973B6E" w:rsidRDefault="00054949" w:rsidP="00A01B6F">
            <w:pPr>
              <w:ind w:left="0" w:right="0"/>
              <w:rPr>
                <w:iCs/>
                <w:sz w:val="20"/>
                <w:lang w:val="en-US"/>
              </w:rPr>
            </w:pPr>
            <w:r w:rsidRPr="00973B6E">
              <w:rPr>
                <w:iCs/>
                <w:color w:val="auto"/>
                <w:sz w:val="20"/>
                <w:szCs w:val="20"/>
                <w:lang w:val="en-US"/>
              </w:rPr>
              <w:t>Median (range)</w:t>
            </w:r>
          </w:p>
        </w:tc>
        <w:tc>
          <w:tcPr>
            <w:tcW w:w="2250" w:type="dxa"/>
          </w:tcPr>
          <w:p w14:paraId="05DB1093" w14:textId="77777777" w:rsidR="00054949" w:rsidRPr="00973B6E" w:rsidRDefault="00054949" w:rsidP="00A01B6F">
            <w:pPr>
              <w:ind w:left="0" w:right="0"/>
              <w:rPr>
                <w:iCs/>
                <w:sz w:val="20"/>
              </w:rPr>
            </w:pPr>
            <w:r w:rsidRPr="00973B6E">
              <w:rPr>
                <w:iCs/>
                <w:color w:val="auto"/>
                <w:sz w:val="20"/>
                <w:szCs w:val="20"/>
              </w:rPr>
              <w:t>2 (1-6)</w:t>
            </w:r>
          </w:p>
        </w:tc>
        <w:tc>
          <w:tcPr>
            <w:tcW w:w="2375" w:type="dxa"/>
          </w:tcPr>
          <w:p w14:paraId="40177DEA" w14:textId="77777777" w:rsidR="00054949" w:rsidRPr="00973B6E" w:rsidRDefault="00054949" w:rsidP="00A01B6F">
            <w:pPr>
              <w:ind w:left="0" w:right="0"/>
              <w:rPr>
                <w:iCs/>
                <w:sz w:val="20"/>
              </w:rPr>
            </w:pPr>
            <w:r w:rsidRPr="00973B6E">
              <w:rPr>
                <w:iCs/>
                <w:color w:val="auto"/>
                <w:sz w:val="20"/>
                <w:szCs w:val="20"/>
              </w:rPr>
              <w:t>2 (1-5)</w:t>
            </w:r>
          </w:p>
        </w:tc>
      </w:tr>
      <w:tr w:rsidR="00A01B6F" w:rsidRPr="00E1306D" w14:paraId="7900C9E7" w14:textId="77777777" w:rsidTr="00A01B6F">
        <w:tc>
          <w:tcPr>
            <w:tcW w:w="1287" w:type="dxa"/>
          </w:tcPr>
          <w:p w14:paraId="07222574" w14:textId="77777777" w:rsidR="00054949" w:rsidRPr="00A01B6F" w:rsidRDefault="00054949" w:rsidP="00A01B6F">
            <w:pPr>
              <w:pStyle w:val="Tabletext"/>
              <w:ind w:left="0" w:right="0"/>
              <w:rPr>
                <w:b/>
                <w:bCs/>
                <w:color w:val="auto"/>
                <w:sz w:val="20"/>
                <w:szCs w:val="20"/>
                <w:lang w:val="en-US"/>
              </w:rPr>
            </w:pPr>
            <w:r w:rsidRPr="00A01B6F">
              <w:rPr>
                <w:b/>
                <w:bCs/>
                <w:color w:val="auto"/>
                <w:sz w:val="20"/>
                <w:szCs w:val="20"/>
                <w:lang w:val="en-US"/>
              </w:rPr>
              <w:t>Organ involvement</w:t>
            </w:r>
          </w:p>
          <w:p w14:paraId="440386EB" w14:textId="77777777" w:rsidR="00054949" w:rsidRPr="00A01B6F" w:rsidRDefault="00054949" w:rsidP="00A01B6F">
            <w:pPr>
              <w:ind w:left="0" w:right="0"/>
              <w:rPr>
                <w:b/>
                <w:bCs/>
                <w:sz w:val="20"/>
                <w:lang w:val="en-US"/>
              </w:rPr>
            </w:pPr>
          </w:p>
        </w:tc>
        <w:tc>
          <w:tcPr>
            <w:tcW w:w="2573" w:type="dxa"/>
          </w:tcPr>
          <w:p w14:paraId="565BAC8D" w14:textId="77777777" w:rsidR="00054949" w:rsidRPr="00973B6E" w:rsidRDefault="00054949" w:rsidP="00A01B6F">
            <w:pPr>
              <w:pStyle w:val="Tabletext"/>
              <w:ind w:left="0" w:right="0"/>
              <w:rPr>
                <w:iCs/>
                <w:color w:val="auto"/>
                <w:sz w:val="20"/>
                <w:szCs w:val="20"/>
                <w:lang w:val="en-US"/>
              </w:rPr>
            </w:pPr>
            <w:r w:rsidRPr="00973B6E">
              <w:rPr>
                <w:iCs/>
                <w:color w:val="auto"/>
                <w:sz w:val="20"/>
                <w:szCs w:val="20"/>
                <w:lang w:val="en-US"/>
              </w:rPr>
              <w:t>Heart</w:t>
            </w:r>
          </w:p>
          <w:p w14:paraId="15F78C7E" w14:textId="77777777" w:rsidR="00054949" w:rsidRPr="00973B6E" w:rsidRDefault="00054949" w:rsidP="00A01B6F">
            <w:pPr>
              <w:pStyle w:val="Tabletext"/>
              <w:ind w:left="0" w:right="0"/>
              <w:rPr>
                <w:iCs/>
                <w:color w:val="auto"/>
                <w:sz w:val="20"/>
                <w:szCs w:val="20"/>
                <w:lang w:val="en-US"/>
              </w:rPr>
            </w:pPr>
            <w:r w:rsidRPr="00973B6E">
              <w:rPr>
                <w:iCs/>
                <w:color w:val="auto"/>
                <w:sz w:val="20"/>
                <w:szCs w:val="20"/>
                <w:lang w:val="en-US"/>
              </w:rPr>
              <w:t>Kidney</w:t>
            </w:r>
          </w:p>
          <w:p w14:paraId="54D58D7F" w14:textId="77777777" w:rsidR="00054949" w:rsidRPr="00973B6E" w:rsidRDefault="00054949" w:rsidP="00A01B6F">
            <w:pPr>
              <w:pStyle w:val="Tabletext"/>
              <w:ind w:left="0" w:right="0"/>
              <w:rPr>
                <w:iCs/>
                <w:color w:val="auto"/>
                <w:sz w:val="20"/>
                <w:szCs w:val="20"/>
                <w:lang w:val="en-US"/>
              </w:rPr>
            </w:pPr>
            <w:r w:rsidRPr="00973B6E">
              <w:rPr>
                <w:iCs/>
                <w:color w:val="auto"/>
                <w:sz w:val="20"/>
                <w:szCs w:val="20"/>
                <w:lang w:val="en-US"/>
              </w:rPr>
              <w:t>Liver</w:t>
            </w:r>
          </w:p>
          <w:p w14:paraId="1FA2252B" w14:textId="77777777" w:rsidR="00054949" w:rsidRPr="00973B6E" w:rsidRDefault="00054949" w:rsidP="00A01B6F">
            <w:pPr>
              <w:pStyle w:val="Tabletext"/>
              <w:ind w:left="0" w:right="0"/>
              <w:rPr>
                <w:iCs/>
                <w:color w:val="auto"/>
                <w:sz w:val="20"/>
                <w:szCs w:val="20"/>
                <w:lang w:val="en-US"/>
              </w:rPr>
            </w:pPr>
            <w:r w:rsidRPr="00973B6E">
              <w:rPr>
                <w:iCs/>
                <w:color w:val="auto"/>
                <w:sz w:val="20"/>
                <w:szCs w:val="20"/>
                <w:lang w:val="en-US"/>
              </w:rPr>
              <w:t>GI tract</w:t>
            </w:r>
          </w:p>
          <w:p w14:paraId="2A78A8E8" w14:textId="77777777" w:rsidR="00054949" w:rsidRPr="00973B6E" w:rsidRDefault="00054949" w:rsidP="00A01B6F">
            <w:pPr>
              <w:pStyle w:val="Tabletext"/>
              <w:ind w:left="0" w:right="0"/>
              <w:rPr>
                <w:iCs/>
                <w:color w:val="auto"/>
                <w:sz w:val="20"/>
                <w:szCs w:val="20"/>
                <w:lang w:val="en-US"/>
              </w:rPr>
            </w:pPr>
            <w:r w:rsidRPr="00973B6E">
              <w:rPr>
                <w:iCs/>
                <w:color w:val="auto"/>
                <w:sz w:val="20"/>
                <w:szCs w:val="20"/>
                <w:lang w:val="en-US"/>
              </w:rPr>
              <w:t>Nerve</w:t>
            </w:r>
          </w:p>
          <w:p w14:paraId="71F48E4A" w14:textId="77777777" w:rsidR="00054949" w:rsidRPr="00973B6E" w:rsidRDefault="00054949" w:rsidP="00A01B6F">
            <w:pPr>
              <w:ind w:left="0" w:right="0"/>
              <w:rPr>
                <w:iCs/>
                <w:sz w:val="20"/>
                <w:lang w:val="en-US"/>
              </w:rPr>
            </w:pPr>
            <w:r w:rsidRPr="00973B6E">
              <w:rPr>
                <w:iCs/>
                <w:color w:val="auto"/>
                <w:sz w:val="20"/>
                <w:szCs w:val="20"/>
                <w:lang w:val="en-US"/>
              </w:rPr>
              <w:t>Soft tissue</w:t>
            </w:r>
          </w:p>
        </w:tc>
        <w:tc>
          <w:tcPr>
            <w:tcW w:w="2250" w:type="dxa"/>
          </w:tcPr>
          <w:p w14:paraId="4E03AE0F" w14:textId="77777777" w:rsidR="00054949" w:rsidRPr="00973B6E" w:rsidRDefault="00054949" w:rsidP="00A01B6F">
            <w:pPr>
              <w:pStyle w:val="Tabletext"/>
              <w:ind w:left="0" w:right="0"/>
              <w:rPr>
                <w:iCs/>
                <w:color w:val="auto"/>
                <w:sz w:val="20"/>
                <w:szCs w:val="20"/>
              </w:rPr>
            </w:pPr>
            <w:r w:rsidRPr="00973B6E">
              <w:rPr>
                <w:iCs/>
                <w:color w:val="auto"/>
                <w:sz w:val="20"/>
                <w:szCs w:val="20"/>
              </w:rPr>
              <w:t>137 (71.0%)</w:t>
            </w:r>
          </w:p>
          <w:p w14:paraId="7E3954FB" w14:textId="77777777" w:rsidR="00054949" w:rsidRPr="00973B6E" w:rsidRDefault="00054949" w:rsidP="00A01B6F">
            <w:pPr>
              <w:pStyle w:val="Tabletext"/>
              <w:ind w:left="0" w:right="0"/>
              <w:rPr>
                <w:iCs/>
                <w:color w:val="auto"/>
                <w:sz w:val="20"/>
                <w:szCs w:val="20"/>
              </w:rPr>
            </w:pPr>
            <w:r w:rsidRPr="00973B6E">
              <w:rPr>
                <w:iCs/>
                <w:color w:val="auto"/>
                <w:sz w:val="20"/>
                <w:szCs w:val="20"/>
              </w:rPr>
              <w:t>114 (59.1%)</w:t>
            </w:r>
          </w:p>
          <w:p w14:paraId="787E11B9" w14:textId="77777777" w:rsidR="00054949" w:rsidRPr="00973B6E" w:rsidRDefault="00054949" w:rsidP="00A01B6F">
            <w:pPr>
              <w:pStyle w:val="Tabletext"/>
              <w:ind w:left="0" w:right="0"/>
              <w:rPr>
                <w:iCs/>
                <w:color w:val="auto"/>
                <w:sz w:val="20"/>
                <w:szCs w:val="20"/>
              </w:rPr>
            </w:pPr>
            <w:r w:rsidRPr="00973B6E">
              <w:rPr>
                <w:iCs/>
                <w:color w:val="auto"/>
                <w:sz w:val="20"/>
                <w:szCs w:val="20"/>
              </w:rPr>
              <w:t>16 (8.3%)</w:t>
            </w:r>
          </w:p>
          <w:p w14:paraId="177ADFD2" w14:textId="77777777" w:rsidR="00054949" w:rsidRPr="00973B6E" w:rsidRDefault="00054949" w:rsidP="00A01B6F">
            <w:pPr>
              <w:pStyle w:val="Tabletext"/>
              <w:ind w:left="0" w:right="0"/>
              <w:rPr>
                <w:iCs/>
                <w:color w:val="auto"/>
                <w:sz w:val="20"/>
                <w:szCs w:val="20"/>
              </w:rPr>
            </w:pPr>
            <w:r w:rsidRPr="00973B6E">
              <w:rPr>
                <w:iCs/>
                <w:color w:val="auto"/>
                <w:sz w:val="20"/>
                <w:szCs w:val="20"/>
              </w:rPr>
              <w:t>29 (15.0%)</w:t>
            </w:r>
          </w:p>
          <w:p w14:paraId="5FE92745" w14:textId="77777777" w:rsidR="00054949" w:rsidRPr="00973B6E" w:rsidRDefault="00054949" w:rsidP="00A01B6F">
            <w:pPr>
              <w:pStyle w:val="Tabletext"/>
              <w:ind w:left="0" w:right="0"/>
              <w:rPr>
                <w:iCs/>
                <w:color w:val="auto"/>
                <w:sz w:val="20"/>
                <w:szCs w:val="20"/>
              </w:rPr>
            </w:pPr>
            <w:r w:rsidRPr="00973B6E">
              <w:rPr>
                <w:iCs/>
                <w:color w:val="auto"/>
                <w:sz w:val="20"/>
                <w:szCs w:val="20"/>
              </w:rPr>
              <w:t>33 (17.1%)</w:t>
            </w:r>
          </w:p>
          <w:p w14:paraId="0E9473D0" w14:textId="77777777" w:rsidR="00054949" w:rsidRPr="00973B6E" w:rsidRDefault="00054949" w:rsidP="00A01B6F">
            <w:pPr>
              <w:ind w:left="0" w:right="0"/>
              <w:rPr>
                <w:iCs/>
                <w:sz w:val="20"/>
              </w:rPr>
            </w:pPr>
            <w:r w:rsidRPr="00973B6E">
              <w:rPr>
                <w:iCs/>
                <w:color w:val="auto"/>
                <w:sz w:val="20"/>
                <w:szCs w:val="20"/>
              </w:rPr>
              <w:t>55 (28.5%)</w:t>
            </w:r>
          </w:p>
        </w:tc>
        <w:tc>
          <w:tcPr>
            <w:tcW w:w="2375" w:type="dxa"/>
          </w:tcPr>
          <w:p w14:paraId="702B9BB2" w14:textId="77777777" w:rsidR="00054949" w:rsidRPr="00973B6E" w:rsidRDefault="00054949" w:rsidP="00A01B6F">
            <w:pPr>
              <w:pStyle w:val="Tabletext"/>
              <w:ind w:left="0" w:right="0"/>
              <w:rPr>
                <w:iCs/>
                <w:color w:val="auto"/>
                <w:sz w:val="20"/>
                <w:szCs w:val="20"/>
              </w:rPr>
            </w:pPr>
            <w:r w:rsidRPr="00973B6E">
              <w:rPr>
                <w:iCs/>
                <w:color w:val="auto"/>
                <w:sz w:val="20"/>
                <w:szCs w:val="20"/>
              </w:rPr>
              <w:t>140 (71.8%)</w:t>
            </w:r>
          </w:p>
          <w:p w14:paraId="5400F127" w14:textId="77777777" w:rsidR="00054949" w:rsidRPr="00973B6E" w:rsidRDefault="00054949" w:rsidP="00A01B6F">
            <w:pPr>
              <w:pStyle w:val="Tabletext"/>
              <w:ind w:left="0" w:right="0"/>
              <w:rPr>
                <w:iCs/>
                <w:color w:val="auto"/>
                <w:sz w:val="20"/>
                <w:szCs w:val="20"/>
              </w:rPr>
            </w:pPr>
            <w:r w:rsidRPr="00973B6E">
              <w:rPr>
                <w:iCs/>
                <w:color w:val="auto"/>
                <w:sz w:val="20"/>
                <w:szCs w:val="20"/>
              </w:rPr>
              <w:t>115 (59.0%)</w:t>
            </w:r>
          </w:p>
          <w:p w14:paraId="433037D0" w14:textId="77777777" w:rsidR="00054949" w:rsidRPr="00973B6E" w:rsidRDefault="00054949" w:rsidP="00A01B6F">
            <w:pPr>
              <w:pStyle w:val="Tabletext"/>
              <w:ind w:left="0" w:right="0"/>
              <w:rPr>
                <w:iCs/>
                <w:color w:val="auto"/>
                <w:sz w:val="20"/>
                <w:szCs w:val="20"/>
              </w:rPr>
            </w:pPr>
            <w:r w:rsidRPr="00973B6E">
              <w:rPr>
                <w:iCs/>
                <w:color w:val="auto"/>
                <w:sz w:val="20"/>
                <w:szCs w:val="20"/>
              </w:rPr>
              <w:t>15 (7.7%)</w:t>
            </w:r>
          </w:p>
          <w:p w14:paraId="2BDA0DD1" w14:textId="77777777" w:rsidR="00054949" w:rsidRPr="00973B6E" w:rsidRDefault="00054949" w:rsidP="00A01B6F">
            <w:pPr>
              <w:pStyle w:val="Tabletext"/>
              <w:ind w:left="0" w:right="0"/>
              <w:rPr>
                <w:iCs/>
                <w:color w:val="auto"/>
                <w:sz w:val="20"/>
                <w:szCs w:val="20"/>
              </w:rPr>
            </w:pPr>
            <w:r w:rsidRPr="00973B6E">
              <w:rPr>
                <w:iCs/>
                <w:color w:val="auto"/>
                <w:sz w:val="20"/>
                <w:szCs w:val="20"/>
              </w:rPr>
              <w:t>30 (15.4%)</w:t>
            </w:r>
          </w:p>
          <w:p w14:paraId="6750C9F0" w14:textId="77777777" w:rsidR="00054949" w:rsidRPr="00973B6E" w:rsidRDefault="00054949" w:rsidP="00A01B6F">
            <w:pPr>
              <w:pStyle w:val="Tabletext"/>
              <w:ind w:left="0" w:right="0"/>
              <w:rPr>
                <w:iCs/>
                <w:color w:val="auto"/>
                <w:sz w:val="20"/>
                <w:szCs w:val="20"/>
              </w:rPr>
            </w:pPr>
            <w:r w:rsidRPr="00973B6E">
              <w:rPr>
                <w:iCs/>
                <w:color w:val="auto"/>
                <w:sz w:val="20"/>
                <w:szCs w:val="20"/>
              </w:rPr>
              <w:t>42 (21.5%)</w:t>
            </w:r>
          </w:p>
          <w:p w14:paraId="215FF32D" w14:textId="77777777" w:rsidR="00054949" w:rsidRPr="00973B6E" w:rsidRDefault="00054949" w:rsidP="00A01B6F">
            <w:pPr>
              <w:ind w:left="0" w:right="0"/>
              <w:rPr>
                <w:iCs/>
                <w:sz w:val="20"/>
              </w:rPr>
            </w:pPr>
            <w:r w:rsidRPr="00973B6E">
              <w:rPr>
                <w:iCs/>
                <w:color w:val="auto"/>
                <w:sz w:val="20"/>
                <w:szCs w:val="20"/>
              </w:rPr>
              <w:t>51 (26.2%)</w:t>
            </w:r>
          </w:p>
        </w:tc>
      </w:tr>
      <w:tr w:rsidR="00A01B6F" w:rsidRPr="00E1306D" w14:paraId="0DEA8E9E" w14:textId="77777777" w:rsidTr="00A01B6F">
        <w:tc>
          <w:tcPr>
            <w:tcW w:w="1287" w:type="dxa"/>
          </w:tcPr>
          <w:p w14:paraId="2E4EAAD7" w14:textId="03EE86B0" w:rsidR="00054949" w:rsidRPr="00A01B6F" w:rsidRDefault="00054949" w:rsidP="00A01B6F">
            <w:pPr>
              <w:pStyle w:val="Tabletext"/>
              <w:ind w:left="0" w:right="0"/>
              <w:rPr>
                <w:b/>
                <w:bCs/>
                <w:sz w:val="20"/>
                <w:lang w:val="en-US"/>
              </w:rPr>
            </w:pPr>
            <w:r w:rsidRPr="00A01B6F">
              <w:rPr>
                <w:b/>
                <w:bCs/>
                <w:color w:val="auto"/>
                <w:sz w:val="20"/>
                <w:szCs w:val="20"/>
                <w:lang w:val="en-US"/>
              </w:rPr>
              <w:t>Cardiac Staging</w:t>
            </w:r>
          </w:p>
        </w:tc>
        <w:tc>
          <w:tcPr>
            <w:tcW w:w="2573" w:type="dxa"/>
          </w:tcPr>
          <w:p w14:paraId="1AFCC0C4" w14:textId="77777777" w:rsidR="00054949" w:rsidRPr="00973B6E" w:rsidRDefault="00054949" w:rsidP="00A01B6F">
            <w:pPr>
              <w:pStyle w:val="Tabletext"/>
              <w:ind w:left="0" w:right="0"/>
              <w:rPr>
                <w:iCs/>
                <w:color w:val="auto"/>
                <w:sz w:val="20"/>
                <w:szCs w:val="20"/>
                <w:lang w:val="en-US"/>
              </w:rPr>
            </w:pPr>
            <w:r w:rsidRPr="00973B6E">
              <w:rPr>
                <w:iCs/>
                <w:color w:val="auto"/>
                <w:sz w:val="20"/>
                <w:szCs w:val="20"/>
                <w:lang w:val="en-US"/>
              </w:rPr>
              <w:t>I</w:t>
            </w:r>
          </w:p>
          <w:p w14:paraId="6D7BDDB1" w14:textId="77777777" w:rsidR="00054949" w:rsidRPr="00973B6E" w:rsidRDefault="00054949" w:rsidP="00A01B6F">
            <w:pPr>
              <w:pStyle w:val="Tabletext"/>
              <w:ind w:left="0" w:right="0"/>
              <w:rPr>
                <w:iCs/>
                <w:color w:val="auto"/>
                <w:sz w:val="20"/>
                <w:szCs w:val="20"/>
                <w:lang w:val="en-US"/>
              </w:rPr>
            </w:pPr>
            <w:r w:rsidRPr="00973B6E">
              <w:rPr>
                <w:iCs/>
                <w:color w:val="auto"/>
                <w:sz w:val="20"/>
                <w:szCs w:val="20"/>
                <w:lang w:val="en-US"/>
              </w:rPr>
              <w:t>II</w:t>
            </w:r>
          </w:p>
          <w:p w14:paraId="43F4BBDF" w14:textId="77777777" w:rsidR="00054949" w:rsidRPr="00973B6E" w:rsidRDefault="00054949" w:rsidP="00A01B6F">
            <w:pPr>
              <w:pStyle w:val="Tabletext"/>
              <w:ind w:left="0" w:right="0"/>
              <w:rPr>
                <w:iCs/>
                <w:color w:val="auto"/>
                <w:sz w:val="20"/>
                <w:szCs w:val="20"/>
                <w:lang w:val="en-US"/>
              </w:rPr>
            </w:pPr>
            <w:r w:rsidRPr="00973B6E">
              <w:rPr>
                <w:iCs/>
                <w:color w:val="auto"/>
                <w:sz w:val="20"/>
                <w:szCs w:val="20"/>
                <w:lang w:val="en-US"/>
              </w:rPr>
              <w:t>IIIa</w:t>
            </w:r>
          </w:p>
          <w:p w14:paraId="1ED83B7F" w14:textId="77777777" w:rsidR="00054949" w:rsidRPr="00973B6E" w:rsidRDefault="00054949" w:rsidP="00A01B6F">
            <w:pPr>
              <w:pStyle w:val="Tabletext"/>
              <w:ind w:left="0" w:right="0"/>
              <w:rPr>
                <w:iCs/>
                <w:sz w:val="20"/>
                <w:lang w:val="en-US"/>
              </w:rPr>
            </w:pPr>
            <w:r w:rsidRPr="00973B6E">
              <w:rPr>
                <w:iCs/>
                <w:color w:val="auto"/>
                <w:sz w:val="20"/>
                <w:szCs w:val="20"/>
                <w:lang w:val="en-US"/>
              </w:rPr>
              <w:t>IIIb</w:t>
            </w:r>
          </w:p>
        </w:tc>
        <w:tc>
          <w:tcPr>
            <w:tcW w:w="2250" w:type="dxa"/>
          </w:tcPr>
          <w:p w14:paraId="686F36AC" w14:textId="77777777" w:rsidR="00054949" w:rsidRPr="00973B6E" w:rsidRDefault="00054949" w:rsidP="00A01B6F">
            <w:pPr>
              <w:pStyle w:val="Tabletext"/>
              <w:ind w:left="0" w:right="0"/>
              <w:rPr>
                <w:iCs/>
                <w:color w:val="auto"/>
                <w:sz w:val="20"/>
                <w:szCs w:val="20"/>
              </w:rPr>
            </w:pPr>
            <w:r w:rsidRPr="00973B6E">
              <w:rPr>
                <w:iCs/>
                <w:color w:val="auto"/>
                <w:sz w:val="20"/>
                <w:szCs w:val="20"/>
                <w:lang w:val="en-US"/>
              </w:rPr>
              <w:t>43 (22.3%)</w:t>
            </w:r>
          </w:p>
          <w:p w14:paraId="0D9165E4" w14:textId="77777777" w:rsidR="00054949" w:rsidRPr="00973B6E" w:rsidRDefault="00054949" w:rsidP="00A01B6F">
            <w:pPr>
              <w:pStyle w:val="Tabletext"/>
              <w:ind w:left="0" w:right="0"/>
              <w:rPr>
                <w:iCs/>
                <w:color w:val="auto"/>
                <w:sz w:val="20"/>
                <w:szCs w:val="20"/>
                <w:lang w:val="en-US"/>
              </w:rPr>
            </w:pPr>
            <w:r w:rsidRPr="00973B6E">
              <w:rPr>
                <w:iCs/>
                <w:color w:val="auto"/>
                <w:sz w:val="20"/>
                <w:szCs w:val="20"/>
                <w:lang w:val="en-US"/>
              </w:rPr>
              <w:t>80 (41.5%)</w:t>
            </w:r>
          </w:p>
          <w:p w14:paraId="1DFE838B" w14:textId="77777777" w:rsidR="00054949" w:rsidRPr="00973B6E" w:rsidRDefault="00054949" w:rsidP="00A01B6F">
            <w:pPr>
              <w:pStyle w:val="Tabletext"/>
              <w:ind w:left="0" w:right="0"/>
              <w:rPr>
                <w:iCs/>
                <w:color w:val="auto"/>
                <w:sz w:val="20"/>
                <w:szCs w:val="20"/>
                <w:lang w:val="en-US"/>
              </w:rPr>
            </w:pPr>
            <w:r w:rsidRPr="00973B6E">
              <w:rPr>
                <w:iCs/>
                <w:color w:val="auto"/>
                <w:sz w:val="20"/>
                <w:szCs w:val="20"/>
                <w:lang w:val="en-US"/>
              </w:rPr>
              <w:t>64 (33.2%)</w:t>
            </w:r>
          </w:p>
          <w:p w14:paraId="48092950" w14:textId="77777777" w:rsidR="00054949" w:rsidRPr="00973B6E" w:rsidRDefault="00054949" w:rsidP="00A01B6F">
            <w:pPr>
              <w:pStyle w:val="Tabletext"/>
              <w:ind w:left="0" w:right="0"/>
              <w:rPr>
                <w:iCs/>
                <w:sz w:val="20"/>
              </w:rPr>
            </w:pPr>
            <w:r w:rsidRPr="00973B6E">
              <w:rPr>
                <w:iCs/>
                <w:color w:val="auto"/>
                <w:sz w:val="20"/>
                <w:szCs w:val="20"/>
                <w:lang w:val="en-US"/>
              </w:rPr>
              <w:t>6 (3.1%)</w:t>
            </w:r>
          </w:p>
        </w:tc>
        <w:tc>
          <w:tcPr>
            <w:tcW w:w="2375" w:type="dxa"/>
          </w:tcPr>
          <w:p w14:paraId="2282B649" w14:textId="77777777" w:rsidR="00054949" w:rsidRPr="00973B6E" w:rsidRDefault="00054949" w:rsidP="00A01B6F">
            <w:pPr>
              <w:pStyle w:val="Tabletext"/>
              <w:ind w:left="0" w:right="0"/>
              <w:rPr>
                <w:iCs/>
                <w:color w:val="auto"/>
                <w:sz w:val="20"/>
                <w:szCs w:val="20"/>
              </w:rPr>
            </w:pPr>
            <w:r w:rsidRPr="00973B6E">
              <w:rPr>
                <w:iCs/>
                <w:color w:val="auto"/>
                <w:sz w:val="20"/>
                <w:szCs w:val="20"/>
              </w:rPr>
              <w:t>47 (24.1%)</w:t>
            </w:r>
          </w:p>
          <w:p w14:paraId="0B97C84B" w14:textId="77777777" w:rsidR="00054949" w:rsidRPr="00973B6E" w:rsidRDefault="00054949" w:rsidP="00A01B6F">
            <w:pPr>
              <w:pStyle w:val="Tabletext"/>
              <w:ind w:left="0" w:right="0"/>
              <w:rPr>
                <w:iCs/>
                <w:color w:val="auto"/>
                <w:sz w:val="20"/>
                <w:szCs w:val="20"/>
                <w:lang w:val="en-US"/>
              </w:rPr>
            </w:pPr>
            <w:r w:rsidRPr="00973B6E">
              <w:rPr>
                <w:iCs/>
                <w:color w:val="auto"/>
                <w:sz w:val="20"/>
                <w:szCs w:val="20"/>
                <w:lang w:val="en-US"/>
              </w:rPr>
              <w:t>76 (39.0%)</w:t>
            </w:r>
          </w:p>
          <w:p w14:paraId="58EB9A72" w14:textId="77777777" w:rsidR="00054949" w:rsidRPr="00973B6E" w:rsidRDefault="00054949" w:rsidP="00A01B6F">
            <w:pPr>
              <w:pStyle w:val="Tabletext"/>
              <w:ind w:left="0" w:right="0"/>
              <w:rPr>
                <w:iCs/>
                <w:color w:val="auto"/>
                <w:sz w:val="20"/>
                <w:szCs w:val="20"/>
                <w:lang w:val="en-US"/>
              </w:rPr>
            </w:pPr>
            <w:r w:rsidRPr="00973B6E">
              <w:rPr>
                <w:iCs/>
                <w:color w:val="auto"/>
                <w:sz w:val="20"/>
                <w:szCs w:val="20"/>
                <w:lang w:val="en-US"/>
              </w:rPr>
              <w:t>70 (35.9%)</w:t>
            </w:r>
          </w:p>
          <w:p w14:paraId="6190DFE7" w14:textId="77777777" w:rsidR="00054949" w:rsidRPr="00973B6E" w:rsidRDefault="00054949" w:rsidP="00A01B6F">
            <w:pPr>
              <w:pStyle w:val="Tabletext"/>
              <w:ind w:left="0" w:right="0"/>
              <w:rPr>
                <w:iCs/>
                <w:sz w:val="20"/>
              </w:rPr>
            </w:pPr>
            <w:r w:rsidRPr="00973B6E">
              <w:rPr>
                <w:iCs/>
                <w:color w:val="auto"/>
                <w:sz w:val="20"/>
                <w:szCs w:val="20"/>
                <w:lang w:val="en-US"/>
              </w:rPr>
              <w:t>2 (1%)</w:t>
            </w:r>
          </w:p>
        </w:tc>
      </w:tr>
      <w:tr w:rsidR="00A01B6F" w:rsidRPr="00E1306D" w14:paraId="3E334A93" w14:textId="77777777" w:rsidTr="00A01B6F">
        <w:tc>
          <w:tcPr>
            <w:tcW w:w="1287" w:type="dxa"/>
          </w:tcPr>
          <w:p w14:paraId="7A6DF3E0" w14:textId="77777777" w:rsidR="00054949" w:rsidRPr="00A01B6F" w:rsidRDefault="00054949" w:rsidP="00A01B6F">
            <w:pPr>
              <w:pStyle w:val="Tabletext"/>
              <w:ind w:left="0" w:right="0"/>
              <w:rPr>
                <w:b/>
                <w:bCs/>
                <w:sz w:val="20"/>
                <w:lang w:val="en-US"/>
              </w:rPr>
            </w:pPr>
            <w:r w:rsidRPr="00A01B6F">
              <w:rPr>
                <w:b/>
                <w:bCs/>
                <w:color w:val="auto"/>
                <w:sz w:val="20"/>
                <w:szCs w:val="20"/>
                <w:lang w:val="en-US"/>
              </w:rPr>
              <w:t>NYHA class</w:t>
            </w:r>
          </w:p>
        </w:tc>
        <w:tc>
          <w:tcPr>
            <w:tcW w:w="2573" w:type="dxa"/>
          </w:tcPr>
          <w:p w14:paraId="6731C638" w14:textId="77777777" w:rsidR="00054949" w:rsidRPr="00973B6E" w:rsidRDefault="00054949" w:rsidP="00A01B6F">
            <w:pPr>
              <w:pStyle w:val="Tabletext"/>
              <w:ind w:left="0" w:right="0"/>
              <w:rPr>
                <w:iCs/>
                <w:color w:val="auto"/>
                <w:sz w:val="20"/>
                <w:szCs w:val="20"/>
                <w:lang w:val="en-US"/>
              </w:rPr>
            </w:pPr>
            <w:r w:rsidRPr="00973B6E">
              <w:rPr>
                <w:iCs/>
                <w:color w:val="auto"/>
                <w:sz w:val="20"/>
                <w:szCs w:val="20"/>
                <w:lang w:val="en-US"/>
              </w:rPr>
              <w:t>I</w:t>
            </w:r>
          </w:p>
          <w:p w14:paraId="7B8E3745" w14:textId="77777777" w:rsidR="00054949" w:rsidRPr="00973B6E" w:rsidRDefault="00054949" w:rsidP="00A01B6F">
            <w:pPr>
              <w:pStyle w:val="Tabletext"/>
              <w:ind w:left="0" w:right="0"/>
              <w:rPr>
                <w:iCs/>
                <w:color w:val="auto"/>
                <w:sz w:val="20"/>
                <w:szCs w:val="20"/>
                <w:lang w:val="en-US"/>
              </w:rPr>
            </w:pPr>
            <w:r w:rsidRPr="00973B6E">
              <w:rPr>
                <w:iCs/>
                <w:color w:val="auto"/>
                <w:sz w:val="20"/>
                <w:szCs w:val="20"/>
                <w:lang w:val="en-US"/>
              </w:rPr>
              <w:t>II</w:t>
            </w:r>
          </w:p>
          <w:p w14:paraId="19EB459C" w14:textId="77777777" w:rsidR="00054949" w:rsidRPr="00973B6E" w:rsidRDefault="00054949" w:rsidP="00A01B6F">
            <w:pPr>
              <w:pStyle w:val="Tabletext"/>
              <w:ind w:left="0" w:right="0"/>
              <w:rPr>
                <w:iCs/>
                <w:sz w:val="20"/>
                <w:lang w:val="en-US"/>
              </w:rPr>
            </w:pPr>
            <w:r w:rsidRPr="00973B6E">
              <w:rPr>
                <w:iCs/>
                <w:color w:val="auto"/>
                <w:sz w:val="20"/>
                <w:szCs w:val="20"/>
                <w:lang w:val="en-US"/>
              </w:rPr>
              <w:lastRenderedPageBreak/>
              <w:t>IIIA</w:t>
            </w:r>
          </w:p>
        </w:tc>
        <w:tc>
          <w:tcPr>
            <w:tcW w:w="2250" w:type="dxa"/>
          </w:tcPr>
          <w:p w14:paraId="71DA28BE" w14:textId="77777777" w:rsidR="00054949" w:rsidRPr="00973B6E" w:rsidRDefault="00054949" w:rsidP="00A01B6F">
            <w:pPr>
              <w:pStyle w:val="Tabletext"/>
              <w:ind w:left="0" w:right="0"/>
              <w:rPr>
                <w:iCs/>
                <w:color w:val="auto"/>
                <w:sz w:val="20"/>
                <w:szCs w:val="20"/>
              </w:rPr>
            </w:pPr>
            <w:r w:rsidRPr="00973B6E">
              <w:rPr>
                <w:iCs/>
                <w:color w:val="auto"/>
                <w:sz w:val="20"/>
                <w:szCs w:val="20"/>
                <w:lang w:val="en-US"/>
              </w:rPr>
              <w:lastRenderedPageBreak/>
              <w:t>94 (48.7%)</w:t>
            </w:r>
          </w:p>
          <w:p w14:paraId="5959EE45" w14:textId="77777777" w:rsidR="00054949" w:rsidRPr="00973B6E" w:rsidRDefault="00054949" w:rsidP="00A01B6F">
            <w:pPr>
              <w:pStyle w:val="Tabletext"/>
              <w:ind w:left="0" w:right="0"/>
              <w:rPr>
                <w:iCs/>
                <w:color w:val="auto"/>
                <w:sz w:val="20"/>
                <w:szCs w:val="20"/>
              </w:rPr>
            </w:pPr>
            <w:r w:rsidRPr="00973B6E">
              <w:rPr>
                <w:iCs/>
                <w:color w:val="auto"/>
                <w:sz w:val="20"/>
                <w:szCs w:val="20"/>
                <w:lang w:val="en-US"/>
              </w:rPr>
              <w:t>89 (46.1%)</w:t>
            </w:r>
          </w:p>
          <w:p w14:paraId="6A16A09C" w14:textId="77777777" w:rsidR="00054949" w:rsidRPr="00973B6E" w:rsidRDefault="00054949" w:rsidP="00A01B6F">
            <w:pPr>
              <w:pStyle w:val="Tabletext"/>
              <w:ind w:left="0" w:right="0"/>
              <w:rPr>
                <w:iCs/>
                <w:sz w:val="20"/>
                <w:lang w:val="en-US"/>
              </w:rPr>
            </w:pPr>
            <w:r w:rsidRPr="00973B6E">
              <w:rPr>
                <w:iCs/>
                <w:color w:val="auto"/>
                <w:sz w:val="20"/>
                <w:szCs w:val="20"/>
                <w:lang w:val="en-US"/>
              </w:rPr>
              <w:lastRenderedPageBreak/>
              <w:t>10 (5.2%)</w:t>
            </w:r>
          </w:p>
        </w:tc>
        <w:tc>
          <w:tcPr>
            <w:tcW w:w="2375" w:type="dxa"/>
          </w:tcPr>
          <w:p w14:paraId="011C6ED2" w14:textId="77777777" w:rsidR="00054949" w:rsidRPr="00973B6E" w:rsidRDefault="00054949" w:rsidP="00A01B6F">
            <w:pPr>
              <w:pStyle w:val="Tabletext"/>
              <w:ind w:left="0" w:right="0"/>
              <w:rPr>
                <w:iCs/>
                <w:color w:val="auto"/>
                <w:sz w:val="20"/>
                <w:szCs w:val="20"/>
              </w:rPr>
            </w:pPr>
            <w:r w:rsidRPr="00973B6E">
              <w:rPr>
                <w:iCs/>
                <w:color w:val="auto"/>
                <w:sz w:val="20"/>
                <w:szCs w:val="20"/>
              </w:rPr>
              <w:lastRenderedPageBreak/>
              <w:t>101 (51.8%)</w:t>
            </w:r>
          </w:p>
          <w:p w14:paraId="3AD42237" w14:textId="77777777" w:rsidR="00054949" w:rsidRPr="00973B6E" w:rsidRDefault="00054949" w:rsidP="00A01B6F">
            <w:pPr>
              <w:pStyle w:val="Tabletext"/>
              <w:ind w:left="0" w:right="0"/>
              <w:rPr>
                <w:iCs/>
                <w:color w:val="auto"/>
                <w:sz w:val="20"/>
                <w:szCs w:val="20"/>
              </w:rPr>
            </w:pPr>
            <w:r w:rsidRPr="00973B6E">
              <w:rPr>
                <w:iCs/>
                <w:color w:val="auto"/>
                <w:sz w:val="20"/>
                <w:szCs w:val="20"/>
                <w:lang w:val="en-US"/>
              </w:rPr>
              <w:t>77 (39.5%)</w:t>
            </w:r>
          </w:p>
          <w:p w14:paraId="77316D19" w14:textId="77777777" w:rsidR="00054949" w:rsidRPr="00973B6E" w:rsidRDefault="00054949" w:rsidP="00A01B6F">
            <w:pPr>
              <w:pStyle w:val="Tabletext"/>
              <w:ind w:left="0" w:right="0"/>
              <w:rPr>
                <w:iCs/>
                <w:sz w:val="20"/>
              </w:rPr>
            </w:pPr>
            <w:r w:rsidRPr="00973B6E">
              <w:rPr>
                <w:iCs/>
                <w:color w:val="auto"/>
                <w:sz w:val="20"/>
                <w:szCs w:val="20"/>
                <w:lang w:val="en-US"/>
              </w:rPr>
              <w:lastRenderedPageBreak/>
              <w:t>17 (8.7%)</w:t>
            </w:r>
          </w:p>
        </w:tc>
      </w:tr>
      <w:tr w:rsidR="00A01B6F" w:rsidRPr="00E1306D" w14:paraId="7CD15D12" w14:textId="77777777" w:rsidTr="00A01B6F">
        <w:tc>
          <w:tcPr>
            <w:tcW w:w="1287" w:type="dxa"/>
          </w:tcPr>
          <w:p w14:paraId="50C0B1DB" w14:textId="77777777" w:rsidR="00054949" w:rsidRPr="00A01B6F" w:rsidRDefault="00054949" w:rsidP="00A01B6F">
            <w:pPr>
              <w:pStyle w:val="Tabletext"/>
              <w:ind w:left="0" w:right="0"/>
              <w:rPr>
                <w:b/>
                <w:bCs/>
                <w:sz w:val="20"/>
                <w:lang w:val="en-US"/>
              </w:rPr>
            </w:pPr>
            <w:r w:rsidRPr="00A01B6F">
              <w:rPr>
                <w:b/>
                <w:bCs/>
                <w:color w:val="auto"/>
                <w:sz w:val="20"/>
                <w:szCs w:val="20"/>
                <w:lang w:val="en-US"/>
              </w:rPr>
              <w:lastRenderedPageBreak/>
              <w:t>Renal function (creatinine clearance)</w:t>
            </w:r>
          </w:p>
        </w:tc>
        <w:tc>
          <w:tcPr>
            <w:tcW w:w="2573" w:type="dxa"/>
          </w:tcPr>
          <w:p w14:paraId="0B741134" w14:textId="77777777" w:rsidR="00054949" w:rsidRPr="00973B6E" w:rsidRDefault="00054949" w:rsidP="00A01B6F">
            <w:pPr>
              <w:pStyle w:val="Tabletext"/>
              <w:ind w:left="0" w:right="0"/>
              <w:rPr>
                <w:iCs/>
                <w:color w:val="auto"/>
                <w:sz w:val="20"/>
                <w:szCs w:val="20"/>
                <w:lang w:val="en-US"/>
              </w:rPr>
            </w:pPr>
            <w:r w:rsidRPr="00973B6E">
              <w:rPr>
                <w:iCs/>
                <w:color w:val="auto"/>
                <w:sz w:val="20"/>
                <w:szCs w:val="20"/>
                <w:lang w:val="en-US"/>
              </w:rPr>
              <w:t>&lt;60 mL/min</w:t>
            </w:r>
          </w:p>
          <w:p w14:paraId="7EC4A7EB" w14:textId="77777777" w:rsidR="00054949" w:rsidRPr="00973B6E" w:rsidRDefault="00054949" w:rsidP="00A01B6F">
            <w:pPr>
              <w:pStyle w:val="Tabletext"/>
              <w:ind w:left="0" w:right="0"/>
              <w:rPr>
                <w:iCs/>
                <w:sz w:val="20"/>
                <w:lang w:val="en-US"/>
              </w:rPr>
            </w:pPr>
            <w:r w:rsidRPr="00973B6E">
              <w:rPr>
                <w:iCs/>
                <w:color w:val="auto"/>
                <w:sz w:val="20"/>
                <w:szCs w:val="20"/>
                <w:lang w:val="en-US"/>
              </w:rPr>
              <w:t>≥60 mL/min</w:t>
            </w:r>
          </w:p>
        </w:tc>
        <w:tc>
          <w:tcPr>
            <w:tcW w:w="2250" w:type="dxa"/>
          </w:tcPr>
          <w:p w14:paraId="596ACCC5" w14:textId="77777777" w:rsidR="00054949" w:rsidRPr="00973B6E" w:rsidRDefault="00054949" w:rsidP="00A01B6F">
            <w:pPr>
              <w:pStyle w:val="Tabletext"/>
              <w:ind w:left="0" w:right="0"/>
              <w:rPr>
                <w:iCs/>
                <w:color w:val="auto"/>
                <w:sz w:val="20"/>
                <w:szCs w:val="20"/>
              </w:rPr>
            </w:pPr>
            <w:r w:rsidRPr="00973B6E">
              <w:rPr>
                <w:iCs/>
                <w:color w:val="auto"/>
                <w:sz w:val="20"/>
                <w:szCs w:val="20"/>
                <w:lang w:val="en-US"/>
              </w:rPr>
              <w:t>62 (32.1%)</w:t>
            </w:r>
          </w:p>
          <w:p w14:paraId="713E78B5" w14:textId="77777777" w:rsidR="00054949" w:rsidRPr="00973B6E" w:rsidRDefault="00054949" w:rsidP="00A01B6F">
            <w:pPr>
              <w:pStyle w:val="Tabletext"/>
              <w:ind w:left="0" w:right="0"/>
              <w:rPr>
                <w:iCs/>
                <w:sz w:val="20"/>
                <w:lang w:val="en-US"/>
              </w:rPr>
            </w:pPr>
            <w:r w:rsidRPr="00973B6E">
              <w:rPr>
                <w:iCs/>
                <w:color w:val="auto"/>
                <w:sz w:val="20"/>
                <w:szCs w:val="20"/>
                <w:lang w:val="en-US"/>
              </w:rPr>
              <w:t>131 (67.9%)</w:t>
            </w:r>
          </w:p>
        </w:tc>
        <w:tc>
          <w:tcPr>
            <w:tcW w:w="2375" w:type="dxa"/>
          </w:tcPr>
          <w:p w14:paraId="04A99B1D" w14:textId="77777777" w:rsidR="00054949" w:rsidRPr="00973B6E" w:rsidRDefault="00054949" w:rsidP="00A01B6F">
            <w:pPr>
              <w:pStyle w:val="Tabletext"/>
              <w:ind w:left="0" w:right="0"/>
              <w:rPr>
                <w:iCs/>
                <w:color w:val="auto"/>
                <w:sz w:val="20"/>
                <w:szCs w:val="20"/>
              </w:rPr>
            </w:pPr>
            <w:r w:rsidRPr="00973B6E">
              <w:rPr>
                <w:iCs/>
                <w:color w:val="auto"/>
                <w:sz w:val="20"/>
                <w:szCs w:val="20"/>
              </w:rPr>
              <w:t>69 (35.4%)</w:t>
            </w:r>
          </w:p>
          <w:p w14:paraId="79B0559D" w14:textId="77777777" w:rsidR="00054949" w:rsidRPr="00973B6E" w:rsidRDefault="00054949" w:rsidP="00A01B6F">
            <w:pPr>
              <w:pStyle w:val="Tabletext"/>
              <w:ind w:left="0" w:right="0"/>
              <w:rPr>
                <w:iCs/>
                <w:sz w:val="20"/>
              </w:rPr>
            </w:pPr>
            <w:r w:rsidRPr="00973B6E">
              <w:rPr>
                <w:iCs/>
                <w:color w:val="auto"/>
                <w:sz w:val="20"/>
                <w:szCs w:val="20"/>
                <w:lang w:val="en-US"/>
              </w:rPr>
              <w:t>126 (64.6%)</w:t>
            </w:r>
          </w:p>
        </w:tc>
      </w:tr>
      <w:tr w:rsidR="00A01B6F" w:rsidRPr="00E1306D" w14:paraId="210B04C9" w14:textId="77777777" w:rsidTr="00A01B6F">
        <w:tc>
          <w:tcPr>
            <w:tcW w:w="1287" w:type="dxa"/>
          </w:tcPr>
          <w:p w14:paraId="06EC7141" w14:textId="70B1AFBA" w:rsidR="00054949" w:rsidRPr="00A01B6F" w:rsidRDefault="00054949" w:rsidP="00A01B6F">
            <w:pPr>
              <w:pStyle w:val="Tabletext"/>
              <w:ind w:left="0" w:right="0"/>
              <w:rPr>
                <w:b/>
                <w:bCs/>
                <w:sz w:val="20"/>
                <w:lang w:val="en-US"/>
              </w:rPr>
            </w:pPr>
            <w:r w:rsidRPr="00A01B6F">
              <w:rPr>
                <w:b/>
                <w:bCs/>
                <w:color w:val="auto"/>
                <w:sz w:val="20"/>
                <w:szCs w:val="20"/>
                <w:lang w:val="en-US"/>
              </w:rPr>
              <w:t>Cytogenetic risk</w:t>
            </w:r>
          </w:p>
        </w:tc>
        <w:tc>
          <w:tcPr>
            <w:tcW w:w="2573" w:type="dxa"/>
          </w:tcPr>
          <w:p w14:paraId="37C18BE0" w14:textId="77777777" w:rsidR="00054949" w:rsidRPr="00973B6E" w:rsidRDefault="00054949" w:rsidP="00A01B6F">
            <w:pPr>
              <w:pStyle w:val="Tabletext"/>
              <w:ind w:left="0" w:right="0"/>
              <w:rPr>
                <w:iCs/>
                <w:color w:val="auto"/>
                <w:sz w:val="20"/>
                <w:szCs w:val="20"/>
                <w:lang w:val="en-US"/>
              </w:rPr>
            </w:pPr>
            <w:r w:rsidRPr="00973B6E">
              <w:rPr>
                <w:iCs/>
                <w:color w:val="auto"/>
                <w:sz w:val="20"/>
                <w:szCs w:val="20"/>
                <w:lang w:val="en-US"/>
              </w:rPr>
              <w:t>High</w:t>
            </w:r>
          </w:p>
          <w:p w14:paraId="171FF23C" w14:textId="77777777" w:rsidR="00054949" w:rsidRPr="00973B6E" w:rsidRDefault="00054949" w:rsidP="00A01B6F">
            <w:pPr>
              <w:pStyle w:val="Tabletext"/>
              <w:ind w:left="0" w:right="0"/>
              <w:rPr>
                <w:iCs/>
                <w:sz w:val="20"/>
                <w:lang w:val="en-US"/>
              </w:rPr>
            </w:pPr>
            <w:r w:rsidRPr="00973B6E">
              <w:rPr>
                <w:iCs/>
                <w:color w:val="auto"/>
                <w:sz w:val="20"/>
                <w:szCs w:val="20"/>
                <w:lang w:val="en-US"/>
              </w:rPr>
              <w:t>Standard</w:t>
            </w:r>
          </w:p>
        </w:tc>
        <w:tc>
          <w:tcPr>
            <w:tcW w:w="2250" w:type="dxa"/>
          </w:tcPr>
          <w:p w14:paraId="3F9CA3D1" w14:textId="77777777" w:rsidR="00054949" w:rsidRPr="00973B6E" w:rsidRDefault="00054949" w:rsidP="00A01B6F">
            <w:pPr>
              <w:pStyle w:val="Tabletext"/>
              <w:ind w:left="0" w:right="0"/>
              <w:rPr>
                <w:iCs/>
                <w:color w:val="auto"/>
                <w:sz w:val="20"/>
                <w:szCs w:val="20"/>
                <w:lang w:val="en-US"/>
              </w:rPr>
            </w:pPr>
            <w:r w:rsidRPr="00973B6E">
              <w:rPr>
                <w:iCs/>
                <w:color w:val="auto"/>
                <w:sz w:val="20"/>
                <w:szCs w:val="20"/>
                <w:lang w:val="en-US"/>
              </w:rPr>
              <w:t>19 (11.4%)</w:t>
            </w:r>
          </w:p>
          <w:p w14:paraId="77454F5B" w14:textId="77777777" w:rsidR="00054949" w:rsidRPr="00973B6E" w:rsidRDefault="00054949" w:rsidP="00A01B6F">
            <w:pPr>
              <w:pStyle w:val="Tabletext"/>
              <w:ind w:left="0" w:right="0"/>
              <w:rPr>
                <w:iCs/>
                <w:sz w:val="20"/>
                <w:lang w:val="en-US"/>
              </w:rPr>
            </w:pPr>
            <w:r w:rsidRPr="00973B6E">
              <w:rPr>
                <w:iCs/>
                <w:color w:val="auto"/>
                <w:sz w:val="20"/>
                <w:szCs w:val="20"/>
                <w:lang w:val="en-US"/>
              </w:rPr>
              <w:t>147 (88.6%)</w:t>
            </w:r>
          </w:p>
        </w:tc>
        <w:tc>
          <w:tcPr>
            <w:tcW w:w="2375" w:type="dxa"/>
          </w:tcPr>
          <w:p w14:paraId="39024C5F" w14:textId="77777777" w:rsidR="00054949" w:rsidRPr="00973B6E" w:rsidRDefault="00054949" w:rsidP="00A01B6F">
            <w:pPr>
              <w:pStyle w:val="Tabletext"/>
              <w:ind w:left="0" w:right="0"/>
              <w:rPr>
                <w:iCs/>
                <w:color w:val="auto"/>
                <w:sz w:val="20"/>
                <w:szCs w:val="20"/>
              </w:rPr>
            </w:pPr>
            <w:r w:rsidRPr="00973B6E">
              <w:rPr>
                <w:iCs/>
                <w:color w:val="auto"/>
                <w:sz w:val="20"/>
                <w:szCs w:val="20"/>
              </w:rPr>
              <w:t>17 (11%)</w:t>
            </w:r>
          </w:p>
          <w:p w14:paraId="2838AB29" w14:textId="77777777" w:rsidR="00054949" w:rsidRPr="00973B6E" w:rsidRDefault="00054949" w:rsidP="00A01B6F">
            <w:pPr>
              <w:pStyle w:val="Tabletext"/>
              <w:ind w:left="0" w:right="0"/>
              <w:rPr>
                <w:iCs/>
                <w:sz w:val="20"/>
              </w:rPr>
            </w:pPr>
            <w:r w:rsidRPr="00973B6E">
              <w:rPr>
                <w:iCs/>
                <w:color w:val="auto"/>
                <w:sz w:val="20"/>
                <w:szCs w:val="20"/>
              </w:rPr>
              <w:t>138 (89%)</w:t>
            </w:r>
          </w:p>
        </w:tc>
      </w:tr>
    </w:tbl>
    <w:p w14:paraId="2BE3E7F6" w14:textId="238F547F" w:rsidR="00A01B6F" w:rsidRDefault="00A01B6F" w:rsidP="00E65ECC">
      <w:pPr>
        <w:pStyle w:val="TableDescription"/>
      </w:pPr>
      <w:r>
        <w:t>Abbreviations: CyBorD = cyclophosphamide, bortezomib and dexamethasone combination therapy; ECOG = Eastern Cooperative Oncology Group; NYHA = New York Heart Association;</w:t>
      </w:r>
    </w:p>
    <w:p w14:paraId="5BCBF71F" w14:textId="60FDDD7C" w:rsidR="00F20392" w:rsidRDefault="00A01B6F" w:rsidP="00832EFA">
      <w:pPr>
        <w:pStyle w:val="Heading6"/>
      </w:pPr>
      <w:r>
        <w:t>Results for the p</w:t>
      </w:r>
      <w:r w:rsidR="00F20392" w:rsidRPr="007C1C68">
        <w:t>rimary endpoint</w:t>
      </w:r>
    </w:p>
    <w:p w14:paraId="0626D423" w14:textId="3FF60BDF" w:rsidR="00FB7036" w:rsidRPr="00FB7036" w:rsidRDefault="00FB7036" w:rsidP="00FB7036">
      <w:r>
        <w:t>The primary endpoint was:</w:t>
      </w:r>
    </w:p>
    <w:p w14:paraId="78D19998" w14:textId="55C24674" w:rsidR="00FB7036" w:rsidRDefault="00FB7036" w:rsidP="00FB7036">
      <w:pPr>
        <w:pStyle w:val="ListBullet"/>
        <w:numPr>
          <w:ilvl w:val="0"/>
          <w:numId w:val="1"/>
        </w:numPr>
      </w:pPr>
      <w:r w:rsidRPr="00F72495">
        <w:t xml:space="preserve">Complete haematologic response rate (hCR) </w:t>
      </w:r>
      <w:r>
        <w:t xml:space="preserve">defined according to </w:t>
      </w:r>
      <w:r w:rsidRPr="00F72495">
        <w:t xml:space="preserve">International Amyloidosis </w:t>
      </w:r>
      <w:r w:rsidRPr="00341D6A">
        <w:t>Consensus</w:t>
      </w:r>
      <w:r>
        <w:t xml:space="preserve"> Criteria (IACC) guidelines (by independent review committee</w:t>
      </w:r>
      <w:proofErr w:type="gramStart"/>
      <w:r>
        <w:t xml:space="preserve">) </w:t>
      </w:r>
      <w:r w:rsidRPr="00F72495">
        <w:t>:</w:t>
      </w:r>
      <w:proofErr w:type="gramEnd"/>
      <w:r w:rsidRPr="00FB7036">
        <w:rPr>
          <w:vertAlign w:val="superscript"/>
        </w:rPr>
        <w:fldChar w:fldCharType="begin"/>
      </w:r>
      <w:r w:rsidRPr="00FB7036">
        <w:rPr>
          <w:vertAlign w:val="superscript"/>
        </w:rPr>
        <w:instrText xml:space="preserve"> NOTEREF _Ref117076955 \h </w:instrText>
      </w:r>
      <w:r>
        <w:rPr>
          <w:vertAlign w:val="superscript"/>
        </w:rPr>
        <w:instrText xml:space="preserve"> \* MERGEFORMAT </w:instrText>
      </w:r>
      <w:r w:rsidRPr="00FB7036">
        <w:rPr>
          <w:vertAlign w:val="superscript"/>
        </w:rPr>
      </w:r>
      <w:r w:rsidRPr="00FB7036">
        <w:rPr>
          <w:vertAlign w:val="superscript"/>
        </w:rPr>
        <w:fldChar w:fldCharType="separate"/>
      </w:r>
      <w:r w:rsidRPr="00FB7036">
        <w:rPr>
          <w:vertAlign w:val="superscript"/>
        </w:rPr>
        <w:t>17</w:t>
      </w:r>
      <w:r w:rsidRPr="00FB7036">
        <w:rPr>
          <w:vertAlign w:val="superscript"/>
        </w:rPr>
        <w:fldChar w:fldCharType="end"/>
      </w:r>
    </w:p>
    <w:p w14:paraId="1BFE5648" w14:textId="77777777" w:rsidR="00FB7036" w:rsidRPr="00341D6A" w:rsidRDefault="00FB7036" w:rsidP="00FB7036">
      <w:pPr>
        <w:pStyle w:val="ListBullet2"/>
        <w:numPr>
          <w:ilvl w:val="1"/>
          <w:numId w:val="1"/>
        </w:numPr>
      </w:pPr>
      <w:r w:rsidRPr="00341D6A">
        <w:t>normalisation of free light chain (FLC) levels and ratio, and</w:t>
      </w:r>
    </w:p>
    <w:p w14:paraId="0740B797" w14:textId="77777777" w:rsidR="00FB7036" w:rsidRPr="00341D6A" w:rsidRDefault="00FB7036" w:rsidP="00FB7036">
      <w:pPr>
        <w:pStyle w:val="ListBullet2"/>
        <w:numPr>
          <w:ilvl w:val="1"/>
          <w:numId w:val="1"/>
        </w:numPr>
      </w:pPr>
      <w:r w:rsidRPr="00341D6A">
        <w:t>negative urine immunofixation (IFE).</w:t>
      </w:r>
    </w:p>
    <w:p w14:paraId="58CFCE81" w14:textId="77777777" w:rsidR="00FB7036" w:rsidRPr="00341D6A" w:rsidRDefault="00FB7036" w:rsidP="00FB7036">
      <w:pPr>
        <w:pStyle w:val="ListBullet2"/>
        <w:numPr>
          <w:ilvl w:val="1"/>
          <w:numId w:val="1"/>
        </w:numPr>
      </w:pPr>
      <w:r w:rsidRPr="00341D6A">
        <w:t>Negative serum and urine immunofixation without normalised free light chain ratio because suppression of uninvolved free light chain (uFLC) &lt; lower limit of normal (LLN) (FLC normal ratio abnormal or normal) with normalised involved free light chain (iFLC) levels classified as modified complete response (mCR).</w:t>
      </w:r>
    </w:p>
    <w:p w14:paraId="7E82D573" w14:textId="31268D1D" w:rsidR="00FB7036" w:rsidRDefault="00FB7036" w:rsidP="00F20392">
      <w:r>
        <w:t>The results for the primary endpoint were as follows:</w:t>
      </w:r>
    </w:p>
    <w:p w14:paraId="7B838094" w14:textId="0D2B576E" w:rsidR="00F20392" w:rsidRDefault="00F20392" w:rsidP="00832EFA">
      <w:pPr>
        <w:pStyle w:val="ListBullet"/>
      </w:pPr>
      <w:r>
        <w:t>CyBorD</w:t>
      </w:r>
      <w:r w:rsidR="00FB7036">
        <w:t xml:space="preserve"> only treatment arm:</w:t>
      </w:r>
      <w:r>
        <w:t xml:space="preserve"> 18.1% (95% </w:t>
      </w:r>
      <w:r w:rsidR="0023152B">
        <w:t>confidence interval (</w:t>
      </w:r>
      <w:r>
        <w:t>CI</w:t>
      </w:r>
      <w:r w:rsidR="0023152B">
        <w:t>)</w:t>
      </w:r>
      <w:r>
        <w:t>: 13%, 24.3%)</w:t>
      </w:r>
    </w:p>
    <w:p w14:paraId="7EE8AA11" w14:textId="30D90B41" w:rsidR="00F20392" w:rsidRDefault="00FB7036" w:rsidP="00832EFA">
      <w:pPr>
        <w:pStyle w:val="ListBullet"/>
      </w:pPr>
      <w:r>
        <w:t>Daratumumab +</w:t>
      </w:r>
      <w:r w:rsidR="00711BD7">
        <w:t xml:space="preserve"> CyBorD</w:t>
      </w:r>
      <w:r>
        <w:t xml:space="preserve"> treatment arm:</w:t>
      </w:r>
      <w:r w:rsidR="00F20392">
        <w:t xml:space="preserve"> 53.3% (95% CI: 46.1%, 60.5%)</w:t>
      </w:r>
    </w:p>
    <w:p w14:paraId="3ED15B91" w14:textId="7D7A80BB" w:rsidR="00F20392" w:rsidRDefault="00436416" w:rsidP="00832EFA">
      <w:pPr>
        <w:pStyle w:val="ListBullet"/>
      </w:pPr>
      <w:r>
        <w:t xml:space="preserve">Odds </w:t>
      </w:r>
      <w:r w:rsidR="00FB7036">
        <w:t>r</w:t>
      </w:r>
      <w:r>
        <w:t>atio</w:t>
      </w:r>
      <w:r w:rsidR="00FB7036">
        <w:t xml:space="preserve">: </w:t>
      </w:r>
      <w:r w:rsidR="00F20392">
        <w:t>5.13 (95% CI: 3.22, 8.16), p</w:t>
      </w:r>
      <w:r w:rsidR="0023152B">
        <w:t xml:space="preserve"> </w:t>
      </w:r>
      <w:r w:rsidR="00F20392">
        <w:t>&lt;</w:t>
      </w:r>
      <w:r w:rsidR="0023152B">
        <w:t xml:space="preserve"> </w:t>
      </w:r>
      <w:r w:rsidR="00F20392">
        <w:t>0.0001</w:t>
      </w:r>
      <w:r w:rsidR="00FB7036">
        <w:t>.</w:t>
      </w:r>
    </w:p>
    <w:p w14:paraId="00B29A3A" w14:textId="5FA991C0" w:rsidR="00F20392" w:rsidRDefault="00F20392" w:rsidP="00F20392">
      <w:r>
        <w:t>A range of sensitivity and supplementary analyses were conducted. Of the 139 patients who achieved hCR</w:t>
      </w:r>
      <w:r w:rsidR="005F09B4">
        <w:t xml:space="preserve"> based on IRC assessment</w:t>
      </w:r>
      <w:r>
        <w:t xml:space="preserve">, 22 patients in the </w:t>
      </w:r>
      <w:r w:rsidR="00FB7036">
        <w:t>daratumumab</w:t>
      </w:r>
      <w:r w:rsidR="00711BD7">
        <w:t xml:space="preserve"> + CyBorD</w:t>
      </w:r>
      <w:r>
        <w:t xml:space="preserve"> arm and 9 patients CyBorD</w:t>
      </w:r>
      <w:r w:rsidR="005F09B4">
        <w:t xml:space="preserve"> </w:t>
      </w:r>
      <w:r w:rsidR="00FB7036">
        <w:t xml:space="preserve">only arm </w:t>
      </w:r>
      <w:r w:rsidR="005F09B4">
        <w:t>did not have normalisation of the FLC ratio</w:t>
      </w:r>
      <w:r>
        <w:t>, despite a negative serum and urine immunofixation and iFLC &lt; ULN. A sensitivity analysis removing these patients from the hCR data did not substantially influence the results (</w:t>
      </w:r>
      <w:r w:rsidR="00FB7036">
        <w:t>odds ratio:</w:t>
      </w:r>
      <w:r>
        <w:t xml:space="preserve"> 4.8; 95% CI 2.9, 8.1; p&lt;0.0001).</w:t>
      </w:r>
    </w:p>
    <w:p w14:paraId="5ED360A9" w14:textId="2E1E7BF8" w:rsidR="00F20392" w:rsidRDefault="00F20392" w:rsidP="00F20392">
      <w:r>
        <w:t>Subgroup analyses were consistent with the primary analysis for all variables tested.</w:t>
      </w:r>
    </w:p>
    <w:p w14:paraId="6E301912" w14:textId="64EB895C" w:rsidR="00F20392" w:rsidRDefault="00FB7036" w:rsidP="008303ED">
      <w:pPr>
        <w:pStyle w:val="Heading6"/>
      </w:pPr>
      <w:r>
        <w:lastRenderedPageBreak/>
        <w:t>Key secondary efficacy a</w:t>
      </w:r>
      <w:r w:rsidR="00F20392" w:rsidRPr="007C1C68">
        <w:t>nalysis</w:t>
      </w:r>
    </w:p>
    <w:p w14:paraId="463EBF80" w14:textId="462FD88C" w:rsidR="00F20392" w:rsidRPr="004B098F" w:rsidRDefault="00F20392" w:rsidP="00F20392">
      <w:r w:rsidRPr="00E25051">
        <w:t xml:space="preserve">The analysis used an inverse probability of </w:t>
      </w:r>
      <w:r w:rsidR="00A07038">
        <w:t xml:space="preserve">censoring </w:t>
      </w:r>
      <w:r w:rsidRPr="00E25051">
        <w:t>weight</w:t>
      </w:r>
      <w:r w:rsidR="00A07038">
        <w:t>ing</w:t>
      </w:r>
      <w:r w:rsidRPr="00E25051">
        <w:t xml:space="preserve"> (</w:t>
      </w:r>
      <w:r w:rsidR="00E25051" w:rsidRPr="00E25051">
        <w:t>IPCW</w:t>
      </w:r>
      <w:r w:rsidRPr="00E25051">
        <w:t>)</w:t>
      </w:r>
      <w:bookmarkStart w:id="45" w:name="_Ref117083707"/>
      <w:r w:rsidR="00E25051" w:rsidRPr="00E25051">
        <w:rPr>
          <w:rStyle w:val="FootnoteReference"/>
        </w:rPr>
        <w:footnoteReference w:id="19"/>
      </w:r>
      <w:bookmarkEnd w:id="45"/>
      <w:r w:rsidRPr="00E25051">
        <w:t xml:space="preserve"> method </w:t>
      </w:r>
      <w:r w:rsidR="00FB7036">
        <w:t>by</w:t>
      </w:r>
      <w:r w:rsidRPr="00E25051">
        <w:t xml:space="preserve"> Robins and Finkelstein</w:t>
      </w:r>
      <w:r w:rsidR="0023152B">
        <w:t>;</w:t>
      </w:r>
      <w:r w:rsidR="00E25051" w:rsidRPr="00E25051">
        <w:rPr>
          <w:rStyle w:val="FootnoteReference"/>
        </w:rPr>
        <w:footnoteReference w:id="20"/>
      </w:r>
      <w:r w:rsidRPr="00E25051">
        <w:t xml:space="preserve"> to</w:t>
      </w:r>
      <w:r>
        <w:t xml:space="preserve"> adjust estimates of a treatment effect for subsequent non-cross resistant anti-plasma cell therapy. </w:t>
      </w:r>
    </w:p>
    <w:p w14:paraId="704563FE" w14:textId="39E72F1D" w:rsidR="00F20392" w:rsidRDefault="00FB7036" w:rsidP="00073395">
      <w:r>
        <w:t>For the major organ deterioration-</w:t>
      </w:r>
      <w:r w:rsidRPr="008339BB">
        <w:t>progression free survival</w:t>
      </w:r>
      <w:r>
        <w:t xml:space="preserve"> (</w:t>
      </w:r>
      <w:r w:rsidR="00F20392">
        <w:t>MOD-PFS</w:t>
      </w:r>
      <w:r>
        <w:t>)</w:t>
      </w:r>
      <w:r w:rsidR="00F20392">
        <w:t>:</w:t>
      </w:r>
    </w:p>
    <w:p w14:paraId="311A06F4" w14:textId="7019FE64" w:rsidR="00F20392" w:rsidRDefault="00F20392" w:rsidP="008303ED">
      <w:pPr>
        <w:pStyle w:val="ListBullet"/>
      </w:pPr>
      <w:r>
        <w:t xml:space="preserve">Median follow up </w:t>
      </w:r>
      <w:r w:rsidR="00FB7036">
        <w:t xml:space="preserve">was </w:t>
      </w:r>
      <w:r>
        <w:t>11.4 months; 43.5% of events accrued.</w:t>
      </w:r>
    </w:p>
    <w:p w14:paraId="4E8985E6" w14:textId="53B4D365" w:rsidR="00F20392" w:rsidRDefault="00F20392" w:rsidP="008303ED">
      <w:pPr>
        <w:pStyle w:val="ListBullet"/>
      </w:pPr>
      <w:r>
        <w:t xml:space="preserve">Primary analysis (using the IPCW method) </w:t>
      </w:r>
      <w:r w:rsidR="0049047E">
        <w:t>hazard ratio (</w:t>
      </w:r>
      <w:r>
        <w:t>HR</w:t>
      </w:r>
      <w:r w:rsidR="0049047E">
        <w:t>)</w:t>
      </w:r>
      <w:r>
        <w:t xml:space="preserve"> 0.58 (95%</w:t>
      </w:r>
      <w:r w:rsidR="00E25051">
        <w:t xml:space="preserve"> </w:t>
      </w:r>
      <w:r>
        <w:t>CI: 0.36, 0.93), p</w:t>
      </w:r>
      <w:r w:rsidR="0049047E">
        <w:t> </w:t>
      </w:r>
      <w:r>
        <w:t>=</w:t>
      </w:r>
      <w:r w:rsidR="0049047E">
        <w:t> </w:t>
      </w:r>
      <w:r>
        <w:t>0.0211 (interim analysis p threshold = 0.00136, so p</w:t>
      </w:r>
      <w:r w:rsidR="00E25051">
        <w:t xml:space="preserve"> </w:t>
      </w:r>
      <w:r>
        <w:t>=</w:t>
      </w:r>
      <w:r w:rsidR="00E25051">
        <w:t xml:space="preserve"> </w:t>
      </w:r>
      <w:r w:rsidR="00FB7036">
        <w:t>0.0211 is a non</w:t>
      </w:r>
      <w:r w:rsidR="00FB7036">
        <w:noBreakHyphen/>
      </w:r>
      <w:r>
        <w:t>significant result)</w:t>
      </w:r>
    </w:p>
    <w:p w14:paraId="0CE2986F" w14:textId="77777777" w:rsidR="00F20392" w:rsidRDefault="00F20392" w:rsidP="008303ED">
      <w:pPr>
        <w:pStyle w:val="ListBullet"/>
      </w:pPr>
      <w:r>
        <w:t>Similar results were found in an analysis without adjustment for subsequent non-cross resistant anti-plasma cell therapy.</w:t>
      </w:r>
    </w:p>
    <w:p w14:paraId="6BFE7F90" w14:textId="4E1EB681" w:rsidR="00F20392" w:rsidRPr="00A71FDB" w:rsidRDefault="0011684A" w:rsidP="0011684A">
      <w:pPr>
        <w:pStyle w:val="FigureTitle"/>
      </w:pPr>
      <w:r>
        <w:t xml:space="preserve">Figure </w:t>
      </w:r>
      <w:fldSimple w:instr=" SEQ Figure \* ARABIC ">
        <w:r w:rsidR="0097420E">
          <w:rPr>
            <w:noProof/>
          </w:rPr>
          <w:t>2</w:t>
        </w:r>
      </w:fldSimple>
      <w:r w:rsidR="009E165C">
        <w:t>:</w:t>
      </w:r>
      <w:r w:rsidR="0026506C">
        <w:t xml:space="preserve"> </w:t>
      </w:r>
      <w:r w:rsidR="00FB7036">
        <w:t>Study AMY3001 (</w:t>
      </w:r>
      <w:r w:rsidR="00F20392" w:rsidRPr="00A71FDB">
        <w:t xml:space="preserve">ANDROMEDA </w:t>
      </w:r>
      <w:r w:rsidR="0026506C">
        <w:t>trial</w:t>
      </w:r>
      <w:r w:rsidR="00FB7036">
        <w:t>)</w:t>
      </w:r>
      <w:r w:rsidR="0026506C">
        <w:t xml:space="preserve"> I</w:t>
      </w:r>
      <w:r w:rsidR="00F20392">
        <w:t xml:space="preserve">nverse </w:t>
      </w:r>
      <w:r w:rsidR="0000146A">
        <w:t>p</w:t>
      </w:r>
      <w:r w:rsidR="00F20392">
        <w:t>robability</w:t>
      </w:r>
      <w:r w:rsidR="00F20392" w:rsidRPr="00A71FDB">
        <w:t xml:space="preserve"> </w:t>
      </w:r>
      <w:r w:rsidR="0000146A">
        <w:t>w</w:t>
      </w:r>
      <w:r w:rsidR="00F20392" w:rsidRPr="00A71FDB">
        <w:t xml:space="preserve">eighted </w:t>
      </w:r>
      <w:r w:rsidR="00CD52F0" w:rsidRPr="00CD52F0">
        <w:t>Kaplan-Meier</w:t>
      </w:r>
      <w:r w:rsidR="00CD52F0">
        <w:t xml:space="preserve"> plot</w:t>
      </w:r>
      <w:r w:rsidR="00FB7036">
        <w:t xml:space="preserve"> for major organ deterioration progression free survival (MOD-PFS), in months</w:t>
      </w:r>
      <w:r w:rsidR="00D84C93">
        <w:t>, by independent review committee assessment</w:t>
      </w:r>
    </w:p>
    <w:p w14:paraId="1D709BB8" w14:textId="72B810C0" w:rsidR="00F20392" w:rsidRDefault="00F20392" w:rsidP="00FB7036">
      <w:pPr>
        <w:pStyle w:val="ListParagraph"/>
      </w:pPr>
      <w:r w:rsidRPr="00A71FDB">
        <w:rPr>
          <w:noProof/>
          <w:lang w:val="en-GB" w:eastAsia="en-GB"/>
        </w:rPr>
        <w:drawing>
          <wp:inline distT="0" distB="0" distL="0" distR="0" wp14:anchorId="44B2F859" wp14:editId="6A520C57">
            <wp:extent cx="4706495" cy="3193222"/>
            <wp:effectExtent l="0" t="0" r="0" b="7620"/>
            <wp:docPr id="6" name="Picture 6" descr="This figure describes the inverse probability weighted Kaplan-Meier plot for the ANDROMEDA stud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This figure describes the inverse probability weighted Kaplan-Meier plot for the ANDROMEDA study."/>
                    <pic:cNvPicPr>
                      <a:picLocks noChangeAspect="1" noChangeArrowheads="1"/>
                    </pic:cNvPicPr>
                  </pic:nvPicPr>
                  <pic:blipFill rotWithShape="1">
                    <a:blip r:embed="rId18">
                      <a:extLst>
                        <a:ext uri="{28A0092B-C50C-407E-A947-70E740481C1C}">
                          <a14:useLocalDpi xmlns:a14="http://schemas.microsoft.com/office/drawing/2010/main" val="0"/>
                        </a:ext>
                      </a:extLst>
                    </a:blip>
                    <a:srcRect l="8777" t="4670" r="9924" b="8768"/>
                    <a:stretch/>
                  </pic:blipFill>
                  <pic:spPr bwMode="auto">
                    <a:xfrm>
                      <a:off x="0" y="0"/>
                      <a:ext cx="4724514" cy="3205447"/>
                    </a:xfrm>
                    <a:prstGeom prst="rect">
                      <a:avLst/>
                    </a:prstGeom>
                    <a:noFill/>
                    <a:ln>
                      <a:noFill/>
                    </a:ln>
                    <a:extLst>
                      <a:ext uri="{53640926-AAD7-44D8-BBD7-CCE9431645EC}">
                        <a14:shadowObscured xmlns:a14="http://schemas.microsoft.com/office/drawing/2010/main"/>
                      </a:ext>
                    </a:extLst>
                  </pic:spPr>
                </pic:pic>
              </a:graphicData>
            </a:graphic>
          </wp:inline>
        </w:drawing>
      </w:r>
    </w:p>
    <w:p w14:paraId="1A678087" w14:textId="3F062E36" w:rsidR="00FB7036" w:rsidRPr="00FB7036" w:rsidRDefault="00FB7036" w:rsidP="00D84C93">
      <w:pPr>
        <w:pStyle w:val="FigureDescription"/>
      </w:pPr>
      <w:r>
        <w:t>Abbreviations: CyBorD = cyclophosphamide, bortezomib and dexamethasone combination therapy; Dara SC = daratumumab subcutaneo</w:t>
      </w:r>
      <w:r w:rsidR="00D84C93">
        <w:t>us.</w:t>
      </w:r>
    </w:p>
    <w:p w14:paraId="0412A49C" w14:textId="2EA182A7" w:rsidR="00F20392" w:rsidRDefault="00D84C93" w:rsidP="00F20392">
      <w:r>
        <w:t>For m</w:t>
      </w:r>
      <w:r w:rsidRPr="008339BB">
        <w:t>ajor organ deterioration</w:t>
      </w:r>
      <w:r>
        <w:t>,</w:t>
      </w:r>
      <w:r w:rsidRPr="008339BB">
        <w:t xml:space="preserve"> event free survival</w:t>
      </w:r>
      <w:r w:rsidRPr="00073395">
        <w:t xml:space="preserve"> </w:t>
      </w:r>
      <w:r>
        <w:t>(</w:t>
      </w:r>
      <w:r w:rsidR="00F20392" w:rsidRPr="00073395">
        <w:t>MOD-EFS</w:t>
      </w:r>
      <w:r>
        <w:t xml:space="preserve">); that is </w:t>
      </w:r>
      <w:r w:rsidR="00F20392" w:rsidRPr="00073395">
        <w:t>haematologic progression, major organ deterioration, initiation of subsequent non-cross resistant, anti-plasma cell therapy, or death, whichever occurs first</w:t>
      </w:r>
      <w:r>
        <w:t>:</w:t>
      </w:r>
    </w:p>
    <w:p w14:paraId="5A41A214" w14:textId="21BB9227" w:rsidR="00F20392" w:rsidRDefault="00F20392" w:rsidP="008303ED">
      <w:pPr>
        <w:pStyle w:val="ListBullet"/>
      </w:pPr>
      <w:r>
        <w:t xml:space="preserve">Median MOD-EFS was not reached in the </w:t>
      </w:r>
      <w:r w:rsidR="00D84C93">
        <w:t>daratumumab</w:t>
      </w:r>
      <w:r w:rsidR="00711BD7">
        <w:t xml:space="preserve"> + CyBorD</w:t>
      </w:r>
      <w:r w:rsidR="00D84C93">
        <w:t xml:space="preserve"> arm and was 8.8 </w:t>
      </w:r>
      <w:r>
        <w:t xml:space="preserve">months in the CyBorD </w:t>
      </w:r>
      <w:r w:rsidR="00D84C93">
        <w:t xml:space="preserve">only </w:t>
      </w:r>
      <w:r>
        <w:t xml:space="preserve">arm. The </w:t>
      </w:r>
      <w:r w:rsidR="00D84C93">
        <w:t>hazard ratio</w:t>
      </w:r>
      <w:r>
        <w:t xml:space="preserve"> for the comparison of </w:t>
      </w:r>
      <w:r w:rsidR="00D84C93">
        <w:t>daratumumab</w:t>
      </w:r>
      <w:r w:rsidR="00711BD7">
        <w:t xml:space="preserve"> + CyBorD</w:t>
      </w:r>
      <w:r>
        <w:t xml:space="preserve"> </w:t>
      </w:r>
      <w:r w:rsidR="005F09B4">
        <w:t xml:space="preserve">versus </w:t>
      </w:r>
      <w:r>
        <w:t xml:space="preserve">CyBorD </w:t>
      </w:r>
      <w:r w:rsidR="00D84C93">
        <w:t xml:space="preserve">only arm </w:t>
      </w:r>
      <w:r>
        <w:t>was 0.39 (95% CI: 0.27, 0.56).</w:t>
      </w:r>
    </w:p>
    <w:p w14:paraId="22F3B5F4" w14:textId="4C6F1250" w:rsidR="00F20392" w:rsidRDefault="00D84C93" w:rsidP="00294DE9">
      <w:pPr>
        <w:pageBreakBefore/>
      </w:pPr>
      <w:r>
        <w:lastRenderedPageBreak/>
        <w:t>For o</w:t>
      </w:r>
      <w:r w:rsidR="00F20392">
        <w:t xml:space="preserve">verall </w:t>
      </w:r>
      <w:r>
        <w:t>s</w:t>
      </w:r>
      <w:r w:rsidR="00F20392">
        <w:t>urvival</w:t>
      </w:r>
      <w:r w:rsidR="00F20392" w:rsidRPr="00517F91">
        <w:t>:</w:t>
      </w:r>
    </w:p>
    <w:p w14:paraId="7A981F90" w14:textId="6F8999B9" w:rsidR="00F20392" w:rsidRDefault="00D734DF" w:rsidP="008303ED">
      <w:pPr>
        <w:pStyle w:val="ListBullet"/>
      </w:pPr>
      <w:r>
        <w:t>Overall survival</w:t>
      </w:r>
      <w:r w:rsidR="00D84C93">
        <w:t xml:space="preserve"> was</w:t>
      </w:r>
      <w:r w:rsidR="00F20392" w:rsidRPr="00517F91">
        <w:t xml:space="preserve"> not tested at the primary analysis </w:t>
      </w:r>
      <w:r w:rsidR="00F20392">
        <w:t xml:space="preserve">because MOD-PFS did not meet statistical significance. </w:t>
      </w:r>
    </w:p>
    <w:p w14:paraId="38FFD3EB" w14:textId="616CDEF1" w:rsidR="00F20392" w:rsidRPr="00517F91" w:rsidRDefault="00F20392" w:rsidP="008303ED">
      <w:pPr>
        <w:pStyle w:val="ListBullet"/>
      </w:pPr>
      <w:r w:rsidRPr="00517F91">
        <w:t>Fifty</w:t>
      </w:r>
      <w:r w:rsidR="00D84C93">
        <w:t>-</w:t>
      </w:r>
      <w:r w:rsidRPr="00517F91">
        <w:t>six subjects (14.7%) died (</w:t>
      </w:r>
      <w:r w:rsidR="00D84C93">
        <w:t>daratumumab</w:t>
      </w:r>
      <w:r w:rsidR="00711BD7">
        <w:t xml:space="preserve"> + CyBorD</w:t>
      </w:r>
      <w:r w:rsidR="00D84C93">
        <w:t xml:space="preserve"> arm </w:t>
      </w:r>
      <w:r w:rsidRPr="00517F91">
        <w:t xml:space="preserve">: 27 subjects; </w:t>
      </w:r>
      <w:r>
        <w:t>CyBorD</w:t>
      </w:r>
      <w:r w:rsidR="00D84C93">
        <w:t xml:space="preserve"> only arm</w:t>
      </w:r>
      <w:r w:rsidRPr="00517F91">
        <w:t>: 29 subjects).</w:t>
      </w:r>
    </w:p>
    <w:p w14:paraId="4971BAE8" w14:textId="5943A898" w:rsidR="00F20392" w:rsidRDefault="00D84C93" w:rsidP="00F20392">
      <w:r>
        <w:t>Organ r</w:t>
      </w:r>
      <w:r w:rsidR="00F20392" w:rsidRPr="00517F91">
        <w:t>esponses:</w:t>
      </w:r>
    </w:p>
    <w:p w14:paraId="2B1C3CA3" w14:textId="4152FD73" w:rsidR="00F20392" w:rsidRDefault="00F20392" w:rsidP="008303ED">
      <w:pPr>
        <w:pStyle w:val="ListBullet"/>
      </w:pPr>
      <w:r>
        <w:t xml:space="preserve">Cardiac response at 6 months </w:t>
      </w:r>
      <w:r w:rsidRPr="00517F91">
        <w:t>(</w:t>
      </w:r>
      <w:r w:rsidR="00D84C93">
        <w:t>daratumumab</w:t>
      </w:r>
      <w:r w:rsidR="00711BD7">
        <w:t xml:space="preserve"> + CyBorD</w:t>
      </w:r>
      <w:r>
        <w:t xml:space="preserve"> </w:t>
      </w:r>
      <w:r w:rsidRPr="00517F91">
        <w:t xml:space="preserve">41.5% </w:t>
      </w:r>
      <w:r w:rsidR="00D84C93">
        <w:t>versu</w:t>
      </w:r>
      <w:r w:rsidR="00E25051">
        <w:t>s</w:t>
      </w:r>
      <w:r w:rsidRPr="00517F91">
        <w:t xml:space="preserve"> </w:t>
      </w:r>
      <w:r>
        <w:t>CyBorD</w:t>
      </w:r>
      <w:r w:rsidR="00D84C93">
        <w:t xml:space="preserve"> only arm</w:t>
      </w:r>
      <w:r>
        <w:t xml:space="preserve"> </w:t>
      </w:r>
      <w:r w:rsidRPr="00517F91">
        <w:t>22.2%</w:t>
      </w:r>
      <w:r>
        <w:t>)</w:t>
      </w:r>
      <w:r w:rsidR="0023152B">
        <w:t>,</w:t>
      </w:r>
      <w:r>
        <w:t xml:space="preserve"> </w:t>
      </w:r>
      <w:r w:rsidR="00D84C93">
        <w:t>odds ratio:</w:t>
      </w:r>
      <w:r>
        <w:t xml:space="preserve"> </w:t>
      </w:r>
      <w:r w:rsidRPr="00517F91">
        <w:t>2.44</w:t>
      </w:r>
      <w:r>
        <w:t xml:space="preserve"> (</w:t>
      </w:r>
      <w:r w:rsidRPr="00517F91">
        <w:t>95%</w:t>
      </w:r>
      <w:r w:rsidR="00E25051">
        <w:t xml:space="preserve"> </w:t>
      </w:r>
      <w:r>
        <w:t>CI:</w:t>
      </w:r>
      <w:r w:rsidRPr="00517F91">
        <w:t>1.35, 4.42)</w:t>
      </w:r>
    </w:p>
    <w:p w14:paraId="754EF155" w14:textId="30BFC9A0" w:rsidR="00F20392" w:rsidRDefault="00F20392" w:rsidP="008303ED">
      <w:pPr>
        <w:pStyle w:val="ListBullet"/>
      </w:pPr>
      <w:r w:rsidRPr="00517F91">
        <w:t>Renal response at 6 months (</w:t>
      </w:r>
      <w:r w:rsidR="00D84C93">
        <w:t>daratumumab</w:t>
      </w:r>
      <w:r w:rsidR="00711BD7">
        <w:t xml:space="preserve"> + CyBorD</w:t>
      </w:r>
      <w:r>
        <w:t xml:space="preserve"> </w:t>
      </w:r>
      <w:r w:rsidRPr="00517F91">
        <w:t xml:space="preserve">53.8% </w:t>
      </w:r>
      <w:r w:rsidR="00D84C93">
        <w:t>versu</w:t>
      </w:r>
      <w:r w:rsidR="00E25051">
        <w:t>s</w:t>
      </w:r>
      <w:r>
        <w:t xml:space="preserve"> CyBorD</w:t>
      </w:r>
      <w:r w:rsidR="00D84C93">
        <w:t xml:space="preserve"> only arm</w:t>
      </w:r>
      <w:r w:rsidRPr="00517F91">
        <w:t xml:space="preserve"> 27.4%</w:t>
      </w:r>
      <w:r>
        <w:t>)</w:t>
      </w:r>
      <w:r w:rsidR="0023152B">
        <w:t>,</w:t>
      </w:r>
      <w:r w:rsidR="00D84C93">
        <w:t xml:space="preserve"> odds ratio:</w:t>
      </w:r>
      <w:r>
        <w:t xml:space="preserve"> 3.34 (</w:t>
      </w:r>
      <w:r w:rsidRPr="00517F91">
        <w:t>95% CI:1.88, 5.94)</w:t>
      </w:r>
    </w:p>
    <w:p w14:paraId="708D4BF4" w14:textId="77777777" w:rsidR="00F20392" w:rsidRDefault="00F20392" w:rsidP="00073395">
      <w:r>
        <w:t>Not all secondary outcomes are reported but are included in the evaluation.</w:t>
      </w:r>
    </w:p>
    <w:p w14:paraId="77A7B611" w14:textId="61842441" w:rsidR="00F20392" w:rsidRPr="00742BF5" w:rsidRDefault="00F20392" w:rsidP="008303ED">
      <w:pPr>
        <w:rPr>
          <w:rFonts w:asciiTheme="minorHAnsi" w:eastAsiaTheme="minorHAnsi" w:hAnsiTheme="minorHAnsi" w:cs="Calibri"/>
        </w:rPr>
      </w:pPr>
      <w:r w:rsidRPr="00742BF5">
        <w:rPr>
          <w:rFonts w:asciiTheme="minorHAnsi" w:eastAsiaTheme="minorHAnsi" w:hAnsiTheme="minorHAnsi" w:cs="Calibri"/>
        </w:rPr>
        <w:t>Measures of and time to deep h</w:t>
      </w:r>
      <w:r w:rsidR="00D84C93">
        <w:rPr>
          <w:rFonts w:asciiTheme="minorHAnsi" w:eastAsiaTheme="minorHAnsi" w:hAnsiTheme="minorHAnsi" w:cs="Calibri"/>
        </w:rPr>
        <w:t>a</w:t>
      </w:r>
      <w:r w:rsidRPr="00742BF5">
        <w:rPr>
          <w:rFonts w:asciiTheme="minorHAnsi" w:eastAsiaTheme="minorHAnsi" w:hAnsiTheme="minorHAnsi" w:cs="Calibri"/>
        </w:rPr>
        <w:t xml:space="preserve">ematologic responses for </w:t>
      </w:r>
      <w:r w:rsidR="00D84C93">
        <w:rPr>
          <w:rFonts w:asciiTheme="minorHAnsi" w:eastAsiaTheme="minorHAnsi" w:hAnsiTheme="minorHAnsi" w:cs="Calibri"/>
        </w:rPr>
        <w:t>daratumumab</w:t>
      </w:r>
      <w:r w:rsidR="00711BD7">
        <w:rPr>
          <w:rFonts w:asciiTheme="minorHAnsi" w:eastAsiaTheme="minorHAnsi" w:hAnsiTheme="minorHAnsi" w:cs="Calibri"/>
        </w:rPr>
        <w:t xml:space="preserve"> + CyBorD</w:t>
      </w:r>
      <w:r w:rsidRPr="00742BF5">
        <w:rPr>
          <w:rFonts w:asciiTheme="minorHAnsi" w:eastAsiaTheme="minorHAnsi" w:hAnsiTheme="minorHAnsi" w:cs="Calibri"/>
        </w:rPr>
        <w:t xml:space="preserve"> </w:t>
      </w:r>
      <w:r w:rsidR="00D84C93">
        <w:t>versu</w:t>
      </w:r>
      <w:r w:rsidR="00E25051">
        <w:t>s</w:t>
      </w:r>
      <w:r w:rsidRPr="00742BF5">
        <w:rPr>
          <w:rFonts w:asciiTheme="minorHAnsi" w:eastAsiaTheme="minorHAnsi" w:hAnsiTheme="minorHAnsi" w:cs="Calibri"/>
        </w:rPr>
        <w:t xml:space="preserve"> </w:t>
      </w:r>
      <w:r>
        <w:rPr>
          <w:rFonts w:asciiTheme="minorHAnsi" w:eastAsiaTheme="minorHAnsi" w:hAnsiTheme="minorHAnsi" w:cs="Calibri"/>
        </w:rPr>
        <w:t>CyBorD</w:t>
      </w:r>
      <w:r w:rsidRPr="00742BF5">
        <w:rPr>
          <w:rFonts w:asciiTheme="minorHAnsi" w:eastAsiaTheme="minorHAnsi" w:hAnsiTheme="minorHAnsi" w:cs="Calibri"/>
        </w:rPr>
        <w:t xml:space="preserve"> </w:t>
      </w:r>
      <w:r w:rsidR="00D84C93">
        <w:rPr>
          <w:rFonts w:asciiTheme="minorHAnsi" w:eastAsiaTheme="minorHAnsi" w:hAnsiTheme="minorHAnsi" w:cs="Calibri"/>
        </w:rPr>
        <w:t>only arm</w:t>
      </w:r>
      <w:r w:rsidRPr="00742BF5">
        <w:rPr>
          <w:rFonts w:asciiTheme="minorHAnsi" w:eastAsiaTheme="minorHAnsi" w:hAnsiTheme="minorHAnsi" w:cs="Calibri"/>
        </w:rPr>
        <w:t>:</w:t>
      </w:r>
    </w:p>
    <w:p w14:paraId="78008FB3" w14:textId="3FA14ECD" w:rsidR="00F20392" w:rsidRPr="00ED79E8" w:rsidRDefault="00D84C93" w:rsidP="008303ED">
      <w:pPr>
        <w:pStyle w:val="ListBullet"/>
      </w:pPr>
      <w:r>
        <w:t>involved free light chain (</w:t>
      </w:r>
      <w:r w:rsidR="00F20392" w:rsidRPr="00ED79E8">
        <w:t>iFLC</w:t>
      </w:r>
      <w:r>
        <w:t>)</w:t>
      </w:r>
      <w:r w:rsidR="00F20392" w:rsidRPr="00ED79E8">
        <w:t xml:space="preserve"> ≤</w:t>
      </w:r>
      <w:r w:rsidR="00DC7F79">
        <w:t xml:space="preserve"> </w:t>
      </w:r>
      <w:r w:rsidR="00F20392" w:rsidRPr="00ED79E8">
        <w:t>20 mg/L (70.8% v</w:t>
      </w:r>
      <w:r w:rsidR="00BB089A">
        <w:t>ersu</w:t>
      </w:r>
      <w:r w:rsidR="00F20392" w:rsidRPr="00ED79E8">
        <w:t>s 20.2%; median time to iFLC ≤</w:t>
      </w:r>
      <w:r w:rsidR="00BB089A">
        <w:t> </w:t>
      </w:r>
      <w:r w:rsidR="00F20392" w:rsidRPr="00ED79E8">
        <w:t>20 mg/L: 24 v</w:t>
      </w:r>
      <w:r>
        <w:t>ersu</w:t>
      </w:r>
      <w:r w:rsidR="00E25051">
        <w:t xml:space="preserve">s </w:t>
      </w:r>
      <w:r w:rsidR="00F20392" w:rsidRPr="00ED79E8">
        <w:t>32 days)</w:t>
      </w:r>
    </w:p>
    <w:p w14:paraId="4895CB06" w14:textId="4DA920DB" w:rsidR="00F20392" w:rsidRPr="00491342" w:rsidRDefault="00F20392" w:rsidP="008303ED">
      <w:pPr>
        <w:pStyle w:val="ListBullet"/>
        <w:rPr>
          <w:i/>
        </w:rPr>
      </w:pPr>
      <w:r w:rsidRPr="00491342">
        <w:t>dFLC &lt;</w:t>
      </w:r>
      <w:r w:rsidR="00DC7F79">
        <w:t xml:space="preserve"> </w:t>
      </w:r>
      <w:r w:rsidRPr="00491342">
        <w:t>10 mg/L (64.1% v</w:t>
      </w:r>
      <w:r w:rsidR="00BB089A">
        <w:t>ersu</w:t>
      </w:r>
      <w:r w:rsidRPr="00491342">
        <w:t>s 30.6%; median time to dFLC &lt;</w:t>
      </w:r>
      <w:r w:rsidR="00BB089A">
        <w:t> </w:t>
      </w:r>
      <w:r w:rsidRPr="00491342">
        <w:t xml:space="preserve">10 mg/L: 29 </w:t>
      </w:r>
      <w:r w:rsidR="00E25051">
        <w:t>verses</w:t>
      </w:r>
      <w:r w:rsidRPr="00491342">
        <w:t xml:space="preserve"> 56 days).</w:t>
      </w:r>
    </w:p>
    <w:p w14:paraId="359A8EE8" w14:textId="77777777" w:rsidR="00F20392" w:rsidRDefault="00F20392" w:rsidP="008303ED">
      <w:pPr>
        <w:pStyle w:val="Heading6"/>
      </w:pPr>
      <w:r>
        <w:t>Subsequent therapy</w:t>
      </w:r>
    </w:p>
    <w:p w14:paraId="05691913" w14:textId="33D8CB6F" w:rsidR="00F20392" w:rsidRDefault="00D84C93" w:rsidP="00073395">
      <w:r>
        <w:t xml:space="preserve">For the CyBorD only treatment arm, </w:t>
      </w:r>
      <w:r w:rsidR="00F20392">
        <w:t>90 CyBorD patients received any subsequent therapy, 40% after 3</w:t>
      </w:r>
      <w:r w:rsidR="00BB089A">
        <w:t xml:space="preserve"> to</w:t>
      </w:r>
      <w:r w:rsidR="00F20392">
        <w:t xml:space="preserve"> 6 cycles and 51.1% after 6 cycles of treatment. Of those, 72 received daratumumab as monotherapy (24</w:t>
      </w:r>
      <w:r w:rsidR="00BB089A">
        <w:t xml:space="preserve"> out of</w:t>
      </w:r>
      <w:r>
        <w:t xml:space="preserve"> </w:t>
      </w:r>
      <w:r w:rsidR="00F20392">
        <w:t>48; 6</w:t>
      </w:r>
      <w:r w:rsidR="00BB089A">
        <w:t xml:space="preserve"> out of </w:t>
      </w:r>
      <w:r w:rsidR="00F20392">
        <w:t xml:space="preserve">24 achieved </w:t>
      </w:r>
      <w:r>
        <w:t>complete response (</w:t>
      </w:r>
      <w:r w:rsidR="00F20392">
        <w:t>CR</w:t>
      </w:r>
      <w:r>
        <w:t>) or very good partial response (</w:t>
      </w:r>
      <w:r w:rsidR="00F20392">
        <w:t>VGPR) or in combination (24</w:t>
      </w:r>
      <w:r w:rsidR="00BB089A">
        <w:t xml:space="preserve"> out of</w:t>
      </w:r>
      <w:r w:rsidR="008303ED">
        <w:t xml:space="preserve"> </w:t>
      </w:r>
      <w:r w:rsidR="00F20392">
        <w:t>48; 8</w:t>
      </w:r>
      <w:r w:rsidR="00BB089A">
        <w:t xml:space="preserve"> out of</w:t>
      </w:r>
      <w:r w:rsidR="0049047E">
        <w:t xml:space="preserve"> </w:t>
      </w:r>
      <w:r w:rsidR="00F20392">
        <w:t>24</w:t>
      </w:r>
      <w:r w:rsidR="00F20392" w:rsidRPr="00502059">
        <w:t xml:space="preserve"> </w:t>
      </w:r>
      <w:r w:rsidR="00F20392">
        <w:t>achieved CR/VGPR).</w:t>
      </w:r>
    </w:p>
    <w:p w14:paraId="2BF3A99F" w14:textId="288F0FBF" w:rsidR="00F20392" w:rsidRDefault="00F20392" w:rsidP="00073395">
      <w:r>
        <w:t xml:space="preserve">Subsequent non-cross resistant, anti-plasma cell therapy was received by 79 CyBorD </w:t>
      </w:r>
      <w:r w:rsidR="00D84C93">
        <w:t>only patients and 19 daratumumab</w:t>
      </w:r>
      <w:r w:rsidR="0049047E">
        <w:t xml:space="preserve"> </w:t>
      </w:r>
      <w:r w:rsidR="008D0C14">
        <w:t>+</w:t>
      </w:r>
      <w:r w:rsidR="0049047E">
        <w:t xml:space="preserve"> </w:t>
      </w:r>
      <w:r>
        <w:t>CyBorD patients, of whom 63</w:t>
      </w:r>
      <w:r w:rsidR="0049047E">
        <w:t xml:space="preserve"> out of </w:t>
      </w:r>
      <w:r>
        <w:t xml:space="preserve">79 CyBorD </w:t>
      </w:r>
      <w:r w:rsidR="00D84C93">
        <w:t xml:space="preserve">only </w:t>
      </w:r>
      <w:r>
        <w:t>patients and 18</w:t>
      </w:r>
      <w:r w:rsidR="00E25051">
        <w:t xml:space="preserve"> out of </w:t>
      </w:r>
      <w:r w:rsidR="00D84C93">
        <w:t>19 daratumumab</w:t>
      </w:r>
      <w:r w:rsidR="0049047E">
        <w:t> </w:t>
      </w:r>
      <w:r w:rsidR="008D0C14">
        <w:t>+</w:t>
      </w:r>
      <w:r w:rsidR="0049047E">
        <w:t> </w:t>
      </w:r>
      <w:r>
        <w:t xml:space="preserve">CyBorD patients received the treatment before experiencing a haematological progression or </w:t>
      </w:r>
      <w:r w:rsidR="00D84C93">
        <w:t>major organ deterioration. Two daratumumab</w:t>
      </w:r>
      <w:r w:rsidR="0049047E">
        <w:t> </w:t>
      </w:r>
      <w:r w:rsidR="00612CA2">
        <w:t>+</w:t>
      </w:r>
      <w:r w:rsidR="0049047E">
        <w:t> </w:t>
      </w:r>
      <w:r>
        <w:t>CyBorD patients and 12 CyBorD patients had a MOD-PFS event after receiving the subsequent therapy, with a median time to subsequent event &lt;</w:t>
      </w:r>
      <w:r w:rsidR="00CB0BE6">
        <w:t xml:space="preserve"> </w:t>
      </w:r>
      <w:r>
        <w:t>60 days.</w:t>
      </w:r>
    </w:p>
    <w:p w14:paraId="3DBF09AF" w14:textId="77777777" w:rsidR="00F20392" w:rsidRDefault="00F20392" w:rsidP="008303ED">
      <w:pPr>
        <w:pStyle w:val="Heading6"/>
      </w:pPr>
      <w:r>
        <w:t>Relapsed/refractory AL amyloidosis</w:t>
      </w:r>
    </w:p>
    <w:p w14:paraId="64E35F01" w14:textId="2BE4506D" w:rsidR="00F20392" w:rsidRPr="007A5113" w:rsidRDefault="00F20392">
      <w:r>
        <w:t xml:space="preserve">The sponsor is not seeking an indication in </w:t>
      </w:r>
      <w:r w:rsidR="00D84C93">
        <w:t xml:space="preserve">the </w:t>
      </w:r>
      <w:r>
        <w:t>relapsed/refractory setting.</w:t>
      </w:r>
    </w:p>
    <w:p w14:paraId="01C0A0CE" w14:textId="03C27029" w:rsidR="00F20392" w:rsidRDefault="00F20392">
      <w:pPr>
        <w:pStyle w:val="Heading4"/>
      </w:pPr>
      <w:r w:rsidRPr="00073395">
        <w:t>Safety</w:t>
      </w:r>
    </w:p>
    <w:p w14:paraId="55559149" w14:textId="374017F0" w:rsidR="00AC11DC" w:rsidRPr="00AC11DC" w:rsidRDefault="00AC11DC" w:rsidP="00AC11DC">
      <w:pPr>
        <w:pStyle w:val="Heading5"/>
      </w:pPr>
      <w:r>
        <w:t>Exposure</w:t>
      </w:r>
    </w:p>
    <w:p w14:paraId="55E5A07A" w14:textId="2F0385B6" w:rsidR="00F20392" w:rsidRDefault="00F20392" w:rsidP="008303ED">
      <w:r>
        <w:t xml:space="preserve">The median </w:t>
      </w:r>
      <w:r w:rsidRPr="00A6234B">
        <w:t xml:space="preserve">duration </w:t>
      </w:r>
      <w:r w:rsidR="00D84C93">
        <w:t>of treatment was longer in the daratumumab</w:t>
      </w:r>
      <w:r w:rsidR="00073395">
        <w:t xml:space="preserve"> </w:t>
      </w:r>
      <w:r w:rsidR="008D0C14">
        <w:t>+</w:t>
      </w:r>
      <w:r w:rsidR="00073395">
        <w:t xml:space="preserve"> </w:t>
      </w:r>
      <w:r>
        <w:t>CyBorD</w:t>
      </w:r>
      <w:r w:rsidR="00D84C93">
        <w:t xml:space="preserve"> arm (9.6 </w:t>
      </w:r>
      <w:r w:rsidRPr="00A6234B">
        <w:t xml:space="preserve">months) compared to the </w:t>
      </w:r>
      <w:r>
        <w:t>CyBorD</w:t>
      </w:r>
      <w:r w:rsidR="00D84C93">
        <w:t xml:space="preserve"> only a</w:t>
      </w:r>
      <w:r w:rsidRPr="00A6234B">
        <w:t>rm (5.3</w:t>
      </w:r>
      <w:r>
        <w:t xml:space="preserve"> </w:t>
      </w:r>
      <w:r w:rsidRPr="00A6234B">
        <w:t>months). The median number of cycles was 11 (ra</w:t>
      </w:r>
      <w:r>
        <w:t>nge: 1</w:t>
      </w:r>
      <w:r w:rsidR="00073395">
        <w:t xml:space="preserve"> to </w:t>
      </w:r>
      <w:r>
        <w:t xml:space="preserve">23) in the </w:t>
      </w:r>
      <w:r w:rsidR="00D84C93">
        <w:t>daratumumab</w:t>
      </w:r>
      <w:r w:rsidR="00711BD7">
        <w:t xml:space="preserve"> + CyBorD</w:t>
      </w:r>
      <w:r>
        <w:t xml:space="preserve"> arm and </w:t>
      </w:r>
      <w:r w:rsidRPr="00A6234B">
        <w:t>6 (range: 1</w:t>
      </w:r>
      <w:r w:rsidR="00073395">
        <w:t xml:space="preserve"> to </w:t>
      </w:r>
      <w:r w:rsidRPr="00A6234B">
        <w:t>6)</w:t>
      </w:r>
      <w:r w:rsidR="00AC11DC">
        <w:t xml:space="preserve"> in the CyBorD arm. In the daratumumab</w:t>
      </w:r>
      <w:r w:rsidR="0049047E">
        <w:t> </w:t>
      </w:r>
      <w:r>
        <w:t>+</w:t>
      </w:r>
      <w:r w:rsidR="0049047E">
        <w:t> </w:t>
      </w:r>
      <w:r>
        <w:t>CyBorD</w:t>
      </w:r>
      <w:r w:rsidRPr="00A6234B">
        <w:t xml:space="preserve"> arm, 82.4% of subjects completed 6 cycles of treatment,</w:t>
      </w:r>
      <w:r>
        <w:t xml:space="preserve"> </w:t>
      </w:r>
      <w:r w:rsidRPr="00A6234B">
        <w:t xml:space="preserve">compared to 64.4% of subjects in the </w:t>
      </w:r>
      <w:r>
        <w:t>CyBorD</w:t>
      </w:r>
      <w:r w:rsidRPr="00A6234B">
        <w:t xml:space="preserve"> </w:t>
      </w:r>
      <w:r w:rsidR="00AC11DC">
        <w:t xml:space="preserve">only </w:t>
      </w:r>
      <w:r w:rsidRPr="00A6234B">
        <w:t>arm.</w:t>
      </w:r>
    </w:p>
    <w:p w14:paraId="352D523D" w14:textId="73803943" w:rsidR="00AC11DC" w:rsidRPr="00A6234B" w:rsidRDefault="00AC11DC" w:rsidP="00AC11DC">
      <w:pPr>
        <w:pStyle w:val="Heading5"/>
      </w:pPr>
      <w:r>
        <w:t>Treatment-emergent adverse events</w:t>
      </w:r>
    </w:p>
    <w:p w14:paraId="654A5784" w14:textId="3656B6A6" w:rsidR="00F20392" w:rsidRPr="00A6234B" w:rsidRDefault="00F20392" w:rsidP="00073395">
      <w:pPr>
        <w:rPr>
          <w:rFonts w:ascii="Calibri" w:hAnsi="Calibri"/>
          <w:b/>
        </w:rPr>
      </w:pPr>
      <w:r>
        <w:t>The following is a summary of the treatment emergent adverse events (TEAEs) including any Grade and Grade 3 or 4 events occurring at ≥ 2% in any treatment arm in</w:t>
      </w:r>
      <w:r w:rsidR="00AC11DC">
        <w:t xml:space="preserve"> Study AMY3001</w:t>
      </w:r>
      <w:r>
        <w:t xml:space="preserve"> </w:t>
      </w:r>
      <w:r w:rsidR="00AC11DC">
        <w:t>(</w:t>
      </w:r>
      <w:r>
        <w:t xml:space="preserve">the ANDROMEDA </w:t>
      </w:r>
      <w:r w:rsidR="00073395">
        <w:t>trial</w:t>
      </w:r>
      <w:r w:rsidR="00AC11DC">
        <w:t>)</w:t>
      </w:r>
      <w:r>
        <w:t>.</w:t>
      </w:r>
    </w:p>
    <w:p w14:paraId="700C42B5" w14:textId="41F553E6" w:rsidR="00F20392" w:rsidRDefault="0011684A" w:rsidP="0011684A">
      <w:pPr>
        <w:pStyle w:val="Tabletitle0"/>
      </w:pPr>
      <w:r>
        <w:lastRenderedPageBreak/>
        <w:t xml:space="preserve">Table </w:t>
      </w:r>
      <w:fldSimple w:instr=" SEQ Table \* ARABIC ">
        <w:r>
          <w:rPr>
            <w:noProof/>
          </w:rPr>
          <w:t>5</w:t>
        </w:r>
      </w:fldSimple>
      <w:r w:rsidR="00D734DF">
        <w:rPr>
          <w:noProof/>
        </w:rPr>
        <w:t>:</w:t>
      </w:r>
      <w:r w:rsidR="00F20392" w:rsidRPr="00A6234B">
        <w:t xml:space="preserve"> </w:t>
      </w:r>
      <w:r w:rsidR="00AC11DC">
        <w:t>Study AMY3001 (</w:t>
      </w:r>
      <w:r w:rsidR="00073395" w:rsidRPr="00A6234B">
        <w:t>ANDROMEDA</w:t>
      </w:r>
      <w:r w:rsidR="00073395">
        <w:t xml:space="preserve"> trial</w:t>
      </w:r>
      <w:r w:rsidR="00AC11DC">
        <w:t>)</w:t>
      </w:r>
      <w:r w:rsidR="00073395">
        <w:t xml:space="preserve"> </w:t>
      </w:r>
      <w:r w:rsidR="00AC11DC">
        <w:t>S</w:t>
      </w:r>
      <w:r w:rsidR="00F20392" w:rsidRPr="00A6234B">
        <w:t xml:space="preserve">ummary of </w:t>
      </w:r>
      <w:r w:rsidR="00AC11DC">
        <w:t xml:space="preserve">Grades 3 or 4, or Any Grade </w:t>
      </w:r>
      <w:r w:rsidR="00D734DF">
        <w:t>t</w:t>
      </w:r>
      <w:r w:rsidR="00F20392" w:rsidRPr="00A6234B">
        <w:t>reatment</w:t>
      </w:r>
      <w:r w:rsidR="00AC11DC">
        <w:noBreakHyphen/>
      </w:r>
      <w:r w:rsidR="00D734DF">
        <w:t>e</w:t>
      </w:r>
      <w:r w:rsidR="00F20392" w:rsidRPr="00A6234B">
        <w:t xml:space="preserve">mergent </w:t>
      </w:r>
      <w:r w:rsidR="00D734DF">
        <w:t>a</w:t>
      </w:r>
      <w:r w:rsidR="00F20392" w:rsidRPr="00A6234B">
        <w:t xml:space="preserve">dverse </w:t>
      </w:r>
      <w:r w:rsidR="00D734DF">
        <w:t>e</w:t>
      </w:r>
      <w:r w:rsidR="00F20392" w:rsidRPr="00A6234B">
        <w:t xml:space="preserve">vents occurring </w:t>
      </w:r>
      <w:r w:rsidR="0026506C">
        <w:t xml:space="preserve">in </w:t>
      </w:r>
      <w:r w:rsidR="00D734DF">
        <w:t xml:space="preserve">greater than or equal to two percent </w:t>
      </w:r>
      <w:r w:rsidR="0026506C">
        <w:t>of trial participants</w:t>
      </w:r>
      <w:r w:rsidR="00AC11DC">
        <w:t>, but System Organ Class and Preferred Term</w:t>
      </w:r>
    </w:p>
    <w:tbl>
      <w:tblPr>
        <w:tblStyle w:val="TableTGAblue"/>
        <w:tblW w:w="51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NDROMEDA trial A summary of treatment emergent adverse events occurring in greater than or equal to two percent of trial participants"/>
        <w:tblDescription w:val="The table presents a summary of treatment emergent adverse events occurring in greater than or equal to two percent of trial participants in thr Andromeda trial."/>
      </w:tblPr>
      <w:tblGrid>
        <w:gridCol w:w="2336"/>
        <w:gridCol w:w="1532"/>
        <w:gridCol w:w="1602"/>
        <w:gridCol w:w="1514"/>
        <w:gridCol w:w="1830"/>
      </w:tblGrid>
      <w:tr w:rsidR="009C0666" w:rsidRPr="00BF5F3D" w14:paraId="1C8DC9D8" w14:textId="77777777" w:rsidTr="00AC11DC">
        <w:trPr>
          <w:cnfStyle w:val="100000000000" w:firstRow="1" w:lastRow="0" w:firstColumn="0" w:lastColumn="0" w:oddVBand="0" w:evenVBand="0" w:oddHBand="0" w:evenHBand="0" w:firstRowFirstColumn="0" w:firstRowLastColumn="0" w:lastRowFirstColumn="0" w:lastRowLastColumn="0"/>
        </w:trPr>
        <w:tc>
          <w:tcPr>
            <w:tcW w:w="1325" w:type="pct"/>
            <w:vMerge w:val="restart"/>
            <w:tcBorders>
              <w:top w:val="single" w:sz="4" w:space="0" w:color="auto"/>
              <w:left w:val="single" w:sz="4" w:space="0" w:color="auto"/>
              <w:bottom w:val="single" w:sz="4" w:space="0" w:color="auto"/>
              <w:right w:val="single" w:sz="4" w:space="0" w:color="auto"/>
              <w:tl2br w:val="none" w:sz="0" w:space="0" w:color="auto"/>
              <w:tr2bl w:val="none" w:sz="0" w:space="0" w:color="auto"/>
            </w:tcBorders>
          </w:tcPr>
          <w:p w14:paraId="0B8E7FC8" w14:textId="69534562" w:rsidR="009C0666" w:rsidRPr="009A2DD0" w:rsidRDefault="00AC11DC" w:rsidP="00AC11DC">
            <w:pPr>
              <w:pStyle w:val="Tabletext"/>
              <w:ind w:right="0"/>
            </w:pPr>
            <w:r>
              <w:t>MedDRA System Organ C</w:t>
            </w:r>
            <w:r w:rsidR="009C0666" w:rsidRPr="009A2DD0">
              <w:t>lass/</w:t>
            </w:r>
            <w:r>
              <w:t xml:space="preserve"> </w:t>
            </w:r>
            <w:r w:rsidR="009C0666" w:rsidRPr="009A2DD0">
              <w:t>Preferred term</w:t>
            </w:r>
          </w:p>
        </w:tc>
        <w:tc>
          <w:tcPr>
            <w:tcW w:w="1777" w:type="pct"/>
            <w:gridSpan w:val="2"/>
            <w:tcBorders>
              <w:top w:val="single" w:sz="4" w:space="0" w:color="auto"/>
              <w:left w:val="single" w:sz="4" w:space="0" w:color="auto"/>
              <w:bottom w:val="single" w:sz="4" w:space="0" w:color="auto"/>
              <w:right w:val="single" w:sz="4" w:space="0" w:color="auto"/>
              <w:tl2br w:val="none" w:sz="0" w:space="0" w:color="auto"/>
              <w:tr2bl w:val="none" w:sz="0" w:space="0" w:color="auto"/>
            </w:tcBorders>
          </w:tcPr>
          <w:p w14:paraId="74C8C4B7" w14:textId="79F6A058" w:rsidR="009C0666" w:rsidRPr="009A2DD0" w:rsidRDefault="009C0666" w:rsidP="00AC11DC">
            <w:pPr>
              <w:pStyle w:val="Tabletext"/>
              <w:ind w:right="0"/>
            </w:pPr>
            <w:r w:rsidRPr="009A2DD0">
              <w:t>CyBorD</w:t>
            </w:r>
            <w:r w:rsidR="00AC11DC">
              <w:t xml:space="preserve"> only arm</w:t>
            </w:r>
          </w:p>
        </w:tc>
        <w:tc>
          <w:tcPr>
            <w:tcW w:w="1898" w:type="pct"/>
            <w:gridSpan w:val="2"/>
            <w:tcBorders>
              <w:top w:val="single" w:sz="4" w:space="0" w:color="auto"/>
              <w:left w:val="single" w:sz="4" w:space="0" w:color="auto"/>
              <w:bottom w:val="single" w:sz="4" w:space="0" w:color="auto"/>
              <w:right w:val="single" w:sz="4" w:space="0" w:color="auto"/>
              <w:tl2br w:val="none" w:sz="0" w:space="0" w:color="auto"/>
              <w:tr2bl w:val="none" w:sz="0" w:space="0" w:color="auto"/>
            </w:tcBorders>
          </w:tcPr>
          <w:p w14:paraId="552F8F00" w14:textId="290196EF" w:rsidR="009C0666" w:rsidRPr="009A2DD0" w:rsidRDefault="00711BD7" w:rsidP="00AC11DC">
            <w:pPr>
              <w:pStyle w:val="Tabletext"/>
              <w:ind w:right="0"/>
            </w:pPr>
            <w:r w:rsidRPr="009A2DD0">
              <w:t>D</w:t>
            </w:r>
            <w:r w:rsidR="00AC11DC">
              <w:t>aratumumab</w:t>
            </w:r>
            <w:r w:rsidRPr="009A2DD0">
              <w:t xml:space="preserve"> + CyBorD</w:t>
            </w:r>
            <w:r w:rsidR="00AC11DC">
              <w:t xml:space="preserve"> arm</w:t>
            </w:r>
          </w:p>
        </w:tc>
      </w:tr>
      <w:tr w:rsidR="009C0666" w:rsidRPr="00842311" w14:paraId="308FB311" w14:textId="77777777" w:rsidTr="00AC11DC">
        <w:tc>
          <w:tcPr>
            <w:tcW w:w="1325" w:type="pct"/>
            <w:vMerge/>
            <w:tcBorders>
              <w:top w:val="single" w:sz="4" w:space="0" w:color="auto"/>
              <w:left w:val="single" w:sz="4" w:space="0" w:color="auto"/>
              <w:bottom w:val="single" w:sz="4" w:space="0" w:color="auto"/>
              <w:right w:val="single" w:sz="4" w:space="0" w:color="auto"/>
            </w:tcBorders>
          </w:tcPr>
          <w:p w14:paraId="06852AF4" w14:textId="77777777" w:rsidR="009C0666" w:rsidRPr="009A2DD0" w:rsidRDefault="009C0666" w:rsidP="00AC11DC">
            <w:pPr>
              <w:pStyle w:val="Tabletext"/>
              <w:ind w:right="0"/>
              <w:rPr>
                <w:b/>
              </w:rPr>
            </w:pPr>
          </w:p>
        </w:tc>
        <w:tc>
          <w:tcPr>
            <w:tcW w:w="869" w:type="pct"/>
            <w:tcBorders>
              <w:top w:val="single" w:sz="4" w:space="0" w:color="auto"/>
              <w:left w:val="single" w:sz="4" w:space="0" w:color="auto"/>
              <w:bottom w:val="single" w:sz="4" w:space="0" w:color="auto"/>
              <w:right w:val="single" w:sz="4" w:space="0" w:color="auto"/>
            </w:tcBorders>
            <w:shd w:val="clear" w:color="auto" w:fill="006DA7"/>
          </w:tcPr>
          <w:p w14:paraId="3DCD910E" w14:textId="77777777" w:rsidR="009C0666" w:rsidRPr="009A2DD0" w:rsidRDefault="009C0666" w:rsidP="00AC11DC">
            <w:pPr>
              <w:pStyle w:val="Tabletext"/>
              <w:keepNext/>
              <w:ind w:right="0"/>
              <w:rPr>
                <w:b/>
                <w:color w:val="FFFFFF" w:themeColor="background1"/>
              </w:rPr>
            </w:pPr>
            <w:r w:rsidRPr="009A2DD0">
              <w:rPr>
                <w:b/>
                <w:color w:val="FFFFFF" w:themeColor="background1"/>
              </w:rPr>
              <w:t>Any Grade</w:t>
            </w:r>
          </w:p>
        </w:tc>
        <w:tc>
          <w:tcPr>
            <w:tcW w:w="909" w:type="pct"/>
            <w:tcBorders>
              <w:top w:val="single" w:sz="4" w:space="0" w:color="auto"/>
              <w:left w:val="single" w:sz="4" w:space="0" w:color="auto"/>
              <w:bottom w:val="single" w:sz="4" w:space="0" w:color="auto"/>
              <w:right w:val="single" w:sz="4" w:space="0" w:color="auto"/>
            </w:tcBorders>
            <w:shd w:val="clear" w:color="auto" w:fill="006DA7"/>
          </w:tcPr>
          <w:p w14:paraId="1242ABB1" w14:textId="77777777" w:rsidR="009C0666" w:rsidRPr="009A2DD0" w:rsidRDefault="009C0666" w:rsidP="00AC11DC">
            <w:pPr>
              <w:pStyle w:val="Tabletext"/>
              <w:keepNext/>
              <w:ind w:right="0"/>
              <w:rPr>
                <w:b/>
                <w:color w:val="FFFFFF" w:themeColor="background1"/>
              </w:rPr>
            </w:pPr>
            <w:r w:rsidRPr="009A2DD0">
              <w:rPr>
                <w:b/>
                <w:color w:val="FFFFFF" w:themeColor="background1"/>
              </w:rPr>
              <w:t>Grade 3 or 4</w:t>
            </w:r>
          </w:p>
        </w:tc>
        <w:tc>
          <w:tcPr>
            <w:tcW w:w="859" w:type="pct"/>
            <w:tcBorders>
              <w:top w:val="single" w:sz="4" w:space="0" w:color="auto"/>
              <w:left w:val="single" w:sz="4" w:space="0" w:color="auto"/>
              <w:bottom w:val="single" w:sz="4" w:space="0" w:color="auto"/>
              <w:right w:val="single" w:sz="4" w:space="0" w:color="auto"/>
            </w:tcBorders>
            <w:shd w:val="clear" w:color="auto" w:fill="006DA7"/>
          </w:tcPr>
          <w:p w14:paraId="22C16478" w14:textId="77777777" w:rsidR="009C0666" w:rsidRPr="009A2DD0" w:rsidRDefault="009C0666" w:rsidP="00AC11DC">
            <w:pPr>
              <w:pStyle w:val="Tabletext"/>
              <w:keepNext/>
              <w:ind w:right="0"/>
              <w:rPr>
                <w:b/>
                <w:color w:val="FFFFFF" w:themeColor="background1"/>
              </w:rPr>
            </w:pPr>
            <w:r w:rsidRPr="009A2DD0">
              <w:rPr>
                <w:b/>
                <w:color w:val="FFFFFF" w:themeColor="background1"/>
              </w:rPr>
              <w:t>Any Grade</w:t>
            </w:r>
          </w:p>
        </w:tc>
        <w:tc>
          <w:tcPr>
            <w:tcW w:w="1039" w:type="pct"/>
            <w:tcBorders>
              <w:top w:val="single" w:sz="4" w:space="0" w:color="auto"/>
              <w:left w:val="single" w:sz="4" w:space="0" w:color="auto"/>
              <w:bottom w:val="single" w:sz="4" w:space="0" w:color="auto"/>
              <w:right w:val="single" w:sz="4" w:space="0" w:color="auto"/>
            </w:tcBorders>
            <w:shd w:val="clear" w:color="auto" w:fill="006DA7"/>
          </w:tcPr>
          <w:p w14:paraId="703807CA" w14:textId="77777777" w:rsidR="009C0666" w:rsidRPr="009A2DD0" w:rsidRDefault="009C0666" w:rsidP="00AC11DC">
            <w:pPr>
              <w:pStyle w:val="Tabletext"/>
              <w:keepNext/>
              <w:ind w:right="0"/>
              <w:rPr>
                <w:b/>
                <w:color w:val="FFFFFF" w:themeColor="background1"/>
              </w:rPr>
            </w:pPr>
            <w:r w:rsidRPr="009A2DD0">
              <w:rPr>
                <w:b/>
                <w:color w:val="FFFFFF" w:themeColor="background1"/>
              </w:rPr>
              <w:t>Grade 3 or 4</w:t>
            </w:r>
          </w:p>
        </w:tc>
      </w:tr>
      <w:tr w:rsidR="009C0666" w:rsidRPr="00BF5F3D" w14:paraId="794BF798" w14:textId="77777777" w:rsidTr="00AC11DC">
        <w:tc>
          <w:tcPr>
            <w:tcW w:w="5000" w:type="pct"/>
            <w:gridSpan w:val="5"/>
            <w:tcBorders>
              <w:top w:val="single" w:sz="4" w:space="0" w:color="auto"/>
            </w:tcBorders>
          </w:tcPr>
          <w:p w14:paraId="13D54F32" w14:textId="77777777" w:rsidR="009C0666" w:rsidRPr="00BF5F3D" w:rsidRDefault="009C0666" w:rsidP="00AC11DC">
            <w:pPr>
              <w:pStyle w:val="Tabletext"/>
              <w:ind w:right="0"/>
              <w:rPr>
                <w:b/>
                <w:bCs/>
                <w:iCs/>
                <w:szCs w:val="20"/>
              </w:rPr>
            </w:pPr>
            <w:r w:rsidRPr="00BF5F3D">
              <w:rPr>
                <w:b/>
                <w:bCs/>
                <w:iCs/>
                <w:szCs w:val="20"/>
              </w:rPr>
              <w:t>Blood and lymphatic system disorders</w:t>
            </w:r>
          </w:p>
        </w:tc>
      </w:tr>
      <w:tr w:rsidR="007D3905" w:rsidRPr="00BF5F3D" w14:paraId="54A4AAFC" w14:textId="77777777" w:rsidTr="00AC11DC">
        <w:tc>
          <w:tcPr>
            <w:tcW w:w="1325" w:type="pct"/>
          </w:tcPr>
          <w:p w14:paraId="72667887" w14:textId="77777777" w:rsidR="009C0666" w:rsidRPr="00BF5F3D" w:rsidRDefault="009C0666" w:rsidP="00AC11DC">
            <w:pPr>
              <w:pStyle w:val="Tabletext"/>
              <w:ind w:right="0"/>
              <w:rPr>
                <w:iCs/>
                <w:color w:val="auto"/>
                <w:szCs w:val="20"/>
              </w:rPr>
            </w:pPr>
            <w:r w:rsidRPr="00BF5F3D">
              <w:rPr>
                <w:iCs/>
                <w:szCs w:val="20"/>
              </w:rPr>
              <w:t>Anaemia</w:t>
            </w:r>
          </w:p>
        </w:tc>
        <w:tc>
          <w:tcPr>
            <w:tcW w:w="869" w:type="pct"/>
          </w:tcPr>
          <w:p w14:paraId="602ACC0D" w14:textId="77777777" w:rsidR="009C0666" w:rsidRPr="00BF5F3D" w:rsidRDefault="009C0666" w:rsidP="00AC11DC">
            <w:pPr>
              <w:pStyle w:val="Tabletext"/>
              <w:ind w:right="0"/>
              <w:rPr>
                <w:iCs/>
                <w:color w:val="auto"/>
                <w:szCs w:val="20"/>
              </w:rPr>
            </w:pPr>
            <w:r w:rsidRPr="00BF5F3D">
              <w:rPr>
                <w:iCs/>
                <w:szCs w:val="20"/>
              </w:rPr>
              <w:t>44 (23.4%)</w:t>
            </w:r>
          </w:p>
        </w:tc>
        <w:tc>
          <w:tcPr>
            <w:tcW w:w="909" w:type="pct"/>
          </w:tcPr>
          <w:p w14:paraId="64E2F60C" w14:textId="77777777" w:rsidR="009C0666" w:rsidRPr="00BF5F3D" w:rsidRDefault="009C0666" w:rsidP="00AC11DC">
            <w:pPr>
              <w:pStyle w:val="Tabletext"/>
              <w:ind w:right="0"/>
              <w:rPr>
                <w:iCs/>
                <w:color w:val="auto"/>
                <w:szCs w:val="20"/>
              </w:rPr>
            </w:pPr>
            <w:r w:rsidRPr="00BF5F3D">
              <w:rPr>
                <w:iCs/>
                <w:szCs w:val="20"/>
              </w:rPr>
              <w:t>9 (4.8%)</w:t>
            </w:r>
          </w:p>
        </w:tc>
        <w:tc>
          <w:tcPr>
            <w:tcW w:w="859" w:type="pct"/>
          </w:tcPr>
          <w:p w14:paraId="720616B4" w14:textId="77777777" w:rsidR="009C0666" w:rsidRPr="00BF5F3D" w:rsidRDefault="009C0666" w:rsidP="00AC11DC">
            <w:pPr>
              <w:pStyle w:val="Tabletext"/>
              <w:ind w:right="0"/>
              <w:rPr>
                <w:iCs/>
                <w:color w:val="auto"/>
                <w:szCs w:val="20"/>
              </w:rPr>
            </w:pPr>
            <w:r w:rsidRPr="00BF5F3D">
              <w:rPr>
                <w:iCs/>
                <w:szCs w:val="20"/>
              </w:rPr>
              <w:t>46 (23.8%)</w:t>
            </w:r>
          </w:p>
        </w:tc>
        <w:tc>
          <w:tcPr>
            <w:tcW w:w="1039" w:type="pct"/>
          </w:tcPr>
          <w:p w14:paraId="6EA1EA41" w14:textId="77777777" w:rsidR="009C0666" w:rsidRPr="00BF5F3D" w:rsidRDefault="009C0666" w:rsidP="00AC11DC">
            <w:pPr>
              <w:pStyle w:val="Tabletext"/>
              <w:ind w:right="0"/>
              <w:rPr>
                <w:iCs/>
                <w:szCs w:val="20"/>
              </w:rPr>
            </w:pPr>
            <w:r w:rsidRPr="00BF5F3D">
              <w:rPr>
                <w:iCs/>
                <w:szCs w:val="20"/>
              </w:rPr>
              <w:t>8 (4.1%)</w:t>
            </w:r>
          </w:p>
        </w:tc>
      </w:tr>
      <w:tr w:rsidR="007D3905" w:rsidRPr="00BF5F3D" w14:paraId="1F3BEB5E" w14:textId="77777777" w:rsidTr="00AC11DC">
        <w:tc>
          <w:tcPr>
            <w:tcW w:w="1325" w:type="pct"/>
          </w:tcPr>
          <w:p w14:paraId="4C406AA0" w14:textId="77777777" w:rsidR="009C0666" w:rsidRPr="00BF5F3D" w:rsidRDefault="009C0666" w:rsidP="00AC11DC">
            <w:pPr>
              <w:pStyle w:val="Tabletext"/>
              <w:ind w:right="0"/>
              <w:rPr>
                <w:iCs/>
                <w:color w:val="auto"/>
                <w:szCs w:val="20"/>
              </w:rPr>
            </w:pPr>
            <w:r w:rsidRPr="00BF5F3D">
              <w:rPr>
                <w:iCs/>
                <w:szCs w:val="20"/>
              </w:rPr>
              <w:t>Lymphopenia</w:t>
            </w:r>
          </w:p>
        </w:tc>
        <w:tc>
          <w:tcPr>
            <w:tcW w:w="869" w:type="pct"/>
          </w:tcPr>
          <w:p w14:paraId="5E47573C" w14:textId="77777777" w:rsidR="009C0666" w:rsidRPr="00BF5F3D" w:rsidRDefault="009C0666" w:rsidP="00AC11DC">
            <w:pPr>
              <w:pStyle w:val="Tabletext"/>
              <w:ind w:right="0"/>
              <w:rPr>
                <w:iCs/>
                <w:color w:val="auto"/>
                <w:szCs w:val="20"/>
              </w:rPr>
            </w:pPr>
            <w:r w:rsidRPr="00BF5F3D">
              <w:rPr>
                <w:iCs/>
                <w:szCs w:val="20"/>
              </w:rPr>
              <w:t>28 (14.9%)</w:t>
            </w:r>
          </w:p>
        </w:tc>
        <w:tc>
          <w:tcPr>
            <w:tcW w:w="909" w:type="pct"/>
          </w:tcPr>
          <w:p w14:paraId="71EA9433" w14:textId="77777777" w:rsidR="009C0666" w:rsidRPr="00BF5F3D" w:rsidRDefault="009C0666" w:rsidP="00AC11DC">
            <w:pPr>
              <w:pStyle w:val="Tabletext"/>
              <w:ind w:right="0"/>
              <w:rPr>
                <w:iCs/>
                <w:color w:val="auto"/>
                <w:szCs w:val="20"/>
              </w:rPr>
            </w:pPr>
            <w:r w:rsidRPr="00BF5F3D">
              <w:rPr>
                <w:iCs/>
                <w:szCs w:val="20"/>
              </w:rPr>
              <w:t>19 (10.1%)</w:t>
            </w:r>
          </w:p>
        </w:tc>
        <w:tc>
          <w:tcPr>
            <w:tcW w:w="859" w:type="pct"/>
          </w:tcPr>
          <w:p w14:paraId="4F446EF3" w14:textId="77777777" w:rsidR="009C0666" w:rsidRPr="00BF5F3D" w:rsidRDefault="009C0666" w:rsidP="00AC11DC">
            <w:pPr>
              <w:pStyle w:val="Tabletext"/>
              <w:ind w:right="0"/>
              <w:rPr>
                <w:iCs/>
                <w:color w:val="auto"/>
                <w:szCs w:val="20"/>
              </w:rPr>
            </w:pPr>
            <w:r w:rsidRPr="00BF5F3D">
              <w:rPr>
                <w:iCs/>
                <w:szCs w:val="20"/>
              </w:rPr>
              <w:t>36 (18.7%)</w:t>
            </w:r>
          </w:p>
        </w:tc>
        <w:tc>
          <w:tcPr>
            <w:tcW w:w="1039" w:type="pct"/>
          </w:tcPr>
          <w:p w14:paraId="0F613506" w14:textId="77777777" w:rsidR="009C0666" w:rsidRPr="00BF5F3D" w:rsidRDefault="009C0666" w:rsidP="00AC11DC">
            <w:pPr>
              <w:pStyle w:val="Tabletext"/>
              <w:ind w:right="0"/>
              <w:rPr>
                <w:iCs/>
                <w:szCs w:val="20"/>
              </w:rPr>
            </w:pPr>
            <w:r w:rsidRPr="00BF5F3D">
              <w:rPr>
                <w:iCs/>
                <w:szCs w:val="20"/>
              </w:rPr>
              <w:t>25 (13.0%)</w:t>
            </w:r>
          </w:p>
        </w:tc>
      </w:tr>
      <w:tr w:rsidR="007D3905" w:rsidRPr="00BF5F3D" w14:paraId="0AAF4519" w14:textId="77777777" w:rsidTr="00AC11DC">
        <w:tc>
          <w:tcPr>
            <w:tcW w:w="1325" w:type="pct"/>
          </w:tcPr>
          <w:p w14:paraId="58C133DD" w14:textId="77777777" w:rsidR="009C0666" w:rsidRPr="00BF5F3D" w:rsidRDefault="009C0666" w:rsidP="00AC11DC">
            <w:pPr>
              <w:pStyle w:val="Tabletext"/>
              <w:ind w:right="0"/>
              <w:rPr>
                <w:iCs/>
                <w:color w:val="auto"/>
                <w:szCs w:val="20"/>
              </w:rPr>
            </w:pPr>
            <w:r w:rsidRPr="00BF5F3D">
              <w:rPr>
                <w:iCs/>
                <w:szCs w:val="20"/>
              </w:rPr>
              <w:t>Thrombocytopenia</w:t>
            </w:r>
          </w:p>
        </w:tc>
        <w:tc>
          <w:tcPr>
            <w:tcW w:w="869" w:type="pct"/>
          </w:tcPr>
          <w:p w14:paraId="06EF8067" w14:textId="77777777" w:rsidR="009C0666" w:rsidRPr="00BF5F3D" w:rsidRDefault="009C0666" w:rsidP="00AC11DC">
            <w:pPr>
              <w:pStyle w:val="Tabletext"/>
              <w:ind w:right="0"/>
              <w:rPr>
                <w:iCs/>
                <w:color w:val="auto"/>
                <w:szCs w:val="20"/>
              </w:rPr>
            </w:pPr>
            <w:r w:rsidRPr="00BF5F3D">
              <w:rPr>
                <w:iCs/>
                <w:szCs w:val="20"/>
              </w:rPr>
              <w:t>22 (11.7%)</w:t>
            </w:r>
          </w:p>
        </w:tc>
        <w:tc>
          <w:tcPr>
            <w:tcW w:w="909" w:type="pct"/>
          </w:tcPr>
          <w:p w14:paraId="2D1D9E1A" w14:textId="77777777" w:rsidR="009C0666" w:rsidRPr="00BF5F3D" w:rsidRDefault="009C0666" w:rsidP="00AC11DC">
            <w:pPr>
              <w:pStyle w:val="Tabletext"/>
              <w:ind w:right="0"/>
              <w:rPr>
                <w:iCs/>
                <w:color w:val="auto"/>
                <w:szCs w:val="20"/>
              </w:rPr>
            </w:pPr>
            <w:r w:rsidRPr="00BF5F3D">
              <w:rPr>
                <w:iCs/>
                <w:szCs w:val="20"/>
              </w:rPr>
              <w:t>5 (2.7%)</w:t>
            </w:r>
          </w:p>
        </w:tc>
        <w:tc>
          <w:tcPr>
            <w:tcW w:w="859" w:type="pct"/>
          </w:tcPr>
          <w:p w14:paraId="64470523" w14:textId="77777777" w:rsidR="009C0666" w:rsidRPr="00BF5F3D" w:rsidRDefault="009C0666" w:rsidP="00AC11DC">
            <w:pPr>
              <w:pStyle w:val="Tabletext"/>
              <w:ind w:right="0"/>
              <w:rPr>
                <w:iCs/>
                <w:color w:val="auto"/>
                <w:szCs w:val="20"/>
              </w:rPr>
            </w:pPr>
            <w:r w:rsidRPr="00BF5F3D">
              <w:rPr>
                <w:iCs/>
                <w:szCs w:val="20"/>
              </w:rPr>
              <w:t>32 (16.6%)</w:t>
            </w:r>
          </w:p>
        </w:tc>
        <w:tc>
          <w:tcPr>
            <w:tcW w:w="1039" w:type="pct"/>
          </w:tcPr>
          <w:p w14:paraId="139D0AAD" w14:textId="77777777" w:rsidR="009C0666" w:rsidRPr="00BF5F3D" w:rsidRDefault="009C0666" w:rsidP="00AC11DC">
            <w:pPr>
              <w:pStyle w:val="Tabletext"/>
              <w:ind w:right="0"/>
              <w:rPr>
                <w:iCs/>
                <w:szCs w:val="20"/>
              </w:rPr>
            </w:pPr>
            <w:r w:rsidRPr="00BF5F3D">
              <w:rPr>
                <w:iCs/>
                <w:szCs w:val="20"/>
              </w:rPr>
              <w:t>6 (3.1%)</w:t>
            </w:r>
          </w:p>
        </w:tc>
      </w:tr>
      <w:tr w:rsidR="007D3905" w:rsidRPr="00BF5F3D" w14:paraId="1F2CA638" w14:textId="77777777" w:rsidTr="00AC11DC">
        <w:tc>
          <w:tcPr>
            <w:tcW w:w="1325" w:type="pct"/>
          </w:tcPr>
          <w:p w14:paraId="00FA970B" w14:textId="77777777" w:rsidR="009C0666" w:rsidRPr="00BF5F3D" w:rsidRDefault="009C0666" w:rsidP="00AC11DC">
            <w:pPr>
              <w:pStyle w:val="Tabletext"/>
              <w:ind w:right="0"/>
              <w:rPr>
                <w:iCs/>
                <w:color w:val="auto"/>
                <w:szCs w:val="20"/>
              </w:rPr>
            </w:pPr>
            <w:r w:rsidRPr="00BF5F3D">
              <w:rPr>
                <w:iCs/>
                <w:szCs w:val="20"/>
              </w:rPr>
              <w:t>Neutropenia</w:t>
            </w:r>
          </w:p>
        </w:tc>
        <w:tc>
          <w:tcPr>
            <w:tcW w:w="869" w:type="pct"/>
          </w:tcPr>
          <w:p w14:paraId="28813500" w14:textId="77777777" w:rsidR="009C0666" w:rsidRPr="00BF5F3D" w:rsidRDefault="009C0666" w:rsidP="00AC11DC">
            <w:pPr>
              <w:pStyle w:val="Tabletext"/>
              <w:ind w:right="0"/>
              <w:rPr>
                <w:iCs/>
                <w:color w:val="auto"/>
                <w:szCs w:val="20"/>
              </w:rPr>
            </w:pPr>
            <w:r w:rsidRPr="00BF5F3D">
              <w:rPr>
                <w:iCs/>
                <w:szCs w:val="20"/>
              </w:rPr>
              <w:t>12 (6.4%)</w:t>
            </w:r>
          </w:p>
        </w:tc>
        <w:tc>
          <w:tcPr>
            <w:tcW w:w="909" w:type="pct"/>
          </w:tcPr>
          <w:p w14:paraId="7FDAF6B9" w14:textId="77777777" w:rsidR="009C0666" w:rsidRPr="00BF5F3D" w:rsidRDefault="009C0666" w:rsidP="00AC11DC">
            <w:pPr>
              <w:pStyle w:val="Tabletext"/>
              <w:ind w:right="0"/>
              <w:rPr>
                <w:iCs/>
                <w:color w:val="auto"/>
                <w:szCs w:val="20"/>
              </w:rPr>
            </w:pPr>
            <w:r w:rsidRPr="00BF5F3D">
              <w:rPr>
                <w:iCs/>
                <w:szCs w:val="20"/>
              </w:rPr>
              <w:t>5 (2.7%)</w:t>
            </w:r>
          </w:p>
        </w:tc>
        <w:tc>
          <w:tcPr>
            <w:tcW w:w="859" w:type="pct"/>
          </w:tcPr>
          <w:p w14:paraId="0E38059E" w14:textId="77777777" w:rsidR="009C0666" w:rsidRPr="00BF5F3D" w:rsidRDefault="009C0666" w:rsidP="00AC11DC">
            <w:pPr>
              <w:pStyle w:val="Tabletext"/>
              <w:ind w:right="0"/>
              <w:rPr>
                <w:iCs/>
                <w:color w:val="auto"/>
                <w:szCs w:val="20"/>
              </w:rPr>
            </w:pPr>
            <w:r w:rsidRPr="00BF5F3D">
              <w:rPr>
                <w:iCs/>
                <w:szCs w:val="20"/>
              </w:rPr>
              <w:t>20 (10.4%)</w:t>
            </w:r>
          </w:p>
        </w:tc>
        <w:tc>
          <w:tcPr>
            <w:tcW w:w="1039" w:type="pct"/>
          </w:tcPr>
          <w:p w14:paraId="163C3792" w14:textId="77777777" w:rsidR="009C0666" w:rsidRPr="00BF5F3D" w:rsidRDefault="009C0666" w:rsidP="00AC11DC">
            <w:pPr>
              <w:pStyle w:val="Tabletext"/>
              <w:ind w:right="0"/>
              <w:rPr>
                <w:iCs/>
                <w:szCs w:val="20"/>
              </w:rPr>
            </w:pPr>
            <w:r w:rsidRPr="00BF5F3D">
              <w:rPr>
                <w:iCs/>
                <w:szCs w:val="20"/>
              </w:rPr>
              <w:t>9 (4.7%)</w:t>
            </w:r>
          </w:p>
        </w:tc>
      </w:tr>
      <w:tr w:rsidR="007D3905" w:rsidRPr="00BF5F3D" w14:paraId="58EBBB03" w14:textId="77777777" w:rsidTr="00AC11DC">
        <w:tc>
          <w:tcPr>
            <w:tcW w:w="1325" w:type="pct"/>
          </w:tcPr>
          <w:p w14:paraId="0EF18571" w14:textId="77777777" w:rsidR="009C0666" w:rsidRPr="00BF5F3D" w:rsidRDefault="009C0666" w:rsidP="00AC11DC">
            <w:pPr>
              <w:pStyle w:val="Tabletext"/>
              <w:ind w:right="0"/>
              <w:rPr>
                <w:iCs/>
                <w:szCs w:val="20"/>
              </w:rPr>
            </w:pPr>
            <w:r w:rsidRPr="00BF5F3D">
              <w:rPr>
                <w:iCs/>
                <w:szCs w:val="20"/>
              </w:rPr>
              <w:t>Leukopenia</w:t>
            </w:r>
          </w:p>
        </w:tc>
        <w:tc>
          <w:tcPr>
            <w:tcW w:w="869" w:type="pct"/>
          </w:tcPr>
          <w:p w14:paraId="62990462" w14:textId="77777777" w:rsidR="009C0666" w:rsidRPr="00BF5F3D" w:rsidRDefault="009C0666" w:rsidP="00AC11DC">
            <w:pPr>
              <w:pStyle w:val="Tabletext"/>
              <w:ind w:right="0"/>
              <w:rPr>
                <w:iCs/>
                <w:szCs w:val="20"/>
              </w:rPr>
            </w:pPr>
            <w:r w:rsidRPr="00BF5F3D">
              <w:rPr>
                <w:iCs/>
                <w:szCs w:val="20"/>
              </w:rPr>
              <w:t>7 (3.7%)</w:t>
            </w:r>
          </w:p>
        </w:tc>
        <w:tc>
          <w:tcPr>
            <w:tcW w:w="909" w:type="pct"/>
          </w:tcPr>
          <w:p w14:paraId="234A169E" w14:textId="77777777" w:rsidR="009C0666" w:rsidRPr="00BF5F3D" w:rsidRDefault="009C0666" w:rsidP="00AC11DC">
            <w:pPr>
              <w:pStyle w:val="Tabletext"/>
              <w:ind w:right="0"/>
              <w:rPr>
                <w:iCs/>
                <w:szCs w:val="20"/>
              </w:rPr>
            </w:pPr>
            <w:r w:rsidRPr="00BF5F3D">
              <w:rPr>
                <w:iCs/>
                <w:szCs w:val="20"/>
              </w:rPr>
              <w:t>2 (1.1%)</w:t>
            </w:r>
          </w:p>
        </w:tc>
        <w:tc>
          <w:tcPr>
            <w:tcW w:w="859" w:type="pct"/>
          </w:tcPr>
          <w:p w14:paraId="6C527E44" w14:textId="77777777" w:rsidR="009C0666" w:rsidRPr="00BF5F3D" w:rsidRDefault="009C0666" w:rsidP="00AC11DC">
            <w:pPr>
              <w:pStyle w:val="Tabletext"/>
              <w:ind w:right="0"/>
              <w:rPr>
                <w:iCs/>
                <w:szCs w:val="20"/>
              </w:rPr>
            </w:pPr>
            <w:r w:rsidRPr="00BF5F3D">
              <w:rPr>
                <w:iCs/>
                <w:szCs w:val="20"/>
              </w:rPr>
              <w:t>11 (5.7%)</w:t>
            </w:r>
          </w:p>
        </w:tc>
        <w:tc>
          <w:tcPr>
            <w:tcW w:w="1039" w:type="pct"/>
          </w:tcPr>
          <w:p w14:paraId="33C2F2DC" w14:textId="77777777" w:rsidR="009C0666" w:rsidRPr="00BF5F3D" w:rsidRDefault="009C0666" w:rsidP="00AC11DC">
            <w:pPr>
              <w:pStyle w:val="Tabletext"/>
              <w:ind w:right="0"/>
              <w:rPr>
                <w:iCs/>
                <w:szCs w:val="20"/>
              </w:rPr>
            </w:pPr>
            <w:r w:rsidRPr="00BF5F3D">
              <w:rPr>
                <w:iCs/>
                <w:szCs w:val="20"/>
              </w:rPr>
              <w:t>2 (1.0%)</w:t>
            </w:r>
          </w:p>
        </w:tc>
      </w:tr>
      <w:tr w:rsidR="009C0666" w:rsidRPr="00BF5F3D" w14:paraId="4746CD13" w14:textId="77777777" w:rsidTr="00AC11DC">
        <w:tc>
          <w:tcPr>
            <w:tcW w:w="5000" w:type="pct"/>
            <w:gridSpan w:val="5"/>
          </w:tcPr>
          <w:p w14:paraId="3FFDF942" w14:textId="259B03D2" w:rsidR="00AC11DC" w:rsidRDefault="00AC11DC" w:rsidP="00AC11DC">
            <w:pPr>
              <w:pStyle w:val="Tabletext"/>
              <w:ind w:left="0" w:right="0"/>
              <w:rPr>
                <w:b/>
                <w:bCs/>
                <w:iCs/>
                <w:szCs w:val="20"/>
              </w:rPr>
            </w:pPr>
          </w:p>
          <w:p w14:paraId="66723ACE" w14:textId="6E4DF6B2" w:rsidR="009C0666" w:rsidRPr="00BF5F3D" w:rsidRDefault="009C0666" w:rsidP="00AC11DC">
            <w:pPr>
              <w:pStyle w:val="Tabletext"/>
              <w:ind w:right="0"/>
              <w:rPr>
                <w:b/>
                <w:bCs/>
                <w:iCs/>
                <w:szCs w:val="20"/>
              </w:rPr>
            </w:pPr>
            <w:r w:rsidRPr="00BF5F3D">
              <w:rPr>
                <w:b/>
                <w:bCs/>
                <w:iCs/>
                <w:szCs w:val="20"/>
              </w:rPr>
              <w:t>Cardiac disorders</w:t>
            </w:r>
          </w:p>
        </w:tc>
      </w:tr>
      <w:tr w:rsidR="007D3905" w:rsidRPr="00BF5F3D" w14:paraId="5D99CE68" w14:textId="77777777" w:rsidTr="00AC11DC">
        <w:tc>
          <w:tcPr>
            <w:tcW w:w="1325" w:type="pct"/>
          </w:tcPr>
          <w:p w14:paraId="02361C63" w14:textId="77777777" w:rsidR="009C0666" w:rsidRPr="00BF5F3D" w:rsidRDefault="009C0666" w:rsidP="00AC11DC">
            <w:pPr>
              <w:pStyle w:val="Tabletext"/>
              <w:ind w:right="0"/>
              <w:rPr>
                <w:iCs/>
                <w:szCs w:val="20"/>
              </w:rPr>
            </w:pPr>
            <w:r w:rsidRPr="00BF5F3D">
              <w:rPr>
                <w:iCs/>
                <w:szCs w:val="20"/>
              </w:rPr>
              <w:t>Cardiac failure</w:t>
            </w:r>
          </w:p>
        </w:tc>
        <w:tc>
          <w:tcPr>
            <w:tcW w:w="869" w:type="pct"/>
          </w:tcPr>
          <w:p w14:paraId="70EBA434" w14:textId="77777777" w:rsidR="009C0666" w:rsidRPr="00BF5F3D" w:rsidRDefault="009C0666" w:rsidP="00AC11DC">
            <w:pPr>
              <w:pStyle w:val="Tabletext"/>
              <w:ind w:right="0"/>
              <w:rPr>
                <w:iCs/>
                <w:szCs w:val="20"/>
              </w:rPr>
            </w:pPr>
            <w:r w:rsidRPr="00BF5F3D">
              <w:rPr>
                <w:iCs/>
                <w:szCs w:val="20"/>
              </w:rPr>
              <w:t>20 (10.6%)</w:t>
            </w:r>
          </w:p>
        </w:tc>
        <w:tc>
          <w:tcPr>
            <w:tcW w:w="909" w:type="pct"/>
          </w:tcPr>
          <w:p w14:paraId="1B075F79" w14:textId="77777777" w:rsidR="009C0666" w:rsidRPr="00BF5F3D" w:rsidRDefault="009C0666" w:rsidP="00AC11DC">
            <w:pPr>
              <w:pStyle w:val="Tabletext"/>
              <w:ind w:right="0"/>
              <w:rPr>
                <w:iCs/>
                <w:szCs w:val="20"/>
              </w:rPr>
            </w:pPr>
            <w:r w:rsidRPr="00BF5F3D">
              <w:rPr>
                <w:iCs/>
                <w:szCs w:val="20"/>
              </w:rPr>
              <w:t>9 (4.8%)</w:t>
            </w:r>
          </w:p>
        </w:tc>
        <w:tc>
          <w:tcPr>
            <w:tcW w:w="859" w:type="pct"/>
          </w:tcPr>
          <w:p w14:paraId="04E663D3" w14:textId="77777777" w:rsidR="009C0666" w:rsidRPr="00BF5F3D" w:rsidRDefault="009C0666" w:rsidP="00AC11DC">
            <w:pPr>
              <w:pStyle w:val="Tabletext"/>
              <w:ind w:right="0"/>
              <w:rPr>
                <w:iCs/>
                <w:szCs w:val="20"/>
              </w:rPr>
            </w:pPr>
            <w:r w:rsidRPr="00BF5F3D">
              <w:rPr>
                <w:iCs/>
                <w:szCs w:val="20"/>
              </w:rPr>
              <w:t>21 (10.9%)</w:t>
            </w:r>
          </w:p>
        </w:tc>
        <w:tc>
          <w:tcPr>
            <w:tcW w:w="1039" w:type="pct"/>
          </w:tcPr>
          <w:p w14:paraId="15905857" w14:textId="77777777" w:rsidR="009C0666" w:rsidRPr="00BF5F3D" w:rsidRDefault="009C0666" w:rsidP="00AC11DC">
            <w:pPr>
              <w:pStyle w:val="Tabletext"/>
              <w:ind w:right="0"/>
              <w:rPr>
                <w:iCs/>
                <w:szCs w:val="20"/>
              </w:rPr>
            </w:pPr>
            <w:r w:rsidRPr="00BF5F3D">
              <w:rPr>
                <w:iCs/>
                <w:szCs w:val="20"/>
              </w:rPr>
              <w:t>15 (7.8%)</w:t>
            </w:r>
          </w:p>
        </w:tc>
      </w:tr>
      <w:tr w:rsidR="007D3905" w:rsidRPr="00BF5F3D" w14:paraId="75D83598" w14:textId="77777777" w:rsidTr="00AC11DC">
        <w:tc>
          <w:tcPr>
            <w:tcW w:w="1325" w:type="pct"/>
          </w:tcPr>
          <w:p w14:paraId="70904C96" w14:textId="77777777" w:rsidR="009C0666" w:rsidRPr="00BF5F3D" w:rsidRDefault="009C0666" w:rsidP="00AC11DC">
            <w:pPr>
              <w:pStyle w:val="Tabletext"/>
              <w:ind w:right="0"/>
              <w:rPr>
                <w:iCs/>
                <w:szCs w:val="20"/>
              </w:rPr>
            </w:pPr>
            <w:r w:rsidRPr="00BF5F3D">
              <w:rPr>
                <w:iCs/>
                <w:szCs w:val="20"/>
              </w:rPr>
              <w:t>Arrhythmia</w:t>
            </w:r>
          </w:p>
        </w:tc>
        <w:tc>
          <w:tcPr>
            <w:tcW w:w="869" w:type="pct"/>
          </w:tcPr>
          <w:p w14:paraId="6AD70A67" w14:textId="77777777" w:rsidR="009C0666" w:rsidRPr="00BF5F3D" w:rsidRDefault="009C0666" w:rsidP="00AC11DC">
            <w:pPr>
              <w:pStyle w:val="Tabletext"/>
              <w:ind w:right="0"/>
              <w:rPr>
                <w:iCs/>
                <w:szCs w:val="20"/>
              </w:rPr>
            </w:pPr>
            <w:r w:rsidRPr="00BF5F3D">
              <w:rPr>
                <w:iCs/>
                <w:szCs w:val="20"/>
              </w:rPr>
              <w:t>10 (5.3%)</w:t>
            </w:r>
          </w:p>
        </w:tc>
        <w:tc>
          <w:tcPr>
            <w:tcW w:w="909" w:type="pct"/>
          </w:tcPr>
          <w:p w14:paraId="56B7119F" w14:textId="77777777" w:rsidR="009C0666" w:rsidRPr="00BF5F3D" w:rsidRDefault="009C0666" w:rsidP="00AC11DC">
            <w:pPr>
              <w:pStyle w:val="Tabletext"/>
              <w:ind w:right="0"/>
              <w:rPr>
                <w:iCs/>
                <w:szCs w:val="20"/>
              </w:rPr>
            </w:pPr>
            <w:r w:rsidRPr="00BF5F3D">
              <w:rPr>
                <w:iCs/>
                <w:szCs w:val="20"/>
              </w:rPr>
              <w:t>2 (1.1%)</w:t>
            </w:r>
          </w:p>
        </w:tc>
        <w:tc>
          <w:tcPr>
            <w:tcW w:w="859" w:type="pct"/>
          </w:tcPr>
          <w:p w14:paraId="482BD282" w14:textId="77777777" w:rsidR="009C0666" w:rsidRPr="00BF5F3D" w:rsidRDefault="009C0666" w:rsidP="00AC11DC">
            <w:pPr>
              <w:pStyle w:val="Tabletext"/>
              <w:ind w:right="0"/>
              <w:rPr>
                <w:iCs/>
                <w:szCs w:val="20"/>
              </w:rPr>
            </w:pPr>
            <w:r w:rsidRPr="00BF5F3D">
              <w:rPr>
                <w:iCs/>
                <w:szCs w:val="20"/>
              </w:rPr>
              <w:t>18 (9.3%)</w:t>
            </w:r>
          </w:p>
        </w:tc>
        <w:tc>
          <w:tcPr>
            <w:tcW w:w="1039" w:type="pct"/>
          </w:tcPr>
          <w:p w14:paraId="5437A595" w14:textId="77777777" w:rsidR="009C0666" w:rsidRPr="00BF5F3D" w:rsidRDefault="009C0666" w:rsidP="00AC11DC">
            <w:pPr>
              <w:pStyle w:val="Tabletext"/>
              <w:ind w:right="0"/>
              <w:rPr>
                <w:iCs/>
                <w:szCs w:val="20"/>
              </w:rPr>
            </w:pPr>
            <w:r w:rsidRPr="00BF5F3D">
              <w:rPr>
                <w:iCs/>
                <w:szCs w:val="20"/>
              </w:rPr>
              <w:t>6 (3.1%)</w:t>
            </w:r>
          </w:p>
        </w:tc>
      </w:tr>
      <w:tr w:rsidR="009C0666" w:rsidRPr="00BF5F3D" w14:paraId="757AE092" w14:textId="77777777" w:rsidTr="00AC11DC">
        <w:tc>
          <w:tcPr>
            <w:tcW w:w="5000" w:type="pct"/>
            <w:gridSpan w:val="5"/>
          </w:tcPr>
          <w:p w14:paraId="028CFAB7" w14:textId="77777777" w:rsidR="009C0666" w:rsidRPr="00BF5F3D" w:rsidRDefault="009C0666" w:rsidP="00AC11DC">
            <w:pPr>
              <w:pStyle w:val="Tabletext"/>
              <w:ind w:right="0"/>
              <w:rPr>
                <w:b/>
                <w:bCs/>
                <w:iCs/>
                <w:szCs w:val="20"/>
              </w:rPr>
            </w:pPr>
            <w:r w:rsidRPr="00BF5F3D">
              <w:rPr>
                <w:b/>
                <w:bCs/>
                <w:iCs/>
                <w:szCs w:val="20"/>
              </w:rPr>
              <w:t>Gastrointestinal disorders</w:t>
            </w:r>
          </w:p>
        </w:tc>
      </w:tr>
      <w:tr w:rsidR="007D3905" w:rsidRPr="00BF5F3D" w14:paraId="6869B2FC" w14:textId="77777777" w:rsidTr="00AC11DC">
        <w:tc>
          <w:tcPr>
            <w:tcW w:w="1325" w:type="pct"/>
          </w:tcPr>
          <w:p w14:paraId="060633B0" w14:textId="77777777" w:rsidR="009C0666" w:rsidRPr="00BF5F3D" w:rsidRDefault="009C0666" w:rsidP="00AC11DC">
            <w:pPr>
              <w:pStyle w:val="Tabletext"/>
              <w:ind w:right="0"/>
              <w:rPr>
                <w:iCs/>
                <w:szCs w:val="20"/>
              </w:rPr>
            </w:pPr>
            <w:r w:rsidRPr="00BF5F3D">
              <w:rPr>
                <w:iCs/>
                <w:szCs w:val="20"/>
              </w:rPr>
              <w:t>Constipation</w:t>
            </w:r>
          </w:p>
        </w:tc>
        <w:tc>
          <w:tcPr>
            <w:tcW w:w="869" w:type="pct"/>
          </w:tcPr>
          <w:p w14:paraId="36F987AF" w14:textId="77777777" w:rsidR="009C0666" w:rsidRPr="00BF5F3D" w:rsidRDefault="009C0666" w:rsidP="00AC11DC">
            <w:pPr>
              <w:pStyle w:val="Tabletext"/>
              <w:ind w:right="0"/>
              <w:rPr>
                <w:iCs/>
                <w:szCs w:val="20"/>
              </w:rPr>
            </w:pPr>
            <w:r w:rsidRPr="00BF5F3D">
              <w:rPr>
                <w:iCs/>
                <w:szCs w:val="20"/>
              </w:rPr>
              <w:t>54 (28.7%)</w:t>
            </w:r>
          </w:p>
        </w:tc>
        <w:tc>
          <w:tcPr>
            <w:tcW w:w="909" w:type="pct"/>
          </w:tcPr>
          <w:p w14:paraId="1DD70683" w14:textId="77777777" w:rsidR="009C0666" w:rsidRPr="00BF5F3D" w:rsidRDefault="009C0666" w:rsidP="00AC11DC">
            <w:pPr>
              <w:pStyle w:val="Tabletext"/>
              <w:ind w:right="0"/>
              <w:rPr>
                <w:iCs/>
                <w:szCs w:val="20"/>
              </w:rPr>
            </w:pPr>
            <w:r w:rsidRPr="00BF5F3D">
              <w:rPr>
                <w:iCs/>
                <w:szCs w:val="20"/>
              </w:rPr>
              <w:t>0</w:t>
            </w:r>
          </w:p>
        </w:tc>
        <w:tc>
          <w:tcPr>
            <w:tcW w:w="859" w:type="pct"/>
          </w:tcPr>
          <w:p w14:paraId="5D21A36F" w14:textId="77777777" w:rsidR="009C0666" w:rsidRPr="00BF5F3D" w:rsidRDefault="009C0666" w:rsidP="00AC11DC">
            <w:pPr>
              <w:pStyle w:val="Tabletext"/>
              <w:ind w:right="0"/>
              <w:rPr>
                <w:iCs/>
                <w:szCs w:val="20"/>
              </w:rPr>
            </w:pPr>
            <w:r w:rsidRPr="00BF5F3D">
              <w:rPr>
                <w:iCs/>
                <w:szCs w:val="20"/>
              </w:rPr>
              <w:t>64 (33.2%)</w:t>
            </w:r>
          </w:p>
        </w:tc>
        <w:tc>
          <w:tcPr>
            <w:tcW w:w="1039" w:type="pct"/>
          </w:tcPr>
          <w:p w14:paraId="6E87BCFA" w14:textId="77777777" w:rsidR="009C0666" w:rsidRPr="00BF5F3D" w:rsidRDefault="009C0666" w:rsidP="00AC11DC">
            <w:pPr>
              <w:pStyle w:val="Tabletext"/>
              <w:ind w:right="0"/>
              <w:rPr>
                <w:iCs/>
                <w:szCs w:val="20"/>
              </w:rPr>
            </w:pPr>
            <w:r w:rsidRPr="00BF5F3D">
              <w:rPr>
                <w:iCs/>
                <w:szCs w:val="20"/>
              </w:rPr>
              <w:t>2 (1.0%)</w:t>
            </w:r>
          </w:p>
        </w:tc>
      </w:tr>
      <w:tr w:rsidR="007D3905" w:rsidRPr="00BF5F3D" w14:paraId="4BC795AF" w14:textId="77777777" w:rsidTr="00AC11DC">
        <w:tc>
          <w:tcPr>
            <w:tcW w:w="1325" w:type="pct"/>
          </w:tcPr>
          <w:p w14:paraId="3A046A9A" w14:textId="77777777" w:rsidR="009C0666" w:rsidRPr="00BF5F3D" w:rsidRDefault="009C0666" w:rsidP="00AC11DC">
            <w:pPr>
              <w:pStyle w:val="Tabletext"/>
              <w:ind w:right="0"/>
              <w:rPr>
                <w:iCs/>
                <w:szCs w:val="20"/>
              </w:rPr>
            </w:pPr>
            <w:r w:rsidRPr="00BF5F3D">
              <w:rPr>
                <w:iCs/>
                <w:szCs w:val="20"/>
              </w:rPr>
              <w:t>Diarrhoea</w:t>
            </w:r>
          </w:p>
        </w:tc>
        <w:tc>
          <w:tcPr>
            <w:tcW w:w="869" w:type="pct"/>
          </w:tcPr>
          <w:p w14:paraId="567A75DA" w14:textId="77777777" w:rsidR="009C0666" w:rsidRPr="00BF5F3D" w:rsidRDefault="009C0666" w:rsidP="00AC11DC">
            <w:pPr>
              <w:pStyle w:val="Tabletext"/>
              <w:ind w:right="0"/>
              <w:rPr>
                <w:iCs/>
                <w:szCs w:val="20"/>
              </w:rPr>
            </w:pPr>
            <w:r w:rsidRPr="00BF5F3D">
              <w:rPr>
                <w:iCs/>
                <w:szCs w:val="20"/>
              </w:rPr>
              <w:t>57 (30.3%)</w:t>
            </w:r>
          </w:p>
        </w:tc>
        <w:tc>
          <w:tcPr>
            <w:tcW w:w="909" w:type="pct"/>
          </w:tcPr>
          <w:p w14:paraId="33081938" w14:textId="77777777" w:rsidR="009C0666" w:rsidRPr="00BF5F3D" w:rsidRDefault="009C0666" w:rsidP="00AC11DC">
            <w:pPr>
              <w:pStyle w:val="Tabletext"/>
              <w:ind w:right="0"/>
              <w:rPr>
                <w:iCs/>
                <w:szCs w:val="20"/>
              </w:rPr>
            </w:pPr>
            <w:r w:rsidRPr="00BF5F3D">
              <w:rPr>
                <w:iCs/>
                <w:szCs w:val="20"/>
              </w:rPr>
              <w:t>7 (3.7%)</w:t>
            </w:r>
          </w:p>
        </w:tc>
        <w:tc>
          <w:tcPr>
            <w:tcW w:w="859" w:type="pct"/>
          </w:tcPr>
          <w:p w14:paraId="58BC37D5" w14:textId="77777777" w:rsidR="009C0666" w:rsidRPr="00BF5F3D" w:rsidRDefault="009C0666" w:rsidP="00AC11DC">
            <w:pPr>
              <w:pStyle w:val="Tabletext"/>
              <w:ind w:right="0"/>
              <w:rPr>
                <w:iCs/>
                <w:szCs w:val="20"/>
              </w:rPr>
            </w:pPr>
            <w:r w:rsidRPr="00BF5F3D">
              <w:rPr>
                <w:iCs/>
                <w:szCs w:val="20"/>
              </w:rPr>
              <w:t>59 (30.6%)</w:t>
            </w:r>
          </w:p>
        </w:tc>
        <w:tc>
          <w:tcPr>
            <w:tcW w:w="1039" w:type="pct"/>
          </w:tcPr>
          <w:p w14:paraId="47B6D2F3" w14:textId="77777777" w:rsidR="009C0666" w:rsidRPr="00BF5F3D" w:rsidRDefault="009C0666" w:rsidP="00AC11DC">
            <w:pPr>
              <w:pStyle w:val="Tabletext"/>
              <w:ind w:right="0"/>
              <w:rPr>
                <w:iCs/>
                <w:szCs w:val="20"/>
              </w:rPr>
            </w:pPr>
            <w:r w:rsidRPr="00BF5F3D">
              <w:rPr>
                <w:iCs/>
                <w:szCs w:val="20"/>
              </w:rPr>
              <w:t>11 (5.7%)</w:t>
            </w:r>
          </w:p>
        </w:tc>
      </w:tr>
      <w:tr w:rsidR="007D3905" w:rsidRPr="00BF5F3D" w14:paraId="028E18C8" w14:textId="77777777" w:rsidTr="00AC11DC">
        <w:tc>
          <w:tcPr>
            <w:tcW w:w="1325" w:type="pct"/>
          </w:tcPr>
          <w:p w14:paraId="42C63982" w14:textId="77777777" w:rsidR="009C0666" w:rsidRPr="00BF5F3D" w:rsidRDefault="009C0666" w:rsidP="00AC11DC">
            <w:pPr>
              <w:pStyle w:val="Tabletext"/>
              <w:ind w:right="0"/>
              <w:rPr>
                <w:iCs/>
                <w:szCs w:val="20"/>
              </w:rPr>
            </w:pPr>
            <w:r w:rsidRPr="00BF5F3D">
              <w:rPr>
                <w:iCs/>
                <w:szCs w:val="20"/>
              </w:rPr>
              <w:t>Nausea</w:t>
            </w:r>
          </w:p>
        </w:tc>
        <w:tc>
          <w:tcPr>
            <w:tcW w:w="869" w:type="pct"/>
          </w:tcPr>
          <w:p w14:paraId="49990F63" w14:textId="77777777" w:rsidR="009C0666" w:rsidRPr="00BF5F3D" w:rsidRDefault="009C0666" w:rsidP="00AC11DC">
            <w:pPr>
              <w:pStyle w:val="Tabletext"/>
              <w:ind w:right="0"/>
              <w:rPr>
                <w:iCs/>
                <w:szCs w:val="20"/>
              </w:rPr>
            </w:pPr>
            <w:r w:rsidRPr="00BF5F3D">
              <w:rPr>
                <w:iCs/>
                <w:szCs w:val="20"/>
              </w:rPr>
              <w:t>52 (27.7%)</w:t>
            </w:r>
          </w:p>
        </w:tc>
        <w:tc>
          <w:tcPr>
            <w:tcW w:w="909" w:type="pct"/>
          </w:tcPr>
          <w:p w14:paraId="0FF016AB" w14:textId="77777777" w:rsidR="009C0666" w:rsidRPr="00BF5F3D" w:rsidRDefault="009C0666" w:rsidP="00AC11DC">
            <w:pPr>
              <w:pStyle w:val="Tabletext"/>
              <w:ind w:right="0"/>
              <w:rPr>
                <w:iCs/>
                <w:szCs w:val="20"/>
              </w:rPr>
            </w:pPr>
            <w:r w:rsidRPr="00BF5F3D">
              <w:rPr>
                <w:iCs/>
                <w:szCs w:val="20"/>
              </w:rPr>
              <w:t>0</w:t>
            </w:r>
          </w:p>
        </w:tc>
        <w:tc>
          <w:tcPr>
            <w:tcW w:w="859" w:type="pct"/>
          </w:tcPr>
          <w:p w14:paraId="08A25F76" w14:textId="77777777" w:rsidR="009C0666" w:rsidRPr="00BF5F3D" w:rsidRDefault="009C0666" w:rsidP="00AC11DC">
            <w:pPr>
              <w:pStyle w:val="Tabletext"/>
              <w:ind w:right="0"/>
              <w:rPr>
                <w:iCs/>
                <w:szCs w:val="20"/>
              </w:rPr>
            </w:pPr>
            <w:r w:rsidRPr="00BF5F3D">
              <w:rPr>
                <w:iCs/>
                <w:szCs w:val="20"/>
              </w:rPr>
              <w:t>46 (23.8%)</w:t>
            </w:r>
          </w:p>
        </w:tc>
        <w:tc>
          <w:tcPr>
            <w:tcW w:w="1039" w:type="pct"/>
          </w:tcPr>
          <w:p w14:paraId="5834F454" w14:textId="77777777" w:rsidR="009C0666" w:rsidRPr="00BF5F3D" w:rsidRDefault="009C0666" w:rsidP="00AC11DC">
            <w:pPr>
              <w:pStyle w:val="Tabletext"/>
              <w:ind w:right="0"/>
              <w:rPr>
                <w:iCs/>
                <w:szCs w:val="20"/>
              </w:rPr>
            </w:pPr>
            <w:r w:rsidRPr="00BF5F3D">
              <w:rPr>
                <w:iCs/>
                <w:szCs w:val="20"/>
              </w:rPr>
              <w:t>3 (1.6%)</w:t>
            </w:r>
          </w:p>
        </w:tc>
      </w:tr>
      <w:tr w:rsidR="007D3905" w:rsidRPr="00BF5F3D" w14:paraId="45D06C7F" w14:textId="77777777" w:rsidTr="00AC11DC">
        <w:tc>
          <w:tcPr>
            <w:tcW w:w="1325" w:type="pct"/>
          </w:tcPr>
          <w:p w14:paraId="2059511A" w14:textId="77777777" w:rsidR="009C0666" w:rsidRPr="00BF5F3D" w:rsidRDefault="009C0666" w:rsidP="00AC11DC">
            <w:pPr>
              <w:pStyle w:val="Tabletext"/>
              <w:ind w:right="0"/>
              <w:rPr>
                <w:iCs/>
                <w:szCs w:val="20"/>
              </w:rPr>
            </w:pPr>
            <w:r w:rsidRPr="00BF5F3D">
              <w:rPr>
                <w:iCs/>
                <w:szCs w:val="20"/>
              </w:rPr>
              <w:t>Abdominal pain</w:t>
            </w:r>
          </w:p>
        </w:tc>
        <w:tc>
          <w:tcPr>
            <w:tcW w:w="869" w:type="pct"/>
          </w:tcPr>
          <w:p w14:paraId="1D891EE0" w14:textId="77777777" w:rsidR="009C0666" w:rsidRPr="00BF5F3D" w:rsidRDefault="009C0666" w:rsidP="00AC11DC">
            <w:pPr>
              <w:pStyle w:val="Tabletext"/>
              <w:ind w:right="0"/>
              <w:rPr>
                <w:iCs/>
                <w:szCs w:val="20"/>
              </w:rPr>
            </w:pPr>
            <w:r w:rsidRPr="00BF5F3D">
              <w:rPr>
                <w:iCs/>
                <w:szCs w:val="20"/>
              </w:rPr>
              <w:t>28 (14.9%)</w:t>
            </w:r>
          </w:p>
        </w:tc>
        <w:tc>
          <w:tcPr>
            <w:tcW w:w="909" w:type="pct"/>
          </w:tcPr>
          <w:p w14:paraId="30724C58" w14:textId="77777777" w:rsidR="009C0666" w:rsidRPr="00BF5F3D" w:rsidRDefault="009C0666" w:rsidP="00AC11DC">
            <w:pPr>
              <w:pStyle w:val="Tabletext"/>
              <w:ind w:right="0"/>
              <w:rPr>
                <w:iCs/>
                <w:szCs w:val="20"/>
              </w:rPr>
            </w:pPr>
            <w:r w:rsidRPr="00BF5F3D">
              <w:rPr>
                <w:iCs/>
                <w:szCs w:val="20"/>
              </w:rPr>
              <w:t>1 (0.5%)</w:t>
            </w:r>
          </w:p>
        </w:tc>
        <w:tc>
          <w:tcPr>
            <w:tcW w:w="859" w:type="pct"/>
          </w:tcPr>
          <w:p w14:paraId="2BE7A50F" w14:textId="77777777" w:rsidR="009C0666" w:rsidRPr="00BF5F3D" w:rsidRDefault="009C0666" w:rsidP="00AC11DC">
            <w:pPr>
              <w:pStyle w:val="Tabletext"/>
              <w:ind w:right="0"/>
              <w:rPr>
                <w:iCs/>
                <w:szCs w:val="20"/>
              </w:rPr>
            </w:pPr>
            <w:r w:rsidRPr="00BF5F3D">
              <w:rPr>
                <w:iCs/>
                <w:szCs w:val="20"/>
              </w:rPr>
              <w:t>28 (14.5%)</w:t>
            </w:r>
          </w:p>
        </w:tc>
        <w:tc>
          <w:tcPr>
            <w:tcW w:w="1039" w:type="pct"/>
          </w:tcPr>
          <w:p w14:paraId="70B40929" w14:textId="77777777" w:rsidR="009C0666" w:rsidRPr="00BF5F3D" w:rsidRDefault="009C0666" w:rsidP="00AC11DC">
            <w:pPr>
              <w:pStyle w:val="Tabletext"/>
              <w:ind w:right="0"/>
              <w:rPr>
                <w:iCs/>
                <w:szCs w:val="20"/>
              </w:rPr>
            </w:pPr>
            <w:r w:rsidRPr="00BF5F3D">
              <w:rPr>
                <w:iCs/>
                <w:szCs w:val="20"/>
              </w:rPr>
              <w:t>2 (1.0%)</w:t>
            </w:r>
          </w:p>
        </w:tc>
      </w:tr>
      <w:tr w:rsidR="007D3905" w:rsidRPr="00BF5F3D" w14:paraId="77A6465F" w14:textId="77777777" w:rsidTr="00AC11DC">
        <w:tc>
          <w:tcPr>
            <w:tcW w:w="1325" w:type="pct"/>
          </w:tcPr>
          <w:p w14:paraId="67DF0EB0" w14:textId="77777777" w:rsidR="009C0666" w:rsidRPr="00BF5F3D" w:rsidRDefault="009C0666" w:rsidP="00AC11DC">
            <w:pPr>
              <w:pStyle w:val="Tabletext"/>
              <w:ind w:right="0"/>
              <w:rPr>
                <w:iCs/>
                <w:szCs w:val="20"/>
              </w:rPr>
            </w:pPr>
            <w:r w:rsidRPr="00BF5F3D">
              <w:rPr>
                <w:iCs/>
                <w:szCs w:val="20"/>
              </w:rPr>
              <w:t>Vomiting</w:t>
            </w:r>
          </w:p>
        </w:tc>
        <w:tc>
          <w:tcPr>
            <w:tcW w:w="869" w:type="pct"/>
          </w:tcPr>
          <w:p w14:paraId="73436BDF" w14:textId="77777777" w:rsidR="009C0666" w:rsidRPr="00BF5F3D" w:rsidRDefault="009C0666" w:rsidP="00AC11DC">
            <w:pPr>
              <w:pStyle w:val="Tabletext"/>
              <w:ind w:right="0"/>
              <w:rPr>
                <w:iCs/>
                <w:szCs w:val="20"/>
              </w:rPr>
            </w:pPr>
            <w:r w:rsidRPr="00BF5F3D">
              <w:rPr>
                <w:iCs/>
                <w:szCs w:val="20"/>
              </w:rPr>
              <w:t>21 (11.2%)</w:t>
            </w:r>
          </w:p>
        </w:tc>
        <w:tc>
          <w:tcPr>
            <w:tcW w:w="909" w:type="pct"/>
          </w:tcPr>
          <w:p w14:paraId="7C8E4677" w14:textId="77777777" w:rsidR="009C0666" w:rsidRPr="00BF5F3D" w:rsidRDefault="009C0666" w:rsidP="00AC11DC">
            <w:pPr>
              <w:pStyle w:val="Tabletext"/>
              <w:ind w:right="0"/>
              <w:rPr>
                <w:iCs/>
                <w:szCs w:val="20"/>
              </w:rPr>
            </w:pPr>
            <w:r w:rsidRPr="00BF5F3D">
              <w:rPr>
                <w:iCs/>
                <w:szCs w:val="20"/>
              </w:rPr>
              <w:t>1 (0.5%)</w:t>
            </w:r>
          </w:p>
        </w:tc>
        <w:tc>
          <w:tcPr>
            <w:tcW w:w="859" w:type="pct"/>
          </w:tcPr>
          <w:p w14:paraId="79323831" w14:textId="77777777" w:rsidR="009C0666" w:rsidRPr="00BF5F3D" w:rsidRDefault="009C0666" w:rsidP="00AC11DC">
            <w:pPr>
              <w:pStyle w:val="Tabletext"/>
              <w:ind w:right="0"/>
              <w:rPr>
                <w:iCs/>
                <w:szCs w:val="20"/>
              </w:rPr>
            </w:pPr>
            <w:r w:rsidRPr="00BF5F3D">
              <w:rPr>
                <w:iCs/>
                <w:szCs w:val="20"/>
              </w:rPr>
              <w:t>22 (11.4%)</w:t>
            </w:r>
          </w:p>
        </w:tc>
        <w:tc>
          <w:tcPr>
            <w:tcW w:w="1039" w:type="pct"/>
          </w:tcPr>
          <w:p w14:paraId="16A29E79" w14:textId="77777777" w:rsidR="009C0666" w:rsidRPr="00BF5F3D" w:rsidRDefault="009C0666" w:rsidP="00AC11DC">
            <w:pPr>
              <w:pStyle w:val="Tabletext"/>
              <w:ind w:right="0"/>
              <w:rPr>
                <w:iCs/>
                <w:szCs w:val="20"/>
              </w:rPr>
            </w:pPr>
            <w:r w:rsidRPr="00BF5F3D">
              <w:rPr>
                <w:iCs/>
                <w:szCs w:val="20"/>
              </w:rPr>
              <w:t>0</w:t>
            </w:r>
          </w:p>
        </w:tc>
      </w:tr>
      <w:tr w:rsidR="007D3905" w:rsidRPr="00BF5F3D" w14:paraId="71D99CA2" w14:textId="77777777" w:rsidTr="00AC11DC">
        <w:tc>
          <w:tcPr>
            <w:tcW w:w="1325" w:type="pct"/>
          </w:tcPr>
          <w:p w14:paraId="40E6901D" w14:textId="77777777" w:rsidR="009C0666" w:rsidRPr="00BF5F3D" w:rsidRDefault="009C0666" w:rsidP="00AC11DC">
            <w:pPr>
              <w:pStyle w:val="Tabletext"/>
              <w:ind w:right="0"/>
              <w:rPr>
                <w:iCs/>
                <w:szCs w:val="20"/>
              </w:rPr>
            </w:pPr>
            <w:r w:rsidRPr="00BF5F3D">
              <w:rPr>
                <w:iCs/>
                <w:szCs w:val="20"/>
              </w:rPr>
              <w:t>Abdominal distension</w:t>
            </w:r>
          </w:p>
        </w:tc>
        <w:tc>
          <w:tcPr>
            <w:tcW w:w="869" w:type="pct"/>
          </w:tcPr>
          <w:p w14:paraId="68338E10" w14:textId="77777777" w:rsidR="009C0666" w:rsidRPr="00BF5F3D" w:rsidRDefault="009C0666" w:rsidP="00AC11DC">
            <w:pPr>
              <w:pStyle w:val="Tabletext"/>
              <w:ind w:right="0"/>
              <w:rPr>
                <w:iCs/>
                <w:szCs w:val="20"/>
              </w:rPr>
            </w:pPr>
            <w:r w:rsidRPr="00BF5F3D">
              <w:rPr>
                <w:iCs/>
                <w:szCs w:val="20"/>
              </w:rPr>
              <w:t>12 (6.4%)</w:t>
            </w:r>
          </w:p>
        </w:tc>
        <w:tc>
          <w:tcPr>
            <w:tcW w:w="909" w:type="pct"/>
          </w:tcPr>
          <w:p w14:paraId="1CDDDA60" w14:textId="77777777" w:rsidR="009C0666" w:rsidRPr="00BF5F3D" w:rsidRDefault="009C0666" w:rsidP="00AC11DC">
            <w:pPr>
              <w:pStyle w:val="Tabletext"/>
              <w:ind w:right="0"/>
              <w:rPr>
                <w:iCs/>
                <w:szCs w:val="20"/>
              </w:rPr>
            </w:pPr>
            <w:r w:rsidRPr="00BF5F3D">
              <w:rPr>
                <w:iCs/>
                <w:szCs w:val="20"/>
              </w:rPr>
              <w:t>0</w:t>
            </w:r>
          </w:p>
        </w:tc>
        <w:tc>
          <w:tcPr>
            <w:tcW w:w="859" w:type="pct"/>
          </w:tcPr>
          <w:p w14:paraId="060F5132" w14:textId="77777777" w:rsidR="009C0666" w:rsidRPr="00BF5F3D" w:rsidRDefault="009C0666" w:rsidP="00AC11DC">
            <w:pPr>
              <w:pStyle w:val="Tabletext"/>
              <w:ind w:right="0"/>
              <w:rPr>
                <w:iCs/>
                <w:szCs w:val="20"/>
              </w:rPr>
            </w:pPr>
            <w:r w:rsidRPr="00BF5F3D">
              <w:rPr>
                <w:iCs/>
                <w:szCs w:val="20"/>
              </w:rPr>
              <w:t>10 (5.2%)</w:t>
            </w:r>
          </w:p>
        </w:tc>
        <w:tc>
          <w:tcPr>
            <w:tcW w:w="1039" w:type="pct"/>
          </w:tcPr>
          <w:p w14:paraId="14AAA71C" w14:textId="77777777" w:rsidR="009C0666" w:rsidRPr="00BF5F3D" w:rsidRDefault="009C0666" w:rsidP="00AC11DC">
            <w:pPr>
              <w:pStyle w:val="Tabletext"/>
              <w:ind w:right="0"/>
              <w:rPr>
                <w:iCs/>
                <w:szCs w:val="20"/>
              </w:rPr>
            </w:pPr>
            <w:r w:rsidRPr="00BF5F3D">
              <w:rPr>
                <w:iCs/>
                <w:szCs w:val="20"/>
              </w:rPr>
              <w:t>0</w:t>
            </w:r>
          </w:p>
        </w:tc>
      </w:tr>
      <w:tr w:rsidR="009C0666" w:rsidRPr="00BF5F3D" w14:paraId="549DA3B0" w14:textId="77777777" w:rsidTr="00AC11DC">
        <w:tc>
          <w:tcPr>
            <w:tcW w:w="1325" w:type="pct"/>
          </w:tcPr>
          <w:p w14:paraId="445AED49" w14:textId="77777777" w:rsidR="009C0666" w:rsidRPr="00BF5F3D" w:rsidRDefault="009C0666" w:rsidP="00AC11DC">
            <w:pPr>
              <w:pStyle w:val="Tabletext"/>
              <w:ind w:right="0"/>
              <w:rPr>
                <w:iCs/>
                <w:szCs w:val="20"/>
              </w:rPr>
            </w:pPr>
            <w:r w:rsidRPr="00BF5F3D">
              <w:rPr>
                <w:iCs/>
                <w:szCs w:val="20"/>
              </w:rPr>
              <w:t>Dyspepsia</w:t>
            </w:r>
          </w:p>
        </w:tc>
        <w:tc>
          <w:tcPr>
            <w:tcW w:w="869" w:type="pct"/>
          </w:tcPr>
          <w:p w14:paraId="6F4DDBDD" w14:textId="77777777" w:rsidR="009C0666" w:rsidRPr="00BF5F3D" w:rsidRDefault="009C0666" w:rsidP="00AC11DC">
            <w:pPr>
              <w:pStyle w:val="Tabletext"/>
              <w:ind w:right="0"/>
              <w:rPr>
                <w:iCs/>
                <w:szCs w:val="20"/>
              </w:rPr>
            </w:pPr>
            <w:r w:rsidRPr="00BF5F3D">
              <w:rPr>
                <w:iCs/>
                <w:szCs w:val="20"/>
              </w:rPr>
              <w:t>12 (6.4%)</w:t>
            </w:r>
          </w:p>
        </w:tc>
        <w:tc>
          <w:tcPr>
            <w:tcW w:w="909" w:type="pct"/>
          </w:tcPr>
          <w:p w14:paraId="18F89F07" w14:textId="77777777" w:rsidR="009C0666" w:rsidRPr="00BF5F3D" w:rsidRDefault="009C0666" w:rsidP="00AC11DC">
            <w:pPr>
              <w:pStyle w:val="Tabletext"/>
              <w:ind w:right="0"/>
              <w:rPr>
                <w:iCs/>
                <w:szCs w:val="20"/>
              </w:rPr>
            </w:pPr>
            <w:r w:rsidRPr="00BF5F3D">
              <w:rPr>
                <w:iCs/>
                <w:szCs w:val="20"/>
              </w:rPr>
              <w:t>1 (0.5%)</w:t>
            </w:r>
          </w:p>
        </w:tc>
        <w:tc>
          <w:tcPr>
            <w:tcW w:w="859" w:type="pct"/>
          </w:tcPr>
          <w:p w14:paraId="14F99F32" w14:textId="77777777" w:rsidR="009C0666" w:rsidRPr="00BF5F3D" w:rsidRDefault="009C0666" w:rsidP="00AC11DC">
            <w:pPr>
              <w:pStyle w:val="Tabletext"/>
              <w:ind w:right="0"/>
              <w:rPr>
                <w:iCs/>
                <w:szCs w:val="20"/>
              </w:rPr>
            </w:pPr>
            <w:r w:rsidRPr="00BF5F3D">
              <w:rPr>
                <w:iCs/>
                <w:szCs w:val="20"/>
              </w:rPr>
              <w:t>5 (2.6%)</w:t>
            </w:r>
          </w:p>
        </w:tc>
        <w:tc>
          <w:tcPr>
            <w:tcW w:w="1039" w:type="pct"/>
          </w:tcPr>
          <w:p w14:paraId="475CF7DD" w14:textId="77777777" w:rsidR="009C0666" w:rsidRPr="00BF5F3D" w:rsidRDefault="009C0666" w:rsidP="00AC11DC">
            <w:pPr>
              <w:pStyle w:val="Tabletext"/>
              <w:ind w:right="0"/>
              <w:rPr>
                <w:iCs/>
                <w:szCs w:val="20"/>
              </w:rPr>
            </w:pPr>
            <w:r w:rsidRPr="00BF5F3D">
              <w:rPr>
                <w:iCs/>
                <w:szCs w:val="20"/>
              </w:rPr>
              <w:t>0</w:t>
            </w:r>
          </w:p>
        </w:tc>
      </w:tr>
      <w:tr w:rsidR="009C0666" w:rsidRPr="00BF5F3D" w14:paraId="3B1B9B86" w14:textId="77777777" w:rsidTr="00AC11DC">
        <w:tc>
          <w:tcPr>
            <w:tcW w:w="5000" w:type="pct"/>
            <w:gridSpan w:val="5"/>
          </w:tcPr>
          <w:p w14:paraId="3E9D7EF0" w14:textId="77777777" w:rsidR="009C0666" w:rsidRPr="00BF5F3D" w:rsidRDefault="009C0666" w:rsidP="00AC11DC">
            <w:pPr>
              <w:pStyle w:val="Tabletext"/>
              <w:ind w:right="0"/>
              <w:rPr>
                <w:b/>
                <w:bCs/>
                <w:iCs/>
                <w:szCs w:val="20"/>
              </w:rPr>
            </w:pPr>
            <w:r w:rsidRPr="00BF5F3D">
              <w:rPr>
                <w:b/>
                <w:bCs/>
                <w:iCs/>
                <w:szCs w:val="20"/>
              </w:rPr>
              <w:t>General disorders and administration site conditions</w:t>
            </w:r>
          </w:p>
        </w:tc>
      </w:tr>
      <w:tr w:rsidR="009C0666" w:rsidRPr="00BF5F3D" w14:paraId="3FBA8132" w14:textId="77777777" w:rsidTr="00AC11DC">
        <w:tc>
          <w:tcPr>
            <w:tcW w:w="1325" w:type="pct"/>
          </w:tcPr>
          <w:p w14:paraId="2D2A3175" w14:textId="77777777" w:rsidR="009C0666" w:rsidRPr="00BF5F3D" w:rsidRDefault="009C0666" w:rsidP="00AC11DC">
            <w:pPr>
              <w:pStyle w:val="Tabletext"/>
              <w:ind w:right="0"/>
              <w:rPr>
                <w:iCs/>
                <w:szCs w:val="20"/>
              </w:rPr>
            </w:pPr>
            <w:r w:rsidRPr="00BF5F3D">
              <w:rPr>
                <w:iCs/>
                <w:szCs w:val="20"/>
              </w:rPr>
              <w:t>Fatigue</w:t>
            </w:r>
          </w:p>
        </w:tc>
        <w:tc>
          <w:tcPr>
            <w:tcW w:w="869" w:type="pct"/>
          </w:tcPr>
          <w:p w14:paraId="46B81DCF" w14:textId="77777777" w:rsidR="009C0666" w:rsidRPr="00BF5F3D" w:rsidRDefault="009C0666" w:rsidP="00AC11DC">
            <w:pPr>
              <w:pStyle w:val="Tabletext"/>
              <w:ind w:right="0"/>
              <w:rPr>
                <w:iCs/>
                <w:szCs w:val="20"/>
              </w:rPr>
            </w:pPr>
            <w:r w:rsidRPr="00BF5F3D">
              <w:rPr>
                <w:iCs/>
                <w:szCs w:val="20"/>
              </w:rPr>
              <w:t>73 (38.8%)</w:t>
            </w:r>
          </w:p>
        </w:tc>
        <w:tc>
          <w:tcPr>
            <w:tcW w:w="909" w:type="pct"/>
          </w:tcPr>
          <w:p w14:paraId="205C72E8" w14:textId="77777777" w:rsidR="009C0666" w:rsidRPr="00BF5F3D" w:rsidRDefault="009C0666" w:rsidP="00AC11DC">
            <w:pPr>
              <w:pStyle w:val="Tabletext"/>
              <w:ind w:right="0"/>
              <w:rPr>
                <w:iCs/>
                <w:szCs w:val="20"/>
              </w:rPr>
            </w:pPr>
            <w:r w:rsidRPr="00BF5F3D">
              <w:rPr>
                <w:iCs/>
                <w:szCs w:val="20"/>
              </w:rPr>
              <w:t>8 (4.3%)</w:t>
            </w:r>
          </w:p>
        </w:tc>
        <w:tc>
          <w:tcPr>
            <w:tcW w:w="859" w:type="pct"/>
          </w:tcPr>
          <w:p w14:paraId="15B0E68E" w14:textId="77777777" w:rsidR="009C0666" w:rsidRPr="00BF5F3D" w:rsidRDefault="009C0666" w:rsidP="00AC11DC">
            <w:pPr>
              <w:pStyle w:val="Tabletext"/>
              <w:ind w:right="0"/>
              <w:rPr>
                <w:iCs/>
                <w:szCs w:val="20"/>
              </w:rPr>
            </w:pPr>
            <w:r w:rsidRPr="00BF5F3D">
              <w:rPr>
                <w:iCs/>
                <w:szCs w:val="20"/>
              </w:rPr>
              <w:t>72 (37.3%)</w:t>
            </w:r>
          </w:p>
        </w:tc>
        <w:tc>
          <w:tcPr>
            <w:tcW w:w="1039" w:type="pct"/>
          </w:tcPr>
          <w:p w14:paraId="3E8998DF" w14:textId="77777777" w:rsidR="009C0666" w:rsidRPr="00BF5F3D" w:rsidRDefault="009C0666" w:rsidP="00AC11DC">
            <w:pPr>
              <w:pStyle w:val="Tabletext"/>
              <w:ind w:right="0"/>
              <w:rPr>
                <w:iCs/>
                <w:szCs w:val="20"/>
              </w:rPr>
            </w:pPr>
            <w:r w:rsidRPr="00BF5F3D">
              <w:rPr>
                <w:iCs/>
                <w:szCs w:val="20"/>
              </w:rPr>
              <w:t>11 (5.7%)</w:t>
            </w:r>
          </w:p>
        </w:tc>
      </w:tr>
      <w:tr w:rsidR="009C0666" w:rsidRPr="00BF5F3D" w14:paraId="54029C96" w14:textId="77777777" w:rsidTr="00AC11DC">
        <w:tc>
          <w:tcPr>
            <w:tcW w:w="1325" w:type="pct"/>
          </w:tcPr>
          <w:p w14:paraId="70FB415D" w14:textId="77777777" w:rsidR="009C0666" w:rsidRPr="00BF5F3D" w:rsidRDefault="009C0666" w:rsidP="00AC11DC">
            <w:pPr>
              <w:pStyle w:val="Tabletext"/>
              <w:ind w:right="0"/>
              <w:rPr>
                <w:iCs/>
                <w:szCs w:val="20"/>
              </w:rPr>
            </w:pPr>
            <w:r w:rsidRPr="00BF5F3D">
              <w:rPr>
                <w:iCs/>
                <w:szCs w:val="20"/>
              </w:rPr>
              <w:t>Oedema peripheral</w:t>
            </w:r>
          </w:p>
        </w:tc>
        <w:tc>
          <w:tcPr>
            <w:tcW w:w="869" w:type="pct"/>
          </w:tcPr>
          <w:p w14:paraId="720783B2" w14:textId="77777777" w:rsidR="009C0666" w:rsidRPr="00BF5F3D" w:rsidRDefault="009C0666" w:rsidP="00AC11DC">
            <w:pPr>
              <w:pStyle w:val="Tabletext"/>
              <w:ind w:right="0"/>
              <w:rPr>
                <w:iCs/>
                <w:szCs w:val="20"/>
              </w:rPr>
            </w:pPr>
            <w:r w:rsidRPr="00BF5F3D">
              <w:rPr>
                <w:iCs/>
                <w:szCs w:val="20"/>
              </w:rPr>
              <w:t>73 (38.8%)</w:t>
            </w:r>
          </w:p>
        </w:tc>
        <w:tc>
          <w:tcPr>
            <w:tcW w:w="909" w:type="pct"/>
          </w:tcPr>
          <w:p w14:paraId="255427B2" w14:textId="77777777" w:rsidR="009C0666" w:rsidRPr="00BF5F3D" w:rsidRDefault="009C0666" w:rsidP="00AC11DC">
            <w:pPr>
              <w:pStyle w:val="Tabletext"/>
              <w:ind w:right="0"/>
              <w:rPr>
                <w:iCs/>
                <w:szCs w:val="20"/>
              </w:rPr>
            </w:pPr>
            <w:r w:rsidRPr="00BF5F3D">
              <w:rPr>
                <w:iCs/>
                <w:szCs w:val="20"/>
              </w:rPr>
              <w:t>14 (7.4%)</w:t>
            </w:r>
          </w:p>
        </w:tc>
        <w:tc>
          <w:tcPr>
            <w:tcW w:w="859" w:type="pct"/>
          </w:tcPr>
          <w:p w14:paraId="28839E06" w14:textId="77777777" w:rsidR="009C0666" w:rsidRPr="00BF5F3D" w:rsidRDefault="009C0666" w:rsidP="00AC11DC">
            <w:pPr>
              <w:pStyle w:val="Tabletext"/>
              <w:ind w:right="0"/>
              <w:rPr>
                <w:iCs/>
                <w:szCs w:val="20"/>
              </w:rPr>
            </w:pPr>
            <w:r w:rsidRPr="00BF5F3D">
              <w:rPr>
                <w:iCs/>
                <w:szCs w:val="20"/>
              </w:rPr>
              <w:t>72 (37.3%)</w:t>
            </w:r>
          </w:p>
        </w:tc>
        <w:tc>
          <w:tcPr>
            <w:tcW w:w="1039" w:type="pct"/>
          </w:tcPr>
          <w:p w14:paraId="5C521529" w14:textId="77777777" w:rsidR="009C0666" w:rsidRPr="00BF5F3D" w:rsidRDefault="009C0666" w:rsidP="00AC11DC">
            <w:pPr>
              <w:pStyle w:val="Tabletext"/>
              <w:ind w:right="0"/>
              <w:rPr>
                <w:iCs/>
                <w:szCs w:val="20"/>
              </w:rPr>
            </w:pPr>
            <w:r w:rsidRPr="00BF5F3D">
              <w:rPr>
                <w:iCs/>
                <w:szCs w:val="20"/>
              </w:rPr>
              <w:t>9 (4.7%)</w:t>
            </w:r>
          </w:p>
        </w:tc>
      </w:tr>
      <w:tr w:rsidR="009C0666" w:rsidRPr="00BF5F3D" w14:paraId="49DC2150" w14:textId="77777777" w:rsidTr="00AC11DC">
        <w:tc>
          <w:tcPr>
            <w:tcW w:w="1325" w:type="pct"/>
          </w:tcPr>
          <w:p w14:paraId="033E0668" w14:textId="77777777" w:rsidR="009C0666" w:rsidRPr="00BF5F3D" w:rsidRDefault="009C0666" w:rsidP="00AC11DC">
            <w:pPr>
              <w:pStyle w:val="Tabletext"/>
              <w:ind w:right="0"/>
              <w:rPr>
                <w:iCs/>
                <w:szCs w:val="20"/>
              </w:rPr>
            </w:pPr>
            <w:r w:rsidRPr="00BF5F3D">
              <w:rPr>
                <w:iCs/>
                <w:szCs w:val="20"/>
              </w:rPr>
              <w:t>Pyrexia</w:t>
            </w:r>
          </w:p>
        </w:tc>
        <w:tc>
          <w:tcPr>
            <w:tcW w:w="869" w:type="pct"/>
          </w:tcPr>
          <w:p w14:paraId="7D886412" w14:textId="77777777" w:rsidR="009C0666" w:rsidRPr="00BF5F3D" w:rsidRDefault="009C0666" w:rsidP="00AC11DC">
            <w:pPr>
              <w:pStyle w:val="Tabletext"/>
              <w:ind w:right="0"/>
              <w:rPr>
                <w:iCs/>
                <w:szCs w:val="20"/>
              </w:rPr>
            </w:pPr>
            <w:r w:rsidRPr="00BF5F3D">
              <w:rPr>
                <w:iCs/>
                <w:szCs w:val="20"/>
              </w:rPr>
              <w:t>16 (8.5%)</w:t>
            </w:r>
          </w:p>
        </w:tc>
        <w:tc>
          <w:tcPr>
            <w:tcW w:w="909" w:type="pct"/>
          </w:tcPr>
          <w:p w14:paraId="747411C1" w14:textId="77777777" w:rsidR="009C0666" w:rsidRPr="00BF5F3D" w:rsidRDefault="009C0666" w:rsidP="00AC11DC">
            <w:pPr>
              <w:pStyle w:val="Tabletext"/>
              <w:ind w:right="0"/>
              <w:rPr>
                <w:iCs/>
                <w:szCs w:val="20"/>
              </w:rPr>
            </w:pPr>
            <w:r w:rsidRPr="00BF5F3D">
              <w:rPr>
                <w:iCs/>
                <w:szCs w:val="20"/>
              </w:rPr>
              <w:t>1 (0.5%)</w:t>
            </w:r>
          </w:p>
        </w:tc>
        <w:tc>
          <w:tcPr>
            <w:tcW w:w="859" w:type="pct"/>
          </w:tcPr>
          <w:p w14:paraId="23DA1CC4" w14:textId="77777777" w:rsidR="009C0666" w:rsidRPr="00BF5F3D" w:rsidRDefault="009C0666" w:rsidP="00AC11DC">
            <w:pPr>
              <w:pStyle w:val="Tabletext"/>
              <w:ind w:right="0"/>
              <w:rPr>
                <w:iCs/>
                <w:szCs w:val="20"/>
              </w:rPr>
            </w:pPr>
            <w:r w:rsidRPr="00BF5F3D">
              <w:rPr>
                <w:iCs/>
                <w:szCs w:val="20"/>
              </w:rPr>
              <w:t>24 (12.4%)</w:t>
            </w:r>
          </w:p>
        </w:tc>
        <w:tc>
          <w:tcPr>
            <w:tcW w:w="1039" w:type="pct"/>
          </w:tcPr>
          <w:p w14:paraId="018E443A" w14:textId="77777777" w:rsidR="009C0666" w:rsidRPr="00BF5F3D" w:rsidRDefault="009C0666" w:rsidP="00AC11DC">
            <w:pPr>
              <w:pStyle w:val="Tabletext"/>
              <w:ind w:right="0"/>
              <w:rPr>
                <w:iCs/>
                <w:szCs w:val="20"/>
              </w:rPr>
            </w:pPr>
            <w:r w:rsidRPr="00BF5F3D">
              <w:rPr>
                <w:iCs/>
                <w:szCs w:val="20"/>
              </w:rPr>
              <w:t>0</w:t>
            </w:r>
          </w:p>
        </w:tc>
      </w:tr>
      <w:tr w:rsidR="009C0666" w:rsidRPr="00BF5F3D" w14:paraId="3D9BB772" w14:textId="77777777" w:rsidTr="00AC11DC">
        <w:tc>
          <w:tcPr>
            <w:tcW w:w="1325" w:type="pct"/>
          </w:tcPr>
          <w:p w14:paraId="1CF6D567" w14:textId="77777777" w:rsidR="009C0666" w:rsidRPr="00BF5F3D" w:rsidRDefault="009C0666" w:rsidP="00AC11DC">
            <w:pPr>
              <w:pStyle w:val="Tabletext"/>
              <w:ind w:right="0"/>
              <w:rPr>
                <w:iCs/>
                <w:szCs w:val="20"/>
              </w:rPr>
            </w:pPr>
            <w:r w:rsidRPr="00BF5F3D">
              <w:rPr>
                <w:iCs/>
                <w:szCs w:val="20"/>
              </w:rPr>
              <w:t>Injection Site Reactions</w:t>
            </w:r>
          </w:p>
        </w:tc>
        <w:tc>
          <w:tcPr>
            <w:tcW w:w="869" w:type="pct"/>
          </w:tcPr>
          <w:p w14:paraId="44659F78" w14:textId="77777777" w:rsidR="009C0666" w:rsidRPr="00BF5F3D" w:rsidRDefault="009C0666" w:rsidP="00AC11DC">
            <w:pPr>
              <w:pStyle w:val="Tabletext"/>
              <w:ind w:right="0"/>
              <w:rPr>
                <w:iCs/>
                <w:szCs w:val="20"/>
              </w:rPr>
            </w:pPr>
            <w:r w:rsidRPr="00BF5F3D">
              <w:rPr>
                <w:iCs/>
                <w:szCs w:val="20"/>
              </w:rPr>
              <w:t>0</w:t>
            </w:r>
          </w:p>
        </w:tc>
        <w:tc>
          <w:tcPr>
            <w:tcW w:w="909" w:type="pct"/>
          </w:tcPr>
          <w:p w14:paraId="09A38A46" w14:textId="77777777" w:rsidR="009C0666" w:rsidRPr="00BF5F3D" w:rsidRDefault="009C0666" w:rsidP="00AC11DC">
            <w:pPr>
              <w:pStyle w:val="Tabletext"/>
              <w:ind w:right="0"/>
              <w:rPr>
                <w:iCs/>
                <w:szCs w:val="20"/>
              </w:rPr>
            </w:pPr>
            <w:r w:rsidRPr="00BF5F3D">
              <w:rPr>
                <w:iCs/>
                <w:szCs w:val="20"/>
              </w:rPr>
              <w:t>0</w:t>
            </w:r>
          </w:p>
        </w:tc>
        <w:tc>
          <w:tcPr>
            <w:tcW w:w="859" w:type="pct"/>
          </w:tcPr>
          <w:p w14:paraId="61FC6470" w14:textId="77777777" w:rsidR="009C0666" w:rsidRPr="00BF5F3D" w:rsidRDefault="009C0666" w:rsidP="00AC11DC">
            <w:pPr>
              <w:pStyle w:val="Tabletext"/>
              <w:ind w:right="0"/>
              <w:rPr>
                <w:iCs/>
                <w:szCs w:val="20"/>
              </w:rPr>
            </w:pPr>
            <w:r w:rsidRPr="00BF5F3D">
              <w:rPr>
                <w:iCs/>
                <w:szCs w:val="20"/>
              </w:rPr>
              <w:t>18 (9.3%)</w:t>
            </w:r>
          </w:p>
        </w:tc>
        <w:tc>
          <w:tcPr>
            <w:tcW w:w="1039" w:type="pct"/>
          </w:tcPr>
          <w:p w14:paraId="2AA601B1" w14:textId="77777777" w:rsidR="009C0666" w:rsidRPr="00BF5F3D" w:rsidRDefault="009C0666" w:rsidP="00AC11DC">
            <w:pPr>
              <w:pStyle w:val="Tabletext"/>
              <w:ind w:right="0"/>
              <w:rPr>
                <w:iCs/>
                <w:szCs w:val="20"/>
              </w:rPr>
            </w:pPr>
            <w:r w:rsidRPr="00BF5F3D">
              <w:rPr>
                <w:iCs/>
                <w:szCs w:val="20"/>
              </w:rPr>
              <w:t>0</w:t>
            </w:r>
          </w:p>
        </w:tc>
      </w:tr>
      <w:tr w:rsidR="009C0666" w:rsidRPr="00BF5F3D" w14:paraId="2340B506" w14:textId="77777777" w:rsidTr="00AC11DC">
        <w:tc>
          <w:tcPr>
            <w:tcW w:w="1325" w:type="pct"/>
          </w:tcPr>
          <w:p w14:paraId="19D96995" w14:textId="77777777" w:rsidR="009C0666" w:rsidRPr="00BF5F3D" w:rsidRDefault="009C0666" w:rsidP="00AC11DC">
            <w:pPr>
              <w:pStyle w:val="Tabletext"/>
              <w:ind w:right="0"/>
              <w:rPr>
                <w:iCs/>
                <w:szCs w:val="20"/>
              </w:rPr>
            </w:pPr>
            <w:r w:rsidRPr="00BF5F3D">
              <w:rPr>
                <w:iCs/>
                <w:szCs w:val="20"/>
              </w:rPr>
              <w:t>Injection site erythema</w:t>
            </w:r>
          </w:p>
        </w:tc>
        <w:tc>
          <w:tcPr>
            <w:tcW w:w="869" w:type="pct"/>
          </w:tcPr>
          <w:p w14:paraId="44B43273" w14:textId="77777777" w:rsidR="009C0666" w:rsidRPr="00BF5F3D" w:rsidRDefault="009C0666" w:rsidP="00AC11DC">
            <w:pPr>
              <w:pStyle w:val="Tabletext"/>
              <w:ind w:right="0"/>
              <w:rPr>
                <w:iCs/>
                <w:szCs w:val="20"/>
              </w:rPr>
            </w:pPr>
            <w:r w:rsidRPr="00BF5F3D">
              <w:rPr>
                <w:iCs/>
                <w:szCs w:val="20"/>
              </w:rPr>
              <w:t>21 (11.2%)</w:t>
            </w:r>
          </w:p>
        </w:tc>
        <w:tc>
          <w:tcPr>
            <w:tcW w:w="909" w:type="pct"/>
          </w:tcPr>
          <w:p w14:paraId="50003DE4" w14:textId="77777777" w:rsidR="009C0666" w:rsidRPr="00BF5F3D" w:rsidRDefault="009C0666" w:rsidP="00AC11DC">
            <w:pPr>
              <w:pStyle w:val="Tabletext"/>
              <w:ind w:right="0"/>
              <w:rPr>
                <w:iCs/>
                <w:szCs w:val="20"/>
              </w:rPr>
            </w:pPr>
            <w:r w:rsidRPr="00BF5F3D">
              <w:rPr>
                <w:iCs/>
                <w:szCs w:val="20"/>
              </w:rPr>
              <w:t>0</w:t>
            </w:r>
          </w:p>
        </w:tc>
        <w:tc>
          <w:tcPr>
            <w:tcW w:w="859" w:type="pct"/>
          </w:tcPr>
          <w:p w14:paraId="3453450C" w14:textId="77777777" w:rsidR="009C0666" w:rsidRPr="00BF5F3D" w:rsidRDefault="009C0666" w:rsidP="00AC11DC">
            <w:pPr>
              <w:pStyle w:val="Tabletext"/>
              <w:ind w:right="0"/>
              <w:rPr>
                <w:iCs/>
                <w:szCs w:val="20"/>
              </w:rPr>
            </w:pPr>
            <w:r w:rsidRPr="00BF5F3D">
              <w:rPr>
                <w:iCs/>
                <w:szCs w:val="20"/>
              </w:rPr>
              <w:t>17 (8.8%)</w:t>
            </w:r>
          </w:p>
        </w:tc>
        <w:tc>
          <w:tcPr>
            <w:tcW w:w="1039" w:type="pct"/>
          </w:tcPr>
          <w:p w14:paraId="798CA271" w14:textId="77777777" w:rsidR="009C0666" w:rsidRPr="00BF5F3D" w:rsidRDefault="009C0666" w:rsidP="00AC11DC">
            <w:pPr>
              <w:pStyle w:val="Tabletext"/>
              <w:ind w:right="0"/>
              <w:rPr>
                <w:iCs/>
                <w:szCs w:val="20"/>
              </w:rPr>
            </w:pPr>
            <w:r w:rsidRPr="00BF5F3D">
              <w:rPr>
                <w:iCs/>
                <w:szCs w:val="20"/>
              </w:rPr>
              <w:t>0</w:t>
            </w:r>
          </w:p>
        </w:tc>
      </w:tr>
      <w:tr w:rsidR="009C0666" w:rsidRPr="00BF5F3D" w14:paraId="023A82B1" w14:textId="77777777" w:rsidTr="00AC11DC">
        <w:tc>
          <w:tcPr>
            <w:tcW w:w="1325" w:type="pct"/>
          </w:tcPr>
          <w:p w14:paraId="046D7748" w14:textId="77777777" w:rsidR="009C0666" w:rsidRPr="00BF5F3D" w:rsidRDefault="009C0666" w:rsidP="00AC11DC">
            <w:pPr>
              <w:pStyle w:val="Tabletext"/>
              <w:ind w:right="0"/>
              <w:rPr>
                <w:iCs/>
                <w:szCs w:val="20"/>
              </w:rPr>
            </w:pPr>
            <w:r w:rsidRPr="00BF5F3D">
              <w:rPr>
                <w:iCs/>
                <w:szCs w:val="20"/>
              </w:rPr>
              <w:lastRenderedPageBreak/>
              <w:t>Infusion Related Reactions</w:t>
            </w:r>
          </w:p>
        </w:tc>
        <w:tc>
          <w:tcPr>
            <w:tcW w:w="869" w:type="pct"/>
          </w:tcPr>
          <w:p w14:paraId="7685BF4C" w14:textId="77777777" w:rsidR="009C0666" w:rsidRPr="00BF5F3D" w:rsidRDefault="009C0666" w:rsidP="00AC11DC">
            <w:pPr>
              <w:pStyle w:val="Tabletext"/>
              <w:ind w:right="0"/>
              <w:rPr>
                <w:iCs/>
                <w:szCs w:val="20"/>
              </w:rPr>
            </w:pPr>
            <w:r w:rsidRPr="00BF5F3D">
              <w:rPr>
                <w:iCs/>
                <w:szCs w:val="20"/>
              </w:rPr>
              <w:t>0</w:t>
            </w:r>
          </w:p>
        </w:tc>
        <w:tc>
          <w:tcPr>
            <w:tcW w:w="909" w:type="pct"/>
          </w:tcPr>
          <w:p w14:paraId="0408C504" w14:textId="77777777" w:rsidR="009C0666" w:rsidRPr="00BF5F3D" w:rsidRDefault="009C0666" w:rsidP="00AC11DC">
            <w:pPr>
              <w:pStyle w:val="Tabletext"/>
              <w:ind w:right="0"/>
              <w:rPr>
                <w:iCs/>
                <w:szCs w:val="20"/>
              </w:rPr>
            </w:pPr>
            <w:r w:rsidRPr="00BF5F3D">
              <w:rPr>
                <w:iCs/>
                <w:szCs w:val="20"/>
              </w:rPr>
              <w:t>0</w:t>
            </w:r>
          </w:p>
        </w:tc>
        <w:tc>
          <w:tcPr>
            <w:tcW w:w="859" w:type="pct"/>
          </w:tcPr>
          <w:p w14:paraId="5F7AEE69" w14:textId="77777777" w:rsidR="009C0666" w:rsidRPr="00BF5F3D" w:rsidRDefault="009C0666" w:rsidP="00AC11DC">
            <w:pPr>
              <w:pStyle w:val="Tabletext"/>
              <w:ind w:right="0"/>
              <w:rPr>
                <w:iCs/>
                <w:szCs w:val="20"/>
              </w:rPr>
            </w:pPr>
            <w:r w:rsidRPr="00BF5F3D">
              <w:rPr>
                <w:iCs/>
                <w:szCs w:val="20"/>
              </w:rPr>
              <w:t>14 (7.3%)</w:t>
            </w:r>
          </w:p>
        </w:tc>
        <w:tc>
          <w:tcPr>
            <w:tcW w:w="1039" w:type="pct"/>
          </w:tcPr>
          <w:p w14:paraId="0A1928AF" w14:textId="77777777" w:rsidR="009C0666" w:rsidRPr="00BF5F3D" w:rsidRDefault="009C0666" w:rsidP="00AC11DC">
            <w:pPr>
              <w:pStyle w:val="Tabletext"/>
              <w:ind w:right="0"/>
              <w:rPr>
                <w:iCs/>
                <w:szCs w:val="20"/>
              </w:rPr>
            </w:pPr>
            <w:r w:rsidRPr="00BF5F3D">
              <w:rPr>
                <w:iCs/>
                <w:szCs w:val="20"/>
              </w:rPr>
              <w:t>0</w:t>
            </w:r>
          </w:p>
        </w:tc>
      </w:tr>
      <w:tr w:rsidR="009C0666" w:rsidRPr="00BF5F3D" w14:paraId="03A8D0E1" w14:textId="77777777" w:rsidTr="00AC11DC">
        <w:tc>
          <w:tcPr>
            <w:tcW w:w="1325" w:type="pct"/>
          </w:tcPr>
          <w:p w14:paraId="19B46DDC" w14:textId="77777777" w:rsidR="009C0666" w:rsidRPr="00BF5F3D" w:rsidRDefault="009C0666" w:rsidP="00AC11DC">
            <w:pPr>
              <w:pStyle w:val="Tabletext"/>
              <w:ind w:right="0"/>
              <w:rPr>
                <w:iCs/>
                <w:szCs w:val="20"/>
              </w:rPr>
            </w:pPr>
            <w:r w:rsidRPr="00BF5F3D">
              <w:rPr>
                <w:iCs/>
                <w:szCs w:val="20"/>
              </w:rPr>
              <w:t>Chills</w:t>
            </w:r>
          </w:p>
        </w:tc>
        <w:tc>
          <w:tcPr>
            <w:tcW w:w="869" w:type="pct"/>
          </w:tcPr>
          <w:p w14:paraId="39E7552F" w14:textId="77777777" w:rsidR="009C0666" w:rsidRPr="00BF5F3D" w:rsidRDefault="009C0666" w:rsidP="00AC11DC">
            <w:pPr>
              <w:pStyle w:val="Tabletext"/>
              <w:ind w:right="0"/>
              <w:rPr>
                <w:iCs/>
                <w:szCs w:val="20"/>
              </w:rPr>
            </w:pPr>
            <w:r w:rsidRPr="00BF5F3D">
              <w:rPr>
                <w:iCs/>
                <w:szCs w:val="20"/>
              </w:rPr>
              <w:t>4 (2.1%)</w:t>
            </w:r>
          </w:p>
        </w:tc>
        <w:tc>
          <w:tcPr>
            <w:tcW w:w="909" w:type="pct"/>
          </w:tcPr>
          <w:p w14:paraId="7ABBC8C2" w14:textId="77777777" w:rsidR="009C0666" w:rsidRPr="00BF5F3D" w:rsidRDefault="009C0666" w:rsidP="00AC11DC">
            <w:pPr>
              <w:pStyle w:val="Tabletext"/>
              <w:ind w:right="0"/>
              <w:rPr>
                <w:iCs/>
                <w:szCs w:val="20"/>
              </w:rPr>
            </w:pPr>
            <w:r w:rsidRPr="00BF5F3D">
              <w:rPr>
                <w:iCs/>
                <w:szCs w:val="20"/>
              </w:rPr>
              <w:t>0</w:t>
            </w:r>
          </w:p>
        </w:tc>
        <w:tc>
          <w:tcPr>
            <w:tcW w:w="859" w:type="pct"/>
          </w:tcPr>
          <w:p w14:paraId="1111AEC5" w14:textId="77777777" w:rsidR="009C0666" w:rsidRPr="00BF5F3D" w:rsidRDefault="009C0666" w:rsidP="00AC11DC">
            <w:pPr>
              <w:pStyle w:val="Tabletext"/>
              <w:ind w:right="0"/>
              <w:rPr>
                <w:iCs/>
                <w:szCs w:val="20"/>
              </w:rPr>
            </w:pPr>
            <w:r w:rsidRPr="00BF5F3D">
              <w:rPr>
                <w:iCs/>
                <w:szCs w:val="20"/>
              </w:rPr>
              <w:t>10 (5.2%)</w:t>
            </w:r>
          </w:p>
        </w:tc>
        <w:tc>
          <w:tcPr>
            <w:tcW w:w="1039" w:type="pct"/>
          </w:tcPr>
          <w:p w14:paraId="6E6A6B71" w14:textId="77777777" w:rsidR="009C0666" w:rsidRPr="00BF5F3D" w:rsidRDefault="009C0666" w:rsidP="00AC11DC">
            <w:pPr>
              <w:pStyle w:val="Tabletext"/>
              <w:ind w:right="0"/>
              <w:rPr>
                <w:iCs/>
                <w:szCs w:val="20"/>
              </w:rPr>
            </w:pPr>
            <w:r w:rsidRPr="00BF5F3D">
              <w:rPr>
                <w:iCs/>
                <w:szCs w:val="20"/>
              </w:rPr>
              <w:t>1 (0.5%)</w:t>
            </w:r>
          </w:p>
        </w:tc>
      </w:tr>
      <w:tr w:rsidR="009C0666" w:rsidRPr="00BF5F3D" w14:paraId="10C9B4D4" w14:textId="77777777" w:rsidTr="00AC11DC">
        <w:tc>
          <w:tcPr>
            <w:tcW w:w="5000" w:type="pct"/>
            <w:gridSpan w:val="5"/>
          </w:tcPr>
          <w:p w14:paraId="7E6200E8" w14:textId="77777777" w:rsidR="009C0666" w:rsidRPr="00BF5F3D" w:rsidRDefault="009C0666" w:rsidP="00AC11DC">
            <w:pPr>
              <w:pStyle w:val="Tabletext"/>
              <w:ind w:right="0"/>
              <w:rPr>
                <w:b/>
                <w:bCs/>
                <w:iCs/>
                <w:szCs w:val="20"/>
              </w:rPr>
            </w:pPr>
            <w:r w:rsidRPr="00BF5F3D">
              <w:rPr>
                <w:b/>
                <w:bCs/>
                <w:szCs w:val="20"/>
              </w:rPr>
              <w:t>Infections</w:t>
            </w:r>
            <w:r w:rsidRPr="00BF5F3D">
              <w:rPr>
                <w:b/>
                <w:bCs/>
                <w:spacing w:val="-13"/>
                <w:szCs w:val="20"/>
              </w:rPr>
              <w:t xml:space="preserve"> </w:t>
            </w:r>
            <w:r w:rsidRPr="00BF5F3D">
              <w:rPr>
                <w:b/>
                <w:bCs/>
                <w:szCs w:val="20"/>
              </w:rPr>
              <w:t>and</w:t>
            </w:r>
            <w:r w:rsidRPr="00BF5F3D">
              <w:rPr>
                <w:b/>
                <w:bCs/>
                <w:spacing w:val="-17"/>
                <w:szCs w:val="20"/>
              </w:rPr>
              <w:t xml:space="preserve"> </w:t>
            </w:r>
            <w:r w:rsidRPr="00BF5F3D">
              <w:rPr>
                <w:b/>
                <w:bCs/>
                <w:szCs w:val="20"/>
              </w:rPr>
              <w:t>infestations</w:t>
            </w:r>
          </w:p>
        </w:tc>
      </w:tr>
      <w:tr w:rsidR="009C0666" w:rsidRPr="00BF5F3D" w14:paraId="26BA07C7" w14:textId="77777777" w:rsidTr="00AC11DC">
        <w:tc>
          <w:tcPr>
            <w:tcW w:w="1325" w:type="pct"/>
          </w:tcPr>
          <w:p w14:paraId="252AD5E6" w14:textId="1404ACD1" w:rsidR="009C0666" w:rsidRPr="00BF5F3D" w:rsidRDefault="009C0666" w:rsidP="00AC11DC">
            <w:pPr>
              <w:pStyle w:val="Tabletext"/>
              <w:ind w:right="0"/>
              <w:rPr>
                <w:iCs/>
                <w:szCs w:val="20"/>
              </w:rPr>
            </w:pPr>
            <w:r w:rsidRPr="00BF5F3D">
              <w:rPr>
                <w:iCs/>
                <w:szCs w:val="20"/>
              </w:rPr>
              <w:t xml:space="preserve">Upper respiratory tract infection </w:t>
            </w:r>
          </w:p>
        </w:tc>
        <w:tc>
          <w:tcPr>
            <w:tcW w:w="869" w:type="pct"/>
          </w:tcPr>
          <w:p w14:paraId="775CAAD3" w14:textId="77777777" w:rsidR="009C0666" w:rsidRPr="00BF5F3D" w:rsidRDefault="009C0666" w:rsidP="00AC11DC">
            <w:pPr>
              <w:pStyle w:val="Tabletext"/>
              <w:ind w:right="0"/>
              <w:rPr>
                <w:iCs/>
                <w:szCs w:val="20"/>
              </w:rPr>
            </w:pPr>
            <w:r w:rsidRPr="00BF5F3D">
              <w:rPr>
                <w:iCs/>
                <w:szCs w:val="20"/>
              </w:rPr>
              <w:t>40 (21.3%)</w:t>
            </w:r>
          </w:p>
        </w:tc>
        <w:tc>
          <w:tcPr>
            <w:tcW w:w="909" w:type="pct"/>
          </w:tcPr>
          <w:p w14:paraId="39124B6D" w14:textId="77777777" w:rsidR="009C0666" w:rsidRPr="00BF5F3D" w:rsidRDefault="009C0666" w:rsidP="00AC11DC">
            <w:pPr>
              <w:pStyle w:val="Tabletext"/>
              <w:ind w:right="0"/>
              <w:rPr>
                <w:iCs/>
                <w:szCs w:val="20"/>
              </w:rPr>
            </w:pPr>
            <w:r w:rsidRPr="00BF5F3D">
              <w:rPr>
                <w:iCs/>
                <w:szCs w:val="20"/>
              </w:rPr>
              <w:t>1 (0.5%)</w:t>
            </w:r>
          </w:p>
        </w:tc>
        <w:tc>
          <w:tcPr>
            <w:tcW w:w="859" w:type="pct"/>
          </w:tcPr>
          <w:p w14:paraId="0DE4684C" w14:textId="77777777" w:rsidR="009C0666" w:rsidRPr="00BF5F3D" w:rsidRDefault="009C0666" w:rsidP="00AC11DC">
            <w:pPr>
              <w:pStyle w:val="Tabletext"/>
              <w:ind w:right="0"/>
              <w:rPr>
                <w:iCs/>
                <w:szCs w:val="20"/>
              </w:rPr>
            </w:pPr>
            <w:r w:rsidRPr="00BF5F3D">
              <w:rPr>
                <w:iCs/>
                <w:szCs w:val="20"/>
              </w:rPr>
              <w:t>55 (28.5%)</w:t>
            </w:r>
          </w:p>
        </w:tc>
        <w:tc>
          <w:tcPr>
            <w:tcW w:w="1039" w:type="pct"/>
          </w:tcPr>
          <w:p w14:paraId="0E81DAF8" w14:textId="77777777" w:rsidR="009C0666" w:rsidRPr="00BF5F3D" w:rsidRDefault="009C0666" w:rsidP="00AC11DC">
            <w:pPr>
              <w:pStyle w:val="Tabletext"/>
              <w:ind w:right="0"/>
              <w:rPr>
                <w:iCs/>
                <w:szCs w:val="20"/>
              </w:rPr>
            </w:pPr>
            <w:r w:rsidRPr="00BF5F3D">
              <w:rPr>
                <w:iCs/>
                <w:szCs w:val="20"/>
              </w:rPr>
              <w:t>2 (1.0%)</w:t>
            </w:r>
          </w:p>
        </w:tc>
      </w:tr>
      <w:tr w:rsidR="009C0666" w:rsidRPr="00BF5F3D" w14:paraId="0F111D71" w14:textId="77777777" w:rsidTr="00AC11DC">
        <w:tc>
          <w:tcPr>
            <w:tcW w:w="1325" w:type="pct"/>
          </w:tcPr>
          <w:p w14:paraId="49C93329" w14:textId="77777777" w:rsidR="009C0666" w:rsidRPr="00BF5F3D" w:rsidRDefault="009C0666" w:rsidP="00AC11DC">
            <w:pPr>
              <w:pStyle w:val="Tabletext"/>
              <w:ind w:right="0"/>
              <w:rPr>
                <w:iCs/>
                <w:szCs w:val="20"/>
              </w:rPr>
            </w:pPr>
            <w:r w:rsidRPr="00BF5F3D">
              <w:rPr>
                <w:iCs/>
                <w:szCs w:val="20"/>
              </w:rPr>
              <w:t>Pneumonia</w:t>
            </w:r>
          </w:p>
        </w:tc>
        <w:tc>
          <w:tcPr>
            <w:tcW w:w="869" w:type="pct"/>
          </w:tcPr>
          <w:p w14:paraId="46BC8BE1" w14:textId="77777777" w:rsidR="009C0666" w:rsidRPr="00BF5F3D" w:rsidRDefault="009C0666" w:rsidP="00AC11DC">
            <w:pPr>
              <w:pStyle w:val="Tabletext"/>
              <w:ind w:right="0"/>
              <w:rPr>
                <w:iCs/>
                <w:szCs w:val="20"/>
              </w:rPr>
            </w:pPr>
            <w:r w:rsidRPr="00BF5F3D">
              <w:rPr>
                <w:iCs/>
                <w:szCs w:val="20"/>
              </w:rPr>
              <w:t>16 (8.5%)</w:t>
            </w:r>
          </w:p>
        </w:tc>
        <w:tc>
          <w:tcPr>
            <w:tcW w:w="909" w:type="pct"/>
          </w:tcPr>
          <w:p w14:paraId="4A4F045D" w14:textId="77777777" w:rsidR="009C0666" w:rsidRPr="00BF5F3D" w:rsidRDefault="009C0666" w:rsidP="00AC11DC">
            <w:pPr>
              <w:pStyle w:val="Tabletext"/>
              <w:ind w:right="0"/>
              <w:rPr>
                <w:iCs/>
                <w:szCs w:val="20"/>
              </w:rPr>
            </w:pPr>
            <w:r w:rsidRPr="00BF5F3D">
              <w:rPr>
                <w:iCs/>
                <w:szCs w:val="20"/>
              </w:rPr>
              <w:t>10 (5.3%)</w:t>
            </w:r>
          </w:p>
        </w:tc>
        <w:tc>
          <w:tcPr>
            <w:tcW w:w="859" w:type="pct"/>
          </w:tcPr>
          <w:p w14:paraId="54674484" w14:textId="77777777" w:rsidR="009C0666" w:rsidRPr="00BF5F3D" w:rsidRDefault="009C0666" w:rsidP="00AC11DC">
            <w:pPr>
              <w:pStyle w:val="Tabletext"/>
              <w:ind w:right="0"/>
              <w:rPr>
                <w:iCs/>
                <w:szCs w:val="20"/>
              </w:rPr>
            </w:pPr>
            <w:r w:rsidRPr="00BF5F3D">
              <w:rPr>
                <w:iCs/>
                <w:szCs w:val="20"/>
              </w:rPr>
              <w:t>22 (11.4%)</w:t>
            </w:r>
          </w:p>
        </w:tc>
        <w:tc>
          <w:tcPr>
            <w:tcW w:w="1039" w:type="pct"/>
          </w:tcPr>
          <w:p w14:paraId="18BC68E7" w14:textId="77777777" w:rsidR="009C0666" w:rsidRPr="00BF5F3D" w:rsidRDefault="009C0666" w:rsidP="00AC11DC">
            <w:pPr>
              <w:pStyle w:val="Tabletext"/>
              <w:ind w:right="0"/>
              <w:rPr>
                <w:iCs/>
                <w:szCs w:val="20"/>
              </w:rPr>
            </w:pPr>
            <w:r w:rsidRPr="00BF5F3D">
              <w:rPr>
                <w:iCs/>
                <w:szCs w:val="20"/>
              </w:rPr>
              <w:t>15 (7.8%)</w:t>
            </w:r>
          </w:p>
        </w:tc>
      </w:tr>
      <w:tr w:rsidR="009C0666" w:rsidRPr="00BF5F3D" w14:paraId="0986EF3C" w14:textId="77777777" w:rsidTr="00AC11DC">
        <w:tc>
          <w:tcPr>
            <w:tcW w:w="1325" w:type="pct"/>
          </w:tcPr>
          <w:p w14:paraId="1EA34262" w14:textId="77777777" w:rsidR="009C0666" w:rsidRPr="00BF5F3D" w:rsidRDefault="009C0666" w:rsidP="00AC11DC">
            <w:pPr>
              <w:pStyle w:val="Tabletext"/>
              <w:ind w:right="0"/>
              <w:rPr>
                <w:iCs/>
                <w:szCs w:val="20"/>
              </w:rPr>
            </w:pPr>
            <w:r w:rsidRPr="00BF5F3D">
              <w:rPr>
                <w:iCs/>
                <w:szCs w:val="20"/>
              </w:rPr>
              <w:t>Conjunctivitis</w:t>
            </w:r>
          </w:p>
        </w:tc>
        <w:tc>
          <w:tcPr>
            <w:tcW w:w="869" w:type="pct"/>
          </w:tcPr>
          <w:p w14:paraId="78366444" w14:textId="77777777" w:rsidR="009C0666" w:rsidRPr="00BF5F3D" w:rsidRDefault="009C0666" w:rsidP="00AC11DC">
            <w:pPr>
              <w:pStyle w:val="Tabletext"/>
              <w:ind w:right="0"/>
              <w:rPr>
                <w:iCs/>
                <w:szCs w:val="20"/>
              </w:rPr>
            </w:pPr>
            <w:r w:rsidRPr="00BF5F3D">
              <w:rPr>
                <w:iCs/>
                <w:szCs w:val="20"/>
              </w:rPr>
              <w:t>5 (2.7%)</w:t>
            </w:r>
          </w:p>
        </w:tc>
        <w:tc>
          <w:tcPr>
            <w:tcW w:w="909" w:type="pct"/>
          </w:tcPr>
          <w:p w14:paraId="59B18D85" w14:textId="77777777" w:rsidR="009C0666" w:rsidRPr="00BF5F3D" w:rsidRDefault="009C0666" w:rsidP="00AC11DC">
            <w:pPr>
              <w:pStyle w:val="Tabletext"/>
              <w:ind w:right="0"/>
              <w:rPr>
                <w:iCs/>
                <w:szCs w:val="20"/>
              </w:rPr>
            </w:pPr>
            <w:r w:rsidRPr="00BF5F3D">
              <w:rPr>
                <w:iCs/>
                <w:szCs w:val="20"/>
              </w:rPr>
              <w:t>0</w:t>
            </w:r>
          </w:p>
        </w:tc>
        <w:tc>
          <w:tcPr>
            <w:tcW w:w="859" w:type="pct"/>
          </w:tcPr>
          <w:p w14:paraId="0B8F1B3C" w14:textId="77777777" w:rsidR="009C0666" w:rsidRPr="00BF5F3D" w:rsidRDefault="009C0666" w:rsidP="00AC11DC">
            <w:pPr>
              <w:pStyle w:val="Tabletext"/>
              <w:ind w:right="0"/>
              <w:rPr>
                <w:iCs/>
                <w:szCs w:val="20"/>
              </w:rPr>
            </w:pPr>
            <w:r w:rsidRPr="00BF5F3D">
              <w:rPr>
                <w:iCs/>
                <w:szCs w:val="20"/>
              </w:rPr>
              <w:t>11 (5.7%)</w:t>
            </w:r>
          </w:p>
        </w:tc>
        <w:tc>
          <w:tcPr>
            <w:tcW w:w="1039" w:type="pct"/>
          </w:tcPr>
          <w:p w14:paraId="0C148034" w14:textId="77777777" w:rsidR="009C0666" w:rsidRPr="00BF5F3D" w:rsidRDefault="009C0666" w:rsidP="00AC11DC">
            <w:pPr>
              <w:pStyle w:val="Tabletext"/>
              <w:ind w:right="0"/>
              <w:rPr>
                <w:iCs/>
                <w:szCs w:val="20"/>
              </w:rPr>
            </w:pPr>
            <w:r w:rsidRPr="00BF5F3D">
              <w:rPr>
                <w:iCs/>
                <w:szCs w:val="20"/>
              </w:rPr>
              <w:t>0</w:t>
            </w:r>
          </w:p>
        </w:tc>
      </w:tr>
      <w:tr w:rsidR="009C0666" w:rsidRPr="00BF5F3D" w14:paraId="39278019" w14:textId="77777777" w:rsidTr="00AC11DC">
        <w:tc>
          <w:tcPr>
            <w:tcW w:w="1325" w:type="pct"/>
          </w:tcPr>
          <w:p w14:paraId="189487F2" w14:textId="77777777" w:rsidR="009C0666" w:rsidRPr="00BF5F3D" w:rsidRDefault="009C0666" w:rsidP="00AC11DC">
            <w:pPr>
              <w:pStyle w:val="Tabletext"/>
              <w:ind w:right="0"/>
              <w:rPr>
                <w:iCs/>
                <w:szCs w:val="20"/>
              </w:rPr>
            </w:pPr>
            <w:r w:rsidRPr="00BF5F3D">
              <w:rPr>
                <w:iCs/>
                <w:szCs w:val="20"/>
              </w:rPr>
              <w:t>Sepsis</w:t>
            </w:r>
          </w:p>
        </w:tc>
        <w:tc>
          <w:tcPr>
            <w:tcW w:w="869" w:type="pct"/>
          </w:tcPr>
          <w:p w14:paraId="15301CC4" w14:textId="77777777" w:rsidR="009C0666" w:rsidRPr="00BF5F3D" w:rsidRDefault="009C0666" w:rsidP="00AC11DC">
            <w:pPr>
              <w:pStyle w:val="Tabletext"/>
              <w:ind w:right="0"/>
              <w:rPr>
                <w:iCs/>
                <w:szCs w:val="20"/>
              </w:rPr>
            </w:pPr>
            <w:r w:rsidRPr="00BF5F3D">
              <w:rPr>
                <w:iCs/>
                <w:szCs w:val="20"/>
              </w:rPr>
              <w:t>1 (0.5%)</w:t>
            </w:r>
          </w:p>
        </w:tc>
        <w:tc>
          <w:tcPr>
            <w:tcW w:w="909" w:type="pct"/>
          </w:tcPr>
          <w:p w14:paraId="71CC5A79" w14:textId="77777777" w:rsidR="009C0666" w:rsidRPr="00BF5F3D" w:rsidRDefault="009C0666" w:rsidP="00AC11DC">
            <w:pPr>
              <w:pStyle w:val="Tabletext"/>
              <w:ind w:right="0"/>
              <w:rPr>
                <w:iCs/>
                <w:szCs w:val="20"/>
              </w:rPr>
            </w:pPr>
            <w:r w:rsidRPr="00BF5F3D">
              <w:rPr>
                <w:iCs/>
                <w:szCs w:val="20"/>
              </w:rPr>
              <w:t>1 (0.5%)</w:t>
            </w:r>
          </w:p>
        </w:tc>
        <w:tc>
          <w:tcPr>
            <w:tcW w:w="859" w:type="pct"/>
          </w:tcPr>
          <w:p w14:paraId="47B7DAE7" w14:textId="77777777" w:rsidR="009C0666" w:rsidRPr="00BF5F3D" w:rsidRDefault="009C0666" w:rsidP="00AC11DC">
            <w:pPr>
              <w:pStyle w:val="Tabletext"/>
              <w:ind w:right="0"/>
              <w:rPr>
                <w:iCs/>
                <w:szCs w:val="20"/>
              </w:rPr>
            </w:pPr>
            <w:r w:rsidRPr="00BF5F3D">
              <w:rPr>
                <w:iCs/>
                <w:szCs w:val="20"/>
              </w:rPr>
              <w:t>10 (5.2%)</w:t>
            </w:r>
          </w:p>
        </w:tc>
        <w:tc>
          <w:tcPr>
            <w:tcW w:w="1039" w:type="pct"/>
          </w:tcPr>
          <w:p w14:paraId="7355AF00" w14:textId="77777777" w:rsidR="009C0666" w:rsidRPr="00BF5F3D" w:rsidRDefault="009C0666" w:rsidP="00AC11DC">
            <w:pPr>
              <w:pStyle w:val="Tabletext"/>
              <w:ind w:right="0"/>
              <w:rPr>
                <w:iCs/>
                <w:szCs w:val="20"/>
              </w:rPr>
            </w:pPr>
            <w:r w:rsidRPr="00BF5F3D">
              <w:rPr>
                <w:iCs/>
                <w:szCs w:val="20"/>
              </w:rPr>
              <w:t>9 (4.7%)</w:t>
            </w:r>
          </w:p>
        </w:tc>
      </w:tr>
      <w:tr w:rsidR="009C0666" w:rsidRPr="00BF5F3D" w14:paraId="26E9AAD4" w14:textId="77777777" w:rsidTr="00AC11DC">
        <w:tc>
          <w:tcPr>
            <w:tcW w:w="1325" w:type="pct"/>
          </w:tcPr>
          <w:p w14:paraId="3B6A048B" w14:textId="77777777" w:rsidR="009C0666" w:rsidRPr="00BF5F3D" w:rsidRDefault="009C0666" w:rsidP="00AC11DC">
            <w:pPr>
              <w:pStyle w:val="Tabletext"/>
              <w:ind w:right="0"/>
              <w:rPr>
                <w:iCs/>
                <w:szCs w:val="20"/>
              </w:rPr>
            </w:pPr>
            <w:r w:rsidRPr="00BF5F3D">
              <w:rPr>
                <w:iCs/>
                <w:szCs w:val="20"/>
              </w:rPr>
              <w:t>Herpes zoster</w:t>
            </w:r>
          </w:p>
        </w:tc>
        <w:tc>
          <w:tcPr>
            <w:tcW w:w="869" w:type="pct"/>
          </w:tcPr>
          <w:p w14:paraId="6D3D0A95" w14:textId="77777777" w:rsidR="009C0666" w:rsidRPr="00BF5F3D" w:rsidRDefault="009C0666" w:rsidP="00AC11DC">
            <w:pPr>
              <w:pStyle w:val="Tabletext"/>
              <w:ind w:right="0"/>
              <w:rPr>
                <w:iCs/>
                <w:szCs w:val="20"/>
              </w:rPr>
            </w:pPr>
            <w:r w:rsidRPr="00BF5F3D">
              <w:rPr>
                <w:iCs/>
                <w:szCs w:val="20"/>
              </w:rPr>
              <w:t>12 (6.4%)</w:t>
            </w:r>
          </w:p>
        </w:tc>
        <w:tc>
          <w:tcPr>
            <w:tcW w:w="909" w:type="pct"/>
          </w:tcPr>
          <w:p w14:paraId="59CBD7E9" w14:textId="77777777" w:rsidR="009C0666" w:rsidRPr="00BF5F3D" w:rsidRDefault="009C0666" w:rsidP="00AC11DC">
            <w:pPr>
              <w:pStyle w:val="Tabletext"/>
              <w:ind w:right="0"/>
              <w:rPr>
                <w:iCs/>
                <w:szCs w:val="20"/>
              </w:rPr>
            </w:pPr>
            <w:r w:rsidRPr="00BF5F3D">
              <w:rPr>
                <w:iCs/>
                <w:szCs w:val="20"/>
              </w:rPr>
              <w:t>2 (1.1%)</w:t>
            </w:r>
          </w:p>
        </w:tc>
        <w:tc>
          <w:tcPr>
            <w:tcW w:w="859" w:type="pct"/>
          </w:tcPr>
          <w:p w14:paraId="7C26E121" w14:textId="77777777" w:rsidR="009C0666" w:rsidRPr="00BF5F3D" w:rsidRDefault="009C0666" w:rsidP="00AC11DC">
            <w:pPr>
              <w:pStyle w:val="Tabletext"/>
              <w:ind w:right="0"/>
              <w:rPr>
                <w:iCs/>
                <w:szCs w:val="20"/>
              </w:rPr>
            </w:pPr>
            <w:r w:rsidRPr="00BF5F3D">
              <w:rPr>
                <w:iCs/>
                <w:szCs w:val="20"/>
              </w:rPr>
              <w:t>9 (4.7%)</w:t>
            </w:r>
          </w:p>
        </w:tc>
        <w:tc>
          <w:tcPr>
            <w:tcW w:w="1039" w:type="pct"/>
          </w:tcPr>
          <w:p w14:paraId="7A97A6DF" w14:textId="77777777" w:rsidR="009C0666" w:rsidRPr="00BF5F3D" w:rsidRDefault="009C0666" w:rsidP="00AC11DC">
            <w:pPr>
              <w:pStyle w:val="Tabletext"/>
              <w:ind w:right="0"/>
              <w:rPr>
                <w:iCs/>
                <w:szCs w:val="20"/>
              </w:rPr>
            </w:pPr>
            <w:r w:rsidRPr="00BF5F3D">
              <w:rPr>
                <w:iCs/>
                <w:szCs w:val="20"/>
              </w:rPr>
              <w:t>0</w:t>
            </w:r>
          </w:p>
        </w:tc>
      </w:tr>
      <w:tr w:rsidR="009C0666" w:rsidRPr="00BF5F3D" w14:paraId="5A6AFE2A" w14:textId="77777777" w:rsidTr="00AC11DC">
        <w:tc>
          <w:tcPr>
            <w:tcW w:w="1325" w:type="pct"/>
          </w:tcPr>
          <w:p w14:paraId="6D4B5D8E" w14:textId="77777777" w:rsidR="009C0666" w:rsidRPr="00BF5F3D" w:rsidRDefault="009C0666" w:rsidP="00AC11DC">
            <w:pPr>
              <w:pStyle w:val="Tabletext"/>
              <w:ind w:right="0"/>
              <w:rPr>
                <w:iCs/>
                <w:szCs w:val="20"/>
              </w:rPr>
            </w:pPr>
            <w:r w:rsidRPr="00BF5F3D">
              <w:rPr>
                <w:iCs/>
                <w:szCs w:val="20"/>
              </w:rPr>
              <w:t>Hordeolum</w:t>
            </w:r>
          </w:p>
        </w:tc>
        <w:tc>
          <w:tcPr>
            <w:tcW w:w="869" w:type="pct"/>
          </w:tcPr>
          <w:p w14:paraId="7F5108EB" w14:textId="77777777" w:rsidR="009C0666" w:rsidRPr="00BF5F3D" w:rsidRDefault="009C0666" w:rsidP="00AC11DC">
            <w:pPr>
              <w:pStyle w:val="Tabletext"/>
              <w:ind w:right="0"/>
              <w:rPr>
                <w:iCs/>
                <w:szCs w:val="20"/>
              </w:rPr>
            </w:pPr>
            <w:r w:rsidRPr="00BF5F3D">
              <w:rPr>
                <w:iCs/>
                <w:szCs w:val="20"/>
              </w:rPr>
              <w:t>11 (5.9%)</w:t>
            </w:r>
          </w:p>
        </w:tc>
        <w:tc>
          <w:tcPr>
            <w:tcW w:w="909" w:type="pct"/>
          </w:tcPr>
          <w:p w14:paraId="62D014C8" w14:textId="77777777" w:rsidR="009C0666" w:rsidRPr="00BF5F3D" w:rsidRDefault="009C0666" w:rsidP="00AC11DC">
            <w:pPr>
              <w:pStyle w:val="Tabletext"/>
              <w:ind w:right="0"/>
              <w:rPr>
                <w:iCs/>
                <w:szCs w:val="20"/>
              </w:rPr>
            </w:pPr>
            <w:r w:rsidRPr="00BF5F3D">
              <w:rPr>
                <w:iCs/>
                <w:szCs w:val="20"/>
              </w:rPr>
              <w:t>0</w:t>
            </w:r>
          </w:p>
        </w:tc>
        <w:tc>
          <w:tcPr>
            <w:tcW w:w="859" w:type="pct"/>
          </w:tcPr>
          <w:p w14:paraId="63BA2EC5" w14:textId="77777777" w:rsidR="009C0666" w:rsidRPr="00BF5F3D" w:rsidRDefault="009C0666" w:rsidP="00AC11DC">
            <w:pPr>
              <w:pStyle w:val="Tabletext"/>
              <w:ind w:right="0"/>
              <w:rPr>
                <w:iCs/>
                <w:szCs w:val="20"/>
              </w:rPr>
            </w:pPr>
            <w:r w:rsidRPr="00BF5F3D">
              <w:rPr>
                <w:iCs/>
                <w:szCs w:val="20"/>
              </w:rPr>
              <w:t>8 (4.1%)</w:t>
            </w:r>
          </w:p>
        </w:tc>
        <w:tc>
          <w:tcPr>
            <w:tcW w:w="1039" w:type="pct"/>
          </w:tcPr>
          <w:p w14:paraId="78A12DE7" w14:textId="77777777" w:rsidR="009C0666" w:rsidRPr="00BF5F3D" w:rsidRDefault="009C0666" w:rsidP="00AC11DC">
            <w:pPr>
              <w:pStyle w:val="Tabletext"/>
              <w:ind w:right="0"/>
              <w:rPr>
                <w:iCs/>
                <w:szCs w:val="20"/>
              </w:rPr>
            </w:pPr>
            <w:r w:rsidRPr="00BF5F3D">
              <w:rPr>
                <w:iCs/>
                <w:szCs w:val="20"/>
              </w:rPr>
              <w:t>0</w:t>
            </w:r>
          </w:p>
        </w:tc>
      </w:tr>
      <w:tr w:rsidR="009C0666" w:rsidRPr="00BF5F3D" w14:paraId="454138CF" w14:textId="77777777" w:rsidTr="00AC11DC">
        <w:tc>
          <w:tcPr>
            <w:tcW w:w="5000" w:type="pct"/>
            <w:gridSpan w:val="5"/>
          </w:tcPr>
          <w:p w14:paraId="55A565DA" w14:textId="77777777" w:rsidR="009C0666" w:rsidRPr="00BF5F3D" w:rsidRDefault="009C0666" w:rsidP="00AC11DC">
            <w:pPr>
              <w:pStyle w:val="Tabletext"/>
              <w:ind w:right="0"/>
              <w:rPr>
                <w:b/>
                <w:bCs/>
                <w:iCs/>
                <w:szCs w:val="20"/>
              </w:rPr>
            </w:pPr>
            <w:r w:rsidRPr="00BF5F3D">
              <w:rPr>
                <w:b/>
                <w:bCs/>
                <w:szCs w:val="20"/>
              </w:rPr>
              <w:t>Injury,</w:t>
            </w:r>
            <w:r w:rsidRPr="00BF5F3D">
              <w:rPr>
                <w:b/>
                <w:bCs/>
                <w:spacing w:val="9"/>
                <w:szCs w:val="20"/>
              </w:rPr>
              <w:t xml:space="preserve"> </w:t>
            </w:r>
            <w:r w:rsidRPr="00BF5F3D">
              <w:rPr>
                <w:b/>
                <w:bCs/>
                <w:szCs w:val="20"/>
              </w:rPr>
              <w:t>poisoning</w:t>
            </w:r>
            <w:r w:rsidRPr="00BF5F3D">
              <w:rPr>
                <w:b/>
                <w:bCs/>
                <w:spacing w:val="-9"/>
                <w:szCs w:val="20"/>
              </w:rPr>
              <w:t xml:space="preserve"> </w:t>
            </w:r>
            <w:r w:rsidRPr="00BF5F3D">
              <w:rPr>
                <w:b/>
                <w:bCs/>
                <w:szCs w:val="20"/>
              </w:rPr>
              <w:t>and</w:t>
            </w:r>
            <w:r w:rsidRPr="00BF5F3D">
              <w:rPr>
                <w:b/>
                <w:bCs/>
                <w:spacing w:val="16"/>
                <w:szCs w:val="20"/>
              </w:rPr>
              <w:t xml:space="preserve"> </w:t>
            </w:r>
            <w:r w:rsidRPr="00BF5F3D">
              <w:rPr>
                <w:b/>
                <w:bCs/>
                <w:szCs w:val="20"/>
              </w:rPr>
              <w:t>procedural</w:t>
            </w:r>
            <w:r w:rsidRPr="00BF5F3D">
              <w:rPr>
                <w:b/>
                <w:bCs/>
                <w:spacing w:val="25"/>
                <w:szCs w:val="20"/>
              </w:rPr>
              <w:t xml:space="preserve"> </w:t>
            </w:r>
            <w:r w:rsidRPr="00BF5F3D">
              <w:rPr>
                <w:b/>
                <w:bCs/>
                <w:szCs w:val="20"/>
              </w:rPr>
              <w:t>complications</w:t>
            </w:r>
          </w:p>
        </w:tc>
      </w:tr>
      <w:tr w:rsidR="009C0666" w:rsidRPr="00BF5F3D" w14:paraId="7A5E0551" w14:textId="77777777" w:rsidTr="00AC11DC">
        <w:tc>
          <w:tcPr>
            <w:tcW w:w="1325" w:type="pct"/>
          </w:tcPr>
          <w:p w14:paraId="722D2427" w14:textId="77777777" w:rsidR="009C0666" w:rsidRPr="00BF5F3D" w:rsidRDefault="009C0666" w:rsidP="00AC11DC">
            <w:pPr>
              <w:pStyle w:val="Tabletext"/>
              <w:ind w:right="0"/>
              <w:rPr>
                <w:iCs/>
                <w:szCs w:val="20"/>
              </w:rPr>
            </w:pPr>
            <w:r w:rsidRPr="00BF5F3D">
              <w:rPr>
                <w:iCs/>
                <w:szCs w:val="20"/>
              </w:rPr>
              <w:t>Contusion</w:t>
            </w:r>
          </w:p>
        </w:tc>
        <w:tc>
          <w:tcPr>
            <w:tcW w:w="869" w:type="pct"/>
          </w:tcPr>
          <w:p w14:paraId="48D0ECE5" w14:textId="77777777" w:rsidR="009C0666" w:rsidRPr="00BF5F3D" w:rsidRDefault="009C0666" w:rsidP="00AC11DC">
            <w:pPr>
              <w:pStyle w:val="Tabletext"/>
              <w:ind w:right="0"/>
              <w:rPr>
                <w:iCs/>
                <w:szCs w:val="20"/>
              </w:rPr>
            </w:pPr>
            <w:r w:rsidRPr="00BF5F3D">
              <w:rPr>
                <w:w w:val="105"/>
                <w:szCs w:val="20"/>
              </w:rPr>
              <w:t>6 (3.2%)</w:t>
            </w:r>
          </w:p>
        </w:tc>
        <w:tc>
          <w:tcPr>
            <w:tcW w:w="909" w:type="pct"/>
          </w:tcPr>
          <w:p w14:paraId="121CE96E" w14:textId="77777777" w:rsidR="009C0666" w:rsidRPr="00BF5F3D" w:rsidRDefault="009C0666" w:rsidP="00AC11DC">
            <w:pPr>
              <w:pStyle w:val="Tabletext"/>
              <w:ind w:right="0"/>
              <w:rPr>
                <w:iCs/>
                <w:szCs w:val="20"/>
              </w:rPr>
            </w:pPr>
            <w:r w:rsidRPr="00BF5F3D">
              <w:rPr>
                <w:w w:val="105"/>
                <w:szCs w:val="20"/>
              </w:rPr>
              <w:t>0</w:t>
            </w:r>
          </w:p>
        </w:tc>
        <w:tc>
          <w:tcPr>
            <w:tcW w:w="859" w:type="pct"/>
          </w:tcPr>
          <w:p w14:paraId="7A33EB70" w14:textId="77777777" w:rsidR="009C0666" w:rsidRPr="00BF5F3D" w:rsidRDefault="009C0666" w:rsidP="00AC11DC">
            <w:pPr>
              <w:pStyle w:val="Tabletext"/>
              <w:ind w:right="0"/>
              <w:rPr>
                <w:iCs/>
                <w:szCs w:val="20"/>
              </w:rPr>
            </w:pPr>
            <w:r w:rsidRPr="00BF5F3D">
              <w:rPr>
                <w:w w:val="105"/>
                <w:szCs w:val="20"/>
              </w:rPr>
              <w:t>10 (5.2%)</w:t>
            </w:r>
          </w:p>
        </w:tc>
        <w:tc>
          <w:tcPr>
            <w:tcW w:w="1039" w:type="pct"/>
          </w:tcPr>
          <w:p w14:paraId="34DC16A8" w14:textId="77777777" w:rsidR="009C0666" w:rsidRPr="00BF5F3D" w:rsidRDefault="009C0666" w:rsidP="00AC11DC">
            <w:pPr>
              <w:pStyle w:val="Tabletext"/>
              <w:ind w:right="0"/>
              <w:rPr>
                <w:iCs/>
                <w:szCs w:val="20"/>
              </w:rPr>
            </w:pPr>
            <w:r w:rsidRPr="00BF5F3D">
              <w:rPr>
                <w:w w:val="105"/>
                <w:szCs w:val="20"/>
              </w:rPr>
              <w:t>0</w:t>
            </w:r>
          </w:p>
        </w:tc>
      </w:tr>
      <w:tr w:rsidR="009C0666" w:rsidRPr="00BF5F3D" w14:paraId="214E32F4" w14:textId="77777777" w:rsidTr="00AC11DC">
        <w:tc>
          <w:tcPr>
            <w:tcW w:w="1325" w:type="pct"/>
          </w:tcPr>
          <w:p w14:paraId="03FEEFE9" w14:textId="77777777" w:rsidR="009C0666" w:rsidRPr="00BF5F3D" w:rsidRDefault="009C0666" w:rsidP="00AC11DC">
            <w:pPr>
              <w:pStyle w:val="Tabletext"/>
              <w:ind w:right="0"/>
              <w:rPr>
                <w:iCs/>
                <w:szCs w:val="20"/>
              </w:rPr>
            </w:pPr>
            <w:r w:rsidRPr="00BF5F3D">
              <w:rPr>
                <w:iCs/>
                <w:szCs w:val="20"/>
              </w:rPr>
              <w:t>Fall</w:t>
            </w:r>
          </w:p>
        </w:tc>
        <w:tc>
          <w:tcPr>
            <w:tcW w:w="869" w:type="pct"/>
          </w:tcPr>
          <w:p w14:paraId="66467E4E" w14:textId="77777777" w:rsidR="009C0666" w:rsidRPr="00BF5F3D" w:rsidRDefault="009C0666" w:rsidP="00AC11DC">
            <w:pPr>
              <w:pStyle w:val="Tabletext"/>
              <w:ind w:right="0"/>
              <w:rPr>
                <w:iCs/>
                <w:szCs w:val="20"/>
              </w:rPr>
            </w:pPr>
            <w:r w:rsidRPr="00BF5F3D">
              <w:rPr>
                <w:w w:val="105"/>
                <w:szCs w:val="20"/>
              </w:rPr>
              <w:t>8 (4.3%)</w:t>
            </w:r>
          </w:p>
        </w:tc>
        <w:tc>
          <w:tcPr>
            <w:tcW w:w="909" w:type="pct"/>
          </w:tcPr>
          <w:p w14:paraId="39686D2C" w14:textId="77777777" w:rsidR="009C0666" w:rsidRPr="00BF5F3D" w:rsidRDefault="009C0666" w:rsidP="00AC11DC">
            <w:pPr>
              <w:pStyle w:val="Tabletext"/>
              <w:ind w:right="0"/>
              <w:rPr>
                <w:iCs/>
                <w:szCs w:val="20"/>
              </w:rPr>
            </w:pPr>
            <w:r w:rsidRPr="00BF5F3D">
              <w:rPr>
                <w:w w:val="105"/>
                <w:szCs w:val="20"/>
              </w:rPr>
              <w:t>0</w:t>
            </w:r>
          </w:p>
        </w:tc>
        <w:tc>
          <w:tcPr>
            <w:tcW w:w="859" w:type="pct"/>
          </w:tcPr>
          <w:p w14:paraId="76310DF8" w14:textId="77777777" w:rsidR="009C0666" w:rsidRPr="00BF5F3D" w:rsidRDefault="009C0666" w:rsidP="00AC11DC">
            <w:pPr>
              <w:pStyle w:val="Tabletext"/>
              <w:ind w:right="0"/>
              <w:rPr>
                <w:iCs/>
                <w:szCs w:val="20"/>
              </w:rPr>
            </w:pPr>
            <w:r w:rsidRPr="00BF5F3D">
              <w:rPr>
                <w:w w:val="105"/>
                <w:szCs w:val="20"/>
              </w:rPr>
              <w:t>10 (5.2%)</w:t>
            </w:r>
          </w:p>
        </w:tc>
        <w:tc>
          <w:tcPr>
            <w:tcW w:w="1039" w:type="pct"/>
          </w:tcPr>
          <w:p w14:paraId="52F1CCE4" w14:textId="77777777" w:rsidR="009C0666" w:rsidRPr="00BF5F3D" w:rsidRDefault="009C0666" w:rsidP="00AC11DC">
            <w:pPr>
              <w:pStyle w:val="Tabletext"/>
              <w:ind w:right="0"/>
              <w:rPr>
                <w:iCs/>
                <w:szCs w:val="20"/>
              </w:rPr>
            </w:pPr>
            <w:r w:rsidRPr="00BF5F3D">
              <w:rPr>
                <w:w w:val="105"/>
                <w:szCs w:val="20"/>
              </w:rPr>
              <w:t>0</w:t>
            </w:r>
          </w:p>
        </w:tc>
      </w:tr>
      <w:tr w:rsidR="009C0666" w:rsidRPr="00BF5F3D" w14:paraId="739D4EA1" w14:textId="77777777" w:rsidTr="00AC11DC">
        <w:tc>
          <w:tcPr>
            <w:tcW w:w="1325" w:type="pct"/>
          </w:tcPr>
          <w:p w14:paraId="5005723D" w14:textId="77777777" w:rsidR="009C0666" w:rsidRPr="00BF5F3D" w:rsidRDefault="009C0666" w:rsidP="00AC11DC">
            <w:pPr>
              <w:pStyle w:val="Tabletext"/>
              <w:ind w:right="0"/>
              <w:rPr>
                <w:iCs/>
                <w:szCs w:val="20"/>
              </w:rPr>
            </w:pPr>
            <w:r w:rsidRPr="00BF5F3D">
              <w:rPr>
                <w:iCs/>
                <w:szCs w:val="20"/>
              </w:rPr>
              <w:t>Investigations</w:t>
            </w:r>
          </w:p>
        </w:tc>
        <w:tc>
          <w:tcPr>
            <w:tcW w:w="869" w:type="pct"/>
          </w:tcPr>
          <w:p w14:paraId="7BFC5F74" w14:textId="77777777" w:rsidR="009C0666" w:rsidRPr="00BF5F3D" w:rsidRDefault="009C0666" w:rsidP="00AC11DC">
            <w:pPr>
              <w:pStyle w:val="Tabletext"/>
              <w:ind w:right="0"/>
              <w:rPr>
                <w:iCs/>
                <w:szCs w:val="20"/>
              </w:rPr>
            </w:pPr>
          </w:p>
        </w:tc>
        <w:tc>
          <w:tcPr>
            <w:tcW w:w="909" w:type="pct"/>
          </w:tcPr>
          <w:p w14:paraId="1BE6E86B" w14:textId="77777777" w:rsidR="009C0666" w:rsidRPr="00BF5F3D" w:rsidRDefault="009C0666" w:rsidP="00AC11DC">
            <w:pPr>
              <w:pStyle w:val="Tabletext"/>
              <w:ind w:right="0"/>
              <w:rPr>
                <w:iCs/>
                <w:szCs w:val="20"/>
              </w:rPr>
            </w:pPr>
          </w:p>
        </w:tc>
        <w:tc>
          <w:tcPr>
            <w:tcW w:w="859" w:type="pct"/>
          </w:tcPr>
          <w:p w14:paraId="046F0D58" w14:textId="77777777" w:rsidR="009C0666" w:rsidRPr="00BF5F3D" w:rsidRDefault="009C0666" w:rsidP="00AC11DC">
            <w:pPr>
              <w:pStyle w:val="Tabletext"/>
              <w:ind w:right="0"/>
              <w:rPr>
                <w:iCs/>
                <w:szCs w:val="20"/>
              </w:rPr>
            </w:pPr>
          </w:p>
        </w:tc>
        <w:tc>
          <w:tcPr>
            <w:tcW w:w="1039" w:type="pct"/>
          </w:tcPr>
          <w:p w14:paraId="335F8C7C" w14:textId="77777777" w:rsidR="009C0666" w:rsidRPr="00BF5F3D" w:rsidRDefault="009C0666" w:rsidP="00AC11DC">
            <w:pPr>
              <w:pStyle w:val="Tabletext"/>
              <w:ind w:right="0"/>
              <w:rPr>
                <w:iCs/>
                <w:szCs w:val="20"/>
              </w:rPr>
            </w:pPr>
          </w:p>
        </w:tc>
      </w:tr>
      <w:tr w:rsidR="009C0666" w:rsidRPr="00BF5F3D" w14:paraId="1C566015" w14:textId="77777777" w:rsidTr="00AC11DC">
        <w:tc>
          <w:tcPr>
            <w:tcW w:w="1325" w:type="pct"/>
          </w:tcPr>
          <w:p w14:paraId="74DE71AB" w14:textId="77777777" w:rsidR="009C0666" w:rsidRPr="00BF5F3D" w:rsidRDefault="009C0666" w:rsidP="00AC11DC">
            <w:pPr>
              <w:pStyle w:val="Tabletext"/>
              <w:ind w:right="0"/>
              <w:rPr>
                <w:iCs/>
                <w:szCs w:val="20"/>
              </w:rPr>
            </w:pPr>
            <w:r w:rsidRPr="00BF5F3D">
              <w:rPr>
                <w:iCs/>
                <w:szCs w:val="20"/>
              </w:rPr>
              <w:t>ALT increased</w:t>
            </w:r>
          </w:p>
        </w:tc>
        <w:tc>
          <w:tcPr>
            <w:tcW w:w="869" w:type="pct"/>
          </w:tcPr>
          <w:p w14:paraId="14BB9EA4" w14:textId="77777777" w:rsidR="009C0666" w:rsidRPr="00BF5F3D" w:rsidRDefault="009C0666" w:rsidP="00AC11DC">
            <w:pPr>
              <w:pStyle w:val="Tabletext"/>
              <w:ind w:right="0"/>
              <w:rPr>
                <w:iCs/>
                <w:szCs w:val="20"/>
              </w:rPr>
            </w:pPr>
            <w:r w:rsidRPr="00BF5F3D">
              <w:rPr>
                <w:iCs/>
                <w:szCs w:val="20"/>
              </w:rPr>
              <w:t>10 (5.3%)</w:t>
            </w:r>
          </w:p>
        </w:tc>
        <w:tc>
          <w:tcPr>
            <w:tcW w:w="909" w:type="pct"/>
          </w:tcPr>
          <w:p w14:paraId="7CC1B43E" w14:textId="77777777" w:rsidR="009C0666" w:rsidRPr="00BF5F3D" w:rsidRDefault="009C0666" w:rsidP="00AC11DC">
            <w:pPr>
              <w:pStyle w:val="Tabletext"/>
              <w:ind w:right="0"/>
              <w:rPr>
                <w:iCs/>
                <w:szCs w:val="20"/>
              </w:rPr>
            </w:pPr>
            <w:r w:rsidRPr="00BF5F3D">
              <w:rPr>
                <w:iCs/>
                <w:szCs w:val="20"/>
              </w:rPr>
              <w:t>1 (0.5%)</w:t>
            </w:r>
          </w:p>
        </w:tc>
        <w:tc>
          <w:tcPr>
            <w:tcW w:w="859" w:type="pct"/>
          </w:tcPr>
          <w:p w14:paraId="2E2CB758" w14:textId="77777777" w:rsidR="009C0666" w:rsidRPr="00BF5F3D" w:rsidRDefault="009C0666" w:rsidP="00AC11DC">
            <w:pPr>
              <w:pStyle w:val="Tabletext"/>
              <w:ind w:right="0"/>
              <w:rPr>
                <w:iCs/>
                <w:szCs w:val="20"/>
              </w:rPr>
            </w:pPr>
            <w:r w:rsidRPr="00BF5F3D">
              <w:rPr>
                <w:iCs/>
                <w:szCs w:val="20"/>
              </w:rPr>
              <w:t>15 (7.8%)</w:t>
            </w:r>
          </w:p>
        </w:tc>
        <w:tc>
          <w:tcPr>
            <w:tcW w:w="1039" w:type="pct"/>
          </w:tcPr>
          <w:p w14:paraId="04827886" w14:textId="77777777" w:rsidR="009C0666" w:rsidRPr="00BF5F3D" w:rsidRDefault="009C0666" w:rsidP="00AC11DC">
            <w:pPr>
              <w:pStyle w:val="Tabletext"/>
              <w:ind w:right="0"/>
              <w:rPr>
                <w:iCs/>
                <w:szCs w:val="20"/>
              </w:rPr>
            </w:pPr>
            <w:r w:rsidRPr="00BF5F3D">
              <w:rPr>
                <w:iCs/>
                <w:szCs w:val="20"/>
              </w:rPr>
              <w:t>3 (1.6%)</w:t>
            </w:r>
          </w:p>
        </w:tc>
      </w:tr>
      <w:tr w:rsidR="009C0666" w:rsidRPr="00BF5F3D" w14:paraId="665F75C2" w14:textId="77777777" w:rsidTr="00AC11DC">
        <w:tc>
          <w:tcPr>
            <w:tcW w:w="1325" w:type="pct"/>
          </w:tcPr>
          <w:p w14:paraId="38B0D055" w14:textId="77777777" w:rsidR="009C0666" w:rsidRPr="00BF5F3D" w:rsidRDefault="009C0666" w:rsidP="00AC11DC">
            <w:pPr>
              <w:pStyle w:val="Tabletext"/>
              <w:ind w:right="0"/>
              <w:rPr>
                <w:iCs/>
                <w:szCs w:val="20"/>
              </w:rPr>
            </w:pPr>
            <w:r w:rsidRPr="00BF5F3D">
              <w:rPr>
                <w:iCs/>
                <w:szCs w:val="20"/>
              </w:rPr>
              <w:t>Blood creatinine increased</w:t>
            </w:r>
          </w:p>
        </w:tc>
        <w:tc>
          <w:tcPr>
            <w:tcW w:w="869" w:type="pct"/>
          </w:tcPr>
          <w:p w14:paraId="72352A63" w14:textId="77777777" w:rsidR="009C0666" w:rsidRPr="00BF5F3D" w:rsidRDefault="009C0666" w:rsidP="00AC11DC">
            <w:pPr>
              <w:pStyle w:val="Tabletext"/>
              <w:ind w:right="0"/>
              <w:rPr>
                <w:iCs/>
                <w:szCs w:val="20"/>
              </w:rPr>
            </w:pPr>
            <w:r w:rsidRPr="00BF5F3D">
              <w:rPr>
                <w:iCs/>
                <w:szCs w:val="20"/>
              </w:rPr>
              <w:t>16 (8.5%)</w:t>
            </w:r>
          </w:p>
        </w:tc>
        <w:tc>
          <w:tcPr>
            <w:tcW w:w="909" w:type="pct"/>
          </w:tcPr>
          <w:p w14:paraId="7CA80C2D" w14:textId="77777777" w:rsidR="009C0666" w:rsidRPr="00BF5F3D" w:rsidRDefault="009C0666" w:rsidP="00AC11DC">
            <w:pPr>
              <w:pStyle w:val="Tabletext"/>
              <w:ind w:right="0"/>
              <w:rPr>
                <w:iCs/>
                <w:szCs w:val="20"/>
              </w:rPr>
            </w:pPr>
            <w:r w:rsidRPr="00BF5F3D">
              <w:rPr>
                <w:iCs/>
                <w:szCs w:val="20"/>
              </w:rPr>
              <w:t>2 (1.1%)</w:t>
            </w:r>
          </w:p>
        </w:tc>
        <w:tc>
          <w:tcPr>
            <w:tcW w:w="859" w:type="pct"/>
          </w:tcPr>
          <w:p w14:paraId="55E8100F" w14:textId="77777777" w:rsidR="009C0666" w:rsidRPr="00BF5F3D" w:rsidRDefault="009C0666" w:rsidP="00AC11DC">
            <w:pPr>
              <w:pStyle w:val="Tabletext"/>
              <w:ind w:right="0"/>
              <w:rPr>
                <w:iCs/>
                <w:szCs w:val="20"/>
              </w:rPr>
            </w:pPr>
            <w:r w:rsidRPr="00BF5F3D">
              <w:rPr>
                <w:iCs/>
                <w:szCs w:val="20"/>
              </w:rPr>
              <w:t>15 (7.8%)</w:t>
            </w:r>
          </w:p>
        </w:tc>
        <w:tc>
          <w:tcPr>
            <w:tcW w:w="1039" w:type="pct"/>
          </w:tcPr>
          <w:p w14:paraId="42BCF713" w14:textId="77777777" w:rsidR="009C0666" w:rsidRPr="00BF5F3D" w:rsidRDefault="009C0666" w:rsidP="00AC11DC">
            <w:pPr>
              <w:pStyle w:val="Tabletext"/>
              <w:ind w:right="0"/>
              <w:rPr>
                <w:iCs/>
                <w:szCs w:val="20"/>
              </w:rPr>
            </w:pPr>
            <w:r w:rsidRPr="00BF5F3D">
              <w:rPr>
                <w:iCs/>
                <w:szCs w:val="20"/>
              </w:rPr>
              <w:t>4 (2.1%)</w:t>
            </w:r>
          </w:p>
        </w:tc>
      </w:tr>
      <w:tr w:rsidR="009C0666" w:rsidRPr="00BF5F3D" w14:paraId="11B17055" w14:textId="77777777" w:rsidTr="00AC11DC">
        <w:tc>
          <w:tcPr>
            <w:tcW w:w="1325" w:type="pct"/>
          </w:tcPr>
          <w:p w14:paraId="773575DB" w14:textId="77777777" w:rsidR="009C0666" w:rsidRPr="00BF5F3D" w:rsidRDefault="009C0666" w:rsidP="00AC11DC">
            <w:pPr>
              <w:pStyle w:val="Tabletext"/>
              <w:ind w:right="0"/>
              <w:rPr>
                <w:iCs/>
                <w:szCs w:val="20"/>
              </w:rPr>
            </w:pPr>
            <w:r w:rsidRPr="00BF5F3D">
              <w:rPr>
                <w:iCs/>
                <w:szCs w:val="20"/>
              </w:rPr>
              <w:t>AST increased</w:t>
            </w:r>
          </w:p>
        </w:tc>
        <w:tc>
          <w:tcPr>
            <w:tcW w:w="869" w:type="pct"/>
          </w:tcPr>
          <w:p w14:paraId="58F73F5A" w14:textId="77777777" w:rsidR="009C0666" w:rsidRPr="00BF5F3D" w:rsidRDefault="009C0666" w:rsidP="00AC11DC">
            <w:pPr>
              <w:pStyle w:val="Tabletext"/>
              <w:ind w:right="0"/>
              <w:rPr>
                <w:iCs/>
                <w:szCs w:val="20"/>
              </w:rPr>
            </w:pPr>
            <w:r w:rsidRPr="00BF5F3D">
              <w:rPr>
                <w:iCs/>
                <w:szCs w:val="20"/>
              </w:rPr>
              <w:t>8 (4.3%)</w:t>
            </w:r>
          </w:p>
        </w:tc>
        <w:tc>
          <w:tcPr>
            <w:tcW w:w="909" w:type="pct"/>
          </w:tcPr>
          <w:p w14:paraId="20465602" w14:textId="77777777" w:rsidR="009C0666" w:rsidRPr="00BF5F3D" w:rsidRDefault="009C0666" w:rsidP="00AC11DC">
            <w:pPr>
              <w:pStyle w:val="Tabletext"/>
              <w:ind w:right="0"/>
              <w:rPr>
                <w:iCs/>
                <w:szCs w:val="20"/>
              </w:rPr>
            </w:pPr>
            <w:r w:rsidRPr="00BF5F3D">
              <w:rPr>
                <w:iCs/>
                <w:szCs w:val="20"/>
              </w:rPr>
              <w:t>1 (0.5%)</w:t>
            </w:r>
          </w:p>
        </w:tc>
        <w:tc>
          <w:tcPr>
            <w:tcW w:w="859" w:type="pct"/>
          </w:tcPr>
          <w:p w14:paraId="455E5D4C" w14:textId="77777777" w:rsidR="009C0666" w:rsidRPr="00BF5F3D" w:rsidRDefault="009C0666" w:rsidP="00AC11DC">
            <w:pPr>
              <w:pStyle w:val="Tabletext"/>
              <w:ind w:right="0"/>
              <w:rPr>
                <w:iCs/>
                <w:szCs w:val="20"/>
              </w:rPr>
            </w:pPr>
            <w:r w:rsidRPr="00BF5F3D">
              <w:rPr>
                <w:iCs/>
                <w:szCs w:val="20"/>
              </w:rPr>
              <w:t>12 (6.2%)</w:t>
            </w:r>
          </w:p>
        </w:tc>
        <w:tc>
          <w:tcPr>
            <w:tcW w:w="1039" w:type="pct"/>
          </w:tcPr>
          <w:p w14:paraId="502E0CE4" w14:textId="77777777" w:rsidR="009C0666" w:rsidRPr="00BF5F3D" w:rsidRDefault="009C0666" w:rsidP="00AC11DC">
            <w:pPr>
              <w:pStyle w:val="Tabletext"/>
              <w:ind w:right="0"/>
              <w:rPr>
                <w:iCs/>
                <w:szCs w:val="20"/>
              </w:rPr>
            </w:pPr>
            <w:r w:rsidRPr="00BF5F3D">
              <w:rPr>
                <w:iCs/>
                <w:szCs w:val="20"/>
              </w:rPr>
              <w:t>2 (1.0%)</w:t>
            </w:r>
          </w:p>
        </w:tc>
      </w:tr>
      <w:tr w:rsidR="009C0666" w:rsidRPr="00BF5F3D" w14:paraId="7D784939" w14:textId="77777777" w:rsidTr="00AC11DC">
        <w:tc>
          <w:tcPr>
            <w:tcW w:w="1325" w:type="pct"/>
          </w:tcPr>
          <w:p w14:paraId="5F2F16C3" w14:textId="77777777" w:rsidR="009C0666" w:rsidRPr="00BF5F3D" w:rsidRDefault="009C0666" w:rsidP="00AC11DC">
            <w:pPr>
              <w:pStyle w:val="Tabletext"/>
              <w:ind w:right="0"/>
              <w:rPr>
                <w:iCs/>
                <w:szCs w:val="20"/>
              </w:rPr>
            </w:pPr>
            <w:r w:rsidRPr="00BF5F3D">
              <w:rPr>
                <w:iCs/>
                <w:szCs w:val="20"/>
              </w:rPr>
              <w:t>GGT increased</w:t>
            </w:r>
          </w:p>
        </w:tc>
        <w:tc>
          <w:tcPr>
            <w:tcW w:w="869" w:type="pct"/>
          </w:tcPr>
          <w:p w14:paraId="2C892549" w14:textId="77777777" w:rsidR="009C0666" w:rsidRPr="00BF5F3D" w:rsidRDefault="009C0666" w:rsidP="00AC11DC">
            <w:pPr>
              <w:pStyle w:val="Tabletext"/>
              <w:ind w:right="0"/>
              <w:rPr>
                <w:iCs/>
                <w:szCs w:val="20"/>
              </w:rPr>
            </w:pPr>
            <w:r w:rsidRPr="00BF5F3D">
              <w:rPr>
                <w:iCs/>
                <w:szCs w:val="20"/>
              </w:rPr>
              <w:t>11 (5.9%)</w:t>
            </w:r>
          </w:p>
        </w:tc>
        <w:tc>
          <w:tcPr>
            <w:tcW w:w="909" w:type="pct"/>
          </w:tcPr>
          <w:p w14:paraId="24683152" w14:textId="77777777" w:rsidR="009C0666" w:rsidRPr="00BF5F3D" w:rsidRDefault="009C0666" w:rsidP="00AC11DC">
            <w:pPr>
              <w:pStyle w:val="Tabletext"/>
              <w:ind w:right="0"/>
              <w:rPr>
                <w:iCs/>
                <w:szCs w:val="20"/>
              </w:rPr>
            </w:pPr>
            <w:r w:rsidRPr="00BF5F3D">
              <w:rPr>
                <w:iCs/>
                <w:szCs w:val="20"/>
              </w:rPr>
              <w:t>6 (3.2%)</w:t>
            </w:r>
          </w:p>
        </w:tc>
        <w:tc>
          <w:tcPr>
            <w:tcW w:w="859" w:type="pct"/>
          </w:tcPr>
          <w:p w14:paraId="4C38DB6C" w14:textId="77777777" w:rsidR="009C0666" w:rsidRPr="00BF5F3D" w:rsidRDefault="009C0666" w:rsidP="00AC11DC">
            <w:pPr>
              <w:pStyle w:val="Tabletext"/>
              <w:ind w:right="0"/>
              <w:rPr>
                <w:iCs/>
                <w:szCs w:val="20"/>
              </w:rPr>
            </w:pPr>
            <w:r w:rsidRPr="00BF5F3D">
              <w:rPr>
                <w:iCs/>
                <w:szCs w:val="20"/>
              </w:rPr>
              <w:t>11 (5.7%)</w:t>
            </w:r>
          </w:p>
        </w:tc>
        <w:tc>
          <w:tcPr>
            <w:tcW w:w="1039" w:type="pct"/>
          </w:tcPr>
          <w:p w14:paraId="3C46A6C3" w14:textId="77777777" w:rsidR="009C0666" w:rsidRPr="00BF5F3D" w:rsidRDefault="009C0666" w:rsidP="00AC11DC">
            <w:pPr>
              <w:pStyle w:val="Tabletext"/>
              <w:ind w:right="0"/>
              <w:rPr>
                <w:iCs/>
                <w:szCs w:val="20"/>
              </w:rPr>
            </w:pPr>
            <w:r w:rsidRPr="00BF5F3D">
              <w:rPr>
                <w:iCs/>
                <w:szCs w:val="20"/>
              </w:rPr>
              <w:t>2 (1.0%)</w:t>
            </w:r>
          </w:p>
        </w:tc>
      </w:tr>
      <w:tr w:rsidR="009C0666" w:rsidRPr="00BF5F3D" w14:paraId="27C9C043" w14:textId="77777777" w:rsidTr="00AC11DC">
        <w:tc>
          <w:tcPr>
            <w:tcW w:w="1325" w:type="pct"/>
          </w:tcPr>
          <w:p w14:paraId="0A9E0D5E" w14:textId="77777777" w:rsidR="009C0666" w:rsidRPr="00BF5F3D" w:rsidRDefault="009C0666" w:rsidP="00AC11DC">
            <w:pPr>
              <w:pStyle w:val="Tabletext"/>
              <w:ind w:right="0"/>
              <w:rPr>
                <w:iCs/>
                <w:szCs w:val="20"/>
              </w:rPr>
            </w:pPr>
            <w:r w:rsidRPr="00BF5F3D">
              <w:rPr>
                <w:iCs/>
                <w:szCs w:val="20"/>
              </w:rPr>
              <w:t>Blood ALP increased</w:t>
            </w:r>
          </w:p>
        </w:tc>
        <w:tc>
          <w:tcPr>
            <w:tcW w:w="869" w:type="pct"/>
          </w:tcPr>
          <w:p w14:paraId="6C7373C9" w14:textId="77777777" w:rsidR="009C0666" w:rsidRPr="00BF5F3D" w:rsidRDefault="009C0666" w:rsidP="00AC11DC">
            <w:pPr>
              <w:pStyle w:val="Tabletext"/>
              <w:ind w:right="0"/>
              <w:rPr>
                <w:iCs/>
                <w:szCs w:val="20"/>
              </w:rPr>
            </w:pPr>
            <w:r w:rsidRPr="00BF5F3D">
              <w:rPr>
                <w:iCs/>
                <w:szCs w:val="20"/>
              </w:rPr>
              <w:t>11 (5.9%)</w:t>
            </w:r>
          </w:p>
        </w:tc>
        <w:tc>
          <w:tcPr>
            <w:tcW w:w="909" w:type="pct"/>
          </w:tcPr>
          <w:p w14:paraId="242DDF68" w14:textId="77777777" w:rsidR="009C0666" w:rsidRPr="00BF5F3D" w:rsidRDefault="009C0666" w:rsidP="00AC11DC">
            <w:pPr>
              <w:pStyle w:val="Tabletext"/>
              <w:ind w:right="0"/>
              <w:rPr>
                <w:iCs/>
                <w:szCs w:val="20"/>
              </w:rPr>
            </w:pPr>
            <w:r w:rsidRPr="00BF5F3D">
              <w:rPr>
                <w:iCs/>
                <w:szCs w:val="20"/>
              </w:rPr>
              <w:t>1 (0.5%)</w:t>
            </w:r>
          </w:p>
        </w:tc>
        <w:tc>
          <w:tcPr>
            <w:tcW w:w="859" w:type="pct"/>
          </w:tcPr>
          <w:p w14:paraId="0EE05627" w14:textId="77777777" w:rsidR="009C0666" w:rsidRPr="00BF5F3D" w:rsidRDefault="009C0666" w:rsidP="00AC11DC">
            <w:pPr>
              <w:pStyle w:val="Tabletext"/>
              <w:ind w:right="0"/>
              <w:rPr>
                <w:iCs/>
                <w:szCs w:val="20"/>
              </w:rPr>
            </w:pPr>
            <w:r w:rsidRPr="00BF5F3D">
              <w:rPr>
                <w:iCs/>
                <w:szCs w:val="20"/>
              </w:rPr>
              <w:t>6 (3.1%)</w:t>
            </w:r>
          </w:p>
        </w:tc>
        <w:tc>
          <w:tcPr>
            <w:tcW w:w="1039" w:type="pct"/>
          </w:tcPr>
          <w:p w14:paraId="4F55C094" w14:textId="77777777" w:rsidR="009C0666" w:rsidRPr="00BF5F3D" w:rsidRDefault="009C0666" w:rsidP="00AC11DC">
            <w:pPr>
              <w:pStyle w:val="Tabletext"/>
              <w:ind w:right="0"/>
              <w:rPr>
                <w:iCs/>
                <w:szCs w:val="20"/>
              </w:rPr>
            </w:pPr>
            <w:r w:rsidRPr="00BF5F3D">
              <w:rPr>
                <w:iCs/>
                <w:szCs w:val="20"/>
              </w:rPr>
              <w:t>1 (0.5%)</w:t>
            </w:r>
          </w:p>
        </w:tc>
      </w:tr>
      <w:tr w:rsidR="009C0666" w:rsidRPr="00BF5F3D" w14:paraId="48502B4A" w14:textId="77777777" w:rsidTr="00AC11DC">
        <w:tc>
          <w:tcPr>
            <w:tcW w:w="5000" w:type="pct"/>
            <w:gridSpan w:val="5"/>
          </w:tcPr>
          <w:p w14:paraId="01E1A3A9" w14:textId="77777777" w:rsidR="009C0666" w:rsidRPr="00BF5F3D" w:rsidRDefault="009C0666" w:rsidP="00AC11DC">
            <w:pPr>
              <w:pStyle w:val="Tabletext"/>
              <w:ind w:right="0"/>
              <w:rPr>
                <w:b/>
                <w:bCs/>
                <w:iCs/>
                <w:szCs w:val="20"/>
              </w:rPr>
            </w:pPr>
            <w:r w:rsidRPr="00BF5F3D">
              <w:rPr>
                <w:b/>
                <w:bCs/>
                <w:iCs/>
                <w:szCs w:val="20"/>
              </w:rPr>
              <w:t>Metabolism and nutrition disorders</w:t>
            </w:r>
          </w:p>
        </w:tc>
      </w:tr>
      <w:tr w:rsidR="009C0666" w:rsidRPr="00BF5F3D" w14:paraId="7D9162FF" w14:textId="77777777" w:rsidTr="00AC11DC">
        <w:tc>
          <w:tcPr>
            <w:tcW w:w="1325" w:type="pct"/>
          </w:tcPr>
          <w:p w14:paraId="469985C2" w14:textId="77777777" w:rsidR="009C0666" w:rsidRPr="00BF5F3D" w:rsidRDefault="009C0666" w:rsidP="00AC11DC">
            <w:pPr>
              <w:pStyle w:val="Tabletext"/>
              <w:ind w:right="0"/>
              <w:rPr>
                <w:iCs/>
                <w:szCs w:val="20"/>
              </w:rPr>
            </w:pPr>
            <w:r w:rsidRPr="00BF5F3D">
              <w:rPr>
                <w:iCs/>
                <w:szCs w:val="20"/>
              </w:rPr>
              <w:t>Hypokalaemia</w:t>
            </w:r>
          </w:p>
        </w:tc>
        <w:tc>
          <w:tcPr>
            <w:tcW w:w="869" w:type="pct"/>
          </w:tcPr>
          <w:p w14:paraId="0AAD4616" w14:textId="77777777" w:rsidR="009C0666" w:rsidRPr="00BF5F3D" w:rsidRDefault="009C0666" w:rsidP="00AC11DC">
            <w:pPr>
              <w:pStyle w:val="Tabletext"/>
              <w:ind w:right="0"/>
              <w:rPr>
                <w:iCs/>
                <w:szCs w:val="20"/>
              </w:rPr>
            </w:pPr>
            <w:r w:rsidRPr="00BF5F3D">
              <w:rPr>
                <w:iCs/>
                <w:szCs w:val="20"/>
              </w:rPr>
              <w:t>28 (14.9%)</w:t>
            </w:r>
          </w:p>
        </w:tc>
        <w:tc>
          <w:tcPr>
            <w:tcW w:w="909" w:type="pct"/>
          </w:tcPr>
          <w:p w14:paraId="34666EF8" w14:textId="77777777" w:rsidR="009C0666" w:rsidRPr="00BF5F3D" w:rsidRDefault="009C0666" w:rsidP="00AC11DC">
            <w:pPr>
              <w:pStyle w:val="Tabletext"/>
              <w:ind w:right="0"/>
              <w:rPr>
                <w:iCs/>
                <w:szCs w:val="20"/>
              </w:rPr>
            </w:pPr>
            <w:r w:rsidRPr="00BF5F3D">
              <w:rPr>
                <w:iCs/>
                <w:szCs w:val="20"/>
              </w:rPr>
              <w:t>10 (5.3%)</w:t>
            </w:r>
          </w:p>
        </w:tc>
        <w:tc>
          <w:tcPr>
            <w:tcW w:w="859" w:type="pct"/>
          </w:tcPr>
          <w:p w14:paraId="58BBE3AE" w14:textId="77777777" w:rsidR="009C0666" w:rsidRPr="00BF5F3D" w:rsidRDefault="009C0666" w:rsidP="00AC11DC">
            <w:pPr>
              <w:pStyle w:val="Tabletext"/>
              <w:ind w:right="0"/>
              <w:rPr>
                <w:iCs/>
                <w:szCs w:val="20"/>
              </w:rPr>
            </w:pPr>
            <w:r w:rsidRPr="00BF5F3D">
              <w:rPr>
                <w:iCs/>
                <w:szCs w:val="20"/>
              </w:rPr>
              <w:t>21 (10.9%)</w:t>
            </w:r>
          </w:p>
        </w:tc>
        <w:tc>
          <w:tcPr>
            <w:tcW w:w="1039" w:type="pct"/>
          </w:tcPr>
          <w:p w14:paraId="3B1A5DE8" w14:textId="77777777" w:rsidR="009C0666" w:rsidRPr="00BF5F3D" w:rsidRDefault="009C0666" w:rsidP="00AC11DC">
            <w:pPr>
              <w:pStyle w:val="Tabletext"/>
              <w:ind w:right="0"/>
              <w:rPr>
                <w:iCs/>
                <w:szCs w:val="20"/>
              </w:rPr>
            </w:pPr>
            <w:r w:rsidRPr="00BF5F3D">
              <w:rPr>
                <w:iCs/>
                <w:szCs w:val="20"/>
              </w:rPr>
              <w:t>3 (1.6%)</w:t>
            </w:r>
          </w:p>
        </w:tc>
      </w:tr>
      <w:tr w:rsidR="009C0666" w:rsidRPr="00BF5F3D" w14:paraId="6F15D925" w14:textId="77777777" w:rsidTr="00AC11DC">
        <w:tc>
          <w:tcPr>
            <w:tcW w:w="1325" w:type="pct"/>
          </w:tcPr>
          <w:p w14:paraId="4D8FC90C" w14:textId="77777777" w:rsidR="009C0666" w:rsidRPr="00BF5F3D" w:rsidRDefault="009C0666" w:rsidP="00AC11DC">
            <w:pPr>
              <w:pStyle w:val="Tabletext"/>
              <w:ind w:right="0"/>
              <w:rPr>
                <w:iCs/>
                <w:szCs w:val="20"/>
              </w:rPr>
            </w:pPr>
            <w:r w:rsidRPr="00BF5F3D">
              <w:rPr>
                <w:iCs/>
                <w:szCs w:val="20"/>
              </w:rPr>
              <w:t>Decreased appetite</w:t>
            </w:r>
          </w:p>
        </w:tc>
        <w:tc>
          <w:tcPr>
            <w:tcW w:w="869" w:type="pct"/>
          </w:tcPr>
          <w:p w14:paraId="2020A74E" w14:textId="77777777" w:rsidR="009C0666" w:rsidRPr="00BF5F3D" w:rsidRDefault="009C0666" w:rsidP="00AC11DC">
            <w:pPr>
              <w:pStyle w:val="Tabletext"/>
              <w:ind w:right="0"/>
              <w:rPr>
                <w:iCs/>
                <w:szCs w:val="20"/>
              </w:rPr>
            </w:pPr>
            <w:r w:rsidRPr="00BF5F3D">
              <w:rPr>
                <w:iCs/>
                <w:szCs w:val="20"/>
              </w:rPr>
              <w:t>23 (12.2%)</w:t>
            </w:r>
          </w:p>
        </w:tc>
        <w:tc>
          <w:tcPr>
            <w:tcW w:w="909" w:type="pct"/>
          </w:tcPr>
          <w:p w14:paraId="1FBF1BED" w14:textId="77777777" w:rsidR="009C0666" w:rsidRPr="00BF5F3D" w:rsidRDefault="009C0666" w:rsidP="00AC11DC">
            <w:pPr>
              <w:pStyle w:val="Tabletext"/>
              <w:ind w:right="0"/>
              <w:rPr>
                <w:iCs/>
                <w:szCs w:val="20"/>
              </w:rPr>
            </w:pPr>
            <w:r w:rsidRPr="00BF5F3D">
              <w:rPr>
                <w:iCs/>
                <w:szCs w:val="20"/>
              </w:rPr>
              <w:t>0</w:t>
            </w:r>
          </w:p>
        </w:tc>
        <w:tc>
          <w:tcPr>
            <w:tcW w:w="859" w:type="pct"/>
          </w:tcPr>
          <w:p w14:paraId="019F1C9B" w14:textId="77777777" w:rsidR="009C0666" w:rsidRPr="00BF5F3D" w:rsidRDefault="009C0666" w:rsidP="00AC11DC">
            <w:pPr>
              <w:pStyle w:val="Tabletext"/>
              <w:ind w:right="0"/>
              <w:rPr>
                <w:iCs/>
                <w:szCs w:val="20"/>
              </w:rPr>
            </w:pPr>
            <w:r w:rsidRPr="00BF5F3D">
              <w:rPr>
                <w:iCs/>
                <w:szCs w:val="20"/>
              </w:rPr>
              <w:t>18 (9.3%)</w:t>
            </w:r>
          </w:p>
        </w:tc>
        <w:tc>
          <w:tcPr>
            <w:tcW w:w="1039" w:type="pct"/>
          </w:tcPr>
          <w:p w14:paraId="5019210D" w14:textId="77777777" w:rsidR="009C0666" w:rsidRPr="00BF5F3D" w:rsidRDefault="009C0666" w:rsidP="00AC11DC">
            <w:pPr>
              <w:pStyle w:val="Tabletext"/>
              <w:ind w:right="0"/>
              <w:rPr>
                <w:iCs/>
                <w:szCs w:val="20"/>
              </w:rPr>
            </w:pPr>
            <w:r w:rsidRPr="00BF5F3D">
              <w:rPr>
                <w:iCs/>
                <w:szCs w:val="20"/>
              </w:rPr>
              <w:t>0</w:t>
            </w:r>
          </w:p>
        </w:tc>
      </w:tr>
      <w:tr w:rsidR="009C0666" w:rsidRPr="00BF5F3D" w14:paraId="59B35F24" w14:textId="77777777" w:rsidTr="00AC11DC">
        <w:tc>
          <w:tcPr>
            <w:tcW w:w="1325" w:type="pct"/>
          </w:tcPr>
          <w:p w14:paraId="34385B8D" w14:textId="77777777" w:rsidR="009C0666" w:rsidRPr="00BF5F3D" w:rsidRDefault="009C0666" w:rsidP="00AC11DC">
            <w:pPr>
              <w:pStyle w:val="Tabletext"/>
              <w:ind w:right="0"/>
              <w:rPr>
                <w:iCs/>
                <w:szCs w:val="20"/>
              </w:rPr>
            </w:pPr>
            <w:r w:rsidRPr="00BF5F3D">
              <w:rPr>
                <w:iCs/>
                <w:szCs w:val="20"/>
              </w:rPr>
              <w:t>Hyponatraemia</w:t>
            </w:r>
          </w:p>
        </w:tc>
        <w:tc>
          <w:tcPr>
            <w:tcW w:w="869" w:type="pct"/>
          </w:tcPr>
          <w:p w14:paraId="711CF47B" w14:textId="77777777" w:rsidR="009C0666" w:rsidRPr="00BF5F3D" w:rsidRDefault="009C0666" w:rsidP="00AC11DC">
            <w:pPr>
              <w:pStyle w:val="Tabletext"/>
              <w:ind w:right="0"/>
              <w:rPr>
                <w:iCs/>
                <w:szCs w:val="20"/>
              </w:rPr>
            </w:pPr>
            <w:r w:rsidRPr="00BF5F3D">
              <w:rPr>
                <w:iCs/>
                <w:szCs w:val="20"/>
              </w:rPr>
              <w:t>7 (3.7%)</w:t>
            </w:r>
          </w:p>
        </w:tc>
        <w:tc>
          <w:tcPr>
            <w:tcW w:w="909" w:type="pct"/>
          </w:tcPr>
          <w:p w14:paraId="7EDBFEBA" w14:textId="77777777" w:rsidR="009C0666" w:rsidRPr="00BF5F3D" w:rsidRDefault="009C0666" w:rsidP="00AC11DC">
            <w:pPr>
              <w:pStyle w:val="Tabletext"/>
              <w:ind w:right="0"/>
              <w:rPr>
                <w:iCs/>
                <w:szCs w:val="20"/>
              </w:rPr>
            </w:pPr>
            <w:r w:rsidRPr="00BF5F3D">
              <w:rPr>
                <w:iCs/>
                <w:szCs w:val="20"/>
              </w:rPr>
              <w:t>5 (2.7%)</w:t>
            </w:r>
          </w:p>
        </w:tc>
        <w:tc>
          <w:tcPr>
            <w:tcW w:w="859" w:type="pct"/>
          </w:tcPr>
          <w:p w14:paraId="58C82313" w14:textId="77777777" w:rsidR="009C0666" w:rsidRPr="00BF5F3D" w:rsidRDefault="009C0666" w:rsidP="00AC11DC">
            <w:pPr>
              <w:pStyle w:val="Tabletext"/>
              <w:ind w:right="0"/>
              <w:rPr>
                <w:iCs/>
                <w:szCs w:val="20"/>
              </w:rPr>
            </w:pPr>
            <w:r w:rsidRPr="00BF5F3D">
              <w:rPr>
                <w:iCs/>
                <w:szCs w:val="20"/>
              </w:rPr>
              <w:t>14 (7.3%)</w:t>
            </w:r>
          </w:p>
        </w:tc>
        <w:tc>
          <w:tcPr>
            <w:tcW w:w="1039" w:type="pct"/>
          </w:tcPr>
          <w:p w14:paraId="10F67356" w14:textId="77777777" w:rsidR="009C0666" w:rsidRPr="00BF5F3D" w:rsidRDefault="009C0666" w:rsidP="00AC11DC">
            <w:pPr>
              <w:pStyle w:val="Tabletext"/>
              <w:ind w:right="0"/>
              <w:rPr>
                <w:iCs/>
                <w:szCs w:val="20"/>
              </w:rPr>
            </w:pPr>
            <w:r w:rsidRPr="00BF5F3D">
              <w:rPr>
                <w:iCs/>
                <w:szCs w:val="20"/>
              </w:rPr>
              <w:t>5 (2.6%)</w:t>
            </w:r>
          </w:p>
        </w:tc>
      </w:tr>
      <w:tr w:rsidR="009C0666" w:rsidRPr="00BF5F3D" w14:paraId="1D9EF227" w14:textId="77777777" w:rsidTr="00AC11DC">
        <w:tc>
          <w:tcPr>
            <w:tcW w:w="1325" w:type="pct"/>
          </w:tcPr>
          <w:p w14:paraId="5155CB0F" w14:textId="77777777" w:rsidR="009C0666" w:rsidRPr="00BF5F3D" w:rsidRDefault="009C0666" w:rsidP="00AC11DC">
            <w:pPr>
              <w:pStyle w:val="Tabletext"/>
              <w:ind w:right="0"/>
              <w:rPr>
                <w:iCs/>
                <w:szCs w:val="20"/>
              </w:rPr>
            </w:pPr>
            <w:r w:rsidRPr="00BF5F3D">
              <w:rPr>
                <w:iCs/>
                <w:szCs w:val="20"/>
              </w:rPr>
              <w:t>Hyperglycaemia</w:t>
            </w:r>
          </w:p>
        </w:tc>
        <w:tc>
          <w:tcPr>
            <w:tcW w:w="869" w:type="pct"/>
          </w:tcPr>
          <w:p w14:paraId="635BD643" w14:textId="77777777" w:rsidR="009C0666" w:rsidRPr="00BF5F3D" w:rsidRDefault="009C0666" w:rsidP="00AC11DC">
            <w:pPr>
              <w:pStyle w:val="Tabletext"/>
              <w:ind w:right="0"/>
              <w:rPr>
                <w:iCs/>
                <w:szCs w:val="20"/>
              </w:rPr>
            </w:pPr>
            <w:r w:rsidRPr="00BF5F3D">
              <w:rPr>
                <w:iCs/>
                <w:szCs w:val="20"/>
              </w:rPr>
              <w:t>7 (3.7%)</w:t>
            </w:r>
          </w:p>
        </w:tc>
        <w:tc>
          <w:tcPr>
            <w:tcW w:w="909" w:type="pct"/>
          </w:tcPr>
          <w:p w14:paraId="5537C40C" w14:textId="77777777" w:rsidR="009C0666" w:rsidRPr="00BF5F3D" w:rsidRDefault="009C0666" w:rsidP="00AC11DC">
            <w:pPr>
              <w:pStyle w:val="Tabletext"/>
              <w:ind w:right="0"/>
              <w:rPr>
                <w:iCs/>
                <w:szCs w:val="20"/>
              </w:rPr>
            </w:pPr>
            <w:r w:rsidRPr="00BF5F3D">
              <w:rPr>
                <w:iCs/>
                <w:szCs w:val="20"/>
              </w:rPr>
              <w:t>1 (0.5%)</w:t>
            </w:r>
          </w:p>
        </w:tc>
        <w:tc>
          <w:tcPr>
            <w:tcW w:w="859" w:type="pct"/>
          </w:tcPr>
          <w:p w14:paraId="5768D5ED" w14:textId="77777777" w:rsidR="009C0666" w:rsidRPr="00BF5F3D" w:rsidRDefault="009C0666" w:rsidP="00AC11DC">
            <w:pPr>
              <w:pStyle w:val="Tabletext"/>
              <w:ind w:right="0"/>
              <w:rPr>
                <w:iCs/>
                <w:szCs w:val="20"/>
              </w:rPr>
            </w:pPr>
            <w:r w:rsidRPr="00BF5F3D">
              <w:rPr>
                <w:iCs/>
                <w:szCs w:val="20"/>
              </w:rPr>
              <w:t>11 (5.7%)</w:t>
            </w:r>
          </w:p>
        </w:tc>
        <w:tc>
          <w:tcPr>
            <w:tcW w:w="1039" w:type="pct"/>
          </w:tcPr>
          <w:p w14:paraId="6BE3CF92" w14:textId="77777777" w:rsidR="009C0666" w:rsidRPr="00BF5F3D" w:rsidRDefault="009C0666" w:rsidP="00AC11DC">
            <w:pPr>
              <w:pStyle w:val="Tabletext"/>
              <w:ind w:right="0"/>
              <w:rPr>
                <w:iCs/>
                <w:szCs w:val="20"/>
              </w:rPr>
            </w:pPr>
            <w:r w:rsidRPr="00BF5F3D">
              <w:rPr>
                <w:iCs/>
                <w:szCs w:val="20"/>
              </w:rPr>
              <w:t>4 (2.1%)</w:t>
            </w:r>
          </w:p>
        </w:tc>
      </w:tr>
      <w:tr w:rsidR="009C0666" w:rsidRPr="00BF5F3D" w14:paraId="01C13C40" w14:textId="77777777" w:rsidTr="00AC11DC">
        <w:tc>
          <w:tcPr>
            <w:tcW w:w="1325" w:type="pct"/>
          </w:tcPr>
          <w:p w14:paraId="75BC7B09" w14:textId="77777777" w:rsidR="009C0666" w:rsidRPr="00BF5F3D" w:rsidRDefault="009C0666" w:rsidP="00AC11DC">
            <w:pPr>
              <w:pStyle w:val="Tabletext"/>
              <w:ind w:right="0"/>
              <w:rPr>
                <w:iCs/>
                <w:szCs w:val="20"/>
              </w:rPr>
            </w:pPr>
            <w:r w:rsidRPr="00BF5F3D">
              <w:rPr>
                <w:iCs/>
                <w:szCs w:val="20"/>
              </w:rPr>
              <w:t>Hypocalcaemia</w:t>
            </w:r>
          </w:p>
        </w:tc>
        <w:tc>
          <w:tcPr>
            <w:tcW w:w="869" w:type="pct"/>
          </w:tcPr>
          <w:p w14:paraId="5AC9034D" w14:textId="77777777" w:rsidR="009C0666" w:rsidRPr="00BF5F3D" w:rsidRDefault="009C0666" w:rsidP="00AC11DC">
            <w:pPr>
              <w:pStyle w:val="Tabletext"/>
              <w:ind w:right="0"/>
              <w:rPr>
                <w:iCs/>
                <w:szCs w:val="20"/>
              </w:rPr>
            </w:pPr>
            <w:r w:rsidRPr="00BF5F3D">
              <w:rPr>
                <w:iCs/>
                <w:szCs w:val="20"/>
              </w:rPr>
              <w:t>9 (4.8%)</w:t>
            </w:r>
          </w:p>
        </w:tc>
        <w:tc>
          <w:tcPr>
            <w:tcW w:w="909" w:type="pct"/>
          </w:tcPr>
          <w:p w14:paraId="6C9084B3" w14:textId="77777777" w:rsidR="009C0666" w:rsidRPr="00BF5F3D" w:rsidRDefault="009C0666" w:rsidP="00AC11DC">
            <w:pPr>
              <w:pStyle w:val="Tabletext"/>
              <w:ind w:right="0"/>
              <w:rPr>
                <w:iCs/>
                <w:szCs w:val="20"/>
              </w:rPr>
            </w:pPr>
            <w:r w:rsidRPr="00BF5F3D">
              <w:rPr>
                <w:iCs/>
                <w:szCs w:val="20"/>
              </w:rPr>
              <w:t>0</w:t>
            </w:r>
          </w:p>
        </w:tc>
        <w:tc>
          <w:tcPr>
            <w:tcW w:w="859" w:type="pct"/>
          </w:tcPr>
          <w:p w14:paraId="7F3FBE29" w14:textId="77777777" w:rsidR="009C0666" w:rsidRPr="00BF5F3D" w:rsidRDefault="009C0666" w:rsidP="00AC11DC">
            <w:pPr>
              <w:pStyle w:val="Tabletext"/>
              <w:ind w:right="0"/>
              <w:rPr>
                <w:iCs/>
                <w:szCs w:val="20"/>
              </w:rPr>
            </w:pPr>
            <w:r w:rsidRPr="00BF5F3D">
              <w:rPr>
                <w:iCs/>
                <w:szCs w:val="20"/>
              </w:rPr>
              <w:t>10 (5.2%)</w:t>
            </w:r>
          </w:p>
        </w:tc>
        <w:tc>
          <w:tcPr>
            <w:tcW w:w="1039" w:type="pct"/>
          </w:tcPr>
          <w:p w14:paraId="4B6F23E7" w14:textId="77777777" w:rsidR="009C0666" w:rsidRPr="00BF5F3D" w:rsidRDefault="009C0666" w:rsidP="00AC11DC">
            <w:pPr>
              <w:pStyle w:val="Tabletext"/>
              <w:ind w:right="0"/>
              <w:rPr>
                <w:iCs/>
                <w:szCs w:val="20"/>
              </w:rPr>
            </w:pPr>
            <w:r w:rsidRPr="00BF5F3D">
              <w:rPr>
                <w:iCs/>
                <w:szCs w:val="20"/>
              </w:rPr>
              <w:t>1 (0.5%)</w:t>
            </w:r>
          </w:p>
        </w:tc>
      </w:tr>
      <w:tr w:rsidR="009C0666" w:rsidRPr="00BF5F3D" w14:paraId="2F93833E" w14:textId="77777777" w:rsidTr="00AC11DC">
        <w:tc>
          <w:tcPr>
            <w:tcW w:w="1325" w:type="pct"/>
          </w:tcPr>
          <w:p w14:paraId="6D3102DE" w14:textId="77777777" w:rsidR="009C0666" w:rsidRPr="00BF5F3D" w:rsidRDefault="009C0666" w:rsidP="00AC11DC">
            <w:pPr>
              <w:pStyle w:val="Tabletext"/>
              <w:ind w:right="0"/>
              <w:rPr>
                <w:iCs/>
                <w:szCs w:val="20"/>
              </w:rPr>
            </w:pPr>
            <w:r w:rsidRPr="00BF5F3D">
              <w:rPr>
                <w:iCs/>
                <w:szCs w:val="20"/>
              </w:rPr>
              <w:t>Hypoalbuminaemia</w:t>
            </w:r>
          </w:p>
        </w:tc>
        <w:tc>
          <w:tcPr>
            <w:tcW w:w="869" w:type="pct"/>
          </w:tcPr>
          <w:p w14:paraId="0C47F185" w14:textId="77777777" w:rsidR="009C0666" w:rsidRPr="00BF5F3D" w:rsidRDefault="009C0666" w:rsidP="00AC11DC">
            <w:pPr>
              <w:pStyle w:val="Tabletext"/>
              <w:ind w:right="0"/>
              <w:rPr>
                <w:iCs/>
                <w:szCs w:val="20"/>
              </w:rPr>
            </w:pPr>
            <w:r w:rsidRPr="00BF5F3D">
              <w:rPr>
                <w:iCs/>
                <w:szCs w:val="20"/>
              </w:rPr>
              <w:t>11 (5.9%)</w:t>
            </w:r>
          </w:p>
        </w:tc>
        <w:tc>
          <w:tcPr>
            <w:tcW w:w="909" w:type="pct"/>
          </w:tcPr>
          <w:p w14:paraId="3F0930E4" w14:textId="77777777" w:rsidR="009C0666" w:rsidRPr="00BF5F3D" w:rsidRDefault="009C0666" w:rsidP="00AC11DC">
            <w:pPr>
              <w:pStyle w:val="Tabletext"/>
              <w:ind w:right="0"/>
              <w:rPr>
                <w:iCs/>
                <w:szCs w:val="20"/>
              </w:rPr>
            </w:pPr>
            <w:r w:rsidRPr="00BF5F3D">
              <w:rPr>
                <w:iCs/>
                <w:szCs w:val="20"/>
              </w:rPr>
              <w:t>5 (2.7%)</w:t>
            </w:r>
          </w:p>
        </w:tc>
        <w:tc>
          <w:tcPr>
            <w:tcW w:w="859" w:type="pct"/>
          </w:tcPr>
          <w:p w14:paraId="5EA56FCC" w14:textId="77777777" w:rsidR="009C0666" w:rsidRPr="00BF5F3D" w:rsidRDefault="009C0666" w:rsidP="00AC11DC">
            <w:pPr>
              <w:pStyle w:val="Tabletext"/>
              <w:ind w:right="0"/>
              <w:rPr>
                <w:iCs/>
                <w:szCs w:val="20"/>
              </w:rPr>
            </w:pPr>
            <w:r w:rsidRPr="00BF5F3D">
              <w:rPr>
                <w:iCs/>
                <w:szCs w:val="20"/>
              </w:rPr>
              <w:t>8 (4.1%)</w:t>
            </w:r>
          </w:p>
        </w:tc>
        <w:tc>
          <w:tcPr>
            <w:tcW w:w="1039" w:type="pct"/>
          </w:tcPr>
          <w:p w14:paraId="0BBEBE34" w14:textId="77777777" w:rsidR="009C0666" w:rsidRPr="00BF5F3D" w:rsidRDefault="009C0666" w:rsidP="00AC11DC">
            <w:pPr>
              <w:pStyle w:val="Tabletext"/>
              <w:ind w:right="0"/>
              <w:rPr>
                <w:iCs/>
                <w:szCs w:val="20"/>
              </w:rPr>
            </w:pPr>
            <w:r w:rsidRPr="00BF5F3D">
              <w:rPr>
                <w:iCs/>
                <w:szCs w:val="20"/>
              </w:rPr>
              <w:t>1 (0.5%)</w:t>
            </w:r>
          </w:p>
        </w:tc>
      </w:tr>
      <w:tr w:rsidR="009C0666" w:rsidRPr="00BF5F3D" w14:paraId="3B62AC52" w14:textId="77777777" w:rsidTr="00AC11DC">
        <w:tc>
          <w:tcPr>
            <w:tcW w:w="5000" w:type="pct"/>
            <w:gridSpan w:val="5"/>
          </w:tcPr>
          <w:p w14:paraId="491EBDC3" w14:textId="77777777" w:rsidR="009C0666" w:rsidRPr="00BF5F3D" w:rsidRDefault="009C0666" w:rsidP="00AC11DC">
            <w:pPr>
              <w:pStyle w:val="Tabletext"/>
              <w:ind w:right="0"/>
              <w:rPr>
                <w:b/>
                <w:bCs/>
                <w:iCs/>
                <w:szCs w:val="20"/>
              </w:rPr>
            </w:pPr>
            <w:r w:rsidRPr="00BF5F3D">
              <w:rPr>
                <w:b/>
                <w:bCs/>
                <w:iCs/>
                <w:szCs w:val="20"/>
              </w:rPr>
              <w:lastRenderedPageBreak/>
              <w:t>Musculoskeletal and connective tissue disorders</w:t>
            </w:r>
          </w:p>
        </w:tc>
      </w:tr>
      <w:tr w:rsidR="009C0666" w:rsidRPr="00BF5F3D" w14:paraId="39034677" w14:textId="77777777" w:rsidTr="00AC11DC">
        <w:tc>
          <w:tcPr>
            <w:tcW w:w="1325" w:type="pct"/>
          </w:tcPr>
          <w:p w14:paraId="53798E65" w14:textId="77777777" w:rsidR="009C0666" w:rsidRPr="00BF5F3D" w:rsidRDefault="009C0666" w:rsidP="00AC11DC">
            <w:pPr>
              <w:pStyle w:val="Tabletext"/>
              <w:ind w:right="0"/>
              <w:rPr>
                <w:iCs/>
                <w:szCs w:val="20"/>
              </w:rPr>
            </w:pPr>
            <w:r w:rsidRPr="00BF5F3D">
              <w:rPr>
                <w:iCs/>
                <w:szCs w:val="20"/>
              </w:rPr>
              <w:t>Back pain</w:t>
            </w:r>
          </w:p>
        </w:tc>
        <w:tc>
          <w:tcPr>
            <w:tcW w:w="869" w:type="pct"/>
          </w:tcPr>
          <w:p w14:paraId="795892E7" w14:textId="77777777" w:rsidR="009C0666" w:rsidRPr="00BF5F3D" w:rsidRDefault="009C0666" w:rsidP="00AC11DC">
            <w:pPr>
              <w:pStyle w:val="Tabletext"/>
              <w:ind w:right="0"/>
              <w:rPr>
                <w:iCs/>
                <w:szCs w:val="20"/>
              </w:rPr>
            </w:pPr>
            <w:r w:rsidRPr="00BF5F3D">
              <w:rPr>
                <w:iCs/>
                <w:szCs w:val="20"/>
              </w:rPr>
              <w:t>11 (5.9%)</w:t>
            </w:r>
          </w:p>
        </w:tc>
        <w:tc>
          <w:tcPr>
            <w:tcW w:w="909" w:type="pct"/>
          </w:tcPr>
          <w:p w14:paraId="56089C6E" w14:textId="77777777" w:rsidR="009C0666" w:rsidRPr="00BF5F3D" w:rsidRDefault="009C0666" w:rsidP="00AC11DC">
            <w:pPr>
              <w:pStyle w:val="Tabletext"/>
              <w:ind w:right="0"/>
              <w:rPr>
                <w:iCs/>
                <w:szCs w:val="20"/>
              </w:rPr>
            </w:pPr>
            <w:r w:rsidRPr="00BF5F3D">
              <w:rPr>
                <w:iCs/>
                <w:szCs w:val="20"/>
              </w:rPr>
              <w:t>0</w:t>
            </w:r>
          </w:p>
        </w:tc>
        <w:tc>
          <w:tcPr>
            <w:tcW w:w="859" w:type="pct"/>
          </w:tcPr>
          <w:p w14:paraId="2366132F" w14:textId="77777777" w:rsidR="009C0666" w:rsidRPr="00BF5F3D" w:rsidRDefault="009C0666" w:rsidP="00AC11DC">
            <w:pPr>
              <w:pStyle w:val="Tabletext"/>
              <w:ind w:right="0"/>
              <w:rPr>
                <w:iCs/>
                <w:szCs w:val="20"/>
              </w:rPr>
            </w:pPr>
            <w:r w:rsidRPr="00BF5F3D">
              <w:rPr>
                <w:iCs/>
                <w:szCs w:val="20"/>
              </w:rPr>
              <w:t>17 (8.8%)</w:t>
            </w:r>
          </w:p>
        </w:tc>
        <w:tc>
          <w:tcPr>
            <w:tcW w:w="1039" w:type="pct"/>
          </w:tcPr>
          <w:p w14:paraId="1DFAC925" w14:textId="77777777" w:rsidR="009C0666" w:rsidRPr="00BF5F3D" w:rsidRDefault="009C0666" w:rsidP="00AC11DC">
            <w:pPr>
              <w:pStyle w:val="Tabletext"/>
              <w:ind w:right="0"/>
              <w:rPr>
                <w:iCs/>
                <w:szCs w:val="20"/>
              </w:rPr>
            </w:pPr>
            <w:r w:rsidRPr="00BF5F3D">
              <w:rPr>
                <w:iCs/>
                <w:szCs w:val="20"/>
              </w:rPr>
              <w:t>1 (0.5%)</w:t>
            </w:r>
          </w:p>
        </w:tc>
      </w:tr>
      <w:tr w:rsidR="009C0666" w:rsidRPr="00BF5F3D" w14:paraId="26BBD31A" w14:textId="77777777" w:rsidTr="00AC11DC">
        <w:tc>
          <w:tcPr>
            <w:tcW w:w="1325" w:type="pct"/>
          </w:tcPr>
          <w:p w14:paraId="4DB31BA5" w14:textId="77777777" w:rsidR="009C0666" w:rsidRPr="00BF5F3D" w:rsidRDefault="009C0666" w:rsidP="00AC11DC">
            <w:pPr>
              <w:pStyle w:val="Tabletext"/>
              <w:ind w:right="0"/>
              <w:rPr>
                <w:iCs/>
                <w:szCs w:val="20"/>
              </w:rPr>
            </w:pPr>
            <w:r w:rsidRPr="00BF5F3D">
              <w:rPr>
                <w:iCs/>
                <w:szCs w:val="20"/>
              </w:rPr>
              <w:t>Muscle spasms</w:t>
            </w:r>
          </w:p>
        </w:tc>
        <w:tc>
          <w:tcPr>
            <w:tcW w:w="869" w:type="pct"/>
          </w:tcPr>
          <w:p w14:paraId="6B386FAA" w14:textId="77777777" w:rsidR="009C0666" w:rsidRPr="00BF5F3D" w:rsidRDefault="009C0666" w:rsidP="00AC11DC">
            <w:pPr>
              <w:pStyle w:val="Tabletext"/>
              <w:ind w:right="0"/>
              <w:rPr>
                <w:iCs/>
                <w:szCs w:val="20"/>
              </w:rPr>
            </w:pPr>
            <w:r w:rsidRPr="00BF5F3D">
              <w:rPr>
                <w:iCs/>
                <w:szCs w:val="20"/>
              </w:rPr>
              <w:t>10 (5.3%)</w:t>
            </w:r>
          </w:p>
        </w:tc>
        <w:tc>
          <w:tcPr>
            <w:tcW w:w="909" w:type="pct"/>
          </w:tcPr>
          <w:p w14:paraId="6F20CE15" w14:textId="77777777" w:rsidR="009C0666" w:rsidRPr="00BF5F3D" w:rsidRDefault="009C0666" w:rsidP="00AC11DC">
            <w:pPr>
              <w:pStyle w:val="Tabletext"/>
              <w:ind w:right="0"/>
              <w:rPr>
                <w:iCs/>
                <w:szCs w:val="20"/>
              </w:rPr>
            </w:pPr>
            <w:r w:rsidRPr="00BF5F3D">
              <w:rPr>
                <w:iCs/>
                <w:szCs w:val="20"/>
              </w:rPr>
              <w:t>0</w:t>
            </w:r>
          </w:p>
        </w:tc>
        <w:tc>
          <w:tcPr>
            <w:tcW w:w="859" w:type="pct"/>
          </w:tcPr>
          <w:p w14:paraId="588EE93F" w14:textId="77777777" w:rsidR="009C0666" w:rsidRPr="00BF5F3D" w:rsidRDefault="009C0666" w:rsidP="00AC11DC">
            <w:pPr>
              <w:pStyle w:val="Tabletext"/>
              <w:ind w:right="0"/>
              <w:rPr>
                <w:iCs/>
                <w:szCs w:val="20"/>
              </w:rPr>
            </w:pPr>
            <w:r w:rsidRPr="00BF5F3D">
              <w:rPr>
                <w:iCs/>
                <w:szCs w:val="20"/>
              </w:rPr>
              <w:t>16 (8.3%)</w:t>
            </w:r>
          </w:p>
        </w:tc>
        <w:tc>
          <w:tcPr>
            <w:tcW w:w="1039" w:type="pct"/>
          </w:tcPr>
          <w:p w14:paraId="7D970C32" w14:textId="77777777" w:rsidR="009C0666" w:rsidRPr="00BF5F3D" w:rsidRDefault="009C0666" w:rsidP="00AC11DC">
            <w:pPr>
              <w:pStyle w:val="Tabletext"/>
              <w:ind w:right="0"/>
              <w:rPr>
                <w:iCs/>
                <w:szCs w:val="20"/>
              </w:rPr>
            </w:pPr>
            <w:r w:rsidRPr="00BF5F3D">
              <w:rPr>
                <w:iCs/>
                <w:szCs w:val="20"/>
              </w:rPr>
              <w:t>1 (0.5%)</w:t>
            </w:r>
          </w:p>
        </w:tc>
      </w:tr>
      <w:tr w:rsidR="009C0666" w:rsidRPr="00BF5F3D" w14:paraId="5E5D7241" w14:textId="77777777" w:rsidTr="00AC11DC">
        <w:tc>
          <w:tcPr>
            <w:tcW w:w="1325" w:type="pct"/>
          </w:tcPr>
          <w:p w14:paraId="0E9E4685" w14:textId="77777777" w:rsidR="009C0666" w:rsidRPr="00BF5F3D" w:rsidRDefault="009C0666" w:rsidP="00AC11DC">
            <w:pPr>
              <w:pStyle w:val="Tabletext"/>
              <w:ind w:right="0"/>
              <w:rPr>
                <w:iCs/>
                <w:szCs w:val="20"/>
              </w:rPr>
            </w:pPr>
            <w:r w:rsidRPr="00BF5F3D">
              <w:rPr>
                <w:iCs/>
                <w:szCs w:val="20"/>
              </w:rPr>
              <w:t>Muscular weakness</w:t>
            </w:r>
          </w:p>
        </w:tc>
        <w:tc>
          <w:tcPr>
            <w:tcW w:w="869" w:type="pct"/>
          </w:tcPr>
          <w:p w14:paraId="69040706" w14:textId="77777777" w:rsidR="009C0666" w:rsidRPr="00BF5F3D" w:rsidRDefault="009C0666" w:rsidP="00AC11DC">
            <w:pPr>
              <w:pStyle w:val="Tabletext"/>
              <w:ind w:right="0"/>
              <w:rPr>
                <w:iCs/>
                <w:szCs w:val="20"/>
              </w:rPr>
            </w:pPr>
            <w:r w:rsidRPr="00BF5F3D">
              <w:rPr>
                <w:iCs/>
                <w:szCs w:val="20"/>
              </w:rPr>
              <w:t>11 (5.9%)</w:t>
            </w:r>
          </w:p>
        </w:tc>
        <w:tc>
          <w:tcPr>
            <w:tcW w:w="909" w:type="pct"/>
          </w:tcPr>
          <w:p w14:paraId="5A8E5F8C" w14:textId="77777777" w:rsidR="009C0666" w:rsidRPr="00BF5F3D" w:rsidRDefault="009C0666" w:rsidP="00AC11DC">
            <w:pPr>
              <w:pStyle w:val="Tabletext"/>
              <w:ind w:right="0"/>
              <w:rPr>
                <w:iCs/>
                <w:szCs w:val="20"/>
              </w:rPr>
            </w:pPr>
            <w:r w:rsidRPr="00BF5F3D">
              <w:rPr>
                <w:iCs/>
                <w:szCs w:val="20"/>
              </w:rPr>
              <w:t>1 (0.5%)</w:t>
            </w:r>
          </w:p>
        </w:tc>
        <w:tc>
          <w:tcPr>
            <w:tcW w:w="859" w:type="pct"/>
          </w:tcPr>
          <w:p w14:paraId="22F46D0E" w14:textId="77777777" w:rsidR="009C0666" w:rsidRPr="00BF5F3D" w:rsidRDefault="009C0666" w:rsidP="00AC11DC">
            <w:pPr>
              <w:pStyle w:val="Tabletext"/>
              <w:ind w:right="0"/>
              <w:rPr>
                <w:iCs/>
                <w:szCs w:val="20"/>
              </w:rPr>
            </w:pPr>
            <w:r w:rsidRPr="00BF5F3D">
              <w:rPr>
                <w:iCs/>
                <w:szCs w:val="20"/>
              </w:rPr>
              <w:t>16 (8.3%)</w:t>
            </w:r>
          </w:p>
        </w:tc>
        <w:tc>
          <w:tcPr>
            <w:tcW w:w="1039" w:type="pct"/>
          </w:tcPr>
          <w:p w14:paraId="16087AD8" w14:textId="77777777" w:rsidR="009C0666" w:rsidRPr="00BF5F3D" w:rsidRDefault="009C0666" w:rsidP="00AC11DC">
            <w:pPr>
              <w:pStyle w:val="Tabletext"/>
              <w:ind w:right="0"/>
              <w:rPr>
                <w:iCs/>
                <w:szCs w:val="20"/>
              </w:rPr>
            </w:pPr>
            <w:r w:rsidRPr="00BF5F3D">
              <w:rPr>
                <w:iCs/>
                <w:szCs w:val="20"/>
              </w:rPr>
              <w:t>3 (1.6%)</w:t>
            </w:r>
          </w:p>
        </w:tc>
      </w:tr>
      <w:tr w:rsidR="009C0666" w:rsidRPr="00BF5F3D" w14:paraId="4BA23245" w14:textId="77777777" w:rsidTr="00AC11DC">
        <w:tc>
          <w:tcPr>
            <w:tcW w:w="1325" w:type="pct"/>
          </w:tcPr>
          <w:p w14:paraId="41F513E3" w14:textId="77777777" w:rsidR="009C0666" w:rsidRPr="00BF5F3D" w:rsidRDefault="009C0666" w:rsidP="00AC11DC">
            <w:pPr>
              <w:pStyle w:val="Tabletext"/>
              <w:ind w:right="0"/>
              <w:rPr>
                <w:iCs/>
                <w:szCs w:val="20"/>
              </w:rPr>
            </w:pPr>
            <w:r w:rsidRPr="00BF5F3D">
              <w:rPr>
                <w:iCs/>
                <w:szCs w:val="20"/>
              </w:rPr>
              <w:t>Myalgia</w:t>
            </w:r>
          </w:p>
        </w:tc>
        <w:tc>
          <w:tcPr>
            <w:tcW w:w="869" w:type="pct"/>
          </w:tcPr>
          <w:p w14:paraId="7208B0FF" w14:textId="77777777" w:rsidR="009C0666" w:rsidRPr="00BF5F3D" w:rsidRDefault="009C0666" w:rsidP="00AC11DC">
            <w:pPr>
              <w:pStyle w:val="Tabletext"/>
              <w:ind w:right="0"/>
              <w:rPr>
                <w:iCs/>
                <w:szCs w:val="20"/>
              </w:rPr>
            </w:pPr>
            <w:r w:rsidRPr="00BF5F3D">
              <w:rPr>
                <w:iCs/>
                <w:szCs w:val="20"/>
              </w:rPr>
              <w:t>7 (3.7%)</w:t>
            </w:r>
          </w:p>
        </w:tc>
        <w:tc>
          <w:tcPr>
            <w:tcW w:w="909" w:type="pct"/>
          </w:tcPr>
          <w:p w14:paraId="527B160E" w14:textId="77777777" w:rsidR="009C0666" w:rsidRPr="00BF5F3D" w:rsidRDefault="009C0666" w:rsidP="00AC11DC">
            <w:pPr>
              <w:pStyle w:val="Tabletext"/>
              <w:ind w:right="0"/>
              <w:rPr>
                <w:iCs/>
                <w:szCs w:val="20"/>
              </w:rPr>
            </w:pPr>
            <w:r w:rsidRPr="00BF5F3D">
              <w:rPr>
                <w:iCs/>
                <w:szCs w:val="20"/>
              </w:rPr>
              <w:t>0</w:t>
            </w:r>
          </w:p>
        </w:tc>
        <w:tc>
          <w:tcPr>
            <w:tcW w:w="859" w:type="pct"/>
          </w:tcPr>
          <w:p w14:paraId="5709F4D2" w14:textId="77777777" w:rsidR="009C0666" w:rsidRPr="00BF5F3D" w:rsidRDefault="009C0666" w:rsidP="00AC11DC">
            <w:pPr>
              <w:pStyle w:val="Tabletext"/>
              <w:ind w:right="0"/>
              <w:rPr>
                <w:iCs/>
                <w:szCs w:val="20"/>
              </w:rPr>
            </w:pPr>
            <w:r w:rsidRPr="00BF5F3D">
              <w:rPr>
                <w:iCs/>
                <w:szCs w:val="20"/>
              </w:rPr>
              <w:t>15 (7.8%)</w:t>
            </w:r>
          </w:p>
        </w:tc>
        <w:tc>
          <w:tcPr>
            <w:tcW w:w="1039" w:type="pct"/>
          </w:tcPr>
          <w:p w14:paraId="3401FF0C" w14:textId="77777777" w:rsidR="009C0666" w:rsidRPr="00BF5F3D" w:rsidRDefault="009C0666" w:rsidP="00AC11DC">
            <w:pPr>
              <w:pStyle w:val="Tabletext"/>
              <w:ind w:right="0"/>
              <w:rPr>
                <w:iCs/>
                <w:szCs w:val="20"/>
              </w:rPr>
            </w:pPr>
            <w:r w:rsidRPr="00BF5F3D">
              <w:rPr>
                <w:iCs/>
                <w:szCs w:val="20"/>
              </w:rPr>
              <w:t>0</w:t>
            </w:r>
          </w:p>
        </w:tc>
      </w:tr>
      <w:tr w:rsidR="009C0666" w:rsidRPr="00BF5F3D" w14:paraId="76D6EEF6" w14:textId="77777777" w:rsidTr="00AC11DC">
        <w:tc>
          <w:tcPr>
            <w:tcW w:w="1325" w:type="pct"/>
          </w:tcPr>
          <w:p w14:paraId="286F62C6" w14:textId="77777777" w:rsidR="009C0666" w:rsidRPr="00BF5F3D" w:rsidRDefault="009C0666" w:rsidP="00AC11DC">
            <w:pPr>
              <w:pStyle w:val="Tabletext"/>
              <w:ind w:right="0"/>
              <w:rPr>
                <w:iCs/>
                <w:szCs w:val="20"/>
              </w:rPr>
            </w:pPr>
            <w:r w:rsidRPr="00BF5F3D">
              <w:rPr>
                <w:iCs/>
                <w:szCs w:val="20"/>
              </w:rPr>
              <w:t>Pain in extremity</w:t>
            </w:r>
          </w:p>
        </w:tc>
        <w:tc>
          <w:tcPr>
            <w:tcW w:w="869" w:type="pct"/>
          </w:tcPr>
          <w:p w14:paraId="542D1A5F" w14:textId="77777777" w:rsidR="009C0666" w:rsidRPr="00BF5F3D" w:rsidRDefault="009C0666" w:rsidP="00AC11DC">
            <w:pPr>
              <w:pStyle w:val="Tabletext"/>
              <w:ind w:right="0"/>
              <w:rPr>
                <w:iCs/>
                <w:szCs w:val="20"/>
              </w:rPr>
            </w:pPr>
            <w:r w:rsidRPr="00BF5F3D">
              <w:rPr>
                <w:iCs/>
                <w:szCs w:val="20"/>
              </w:rPr>
              <w:t>9 (4.8%)</w:t>
            </w:r>
          </w:p>
        </w:tc>
        <w:tc>
          <w:tcPr>
            <w:tcW w:w="909" w:type="pct"/>
          </w:tcPr>
          <w:p w14:paraId="6159A38C" w14:textId="77777777" w:rsidR="009C0666" w:rsidRPr="00BF5F3D" w:rsidRDefault="009C0666" w:rsidP="00AC11DC">
            <w:pPr>
              <w:pStyle w:val="Tabletext"/>
              <w:ind w:right="0"/>
              <w:rPr>
                <w:iCs/>
                <w:szCs w:val="20"/>
              </w:rPr>
            </w:pPr>
            <w:r w:rsidRPr="00BF5F3D">
              <w:rPr>
                <w:iCs/>
                <w:szCs w:val="20"/>
              </w:rPr>
              <w:t>0</w:t>
            </w:r>
          </w:p>
        </w:tc>
        <w:tc>
          <w:tcPr>
            <w:tcW w:w="859" w:type="pct"/>
          </w:tcPr>
          <w:p w14:paraId="46E4276C" w14:textId="77777777" w:rsidR="009C0666" w:rsidRPr="00BF5F3D" w:rsidRDefault="009C0666" w:rsidP="00AC11DC">
            <w:pPr>
              <w:pStyle w:val="Tabletext"/>
              <w:ind w:right="0"/>
              <w:rPr>
                <w:iCs/>
                <w:szCs w:val="20"/>
              </w:rPr>
            </w:pPr>
            <w:r w:rsidRPr="00BF5F3D">
              <w:rPr>
                <w:iCs/>
                <w:szCs w:val="20"/>
              </w:rPr>
              <w:t>12 (6.2%)</w:t>
            </w:r>
          </w:p>
        </w:tc>
        <w:tc>
          <w:tcPr>
            <w:tcW w:w="1039" w:type="pct"/>
          </w:tcPr>
          <w:p w14:paraId="39C933D9" w14:textId="77777777" w:rsidR="009C0666" w:rsidRPr="00BF5F3D" w:rsidRDefault="009C0666" w:rsidP="00AC11DC">
            <w:pPr>
              <w:pStyle w:val="Tabletext"/>
              <w:ind w:right="0"/>
              <w:rPr>
                <w:iCs/>
                <w:szCs w:val="20"/>
              </w:rPr>
            </w:pPr>
            <w:r w:rsidRPr="00BF5F3D">
              <w:rPr>
                <w:iCs/>
                <w:szCs w:val="20"/>
              </w:rPr>
              <w:t>0</w:t>
            </w:r>
          </w:p>
        </w:tc>
      </w:tr>
      <w:tr w:rsidR="009C0666" w:rsidRPr="00BF5F3D" w14:paraId="4BA2D72E" w14:textId="77777777" w:rsidTr="00AC11DC">
        <w:tc>
          <w:tcPr>
            <w:tcW w:w="1325" w:type="pct"/>
          </w:tcPr>
          <w:p w14:paraId="2E9A391F" w14:textId="77777777" w:rsidR="009C0666" w:rsidRPr="00BF5F3D" w:rsidRDefault="009C0666" w:rsidP="00AC11DC">
            <w:pPr>
              <w:pStyle w:val="Tabletext"/>
              <w:ind w:right="0"/>
              <w:rPr>
                <w:iCs/>
                <w:szCs w:val="20"/>
              </w:rPr>
            </w:pPr>
            <w:r w:rsidRPr="00BF5F3D">
              <w:rPr>
                <w:iCs/>
                <w:szCs w:val="20"/>
              </w:rPr>
              <w:t>Arthralgia</w:t>
            </w:r>
          </w:p>
        </w:tc>
        <w:tc>
          <w:tcPr>
            <w:tcW w:w="869" w:type="pct"/>
          </w:tcPr>
          <w:p w14:paraId="6D8E2783" w14:textId="77777777" w:rsidR="009C0666" w:rsidRPr="00BF5F3D" w:rsidRDefault="009C0666" w:rsidP="00AC11DC">
            <w:pPr>
              <w:pStyle w:val="Tabletext"/>
              <w:ind w:right="0"/>
              <w:rPr>
                <w:iCs/>
                <w:szCs w:val="20"/>
              </w:rPr>
            </w:pPr>
            <w:r w:rsidRPr="00BF5F3D">
              <w:rPr>
                <w:iCs/>
                <w:szCs w:val="20"/>
              </w:rPr>
              <w:t>9 (4.8%)</w:t>
            </w:r>
          </w:p>
        </w:tc>
        <w:tc>
          <w:tcPr>
            <w:tcW w:w="909" w:type="pct"/>
          </w:tcPr>
          <w:p w14:paraId="018EB0D9" w14:textId="77777777" w:rsidR="009C0666" w:rsidRPr="00BF5F3D" w:rsidRDefault="009C0666" w:rsidP="00AC11DC">
            <w:pPr>
              <w:pStyle w:val="Tabletext"/>
              <w:ind w:right="0"/>
              <w:rPr>
                <w:iCs/>
                <w:szCs w:val="20"/>
              </w:rPr>
            </w:pPr>
            <w:r w:rsidRPr="00BF5F3D">
              <w:rPr>
                <w:iCs/>
                <w:szCs w:val="20"/>
              </w:rPr>
              <w:t>0</w:t>
            </w:r>
          </w:p>
        </w:tc>
        <w:tc>
          <w:tcPr>
            <w:tcW w:w="859" w:type="pct"/>
          </w:tcPr>
          <w:p w14:paraId="5A2329CE" w14:textId="77777777" w:rsidR="009C0666" w:rsidRPr="00BF5F3D" w:rsidRDefault="009C0666" w:rsidP="00AC11DC">
            <w:pPr>
              <w:pStyle w:val="Tabletext"/>
              <w:ind w:right="0"/>
              <w:rPr>
                <w:iCs/>
                <w:szCs w:val="20"/>
              </w:rPr>
            </w:pPr>
            <w:r w:rsidRPr="00BF5F3D">
              <w:rPr>
                <w:iCs/>
                <w:szCs w:val="20"/>
              </w:rPr>
              <w:t>10 (5.2%)</w:t>
            </w:r>
          </w:p>
        </w:tc>
        <w:tc>
          <w:tcPr>
            <w:tcW w:w="1039" w:type="pct"/>
          </w:tcPr>
          <w:p w14:paraId="1207ADCA" w14:textId="77777777" w:rsidR="009C0666" w:rsidRPr="00BF5F3D" w:rsidRDefault="009C0666" w:rsidP="00AC11DC">
            <w:pPr>
              <w:pStyle w:val="Tabletext"/>
              <w:ind w:right="0"/>
              <w:rPr>
                <w:iCs/>
                <w:szCs w:val="20"/>
              </w:rPr>
            </w:pPr>
            <w:r w:rsidRPr="00BF5F3D">
              <w:rPr>
                <w:iCs/>
                <w:szCs w:val="20"/>
              </w:rPr>
              <w:t>0</w:t>
            </w:r>
          </w:p>
        </w:tc>
      </w:tr>
      <w:tr w:rsidR="009C0666" w:rsidRPr="00BF5F3D" w14:paraId="62461CD8" w14:textId="77777777" w:rsidTr="00AC11DC">
        <w:tc>
          <w:tcPr>
            <w:tcW w:w="5000" w:type="pct"/>
            <w:gridSpan w:val="5"/>
          </w:tcPr>
          <w:p w14:paraId="4125CD69" w14:textId="77777777" w:rsidR="009C0666" w:rsidRPr="00BF5F3D" w:rsidRDefault="009C0666" w:rsidP="00AC11DC">
            <w:pPr>
              <w:pStyle w:val="Tabletext"/>
              <w:ind w:right="0"/>
              <w:rPr>
                <w:b/>
                <w:bCs/>
                <w:iCs/>
                <w:szCs w:val="20"/>
              </w:rPr>
            </w:pPr>
            <w:r w:rsidRPr="00BF5F3D">
              <w:rPr>
                <w:b/>
                <w:bCs/>
                <w:iCs/>
                <w:szCs w:val="20"/>
              </w:rPr>
              <w:t>Nervous system disorders</w:t>
            </w:r>
          </w:p>
        </w:tc>
      </w:tr>
      <w:tr w:rsidR="009C0666" w:rsidRPr="00BF5F3D" w14:paraId="3F3437B7" w14:textId="77777777" w:rsidTr="00AC11DC">
        <w:tc>
          <w:tcPr>
            <w:tcW w:w="1325" w:type="pct"/>
          </w:tcPr>
          <w:p w14:paraId="36CD734B" w14:textId="77777777" w:rsidR="009C0666" w:rsidRPr="00BF5F3D" w:rsidRDefault="009C0666" w:rsidP="00AC11DC">
            <w:pPr>
              <w:pStyle w:val="Tabletext"/>
              <w:ind w:right="0"/>
              <w:rPr>
                <w:iCs/>
                <w:szCs w:val="20"/>
              </w:rPr>
            </w:pPr>
            <w:r w:rsidRPr="00BF5F3D">
              <w:rPr>
                <w:iCs/>
                <w:szCs w:val="20"/>
              </w:rPr>
              <w:t>Peripheral sensory neuropathy</w:t>
            </w:r>
          </w:p>
        </w:tc>
        <w:tc>
          <w:tcPr>
            <w:tcW w:w="869" w:type="pct"/>
          </w:tcPr>
          <w:p w14:paraId="02CCE283" w14:textId="77777777" w:rsidR="009C0666" w:rsidRPr="00BF5F3D" w:rsidRDefault="009C0666" w:rsidP="00AC11DC">
            <w:pPr>
              <w:pStyle w:val="Tabletext"/>
              <w:ind w:right="0"/>
              <w:rPr>
                <w:iCs/>
                <w:szCs w:val="20"/>
              </w:rPr>
            </w:pPr>
            <w:r w:rsidRPr="00BF5F3D">
              <w:rPr>
                <w:iCs/>
                <w:szCs w:val="20"/>
              </w:rPr>
              <w:t>37 (19.7%)</w:t>
            </w:r>
          </w:p>
        </w:tc>
        <w:tc>
          <w:tcPr>
            <w:tcW w:w="909" w:type="pct"/>
          </w:tcPr>
          <w:p w14:paraId="091A5C0A" w14:textId="77777777" w:rsidR="009C0666" w:rsidRPr="00BF5F3D" w:rsidRDefault="009C0666" w:rsidP="00AC11DC">
            <w:pPr>
              <w:pStyle w:val="Tabletext"/>
              <w:ind w:right="0"/>
              <w:rPr>
                <w:iCs/>
                <w:szCs w:val="20"/>
              </w:rPr>
            </w:pPr>
            <w:r w:rsidRPr="00BF5F3D">
              <w:rPr>
                <w:iCs/>
                <w:szCs w:val="20"/>
              </w:rPr>
              <w:t>4 (2.1%)</w:t>
            </w:r>
          </w:p>
        </w:tc>
        <w:tc>
          <w:tcPr>
            <w:tcW w:w="859" w:type="pct"/>
          </w:tcPr>
          <w:p w14:paraId="534991B3" w14:textId="77777777" w:rsidR="009C0666" w:rsidRPr="00BF5F3D" w:rsidRDefault="009C0666" w:rsidP="00AC11DC">
            <w:pPr>
              <w:pStyle w:val="Tabletext"/>
              <w:ind w:right="0"/>
              <w:rPr>
                <w:iCs/>
                <w:szCs w:val="20"/>
              </w:rPr>
            </w:pPr>
            <w:r w:rsidRPr="00BF5F3D">
              <w:rPr>
                <w:iCs/>
                <w:szCs w:val="20"/>
              </w:rPr>
              <w:t>54 (28.0%)</w:t>
            </w:r>
          </w:p>
        </w:tc>
        <w:tc>
          <w:tcPr>
            <w:tcW w:w="1039" w:type="pct"/>
          </w:tcPr>
          <w:p w14:paraId="486754FD" w14:textId="77777777" w:rsidR="009C0666" w:rsidRPr="00BF5F3D" w:rsidRDefault="009C0666" w:rsidP="00AC11DC">
            <w:pPr>
              <w:pStyle w:val="Tabletext"/>
              <w:ind w:right="0"/>
              <w:rPr>
                <w:iCs/>
                <w:szCs w:val="20"/>
              </w:rPr>
            </w:pPr>
          </w:p>
        </w:tc>
      </w:tr>
      <w:tr w:rsidR="009C0666" w:rsidRPr="00BF5F3D" w14:paraId="35A168F1" w14:textId="77777777" w:rsidTr="00AC11DC">
        <w:tc>
          <w:tcPr>
            <w:tcW w:w="1325" w:type="pct"/>
          </w:tcPr>
          <w:p w14:paraId="514A3E19" w14:textId="77777777" w:rsidR="009C0666" w:rsidRPr="00BF5F3D" w:rsidRDefault="009C0666" w:rsidP="00AC11DC">
            <w:pPr>
              <w:pStyle w:val="Tabletext"/>
              <w:ind w:right="0"/>
              <w:rPr>
                <w:iCs/>
                <w:szCs w:val="20"/>
              </w:rPr>
            </w:pPr>
            <w:r w:rsidRPr="00BF5F3D">
              <w:rPr>
                <w:iCs/>
                <w:szCs w:val="20"/>
              </w:rPr>
              <w:t>Dizziness</w:t>
            </w:r>
          </w:p>
        </w:tc>
        <w:tc>
          <w:tcPr>
            <w:tcW w:w="869" w:type="pct"/>
          </w:tcPr>
          <w:p w14:paraId="283D1E06" w14:textId="77777777" w:rsidR="009C0666" w:rsidRPr="00BF5F3D" w:rsidRDefault="009C0666" w:rsidP="00AC11DC">
            <w:pPr>
              <w:pStyle w:val="Tabletext"/>
              <w:ind w:right="0"/>
              <w:rPr>
                <w:iCs/>
                <w:szCs w:val="20"/>
              </w:rPr>
            </w:pPr>
            <w:r w:rsidRPr="00BF5F3D">
              <w:rPr>
                <w:iCs/>
                <w:szCs w:val="20"/>
              </w:rPr>
              <w:t>26 (13.8%)</w:t>
            </w:r>
          </w:p>
        </w:tc>
        <w:tc>
          <w:tcPr>
            <w:tcW w:w="909" w:type="pct"/>
          </w:tcPr>
          <w:p w14:paraId="4BB596F5" w14:textId="77777777" w:rsidR="009C0666" w:rsidRPr="00BF5F3D" w:rsidRDefault="009C0666" w:rsidP="00AC11DC">
            <w:pPr>
              <w:pStyle w:val="Tabletext"/>
              <w:ind w:right="0"/>
              <w:rPr>
                <w:iCs/>
                <w:szCs w:val="20"/>
              </w:rPr>
            </w:pPr>
            <w:r w:rsidRPr="00BF5F3D">
              <w:rPr>
                <w:iCs/>
                <w:szCs w:val="20"/>
              </w:rPr>
              <w:t>0</w:t>
            </w:r>
          </w:p>
        </w:tc>
        <w:tc>
          <w:tcPr>
            <w:tcW w:w="859" w:type="pct"/>
          </w:tcPr>
          <w:p w14:paraId="106D197C" w14:textId="77777777" w:rsidR="009C0666" w:rsidRPr="00BF5F3D" w:rsidRDefault="009C0666" w:rsidP="00AC11DC">
            <w:pPr>
              <w:pStyle w:val="Tabletext"/>
              <w:ind w:right="0"/>
              <w:rPr>
                <w:iCs/>
                <w:szCs w:val="20"/>
              </w:rPr>
            </w:pPr>
            <w:r w:rsidRPr="00BF5F3D">
              <w:rPr>
                <w:iCs/>
                <w:szCs w:val="20"/>
              </w:rPr>
              <w:t>28 (14.5%)</w:t>
            </w:r>
          </w:p>
        </w:tc>
        <w:tc>
          <w:tcPr>
            <w:tcW w:w="1039" w:type="pct"/>
          </w:tcPr>
          <w:p w14:paraId="447773C7" w14:textId="77777777" w:rsidR="009C0666" w:rsidRPr="00BF5F3D" w:rsidRDefault="009C0666" w:rsidP="00AC11DC">
            <w:pPr>
              <w:pStyle w:val="Tabletext"/>
              <w:ind w:right="0"/>
              <w:rPr>
                <w:iCs/>
                <w:szCs w:val="20"/>
              </w:rPr>
            </w:pPr>
            <w:r w:rsidRPr="00BF5F3D">
              <w:rPr>
                <w:iCs/>
                <w:szCs w:val="20"/>
              </w:rPr>
              <w:t>5 (2.6%)</w:t>
            </w:r>
          </w:p>
        </w:tc>
      </w:tr>
      <w:tr w:rsidR="009C0666" w:rsidRPr="00BF5F3D" w14:paraId="1BC6D1B6" w14:textId="77777777" w:rsidTr="00AC11DC">
        <w:tc>
          <w:tcPr>
            <w:tcW w:w="1325" w:type="pct"/>
          </w:tcPr>
          <w:p w14:paraId="0C43C29D" w14:textId="77777777" w:rsidR="009C0666" w:rsidRPr="00BF5F3D" w:rsidRDefault="009C0666" w:rsidP="00AC11DC">
            <w:pPr>
              <w:pStyle w:val="Tabletext"/>
              <w:ind w:right="0"/>
              <w:rPr>
                <w:iCs/>
                <w:szCs w:val="20"/>
              </w:rPr>
            </w:pPr>
            <w:r w:rsidRPr="00BF5F3D">
              <w:rPr>
                <w:iCs/>
                <w:szCs w:val="20"/>
              </w:rPr>
              <w:t>Headache</w:t>
            </w:r>
          </w:p>
        </w:tc>
        <w:tc>
          <w:tcPr>
            <w:tcW w:w="869" w:type="pct"/>
          </w:tcPr>
          <w:p w14:paraId="1E8DCB71" w14:textId="77777777" w:rsidR="009C0666" w:rsidRPr="00BF5F3D" w:rsidRDefault="009C0666" w:rsidP="00AC11DC">
            <w:pPr>
              <w:pStyle w:val="Tabletext"/>
              <w:ind w:right="0"/>
              <w:rPr>
                <w:iCs/>
                <w:szCs w:val="20"/>
              </w:rPr>
            </w:pPr>
            <w:r w:rsidRPr="00BF5F3D">
              <w:rPr>
                <w:iCs/>
                <w:szCs w:val="20"/>
              </w:rPr>
              <w:t>18 (9.6%)</w:t>
            </w:r>
          </w:p>
        </w:tc>
        <w:tc>
          <w:tcPr>
            <w:tcW w:w="909" w:type="pct"/>
          </w:tcPr>
          <w:p w14:paraId="40C26FB0" w14:textId="77777777" w:rsidR="009C0666" w:rsidRPr="00BF5F3D" w:rsidRDefault="009C0666" w:rsidP="00AC11DC">
            <w:pPr>
              <w:pStyle w:val="Tabletext"/>
              <w:ind w:right="0"/>
              <w:rPr>
                <w:iCs/>
                <w:szCs w:val="20"/>
              </w:rPr>
            </w:pPr>
            <w:r w:rsidRPr="00BF5F3D">
              <w:rPr>
                <w:iCs/>
                <w:szCs w:val="20"/>
              </w:rPr>
              <w:t>0</w:t>
            </w:r>
          </w:p>
        </w:tc>
        <w:tc>
          <w:tcPr>
            <w:tcW w:w="859" w:type="pct"/>
          </w:tcPr>
          <w:p w14:paraId="7E439145" w14:textId="77777777" w:rsidR="009C0666" w:rsidRPr="00BF5F3D" w:rsidRDefault="009C0666" w:rsidP="00AC11DC">
            <w:pPr>
              <w:pStyle w:val="Tabletext"/>
              <w:ind w:right="0"/>
              <w:rPr>
                <w:iCs/>
                <w:szCs w:val="20"/>
              </w:rPr>
            </w:pPr>
            <w:r w:rsidRPr="00BF5F3D">
              <w:rPr>
                <w:iCs/>
                <w:szCs w:val="20"/>
              </w:rPr>
              <w:t>23 (11.9%)</w:t>
            </w:r>
          </w:p>
        </w:tc>
        <w:tc>
          <w:tcPr>
            <w:tcW w:w="1039" w:type="pct"/>
          </w:tcPr>
          <w:p w14:paraId="0128F836" w14:textId="77777777" w:rsidR="009C0666" w:rsidRPr="00BF5F3D" w:rsidRDefault="009C0666" w:rsidP="00AC11DC">
            <w:pPr>
              <w:pStyle w:val="Tabletext"/>
              <w:ind w:right="0"/>
              <w:rPr>
                <w:iCs/>
                <w:szCs w:val="20"/>
              </w:rPr>
            </w:pPr>
            <w:r w:rsidRPr="00BF5F3D">
              <w:rPr>
                <w:iCs/>
                <w:szCs w:val="20"/>
              </w:rPr>
              <w:t>0</w:t>
            </w:r>
          </w:p>
        </w:tc>
      </w:tr>
      <w:tr w:rsidR="009C0666" w:rsidRPr="00BF5F3D" w14:paraId="4683DCFF" w14:textId="77777777" w:rsidTr="00AC11DC">
        <w:tc>
          <w:tcPr>
            <w:tcW w:w="1325" w:type="pct"/>
          </w:tcPr>
          <w:p w14:paraId="3567FF65" w14:textId="77777777" w:rsidR="009C0666" w:rsidRPr="00BF5F3D" w:rsidRDefault="009C0666" w:rsidP="00AC11DC">
            <w:pPr>
              <w:pStyle w:val="Tabletext"/>
              <w:ind w:right="0"/>
              <w:rPr>
                <w:iCs/>
                <w:szCs w:val="20"/>
              </w:rPr>
            </w:pPr>
            <w:r w:rsidRPr="00BF5F3D">
              <w:rPr>
                <w:iCs/>
                <w:szCs w:val="20"/>
              </w:rPr>
              <w:t>Dysgeusia</w:t>
            </w:r>
          </w:p>
        </w:tc>
        <w:tc>
          <w:tcPr>
            <w:tcW w:w="869" w:type="pct"/>
          </w:tcPr>
          <w:p w14:paraId="71BDA795" w14:textId="77777777" w:rsidR="009C0666" w:rsidRPr="00BF5F3D" w:rsidRDefault="009C0666" w:rsidP="00AC11DC">
            <w:pPr>
              <w:pStyle w:val="Tabletext"/>
              <w:ind w:right="0"/>
              <w:rPr>
                <w:iCs/>
                <w:szCs w:val="20"/>
              </w:rPr>
            </w:pPr>
            <w:r w:rsidRPr="00BF5F3D">
              <w:rPr>
                <w:iCs/>
                <w:szCs w:val="20"/>
              </w:rPr>
              <w:t>11 (5.9%)</w:t>
            </w:r>
          </w:p>
        </w:tc>
        <w:tc>
          <w:tcPr>
            <w:tcW w:w="909" w:type="pct"/>
          </w:tcPr>
          <w:p w14:paraId="13D2F837" w14:textId="77777777" w:rsidR="009C0666" w:rsidRPr="00BF5F3D" w:rsidRDefault="009C0666" w:rsidP="00AC11DC">
            <w:pPr>
              <w:pStyle w:val="Tabletext"/>
              <w:ind w:right="0"/>
              <w:rPr>
                <w:iCs/>
                <w:szCs w:val="20"/>
              </w:rPr>
            </w:pPr>
            <w:r w:rsidRPr="00BF5F3D">
              <w:rPr>
                <w:iCs/>
                <w:szCs w:val="20"/>
              </w:rPr>
              <w:t>0</w:t>
            </w:r>
          </w:p>
        </w:tc>
        <w:tc>
          <w:tcPr>
            <w:tcW w:w="859" w:type="pct"/>
          </w:tcPr>
          <w:p w14:paraId="1F891DD7" w14:textId="77777777" w:rsidR="009C0666" w:rsidRPr="00BF5F3D" w:rsidRDefault="009C0666" w:rsidP="00AC11DC">
            <w:pPr>
              <w:pStyle w:val="Tabletext"/>
              <w:ind w:right="0"/>
              <w:rPr>
                <w:iCs/>
                <w:szCs w:val="20"/>
              </w:rPr>
            </w:pPr>
            <w:r w:rsidRPr="00BF5F3D">
              <w:rPr>
                <w:iCs/>
                <w:szCs w:val="20"/>
              </w:rPr>
              <w:t>15 (7.8%)</w:t>
            </w:r>
          </w:p>
        </w:tc>
        <w:tc>
          <w:tcPr>
            <w:tcW w:w="1039" w:type="pct"/>
          </w:tcPr>
          <w:p w14:paraId="6A4A7BFF" w14:textId="77777777" w:rsidR="009C0666" w:rsidRPr="00BF5F3D" w:rsidRDefault="009C0666" w:rsidP="00AC11DC">
            <w:pPr>
              <w:pStyle w:val="Tabletext"/>
              <w:ind w:right="0"/>
              <w:rPr>
                <w:iCs/>
                <w:szCs w:val="20"/>
              </w:rPr>
            </w:pPr>
            <w:r w:rsidRPr="00BF5F3D">
              <w:rPr>
                <w:iCs/>
                <w:szCs w:val="20"/>
              </w:rPr>
              <w:t>1 (0.5%)</w:t>
            </w:r>
          </w:p>
        </w:tc>
      </w:tr>
      <w:tr w:rsidR="009C0666" w:rsidRPr="00BF5F3D" w14:paraId="17226BCD" w14:textId="77777777" w:rsidTr="00AC11DC">
        <w:tc>
          <w:tcPr>
            <w:tcW w:w="1325" w:type="pct"/>
          </w:tcPr>
          <w:p w14:paraId="4BC20A0A" w14:textId="77777777" w:rsidR="009C0666" w:rsidRPr="00BF5F3D" w:rsidRDefault="009C0666" w:rsidP="00AC11DC">
            <w:pPr>
              <w:pStyle w:val="Tabletext"/>
              <w:ind w:right="0"/>
              <w:rPr>
                <w:iCs/>
                <w:szCs w:val="20"/>
              </w:rPr>
            </w:pPr>
            <w:r w:rsidRPr="00BF5F3D">
              <w:rPr>
                <w:iCs/>
                <w:szCs w:val="20"/>
              </w:rPr>
              <w:t>Paraesthesia</w:t>
            </w:r>
          </w:p>
        </w:tc>
        <w:tc>
          <w:tcPr>
            <w:tcW w:w="869" w:type="pct"/>
          </w:tcPr>
          <w:p w14:paraId="6E07EE95" w14:textId="77777777" w:rsidR="009C0666" w:rsidRPr="00BF5F3D" w:rsidRDefault="009C0666" w:rsidP="00AC11DC">
            <w:pPr>
              <w:pStyle w:val="Tabletext"/>
              <w:ind w:right="0"/>
              <w:rPr>
                <w:iCs/>
                <w:szCs w:val="20"/>
              </w:rPr>
            </w:pPr>
            <w:r w:rsidRPr="00BF5F3D">
              <w:rPr>
                <w:iCs/>
                <w:szCs w:val="20"/>
              </w:rPr>
              <w:t>12 (6.4%)</w:t>
            </w:r>
          </w:p>
        </w:tc>
        <w:tc>
          <w:tcPr>
            <w:tcW w:w="909" w:type="pct"/>
          </w:tcPr>
          <w:p w14:paraId="4158B8E0" w14:textId="77777777" w:rsidR="009C0666" w:rsidRPr="00BF5F3D" w:rsidRDefault="009C0666" w:rsidP="00AC11DC">
            <w:pPr>
              <w:pStyle w:val="Tabletext"/>
              <w:ind w:right="0"/>
              <w:rPr>
                <w:iCs/>
                <w:szCs w:val="20"/>
              </w:rPr>
            </w:pPr>
            <w:r w:rsidRPr="00BF5F3D">
              <w:rPr>
                <w:iCs/>
                <w:szCs w:val="20"/>
              </w:rPr>
              <w:t>0</w:t>
            </w:r>
          </w:p>
        </w:tc>
        <w:tc>
          <w:tcPr>
            <w:tcW w:w="859" w:type="pct"/>
          </w:tcPr>
          <w:p w14:paraId="03B92ED6" w14:textId="77777777" w:rsidR="009C0666" w:rsidRPr="00BF5F3D" w:rsidRDefault="009C0666" w:rsidP="00AC11DC">
            <w:pPr>
              <w:pStyle w:val="Tabletext"/>
              <w:ind w:right="0"/>
              <w:rPr>
                <w:iCs/>
                <w:szCs w:val="20"/>
              </w:rPr>
            </w:pPr>
            <w:r w:rsidRPr="00BF5F3D">
              <w:rPr>
                <w:iCs/>
                <w:szCs w:val="20"/>
              </w:rPr>
              <w:t>14 (7.3%)</w:t>
            </w:r>
          </w:p>
        </w:tc>
        <w:tc>
          <w:tcPr>
            <w:tcW w:w="1039" w:type="pct"/>
          </w:tcPr>
          <w:p w14:paraId="724689D4" w14:textId="77777777" w:rsidR="009C0666" w:rsidRPr="00BF5F3D" w:rsidRDefault="009C0666" w:rsidP="00AC11DC">
            <w:pPr>
              <w:pStyle w:val="Tabletext"/>
              <w:ind w:right="0"/>
              <w:rPr>
                <w:iCs/>
                <w:szCs w:val="20"/>
              </w:rPr>
            </w:pPr>
            <w:r w:rsidRPr="00BF5F3D">
              <w:rPr>
                <w:iCs/>
                <w:szCs w:val="20"/>
              </w:rPr>
              <w:t>0</w:t>
            </w:r>
          </w:p>
        </w:tc>
      </w:tr>
      <w:tr w:rsidR="009C0666" w:rsidRPr="00BF5F3D" w14:paraId="03158BEA" w14:textId="77777777" w:rsidTr="00AC11DC">
        <w:tc>
          <w:tcPr>
            <w:tcW w:w="1325" w:type="pct"/>
          </w:tcPr>
          <w:p w14:paraId="1E8E4C99" w14:textId="77777777" w:rsidR="009C0666" w:rsidRPr="00BF5F3D" w:rsidRDefault="009C0666" w:rsidP="00AC11DC">
            <w:pPr>
              <w:pStyle w:val="Tabletext"/>
              <w:ind w:right="0"/>
              <w:rPr>
                <w:iCs/>
                <w:szCs w:val="20"/>
              </w:rPr>
            </w:pPr>
            <w:r w:rsidRPr="00BF5F3D">
              <w:rPr>
                <w:iCs/>
                <w:szCs w:val="20"/>
              </w:rPr>
              <w:t>Syncope</w:t>
            </w:r>
          </w:p>
        </w:tc>
        <w:tc>
          <w:tcPr>
            <w:tcW w:w="869" w:type="pct"/>
          </w:tcPr>
          <w:p w14:paraId="541D5B1A" w14:textId="77777777" w:rsidR="009C0666" w:rsidRPr="00BF5F3D" w:rsidRDefault="009C0666" w:rsidP="00AC11DC">
            <w:pPr>
              <w:pStyle w:val="Tabletext"/>
              <w:ind w:right="0"/>
              <w:rPr>
                <w:iCs/>
                <w:szCs w:val="20"/>
              </w:rPr>
            </w:pPr>
            <w:r w:rsidRPr="00BF5F3D">
              <w:rPr>
                <w:iCs/>
                <w:szCs w:val="20"/>
              </w:rPr>
              <w:t>12 (6.4%)</w:t>
            </w:r>
          </w:p>
        </w:tc>
        <w:tc>
          <w:tcPr>
            <w:tcW w:w="909" w:type="pct"/>
          </w:tcPr>
          <w:p w14:paraId="053CE644" w14:textId="77777777" w:rsidR="009C0666" w:rsidRPr="00BF5F3D" w:rsidRDefault="009C0666" w:rsidP="00AC11DC">
            <w:pPr>
              <w:pStyle w:val="Tabletext"/>
              <w:ind w:right="0"/>
              <w:rPr>
                <w:iCs/>
                <w:szCs w:val="20"/>
              </w:rPr>
            </w:pPr>
            <w:r w:rsidRPr="00BF5F3D">
              <w:rPr>
                <w:iCs/>
                <w:szCs w:val="20"/>
              </w:rPr>
              <w:t>12 (6.4%)</w:t>
            </w:r>
          </w:p>
        </w:tc>
        <w:tc>
          <w:tcPr>
            <w:tcW w:w="859" w:type="pct"/>
          </w:tcPr>
          <w:p w14:paraId="0C5A6ED0" w14:textId="77777777" w:rsidR="009C0666" w:rsidRPr="00BF5F3D" w:rsidRDefault="009C0666" w:rsidP="00AC11DC">
            <w:pPr>
              <w:pStyle w:val="Tabletext"/>
              <w:ind w:right="0"/>
              <w:rPr>
                <w:iCs/>
                <w:szCs w:val="20"/>
              </w:rPr>
            </w:pPr>
            <w:r w:rsidRPr="00BF5F3D">
              <w:rPr>
                <w:iCs/>
                <w:szCs w:val="20"/>
              </w:rPr>
              <w:t>14 (7.3%)</w:t>
            </w:r>
          </w:p>
        </w:tc>
        <w:tc>
          <w:tcPr>
            <w:tcW w:w="1039" w:type="pct"/>
          </w:tcPr>
          <w:p w14:paraId="0459C635" w14:textId="77777777" w:rsidR="009C0666" w:rsidRPr="00BF5F3D" w:rsidRDefault="009C0666" w:rsidP="00AC11DC">
            <w:pPr>
              <w:pStyle w:val="Tabletext"/>
              <w:ind w:right="0"/>
              <w:rPr>
                <w:iCs/>
                <w:szCs w:val="20"/>
              </w:rPr>
            </w:pPr>
            <w:r w:rsidRPr="00BF5F3D">
              <w:rPr>
                <w:iCs/>
                <w:szCs w:val="20"/>
              </w:rPr>
              <w:t>0</w:t>
            </w:r>
          </w:p>
        </w:tc>
      </w:tr>
      <w:tr w:rsidR="009C0666" w:rsidRPr="00BF5F3D" w14:paraId="76BD7CE7" w14:textId="77777777" w:rsidTr="00AC11DC">
        <w:tc>
          <w:tcPr>
            <w:tcW w:w="1325" w:type="pct"/>
          </w:tcPr>
          <w:p w14:paraId="6CA54D5F" w14:textId="77777777" w:rsidR="009C0666" w:rsidRPr="00BF5F3D" w:rsidRDefault="009C0666" w:rsidP="00AC11DC">
            <w:pPr>
              <w:pStyle w:val="Tabletext"/>
              <w:ind w:right="0"/>
              <w:rPr>
                <w:iCs/>
                <w:szCs w:val="20"/>
              </w:rPr>
            </w:pPr>
            <w:r w:rsidRPr="00BF5F3D">
              <w:rPr>
                <w:iCs/>
                <w:szCs w:val="20"/>
              </w:rPr>
              <w:t>Tremor</w:t>
            </w:r>
          </w:p>
        </w:tc>
        <w:tc>
          <w:tcPr>
            <w:tcW w:w="869" w:type="pct"/>
          </w:tcPr>
          <w:p w14:paraId="1C962CA7" w14:textId="77777777" w:rsidR="009C0666" w:rsidRPr="00BF5F3D" w:rsidRDefault="009C0666" w:rsidP="00AC11DC">
            <w:pPr>
              <w:pStyle w:val="Tabletext"/>
              <w:ind w:right="0"/>
              <w:rPr>
                <w:iCs/>
                <w:szCs w:val="20"/>
              </w:rPr>
            </w:pPr>
            <w:r w:rsidRPr="00BF5F3D">
              <w:rPr>
                <w:iCs/>
                <w:szCs w:val="20"/>
              </w:rPr>
              <w:t>2 (1.1%)</w:t>
            </w:r>
          </w:p>
        </w:tc>
        <w:tc>
          <w:tcPr>
            <w:tcW w:w="909" w:type="pct"/>
          </w:tcPr>
          <w:p w14:paraId="483BC5E1" w14:textId="77777777" w:rsidR="009C0666" w:rsidRPr="00BF5F3D" w:rsidRDefault="009C0666" w:rsidP="00AC11DC">
            <w:pPr>
              <w:pStyle w:val="Tabletext"/>
              <w:ind w:right="0"/>
              <w:rPr>
                <w:iCs/>
                <w:szCs w:val="20"/>
              </w:rPr>
            </w:pPr>
            <w:r w:rsidRPr="00BF5F3D">
              <w:rPr>
                <w:iCs/>
                <w:szCs w:val="20"/>
              </w:rPr>
              <w:t>0</w:t>
            </w:r>
          </w:p>
        </w:tc>
        <w:tc>
          <w:tcPr>
            <w:tcW w:w="859" w:type="pct"/>
          </w:tcPr>
          <w:p w14:paraId="38231FF5" w14:textId="77777777" w:rsidR="009C0666" w:rsidRPr="00BF5F3D" w:rsidRDefault="009C0666" w:rsidP="00AC11DC">
            <w:pPr>
              <w:pStyle w:val="Tabletext"/>
              <w:ind w:right="0"/>
              <w:rPr>
                <w:iCs/>
                <w:szCs w:val="20"/>
              </w:rPr>
            </w:pPr>
            <w:r w:rsidRPr="00BF5F3D">
              <w:rPr>
                <w:iCs/>
                <w:szCs w:val="20"/>
              </w:rPr>
              <w:t>10 (5.2%)</w:t>
            </w:r>
          </w:p>
        </w:tc>
        <w:tc>
          <w:tcPr>
            <w:tcW w:w="1039" w:type="pct"/>
          </w:tcPr>
          <w:p w14:paraId="368DBDF7" w14:textId="77777777" w:rsidR="009C0666" w:rsidRPr="00BF5F3D" w:rsidRDefault="009C0666" w:rsidP="00AC11DC">
            <w:pPr>
              <w:pStyle w:val="Tabletext"/>
              <w:ind w:right="0"/>
              <w:rPr>
                <w:iCs/>
                <w:szCs w:val="20"/>
              </w:rPr>
            </w:pPr>
            <w:r w:rsidRPr="00BF5F3D">
              <w:rPr>
                <w:iCs/>
                <w:szCs w:val="20"/>
              </w:rPr>
              <w:t>10 (5.2%)</w:t>
            </w:r>
          </w:p>
        </w:tc>
      </w:tr>
      <w:tr w:rsidR="009C0666" w:rsidRPr="00BF5F3D" w14:paraId="04B1CFF4" w14:textId="77777777" w:rsidTr="00AC11DC">
        <w:tc>
          <w:tcPr>
            <w:tcW w:w="5000" w:type="pct"/>
            <w:gridSpan w:val="5"/>
          </w:tcPr>
          <w:p w14:paraId="0AA55B72" w14:textId="560E074A" w:rsidR="009C0666" w:rsidRPr="00BF5F3D" w:rsidRDefault="009C0666" w:rsidP="00AC11DC">
            <w:pPr>
              <w:pStyle w:val="Tabletext"/>
              <w:ind w:right="0"/>
              <w:rPr>
                <w:b/>
                <w:bCs/>
                <w:iCs/>
                <w:szCs w:val="20"/>
              </w:rPr>
            </w:pPr>
            <w:r w:rsidRPr="00BF5F3D">
              <w:rPr>
                <w:b/>
                <w:bCs/>
                <w:iCs/>
                <w:szCs w:val="20"/>
              </w:rPr>
              <w:t>Psychiatric disorders</w:t>
            </w:r>
          </w:p>
        </w:tc>
      </w:tr>
      <w:tr w:rsidR="009C0666" w:rsidRPr="00BF5F3D" w14:paraId="0376CD25" w14:textId="77777777" w:rsidTr="00AC11DC">
        <w:tc>
          <w:tcPr>
            <w:tcW w:w="1325" w:type="pct"/>
          </w:tcPr>
          <w:p w14:paraId="34836536" w14:textId="77777777" w:rsidR="009C0666" w:rsidRPr="00BF5F3D" w:rsidRDefault="009C0666" w:rsidP="00AC11DC">
            <w:pPr>
              <w:pStyle w:val="Tabletext"/>
              <w:ind w:right="0"/>
              <w:rPr>
                <w:iCs/>
                <w:szCs w:val="20"/>
              </w:rPr>
            </w:pPr>
            <w:r w:rsidRPr="00BF5F3D">
              <w:rPr>
                <w:iCs/>
                <w:szCs w:val="20"/>
              </w:rPr>
              <w:t>Insomnia</w:t>
            </w:r>
          </w:p>
        </w:tc>
        <w:tc>
          <w:tcPr>
            <w:tcW w:w="869" w:type="pct"/>
          </w:tcPr>
          <w:p w14:paraId="2FCE8A7B" w14:textId="77777777" w:rsidR="009C0666" w:rsidRPr="00BF5F3D" w:rsidRDefault="009C0666" w:rsidP="00AC11DC">
            <w:pPr>
              <w:pStyle w:val="Tabletext"/>
              <w:ind w:right="0"/>
              <w:rPr>
                <w:iCs/>
                <w:szCs w:val="20"/>
              </w:rPr>
            </w:pPr>
            <w:r w:rsidRPr="00BF5F3D">
              <w:rPr>
                <w:iCs/>
                <w:szCs w:val="20"/>
              </w:rPr>
              <w:t>47 (25.0%)</w:t>
            </w:r>
          </w:p>
        </w:tc>
        <w:tc>
          <w:tcPr>
            <w:tcW w:w="909" w:type="pct"/>
          </w:tcPr>
          <w:p w14:paraId="21A35D90" w14:textId="77777777" w:rsidR="009C0666" w:rsidRPr="00BF5F3D" w:rsidRDefault="009C0666" w:rsidP="00AC11DC">
            <w:pPr>
              <w:pStyle w:val="Tabletext"/>
              <w:ind w:right="0"/>
              <w:rPr>
                <w:iCs/>
                <w:szCs w:val="20"/>
              </w:rPr>
            </w:pPr>
            <w:r w:rsidRPr="00BF5F3D">
              <w:rPr>
                <w:iCs/>
                <w:szCs w:val="20"/>
              </w:rPr>
              <w:t>2 (1.1%)</w:t>
            </w:r>
          </w:p>
        </w:tc>
        <w:tc>
          <w:tcPr>
            <w:tcW w:w="859" w:type="pct"/>
          </w:tcPr>
          <w:p w14:paraId="13491EBA" w14:textId="77777777" w:rsidR="009C0666" w:rsidRPr="00BF5F3D" w:rsidRDefault="009C0666" w:rsidP="00AC11DC">
            <w:pPr>
              <w:pStyle w:val="Tabletext"/>
              <w:ind w:right="0"/>
              <w:rPr>
                <w:iCs/>
                <w:szCs w:val="20"/>
              </w:rPr>
            </w:pPr>
            <w:r w:rsidRPr="00BF5F3D">
              <w:rPr>
                <w:iCs/>
                <w:szCs w:val="20"/>
              </w:rPr>
              <w:t>41 (21.2%)</w:t>
            </w:r>
          </w:p>
        </w:tc>
        <w:tc>
          <w:tcPr>
            <w:tcW w:w="1039" w:type="pct"/>
          </w:tcPr>
          <w:p w14:paraId="772C8EFF" w14:textId="733A9186" w:rsidR="009C0666" w:rsidRPr="00BF5F3D" w:rsidRDefault="009C0666" w:rsidP="00AC11DC">
            <w:pPr>
              <w:pStyle w:val="Tabletext"/>
              <w:ind w:right="0"/>
              <w:rPr>
                <w:iCs/>
                <w:szCs w:val="20"/>
              </w:rPr>
            </w:pPr>
            <w:r w:rsidRPr="00BF5F3D">
              <w:rPr>
                <w:iCs/>
                <w:szCs w:val="20"/>
              </w:rPr>
              <w:t>0</w:t>
            </w:r>
          </w:p>
        </w:tc>
      </w:tr>
      <w:tr w:rsidR="009C0666" w:rsidRPr="00BF5F3D" w14:paraId="03E09D2D" w14:textId="77777777" w:rsidTr="00AC11DC">
        <w:tc>
          <w:tcPr>
            <w:tcW w:w="1325" w:type="pct"/>
          </w:tcPr>
          <w:p w14:paraId="7FA8A555" w14:textId="77777777" w:rsidR="009C0666" w:rsidRPr="00BF5F3D" w:rsidRDefault="009C0666" w:rsidP="00AC11DC">
            <w:pPr>
              <w:pStyle w:val="Tabletext"/>
              <w:ind w:right="0"/>
              <w:rPr>
                <w:iCs/>
                <w:szCs w:val="20"/>
              </w:rPr>
            </w:pPr>
            <w:r w:rsidRPr="00BF5F3D">
              <w:rPr>
                <w:iCs/>
                <w:szCs w:val="20"/>
              </w:rPr>
              <w:t>Anxiety</w:t>
            </w:r>
          </w:p>
        </w:tc>
        <w:tc>
          <w:tcPr>
            <w:tcW w:w="869" w:type="pct"/>
          </w:tcPr>
          <w:p w14:paraId="03DBA41F" w14:textId="77777777" w:rsidR="009C0666" w:rsidRPr="00BF5F3D" w:rsidRDefault="009C0666" w:rsidP="00AC11DC">
            <w:pPr>
              <w:pStyle w:val="Tabletext"/>
              <w:ind w:right="0"/>
              <w:rPr>
                <w:iCs/>
                <w:szCs w:val="20"/>
              </w:rPr>
            </w:pPr>
            <w:r w:rsidRPr="00BF5F3D">
              <w:rPr>
                <w:iCs/>
                <w:szCs w:val="20"/>
              </w:rPr>
              <w:t>12 (6.4%)</w:t>
            </w:r>
          </w:p>
        </w:tc>
        <w:tc>
          <w:tcPr>
            <w:tcW w:w="909" w:type="pct"/>
          </w:tcPr>
          <w:p w14:paraId="1C33DEA7" w14:textId="77777777" w:rsidR="009C0666" w:rsidRPr="00BF5F3D" w:rsidRDefault="009C0666" w:rsidP="00AC11DC">
            <w:pPr>
              <w:pStyle w:val="Tabletext"/>
              <w:ind w:right="0"/>
              <w:rPr>
                <w:iCs/>
                <w:szCs w:val="20"/>
              </w:rPr>
            </w:pPr>
            <w:r w:rsidRPr="00BF5F3D">
              <w:rPr>
                <w:iCs/>
                <w:szCs w:val="20"/>
              </w:rPr>
              <w:t>2 (1.1%)</w:t>
            </w:r>
          </w:p>
        </w:tc>
        <w:tc>
          <w:tcPr>
            <w:tcW w:w="859" w:type="pct"/>
          </w:tcPr>
          <w:p w14:paraId="0CF178A6" w14:textId="77777777" w:rsidR="009C0666" w:rsidRPr="00BF5F3D" w:rsidRDefault="009C0666" w:rsidP="00AC11DC">
            <w:pPr>
              <w:pStyle w:val="Tabletext"/>
              <w:ind w:right="0"/>
              <w:rPr>
                <w:iCs/>
                <w:szCs w:val="20"/>
              </w:rPr>
            </w:pPr>
            <w:r w:rsidRPr="00BF5F3D">
              <w:rPr>
                <w:iCs/>
                <w:szCs w:val="20"/>
              </w:rPr>
              <w:t>6 (3.1%)</w:t>
            </w:r>
          </w:p>
        </w:tc>
        <w:tc>
          <w:tcPr>
            <w:tcW w:w="1039" w:type="pct"/>
          </w:tcPr>
          <w:p w14:paraId="26AE32D3" w14:textId="4228A463" w:rsidR="009C0666" w:rsidRPr="00BF5F3D" w:rsidRDefault="009C0666" w:rsidP="00AC11DC">
            <w:pPr>
              <w:pStyle w:val="Tabletext"/>
              <w:ind w:right="0"/>
              <w:rPr>
                <w:iCs/>
                <w:szCs w:val="20"/>
              </w:rPr>
            </w:pPr>
            <w:r w:rsidRPr="00BF5F3D">
              <w:rPr>
                <w:iCs/>
                <w:szCs w:val="20"/>
              </w:rPr>
              <w:t>0</w:t>
            </w:r>
          </w:p>
        </w:tc>
      </w:tr>
      <w:tr w:rsidR="009C0666" w:rsidRPr="00BF5F3D" w14:paraId="417DFB96" w14:textId="77777777" w:rsidTr="00AC11DC">
        <w:tc>
          <w:tcPr>
            <w:tcW w:w="1325" w:type="pct"/>
          </w:tcPr>
          <w:p w14:paraId="5AFA76A0" w14:textId="77777777" w:rsidR="009C0666" w:rsidRPr="00BF5F3D" w:rsidRDefault="009C0666" w:rsidP="00AC11DC">
            <w:pPr>
              <w:pStyle w:val="Tabletext"/>
              <w:ind w:right="0"/>
              <w:rPr>
                <w:iCs/>
                <w:szCs w:val="20"/>
              </w:rPr>
            </w:pPr>
            <w:r w:rsidRPr="00BF5F3D">
              <w:rPr>
                <w:iCs/>
                <w:szCs w:val="20"/>
              </w:rPr>
              <w:t>Renal impairment</w:t>
            </w:r>
          </w:p>
        </w:tc>
        <w:tc>
          <w:tcPr>
            <w:tcW w:w="869" w:type="pct"/>
          </w:tcPr>
          <w:p w14:paraId="55A5C991" w14:textId="77777777" w:rsidR="009C0666" w:rsidRPr="00BF5F3D" w:rsidRDefault="009C0666" w:rsidP="00AC11DC">
            <w:pPr>
              <w:pStyle w:val="Tabletext"/>
              <w:ind w:right="0"/>
              <w:rPr>
                <w:iCs/>
                <w:szCs w:val="20"/>
              </w:rPr>
            </w:pPr>
            <w:r w:rsidRPr="00BF5F3D">
              <w:rPr>
                <w:iCs/>
                <w:szCs w:val="20"/>
              </w:rPr>
              <w:t>11 (5.9%)</w:t>
            </w:r>
          </w:p>
        </w:tc>
        <w:tc>
          <w:tcPr>
            <w:tcW w:w="909" w:type="pct"/>
          </w:tcPr>
          <w:p w14:paraId="543299AA" w14:textId="77777777" w:rsidR="009C0666" w:rsidRPr="00BF5F3D" w:rsidRDefault="009C0666" w:rsidP="00AC11DC">
            <w:pPr>
              <w:pStyle w:val="Tabletext"/>
              <w:ind w:right="0"/>
              <w:rPr>
                <w:iCs/>
                <w:szCs w:val="20"/>
              </w:rPr>
            </w:pPr>
            <w:r w:rsidRPr="00BF5F3D">
              <w:rPr>
                <w:iCs/>
                <w:szCs w:val="20"/>
              </w:rPr>
              <w:t>4 (2.1%)</w:t>
            </w:r>
          </w:p>
        </w:tc>
        <w:tc>
          <w:tcPr>
            <w:tcW w:w="859" w:type="pct"/>
          </w:tcPr>
          <w:p w14:paraId="343DEE5E" w14:textId="77777777" w:rsidR="009C0666" w:rsidRPr="00BF5F3D" w:rsidRDefault="009C0666" w:rsidP="00AC11DC">
            <w:pPr>
              <w:pStyle w:val="Tabletext"/>
              <w:ind w:right="0"/>
              <w:rPr>
                <w:iCs/>
                <w:szCs w:val="20"/>
              </w:rPr>
            </w:pPr>
            <w:r w:rsidRPr="00BF5F3D">
              <w:rPr>
                <w:iCs/>
                <w:szCs w:val="20"/>
              </w:rPr>
              <w:t>8 (4.1%)</w:t>
            </w:r>
          </w:p>
        </w:tc>
        <w:tc>
          <w:tcPr>
            <w:tcW w:w="1039" w:type="pct"/>
          </w:tcPr>
          <w:p w14:paraId="46EE5D4C" w14:textId="77777777" w:rsidR="009C0666" w:rsidRPr="00BF5F3D" w:rsidRDefault="009C0666" w:rsidP="00AC11DC">
            <w:pPr>
              <w:pStyle w:val="Tabletext"/>
              <w:ind w:right="0"/>
              <w:rPr>
                <w:iCs/>
                <w:szCs w:val="20"/>
              </w:rPr>
            </w:pPr>
          </w:p>
        </w:tc>
      </w:tr>
      <w:tr w:rsidR="009C0666" w:rsidRPr="00BF5F3D" w14:paraId="65758A05" w14:textId="77777777" w:rsidTr="00AC11DC">
        <w:tc>
          <w:tcPr>
            <w:tcW w:w="5000" w:type="pct"/>
            <w:gridSpan w:val="5"/>
          </w:tcPr>
          <w:p w14:paraId="19296E34" w14:textId="77777777" w:rsidR="009C0666" w:rsidRPr="00BF5F3D" w:rsidRDefault="009C0666" w:rsidP="00AC11DC">
            <w:pPr>
              <w:pStyle w:val="Tabletext"/>
              <w:ind w:right="0"/>
              <w:rPr>
                <w:b/>
                <w:bCs/>
                <w:iCs/>
                <w:szCs w:val="20"/>
              </w:rPr>
            </w:pPr>
            <w:r w:rsidRPr="00BF5F3D">
              <w:rPr>
                <w:b/>
                <w:bCs/>
                <w:iCs/>
                <w:szCs w:val="20"/>
              </w:rPr>
              <w:t>Respiratory and thoracic and mediastinal disorders</w:t>
            </w:r>
          </w:p>
        </w:tc>
      </w:tr>
      <w:tr w:rsidR="009C0666" w:rsidRPr="00BF5F3D" w14:paraId="521AB210" w14:textId="77777777" w:rsidTr="00AC11DC">
        <w:tc>
          <w:tcPr>
            <w:tcW w:w="1325" w:type="pct"/>
          </w:tcPr>
          <w:p w14:paraId="693CC671" w14:textId="77777777" w:rsidR="009C0666" w:rsidRPr="00BF5F3D" w:rsidRDefault="009C0666" w:rsidP="00AC11DC">
            <w:pPr>
              <w:pStyle w:val="Tabletext"/>
              <w:ind w:right="0"/>
              <w:rPr>
                <w:iCs/>
                <w:szCs w:val="20"/>
              </w:rPr>
            </w:pPr>
            <w:r w:rsidRPr="00BF5F3D">
              <w:rPr>
                <w:iCs/>
                <w:szCs w:val="20"/>
              </w:rPr>
              <w:t>Dyspnoea</w:t>
            </w:r>
          </w:p>
        </w:tc>
        <w:tc>
          <w:tcPr>
            <w:tcW w:w="869" w:type="pct"/>
          </w:tcPr>
          <w:p w14:paraId="5B95DB14" w14:textId="77777777" w:rsidR="009C0666" w:rsidRPr="00BF5F3D" w:rsidRDefault="009C0666" w:rsidP="00AC11DC">
            <w:pPr>
              <w:pStyle w:val="Tabletext"/>
              <w:ind w:right="0"/>
              <w:rPr>
                <w:iCs/>
                <w:szCs w:val="20"/>
              </w:rPr>
            </w:pPr>
            <w:r w:rsidRPr="00BF5F3D">
              <w:rPr>
                <w:iCs/>
                <w:szCs w:val="20"/>
              </w:rPr>
              <w:t>37 (19.7%)</w:t>
            </w:r>
          </w:p>
        </w:tc>
        <w:tc>
          <w:tcPr>
            <w:tcW w:w="909" w:type="pct"/>
          </w:tcPr>
          <w:p w14:paraId="1F027C0A" w14:textId="77777777" w:rsidR="009C0666" w:rsidRPr="00BF5F3D" w:rsidRDefault="009C0666" w:rsidP="00AC11DC">
            <w:pPr>
              <w:pStyle w:val="Tabletext"/>
              <w:ind w:right="0"/>
              <w:rPr>
                <w:iCs/>
                <w:szCs w:val="20"/>
              </w:rPr>
            </w:pPr>
            <w:r w:rsidRPr="00BF5F3D">
              <w:rPr>
                <w:iCs/>
                <w:szCs w:val="20"/>
              </w:rPr>
              <w:t>7 (3.7%)</w:t>
            </w:r>
          </w:p>
        </w:tc>
        <w:tc>
          <w:tcPr>
            <w:tcW w:w="859" w:type="pct"/>
          </w:tcPr>
          <w:p w14:paraId="3D5D4315" w14:textId="77777777" w:rsidR="009C0666" w:rsidRPr="00BF5F3D" w:rsidRDefault="009C0666" w:rsidP="00AC11DC">
            <w:pPr>
              <w:pStyle w:val="Tabletext"/>
              <w:ind w:right="0"/>
              <w:rPr>
                <w:iCs/>
                <w:szCs w:val="20"/>
              </w:rPr>
            </w:pPr>
            <w:r w:rsidRPr="00BF5F3D">
              <w:rPr>
                <w:iCs/>
                <w:szCs w:val="20"/>
              </w:rPr>
              <w:t>41 (21.2%)</w:t>
            </w:r>
          </w:p>
        </w:tc>
        <w:tc>
          <w:tcPr>
            <w:tcW w:w="1039" w:type="pct"/>
          </w:tcPr>
          <w:p w14:paraId="3DE33FFD" w14:textId="77777777" w:rsidR="009C0666" w:rsidRPr="00BF5F3D" w:rsidRDefault="009C0666" w:rsidP="00AC11DC">
            <w:pPr>
              <w:pStyle w:val="Tabletext"/>
              <w:ind w:right="0"/>
              <w:rPr>
                <w:iCs/>
                <w:szCs w:val="20"/>
              </w:rPr>
            </w:pPr>
            <w:r w:rsidRPr="00BF5F3D">
              <w:rPr>
                <w:iCs/>
                <w:szCs w:val="20"/>
              </w:rPr>
              <w:t>6 (3.1%)</w:t>
            </w:r>
          </w:p>
        </w:tc>
      </w:tr>
      <w:tr w:rsidR="009C0666" w:rsidRPr="00BF5F3D" w14:paraId="12E6A853" w14:textId="77777777" w:rsidTr="00AC11DC">
        <w:tc>
          <w:tcPr>
            <w:tcW w:w="1325" w:type="pct"/>
          </w:tcPr>
          <w:p w14:paraId="652DF1E4" w14:textId="77777777" w:rsidR="009C0666" w:rsidRPr="00BF5F3D" w:rsidRDefault="009C0666" w:rsidP="00AC11DC">
            <w:pPr>
              <w:pStyle w:val="Tabletext"/>
              <w:ind w:right="0"/>
              <w:rPr>
                <w:iCs/>
                <w:szCs w:val="20"/>
              </w:rPr>
            </w:pPr>
            <w:r w:rsidRPr="00BF5F3D">
              <w:rPr>
                <w:iCs/>
                <w:szCs w:val="20"/>
              </w:rPr>
              <w:t>Cough</w:t>
            </w:r>
          </w:p>
        </w:tc>
        <w:tc>
          <w:tcPr>
            <w:tcW w:w="869" w:type="pct"/>
          </w:tcPr>
          <w:p w14:paraId="2EA5AF1E" w14:textId="77777777" w:rsidR="009C0666" w:rsidRPr="00BF5F3D" w:rsidRDefault="009C0666" w:rsidP="00AC11DC">
            <w:pPr>
              <w:pStyle w:val="Tabletext"/>
              <w:ind w:right="0"/>
              <w:rPr>
                <w:iCs/>
                <w:szCs w:val="20"/>
              </w:rPr>
            </w:pPr>
            <w:r w:rsidRPr="00BF5F3D">
              <w:rPr>
                <w:iCs/>
                <w:szCs w:val="20"/>
              </w:rPr>
              <w:t>20 (10.6%)</w:t>
            </w:r>
          </w:p>
        </w:tc>
        <w:tc>
          <w:tcPr>
            <w:tcW w:w="909" w:type="pct"/>
          </w:tcPr>
          <w:p w14:paraId="253BCBF8" w14:textId="77777777" w:rsidR="009C0666" w:rsidRPr="00BF5F3D" w:rsidRDefault="009C0666" w:rsidP="00AC11DC">
            <w:pPr>
              <w:pStyle w:val="Tabletext"/>
              <w:ind w:right="0"/>
              <w:rPr>
                <w:iCs/>
                <w:szCs w:val="20"/>
              </w:rPr>
            </w:pPr>
            <w:r w:rsidRPr="00BF5F3D">
              <w:rPr>
                <w:iCs/>
                <w:szCs w:val="20"/>
              </w:rPr>
              <w:t>0</w:t>
            </w:r>
          </w:p>
        </w:tc>
        <w:tc>
          <w:tcPr>
            <w:tcW w:w="859" w:type="pct"/>
          </w:tcPr>
          <w:p w14:paraId="020CBA2C" w14:textId="77777777" w:rsidR="009C0666" w:rsidRPr="00BF5F3D" w:rsidRDefault="009C0666" w:rsidP="00AC11DC">
            <w:pPr>
              <w:pStyle w:val="Tabletext"/>
              <w:ind w:right="0"/>
              <w:rPr>
                <w:iCs/>
                <w:szCs w:val="20"/>
              </w:rPr>
            </w:pPr>
            <w:r w:rsidRPr="00BF5F3D">
              <w:rPr>
                <w:iCs/>
                <w:szCs w:val="20"/>
              </w:rPr>
              <w:t>28 (14.5%)</w:t>
            </w:r>
          </w:p>
        </w:tc>
        <w:tc>
          <w:tcPr>
            <w:tcW w:w="1039" w:type="pct"/>
          </w:tcPr>
          <w:p w14:paraId="3D4ECBA1" w14:textId="77777777" w:rsidR="009C0666" w:rsidRPr="00BF5F3D" w:rsidRDefault="009C0666" w:rsidP="00AC11DC">
            <w:pPr>
              <w:pStyle w:val="Tabletext"/>
              <w:ind w:right="0"/>
              <w:rPr>
                <w:iCs/>
                <w:szCs w:val="20"/>
              </w:rPr>
            </w:pPr>
            <w:r w:rsidRPr="00BF5F3D">
              <w:rPr>
                <w:iCs/>
                <w:szCs w:val="20"/>
              </w:rPr>
              <w:t>1 (0.5%)</w:t>
            </w:r>
          </w:p>
        </w:tc>
      </w:tr>
      <w:tr w:rsidR="009C0666" w:rsidRPr="00BF5F3D" w14:paraId="62D21A88" w14:textId="77777777" w:rsidTr="00AC11DC">
        <w:tc>
          <w:tcPr>
            <w:tcW w:w="1325" w:type="pct"/>
          </w:tcPr>
          <w:p w14:paraId="35D4318C" w14:textId="77777777" w:rsidR="009C0666" w:rsidRPr="00BF5F3D" w:rsidRDefault="009C0666" w:rsidP="00AC11DC">
            <w:pPr>
              <w:pStyle w:val="Tabletext"/>
              <w:ind w:right="0"/>
              <w:rPr>
                <w:iCs/>
                <w:szCs w:val="20"/>
              </w:rPr>
            </w:pPr>
            <w:r w:rsidRPr="00BF5F3D">
              <w:rPr>
                <w:iCs/>
                <w:szCs w:val="20"/>
              </w:rPr>
              <w:t>Epistaxis</w:t>
            </w:r>
          </w:p>
        </w:tc>
        <w:tc>
          <w:tcPr>
            <w:tcW w:w="869" w:type="pct"/>
          </w:tcPr>
          <w:p w14:paraId="287DA6F2" w14:textId="77777777" w:rsidR="009C0666" w:rsidRPr="00BF5F3D" w:rsidRDefault="009C0666" w:rsidP="00AC11DC">
            <w:pPr>
              <w:pStyle w:val="Tabletext"/>
              <w:ind w:right="0"/>
              <w:rPr>
                <w:iCs/>
                <w:szCs w:val="20"/>
              </w:rPr>
            </w:pPr>
            <w:r w:rsidRPr="00BF5F3D">
              <w:rPr>
                <w:iCs/>
                <w:szCs w:val="20"/>
              </w:rPr>
              <w:t>3 (1.6%)</w:t>
            </w:r>
          </w:p>
        </w:tc>
        <w:tc>
          <w:tcPr>
            <w:tcW w:w="909" w:type="pct"/>
          </w:tcPr>
          <w:p w14:paraId="777A58A5" w14:textId="77777777" w:rsidR="009C0666" w:rsidRPr="00BF5F3D" w:rsidRDefault="009C0666" w:rsidP="00AC11DC">
            <w:pPr>
              <w:pStyle w:val="Tabletext"/>
              <w:ind w:right="0"/>
              <w:rPr>
                <w:iCs/>
                <w:szCs w:val="20"/>
              </w:rPr>
            </w:pPr>
            <w:r w:rsidRPr="00BF5F3D">
              <w:rPr>
                <w:iCs/>
                <w:szCs w:val="20"/>
              </w:rPr>
              <w:t>0</w:t>
            </w:r>
          </w:p>
        </w:tc>
        <w:tc>
          <w:tcPr>
            <w:tcW w:w="859" w:type="pct"/>
          </w:tcPr>
          <w:p w14:paraId="2BA79DC4" w14:textId="77777777" w:rsidR="009C0666" w:rsidRPr="00BF5F3D" w:rsidRDefault="009C0666" w:rsidP="00AC11DC">
            <w:pPr>
              <w:pStyle w:val="Tabletext"/>
              <w:ind w:right="0"/>
              <w:rPr>
                <w:iCs/>
                <w:szCs w:val="20"/>
              </w:rPr>
            </w:pPr>
            <w:r w:rsidRPr="00BF5F3D">
              <w:rPr>
                <w:iCs/>
                <w:szCs w:val="20"/>
              </w:rPr>
              <w:t>10 (5.2%)</w:t>
            </w:r>
          </w:p>
        </w:tc>
        <w:tc>
          <w:tcPr>
            <w:tcW w:w="1039" w:type="pct"/>
          </w:tcPr>
          <w:p w14:paraId="585C2A5D" w14:textId="77777777" w:rsidR="009C0666" w:rsidRPr="00BF5F3D" w:rsidRDefault="009C0666" w:rsidP="00AC11DC">
            <w:pPr>
              <w:pStyle w:val="Tabletext"/>
              <w:ind w:right="0"/>
              <w:rPr>
                <w:iCs/>
                <w:szCs w:val="20"/>
              </w:rPr>
            </w:pPr>
            <w:r w:rsidRPr="00BF5F3D">
              <w:rPr>
                <w:iCs/>
                <w:szCs w:val="20"/>
              </w:rPr>
              <w:t>1 (0.5%)</w:t>
            </w:r>
          </w:p>
        </w:tc>
      </w:tr>
      <w:tr w:rsidR="009C0666" w:rsidRPr="00BF5F3D" w14:paraId="3309A09D" w14:textId="77777777" w:rsidTr="00AC11DC">
        <w:tc>
          <w:tcPr>
            <w:tcW w:w="1325" w:type="pct"/>
          </w:tcPr>
          <w:p w14:paraId="3150D110" w14:textId="77777777" w:rsidR="009C0666" w:rsidRPr="00BF5F3D" w:rsidRDefault="009C0666" w:rsidP="00AC11DC">
            <w:pPr>
              <w:pStyle w:val="Tabletext"/>
              <w:ind w:right="0"/>
              <w:rPr>
                <w:iCs/>
                <w:szCs w:val="20"/>
              </w:rPr>
            </w:pPr>
            <w:r w:rsidRPr="00BF5F3D">
              <w:rPr>
                <w:iCs/>
                <w:szCs w:val="20"/>
              </w:rPr>
              <w:t>Pleural effusion</w:t>
            </w:r>
          </w:p>
        </w:tc>
        <w:tc>
          <w:tcPr>
            <w:tcW w:w="869" w:type="pct"/>
          </w:tcPr>
          <w:p w14:paraId="04711DBF" w14:textId="77777777" w:rsidR="009C0666" w:rsidRPr="00BF5F3D" w:rsidRDefault="009C0666" w:rsidP="00AC11DC">
            <w:pPr>
              <w:pStyle w:val="Tabletext"/>
              <w:ind w:right="0"/>
              <w:rPr>
                <w:iCs/>
                <w:szCs w:val="20"/>
              </w:rPr>
            </w:pPr>
            <w:r w:rsidRPr="00BF5F3D">
              <w:rPr>
                <w:iCs/>
                <w:szCs w:val="20"/>
              </w:rPr>
              <w:t>10 (5.3%)</w:t>
            </w:r>
          </w:p>
        </w:tc>
        <w:tc>
          <w:tcPr>
            <w:tcW w:w="909" w:type="pct"/>
          </w:tcPr>
          <w:p w14:paraId="028ECE14" w14:textId="77777777" w:rsidR="009C0666" w:rsidRPr="00BF5F3D" w:rsidRDefault="009C0666" w:rsidP="00AC11DC">
            <w:pPr>
              <w:pStyle w:val="Tabletext"/>
              <w:ind w:right="0"/>
              <w:rPr>
                <w:iCs/>
                <w:szCs w:val="20"/>
              </w:rPr>
            </w:pPr>
            <w:r w:rsidRPr="00BF5F3D">
              <w:rPr>
                <w:iCs/>
                <w:szCs w:val="20"/>
              </w:rPr>
              <w:t>1 (0.5%)</w:t>
            </w:r>
          </w:p>
        </w:tc>
        <w:tc>
          <w:tcPr>
            <w:tcW w:w="859" w:type="pct"/>
          </w:tcPr>
          <w:p w14:paraId="3B8496C1" w14:textId="77777777" w:rsidR="009C0666" w:rsidRPr="00BF5F3D" w:rsidRDefault="009C0666" w:rsidP="00AC11DC">
            <w:pPr>
              <w:pStyle w:val="Tabletext"/>
              <w:ind w:right="0"/>
              <w:rPr>
                <w:iCs/>
                <w:szCs w:val="20"/>
              </w:rPr>
            </w:pPr>
            <w:r w:rsidRPr="00BF5F3D">
              <w:rPr>
                <w:iCs/>
                <w:szCs w:val="20"/>
              </w:rPr>
              <w:t>9 (4.7%)</w:t>
            </w:r>
          </w:p>
        </w:tc>
        <w:tc>
          <w:tcPr>
            <w:tcW w:w="1039" w:type="pct"/>
          </w:tcPr>
          <w:p w14:paraId="68983A83" w14:textId="77777777" w:rsidR="009C0666" w:rsidRPr="00BF5F3D" w:rsidRDefault="009C0666" w:rsidP="00AC11DC">
            <w:pPr>
              <w:pStyle w:val="Tabletext"/>
              <w:ind w:right="0"/>
              <w:rPr>
                <w:iCs/>
                <w:szCs w:val="20"/>
              </w:rPr>
            </w:pPr>
            <w:r w:rsidRPr="00BF5F3D">
              <w:rPr>
                <w:iCs/>
                <w:szCs w:val="20"/>
              </w:rPr>
              <w:t>1 (0.5%)</w:t>
            </w:r>
          </w:p>
        </w:tc>
      </w:tr>
      <w:tr w:rsidR="009C0666" w:rsidRPr="00BF5F3D" w14:paraId="673AB240" w14:textId="77777777" w:rsidTr="00AC11DC">
        <w:tc>
          <w:tcPr>
            <w:tcW w:w="5000" w:type="pct"/>
            <w:gridSpan w:val="5"/>
          </w:tcPr>
          <w:p w14:paraId="13636587" w14:textId="77777777" w:rsidR="009C0666" w:rsidRPr="00BF5F3D" w:rsidRDefault="009C0666" w:rsidP="00AC11DC">
            <w:pPr>
              <w:pStyle w:val="Tabletext"/>
              <w:ind w:right="0"/>
              <w:rPr>
                <w:b/>
                <w:bCs/>
                <w:iCs/>
                <w:szCs w:val="20"/>
              </w:rPr>
            </w:pPr>
            <w:r w:rsidRPr="00BF5F3D">
              <w:rPr>
                <w:b/>
                <w:bCs/>
                <w:iCs/>
                <w:szCs w:val="20"/>
              </w:rPr>
              <w:t>Skin and subcutaneous tissue disorders</w:t>
            </w:r>
          </w:p>
        </w:tc>
      </w:tr>
      <w:tr w:rsidR="009C0666" w:rsidRPr="00BF5F3D" w14:paraId="4D1226A1" w14:textId="77777777" w:rsidTr="00AC11DC">
        <w:tc>
          <w:tcPr>
            <w:tcW w:w="1325" w:type="pct"/>
          </w:tcPr>
          <w:p w14:paraId="51D522A8" w14:textId="77777777" w:rsidR="009C0666" w:rsidRPr="00BF5F3D" w:rsidRDefault="009C0666" w:rsidP="00AC11DC">
            <w:pPr>
              <w:pStyle w:val="Tabletext"/>
              <w:ind w:right="0"/>
              <w:rPr>
                <w:iCs/>
                <w:szCs w:val="20"/>
              </w:rPr>
            </w:pPr>
            <w:r w:rsidRPr="00BF5F3D">
              <w:rPr>
                <w:iCs/>
                <w:color w:val="auto"/>
                <w:szCs w:val="20"/>
              </w:rPr>
              <w:t>Rash</w:t>
            </w:r>
          </w:p>
        </w:tc>
        <w:tc>
          <w:tcPr>
            <w:tcW w:w="869" w:type="pct"/>
          </w:tcPr>
          <w:p w14:paraId="789F65F6" w14:textId="77777777" w:rsidR="009C0666" w:rsidRPr="00BF5F3D" w:rsidRDefault="009C0666" w:rsidP="00AC11DC">
            <w:pPr>
              <w:pStyle w:val="Tabletext"/>
              <w:ind w:right="0"/>
              <w:rPr>
                <w:iCs/>
                <w:szCs w:val="20"/>
              </w:rPr>
            </w:pPr>
            <w:r w:rsidRPr="00BF5F3D">
              <w:rPr>
                <w:iCs/>
                <w:color w:val="auto"/>
                <w:szCs w:val="20"/>
              </w:rPr>
              <w:t>13 (6.9%)</w:t>
            </w:r>
          </w:p>
        </w:tc>
        <w:tc>
          <w:tcPr>
            <w:tcW w:w="909" w:type="pct"/>
          </w:tcPr>
          <w:p w14:paraId="161793E4" w14:textId="77777777" w:rsidR="009C0666" w:rsidRPr="00BF5F3D" w:rsidRDefault="009C0666" w:rsidP="00AC11DC">
            <w:pPr>
              <w:pStyle w:val="Tabletext"/>
              <w:ind w:right="0"/>
              <w:rPr>
                <w:iCs/>
                <w:szCs w:val="20"/>
              </w:rPr>
            </w:pPr>
            <w:r w:rsidRPr="00BF5F3D">
              <w:rPr>
                <w:iCs/>
                <w:color w:val="auto"/>
                <w:szCs w:val="20"/>
              </w:rPr>
              <w:t>0</w:t>
            </w:r>
          </w:p>
        </w:tc>
        <w:tc>
          <w:tcPr>
            <w:tcW w:w="859" w:type="pct"/>
          </w:tcPr>
          <w:p w14:paraId="21915FAE" w14:textId="77777777" w:rsidR="009C0666" w:rsidRPr="00BF5F3D" w:rsidRDefault="009C0666" w:rsidP="00AC11DC">
            <w:pPr>
              <w:pStyle w:val="Tabletext"/>
              <w:ind w:right="0"/>
              <w:rPr>
                <w:iCs/>
                <w:szCs w:val="20"/>
              </w:rPr>
            </w:pPr>
            <w:r w:rsidRPr="00BF5F3D">
              <w:rPr>
                <w:iCs/>
                <w:color w:val="auto"/>
                <w:szCs w:val="20"/>
              </w:rPr>
              <w:t>12 (6.2%)</w:t>
            </w:r>
          </w:p>
        </w:tc>
        <w:tc>
          <w:tcPr>
            <w:tcW w:w="1039" w:type="pct"/>
          </w:tcPr>
          <w:p w14:paraId="6110657C" w14:textId="77777777" w:rsidR="009C0666" w:rsidRPr="00BF5F3D" w:rsidRDefault="009C0666" w:rsidP="00AC11DC">
            <w:pPr>
              <w:pStyle w:val="Tabletext"/>
              <w:ind w:right="0"/>
              <w:rPr>
                <w:iCs/>
                <w:szCs w:val="20"/>
              </w:rPr>
            </w:pPr>
            <w:r w:rsidRPr="00BF5F3D">
              <w:rPr>
                <w:iCs/>
                <w:color w:val="auto"/>
                <w:szCs w:val="20"/>
              </w:rPr>
              <w:t>0</w:t>
            </w:r>
          </w:p>
        </w:tc>
      </w:tr>
      <w:tr w:rsidR="009C0666" w:rsidRPr="00BF5F3D" w14:paraId="26BB2351" w14:textId="77777777" w:rsidTr="00AC11DC">
        <w:tc>
          <w:tcPr>
            <w:tcW w:w="1325" w:type="pct"/>
          </w:tcPr>
          <w:p w14:paraId="4C60CD7F" w14:textId="77777777" w:rsidR="009C0666" w:rsidRPr="00BF5F3D" w:rsidRDefault="009C0666" w:rsidP="00AC11DC">
            <w:pPr>
              <w:pStyle w:val="Tabletext"/>
              <w:ind w:right="0"/>
              <w:rPr>
                <w:iCs/>
                <w:szCs w:val="20"/>
              </w:rPr>
            </w:pPr>
            <w:r w:rsidRPr="00BF5F3D">
              <w:rPr>
                <w:iCs/>
                <w:color w:val="auto"/>
                <w:szCs w:val="20"/>
              </w:rPr>
              <w:lastRenderedPageBreak/>
              <w:t>Erythema</w:t>
            </w:r>
          </w:p>
        </w:tc>
        <w:tc>
          <w:tcPr>
            <w:tcW w:w="869" w:type="pct"/>
          </w:tcPr>
          <w:p w14:paraId="38B86744" w14:textId="77777777" w:rsidR="009C0666" w:rsidRPr="00BF5F3D" w:rsidRDefault="009C0666" w:rsidP="00AC11DC">
            <w:pPr>
              <w:pStyle w:val="Tabletext"/>
              <w:ind w:right="0"/>
              <w:rPr>
                <w:iCs/>
                <w:szCs w:val="20"/>
              </w:rPr>
            </w:pPr>
            <w:r w:rsidRPr="00BF5F3D">
              <w:rPr>
                <w:iCs/>
                <w:color w:val="auto"/>
                <w:szCs w:val="20"/>
              </w:rPr>
              <w:t>3 (1.6%)</w:t>
            </w:r>
          </w:p>
        </w:tc>
        <w:tc>
          <w:tcPr>
            <w:tcW w:w="909" w:type="pct"/>
          </w:tcPr>
          <w:p w14:paraId="155E6549" w14:textId="77777777" w:rsidR="009C0666" w:rsidRPr="00BF5F3D" w:rsidRDefault="009C0666" w:rsidP="00AC11DC">
            <w:pPr>
              <w:pStyle w:val="Tabletext"/>
              <w:ind w:right="0"/>
              <w:rPr>
                <w:iCs/>
                <w:szCs w:val="20"/>
              </w:rPr>
            </w:pPr>
            <w:r w:rsidRPr="00BF5F3D">
              <w:rPr>
                <w:iCs/>
                <w:color w:val="auto"/>
                <w:szCs w:val="20"/>
              </w:rPr>
              <w:t>0</w:t>
            </w:r>
          </w:p>
        </w:tc>
        <w:tc>
          <w:tcPr>
            <w:tcW w:w="859" w:type="pct"/>
          </w:tcPr>
          <w:p w14:paraId="6160633B" w14:textId="77777777" w:rsidR="009C0666" w:rsidRPr="00BF5F3D" w:rsidRDefault="009C0666" w:rsidP="00AC11DC">
            <w:pPr>
              <w:pStyle w:val="Tabletext"/>
              <w:ind w:right="0"/>
              <w:rPr>
                <w:iCs/>
                <w:szCs w:val="20"/>
              </w:rPr>
            </w:pPr>
            <w:r w:rsidRPr="00BF5F3D">
              <w:rPr>
                <w:iCs/>
                <w:color w:val="auto"/>
                <w:szCs w:val="20"/>
              </w:rPr>
              <w:t>11 (5.7%)</w:t>
            </w:r>
          </w:p>
        </w:tc>
        <w:tc>
          <w:tcPr>
            <w:tcW w:w="1039" w:type="pct"/>
          </w:tcPr>
          <w:p w14:paraId="49CBB3BD" w14:textId="77777777" w:rsidR="009C0666" w:rsidRPr="00BF5F3D" w:rsidRDefault="009C0666" w:rsidP="00AC11DC">
            <w:pPr>
              <w:pStyle w:val="Tabletext"/>
              <w:ind w:right="0"/>
              <w:rPr>
                <w:iCs/>
                <w:szCs w:val="20"/>
              </w:rPr>
            </w:pPr>
            <w:r w:rsidRPr="00BF5F3D">
              <w:rPr>
                <w:iCs/>
                <w:color w:val="auto"/>
                <w:szCs w:val="20"/>
              </w:rPr>
              <w:t>0</w:t>
            </w:r>
          </w:p>
        </w:tc>
      </w:tr>
      <w:tr w:rsidR="009C0666" w:rsidRPr="00BF5F3D" w14:paraId="793D5596" w14:textId="77777777" w:rsidTr="00AC11DC">
        <w:tc>
          <w:tcPr>
            <w:tcW w:w="5000" w:type="pct"/>
            <w:gridSpan w:val="5"/>
          </w:tcPr>
          <w:p w14:paraId="0B7A989C" w14:textId="72A23E1C" w:rsidR="009C0666" w:rsidRPr="00BF5F3D" w:rsidRDefault="009C0666" w:rsidP="00AC11DC">
            <w:pPr>
              <w:pStyle w:val="Tabletext"/>
              <w:ind w:right="0"/>
              <w:rPr>
                <w:b/>
                <w:bCs/>
                <w:iCs/>
                <w:szCs w:val="20"/>
              </w:rPr>
            </w:pPr>
            <w:r w:rsidRPr="00BF5F3D">
              <w:rPr>
                <w:b/>
                <w:bCs/>
                <w:iCs/>
                <w:color w:val="auto"/>
                <w:szCs w:val="20"/>
              </w:rPr>
              <w:t>Vascular disorders</w:t>
            </w:r>
          </w:p>
        </w:tc>
      </w:tr>
      <w:tr w:rsidR="009C0666" w:rsidRPr="00BF5F3D" w14:paraId="3CA2EB6B" w14:textId="77777777" w:rsidTr="00AC11DC">
        <w:tc>
          <w:tcPr>
            <w:tcW w:w="1325" w:type="pct"/>
          </w:tcPr>
          <w:p w14:paraId="41094F2F" w14:textId="77777777" w:rsidR="009C0666" w:rsidRPr="00BF5F3D" w:rsidRDefault="009C0666" w:rsidP="00AC11DC">
            <w:pPr>
              <w:pStyle w:val="Tabletext"/>
              <w:ind w:right="0"/>
              <w:rPr>
                <w:iCs/>
                <w:szCs w:val="20"/>
              </w:rPr>
            </w:pPr>
            <w:r w:rsidRPr="00BF5F3D">
              <w:rPr>
                <w:iCs/>
                <w:color w:val="auto"/>
                <w:szCs w:val="20"/>
              </w:rPr>
              <w:t>Hypotension</w:t>
            </w:r>
          </w:p>
        </w:tc>
        <w:tc>
          <w:tcPr>
            <w:tcW w:w="869" w:type="pct"/>
          </w:tcPr>
          <w:p w14:paraId="1D2F82F0" w14:textId="77777777" w:rsidR="009C0666" w:rsidRPr="00BF5F3D" w:rsidRDefault="009C0666" w:rsidP="00AC11DC">
            <w:pPr>
              <w:pStyle w:val="Tabletext"/>
              <w:ind w:right="0"/>
              <w:rPr>
                <w:iCs/>
                <w:szCs w:val="20"/>
              </w:rPr>
            </w:pPr>
            <w:r w:rsidRPr="00BF5F3D">
              <w:rPr>
                <w:iCs/>
                <w:color w:val="auto"/>
                <w:szCs w:val="20"/>
              </w:rPr>
              <w:t>21 (11.2%)</w:t>
            </w:r>
          </w:p>
        </w:tc>
        <w:tc>
          <w:tcPr>
            <w:tcW w:w="909" w:type="pct"/>
          </w:tcPr>
          <w:p w14:paraId="42BEE1E4" w14:textId="77777777" w:rsidR="009C0666" w:rsidRPr="00BF5F3D" w:rsidRDefault="009C0666" w:rsidP="00AC11DC">
            <w:pPr>
              <w:pStyle w:val="Tabletext"/>
              <w:ind w:right="0"/>
              <w:rPr>
                <w:iCs/>
                <w:szCs w:val="20"/>
              </w:rPr>
            </w:pPr>
            <w:r w:rsidRPr="00BF5F3D">
              <w:rPr>
                <w:iCs/>
                <w:color w:val="auto"/>
                <w:szCs w:val="20"/>
              </w:rPr>
              <w:t>5 (2.7%)</w:t>
            </w:r>
          </w:p>
        </w:tc>
        <w:tc>
          <w:tcPr>
            <w:tcW w:w="859" w:type="pct"/>
          </w:tcPr>
          <w:p w14:paraId="2FECC437" w14:textId="77777777" w:rsidR="009C0666" w:rsidRPr="00BF5F3D" w:rsidRDefault="009C0666" w:rsidP="00AC11DC">
            <w:pPr>
              <w:pStyle w:val="Tabletext"/>
              <w:ind w:right="0"/>
              <w:rPr>
                <w:iCs/>
                <w:szCs w:val="20"/>
              </w:rPr>
            </w:pPr>
            <w:r w:rsidRPr="00BF5F3D">
              <w:rPr>
                <w:iCs/>
                <w:color w:val="auto"/>
                <w:szCs w:val="20"/>
              </w:rPr>
              <w:t>26 (13.5%)</w:t>
            </w:r>
          </w:p>
        </w:tc>
        <w:tc>
          <w:tcPr>
            <w:tcW w:w="1039" w:type="pct"/>
          </w:tcPr>
          <w:p w14:paraId="29304A66" w14:textId="77777777" w:rsidR="009C0666" w:rsidRPr="00BF5F3D" w:rsidRDefault="009C0666" w:rsidP="00AC11DC">
            <w:pPr>
              <w:pStyle w:val="Tabletext"/>
              <w:ind w:right="0"/>
              <w:rPr>
                <w:iCs/>
                <w:szCs w:val="20"/>
              </w:rPr>
            </w:pPr>
            <w:r w:rsidRPr="00BF5F3D">
              <w:rPr>
                <w:iCs/>
                <w:color w:val="auto"/>
                <w:szCs w:val="20"/>
              </w:rPr>
              <w:t>4 (2.1%)</w:t>
            </w:r>
          </w:p>
        </w:tc>
      </w:tr>
      <w:tr w:rsidR="009C0666" w:rsidRPr="00BF5F3D" w14:paraId="1B225E3F" w14:textId="77777777" w:rsidTr="00AC11DC">
        <w:tc>
          <w:tcPr>
            <w:tcW w:w="1325" w:type="pct"/>
          </w:tcPr>
          <w:p w14:paraId="512E42D5" w14:textId="77777777" w:rsidR="009C0666" w:rsidRPr="00BF5F3D" w:rsidRDefault="009C0666" w:rsidP="00AC11DC">
            <w:pPr>
              <w:pStyle w:val="Tabletext"/>
              <w:ind w:right="0"/>
              <w:rPr>
                <w:iCs/>
                <w:szCs w:val="20"/>
              </w:rPr>
            </w:pPr>
            <w:r w:rsidRPr="00BF5F3D">
              <w:rPr>
                <w:iCs/>
                <w:color w:val="auto"/>
                <w:szCs w:val="20"/>
              </w:rPr>
              <w:t>Orthostatic hypotension</w:t>
            </w:r>
          </w:p>
        </w:tc>
        <w:tc>
          <w:tcPr>
            <w:tcW w:w="869" w:type="pct"/>
          </w:tcPr>
          <w:p w14:paraId="76C6D2D9" w14:textId="77777777" w:rsidR="009C0666" w:rsidRPr="00BF5F3D" w:rsidRDefault="009C0666" w:rsidP="00AC11DC">
            <w:pPr>
              <w:pStyle w:val="Tabletext"/>
              <w:ind w:right="0"/>
              <w:rPr>
                <w:iCs/>
                <w:szCs w:val="20"/>
              </w:rPr>
            </w:pPr>
            <w:r w:rsidRPr="00BF5F3D">
              <w:rPr>
                <w:iCs/>
                <w:color w:val="auto"/>
                <w:szCs w:val="20"/>
              </w:rPr>
              <w:t>11 (5.9%)</w:t>
            </w:r>
          </w:p>
        </w:tc>
        <w:tc>
          <w:tcPr>
            <w:tcW w:w="909" w:type="pct"/>
          </w:tcPr>
          <w:p w14:paraId="4493B722" w14:textId="77777777" w:rsidR="009C0666" w:rsidRPr="00BF5F3D" w:rsidRDefault="009C0666" w:rsidP="00AC11DC">
            <w:pPr>
              <w:pStyle w:val="Tabletext"/>
              <w:ind w:right="0"/>
              <w:rPr>
                <w:iCs/>
                <w:szCs w:val="20"/>
              </w:rPr>
            </w:pPr>
            <w:r w:rsidRPr="00BF5F3D">
              <w:rPr>
                <w:iCs/>
                <w:color w:val="auto"/>
                <w:szCs w:val="20"/>
              </w:rPr>
              <w:t>0</w:t>
            </w:r>
          </w:p>
        </w:tc>
        <w:tc>
          <w:tcPr>
            <w:tcW w:w="859" w:type="pct"/>
          </w:tcPr>
          <w:p w14:paraId="71E56732" w14:textId="77777777" w:rsidR="009C0666" w:rsidRPr="00BF5F3D" w:rsidRDefault="009C0666" w:rsidP="00AC11DC">
            <w:pPr>
              <w:pStyle w:val="Tabletext"/>
              <w:ind w:right="0"/>
              <w:rPr>
                <w:iCs/>
                <w:szCs w:val="20"/>
              </w:rPr>
            </w:pPr>
            <w:r w:rsidRPr="00BF5F3D">
              <w:rPr>
                <w:iCs/>
                <w:color w:val="auto"/>
                <w:szCs w:val="20"/>
              </w:rPr>
              <w:t>6 (3.1%)</w:t>
            </w:r>
          </w:p>
        </w:tc>
        <w:tc>
          <w:tcPr>
            <w:tcW w:w="1039" w:type="pct"/>
          </w:tcPr>
          <w:p w14:paraId="08B4CCD3" w14:textId="77777777" w:rsidR="009C0666" w:rsidRPr="00BF5F3D" w:rsidRDefault="009C0666" w:rsidP="00AC11DC">
            <w:pPr>
              <w:pStyle w:val="Tabletext"/>
              <w:ind w:right="0"/>
              <w:rPr>
                <w:iCs/>
                <w:szCs w:val="20"/>
              </w:rPr>
            </w:pPr>
            <w:r w:rsidRPr="00BF5F3D">
              <w:rPr>
                <w:iCs/>
                <w:color w:val="auto"/>
                <w:szCs w:val="20"/>
              </w:rPr>
              <w:t>2 (1.0%)</w:t>
            </w:r>
          </w:p>
        </w:tc>
      </w:tr>
    </w:tbl>
    <w:p w14:paraId="42CB2B6E" w14:textId="1706EC88" w:rsidR="0015470B" w:rsidRDefault="0015470B" w:rsidP="0015470B">
      <w:pPr>
        <w:pStyle w:val="TableDescription"/>
      </w:pPr>
      <w:r>
        <w:t xml:space="preserve">Abbreviations: ALP = alkaline phosphatase; ALT = alanine aminotransferase; AST = aspartate aminotransferase; CyBorD = cyclophosphamide, bortezomib and dexamethasone combination therapy GGT = gamma glutamyl transferase; </w:t>
      </w:r>
    </w:p>
    <w:p w14:paraId="43A5C22F" w14:textId="345BDA1C" w:rsidR="00F20392" w:rsidRDefault="00F20392" w:rsidP="00073395">
      <w:r>
        <w:t xml:space="preserve">Treatment discontinuations occurred in around 4% of each treatment arm, with all but one occurring in </w:t>
      </w:r>
      <w:r w:rsidR="00094291">
        <w:t>C</w:t>
      </w:r>
      <w:r>
        <w:t xml:space="preserve">ycles 1 </w:t>
      </w:r>
      <w:r w:rsidR="00094291">
        <w:t>to</w:t>
      </w:r>
      <w:r>
        <w:t xml:space="preserve"> 6.</w:t>
      </w:r>
    </w:p>
    <w:p w14:paraId="49175792" w14:textId="45DEBF11" w:rsidR="00F20392" w:rsidRDefault="00F20392" w:rsidP="00093EA4">
      <w:r>
        <w:t xml:space="preserve">Common TEAEs leading to treatment cycle delays or dose modifications in the </w:t>
      </w:r>
      <w:r w:rsidR="0015470B">
        <w:t>daratumumab</w:t>
      </w:r>
      <w:r w:rsidR="00711BD7">
        <w:t xml:space="preserve"> + CyBorD</w:t>
      </w:r>
      <w:r>
        <w:t xml:space="preserve"> arm were peripheral sensory neuropathy, </w:t>
      </w:r>
      <w:r w:rsidR="0023152B">
        <w:rPr>
          <w:iCs/>
          <w:szCs w:val="20"/>
        </w:rPr>
        <w:t>u</w:t>
      </w:r>
      <w:r w:rsidR="0023152B" w:rsidRPr="00BF5F3D">
        <w:rPr>
          <w:iCs/>
          <w:szCs w:val="20"/>
        </w:rPr>
        <w:t>pper respiratory tract infection</w:t>
      </w:r>
      <w:r>
        <w:t xml:space="preserve">, thrombocytopenia, fatigue and peripheral oedema. In the CyBorD </w:t>
      </w:r>
      <w:r w:rsidR="0015470B">
        <w:t xml:space="preserve">only </w:t>
      </w:r>
      <w:r>
        <w:t>arm the common TEAEs leading to treatment cycle delays or dose modifications were sensory neuropathy and peripheral oedema.</w:t>
      </w:r>
    </w:p>
    <w:p w14:paraId="1F87555B" w14:textId="6F25A6E3" w:rsidR="00F20392" w:rsidRDefault="00F20392" w:rsidP="00093EA4">
      <w:r>
        <w:t xml:space="preserve">Haematological abnormalities are summarised in the </w:t>
      </w:r>
      <w:r w:rsidR="0023152B">
        <w:fldChar w:fldCharType="begin"/>
      </w:r>
      <w:r w:rsidR="0023152B">
        <w:instrText xml:space="preserve"> REF _Ref113007040 \h </w:instrText>
      </w:r>
      <w:r w:rsidR="0023152B">
        <w:fldChar w:fldCharType="separate"/>
      </w:r>
      <w:r w:rsidR="0023152B">
        <w:t xml:space="preserve">Table </w:t>
      </w:r>
      <w:r w:rsidR="0023152B">
        <w:rPr>
          <w:noProof/>
        </w:rPr>
        <w:t>6</w:t>
      </w:r>
      <w:r w:rsidR="0023152B">
        <w:fldChar w:fldCharType="end"/>
      </w:r>
      <w:r>
        <w:t>. Grade 3 or 4 febrile ne</w:t>
      </w:r>
      <w:r w:rsidR="0015470B">
        <w:t>utropenia occurred in 1% of the daratumumab</w:t>
      </w:r>
      <w:r w:rsidR="00711BD7">
        <w:t xml:space="preserve"> + CyBorD</w:t>
      </w:r>
      <w:r>
        <w:t xml:space="preserve"> arm but not in the CyBorD </w:t>
      </w:r>
      <w:r w:rsidR="0015470B">
        <w:t xml:space="preserve">only </w:t>
      </w:r>
      <w:r>
        <w:t>arm. All grade bleeding event</w:t>
      </w:r>
      <w:r w:rsidR="0015470B">
        <w:t xml:space="preserve">s were also more common in the daratumumab </w:t>
      </w:r>
      <w:r>
        <w:t>+</w:t>
      </w:r>
      <w:r w:rsidRPr="00833E68">
        <w:t xml:space="preserve"> </w:t>
      </w:r>
      <w:r>
        <w:t xml:space="preserve">CyBorD (29.5%) than in the CyBorD </w:t>
      </w:r>
      <w:r w:rsidR="0015470B">
        <w:t xml:space="preserve">only </w:t>
      </w:r>
      <w:r>
        <w:t>arm (13.8%)</w:t>
      </w:r>
      <w:r w:rsidR="0026506C">
        <w:t>.</w:t>
      </w:r>
    </w:p>
    <w:p w14:paraId="12805511" w14:textId="1542E52D" w:rsidR="0015470B" w:rsidRDefault="0015470B" w:rsidP="0015470B">
      <w:pPr>
        <w:pStyle w:val="Heading6"/>
      </w:pPr>
      <w:r>
        <w:t>Treatment-emergent adverse haematological events</w:t>
      </w:r>
    </w:p>
    <w:p w14:paraId="425EA479" w14:textId="315F22C1" w:rsidR="0015470B" w:rsidRPr="0015470B" w:rsidRDefault="0015470B" w:rsidP="0015470B">
      <w:r>
        <w:t>The</w:t>
      </w:r>
      <w:r w:rsidRPr="0015470B">
        <w:t xml:space="preserve"> </w:t>
      </w:r>
      <w:r>
        <w:t xml:space="preserve">following </w:t>
      </w:r>
      <w:r w:rsidRPr="0015470B">
        <w:t xml:space="preserve">table summarises the haematological events in </w:t>
      </w:r>
      <w:r>
        <w:t>Study AMY3001 (the</w:t>
      </w:r>
      <w:r w:rsidRPr="0015470B">
        <w:t xml:space="preserve"> ANDROMEDA trial</w:t>
      </w:r>
      <w:r>
        <w:t>)</w:t>
      </w:r>
      <w:r w:rsidRPr="0015470B">
        <w:t xml:space="preserve"> based on </w:t>
      </w:r>
      <w:r>
        <w:t>the safety population. The m</w:t>
      </w:r>
      <w:r w:rsidRPr="0015470B">
        <w:t xml:space="preserve">edian duration of treatment </w:t>
      </w:r>
      <w:r>
        <w:t xml:space="preserve">was </w:t>
      </w:r>
      <w:r w:rsidRPr="0015470B">
        <w:t xml:space="preserve">9.6 months </w:t>
      </w:r>
      <w:r>
        <w:t xml:space="preserve">for the daratumumab + CyBorD arm, and 5.3 month for the </w:t>
      </w:r>
      <w:r w:rsidR="00CF75F0">
        <w:t>CyBorD only arm</w:t>
      </w:r>
      <w:r w:rsidRPr="0015470B">
        <w:t>.</w:t>
      </w:r>
    </w:p>
    <w:p w14:paraId="25E24B51" w14:textId="603E574E" w:rsidR="00F20392" w:rsidRDefault="0011684A" w:rsidP="0011684A">
      <w:pPr>
        <w:pStyle w:val="Tabletitle0"/>
      </w:pPr>
      <w:bookmarkStart w:id="46" w:name="_Ref113007040"/>
      <w:r>
        <w:t xml:space="preserve">Table </w:t>
      </w:r>
      <w:fldSimple w:instr=" SEQ Table \* ARABIC ">
        <w:r>
          <w:rPr>
            <w:noProof/>
          </w:rPr>
          <w:t>6</w:t>
        </w:r>
      </w:fldSimple>
      <w:bookmarkEnd w:id="46"/>
      <w:r w:rsidR="00D734DF">
        <w:rPr>
          <w:noProof/>
        </w:rPr>
        <w:t xml:space="preserve">: </w:t>
      </w:r>
      <w:r w:rsidR="0015470B">
        <w:rPr>
          <w:noProof/>
        </w:rPr>
        <w:t>Study AMY3001 (</w:t>
      </w:r>
      <w:r w:rsidR="00073395" w:rsidRPr="00833E68">
        <w:t>ANDROMEDA</w:t>
      </w:r>
      <w:r w:rsidR="00073395">
        <w:rPr>
          <w:noProof/>
        </w:rPr>
        <w:t xml:space="preserve"> trial</w:t>
      </w:r>
      <w:r w:rsidR="0015470B">
        <w:rPr>
          <w:noProof/>
        </w:rPr>
        <w:t>) S</w:t>
      </w:r>
      <w:r w:rsidR="00D734DF" w:rsidRPr="00833E68">
        <w:t>ummary</w:t>
      </w:r>
      <w:r w:rsidR="00F20392" w:rsidRPr="00833E68">
        <w:t xml:space="preserve"> of </w:t>
      </w:r>
      <w:r w:rsidR="0015470B">
        <w:t xml:space="preserve">All Grade, Grade 3, and Grade 4 </w:t>
      </w:r>
      <w:r w:rsidR="00F20392" w:rsidRPr="00833E68">
        <w:t>haematological events</w:t>
      </w:r>
    </w:p>
    <w:tbl>
      <w:tblPr>
        <w:tblStyle w:val="TableTGAblue"/>
        <w:tblW w:w="5191" w:type="pct"/>
        <w:tblLayout w:type="fixed"/>
        <w:tblLook w:val="04A0" w:firstRow="1" w:lastRow="0" w:firstColumn="1" w:lastColumn="0" w:noHBand="0" w:noVBand="1"/>
        <w:tblCaption w:val="ANDROMEDA trial A summary of haematological events"/>
        <w:tblDescription w:val="The table presents a summary of haematological events in the Andromeda trial."/>
      </w:tblPr>
      <w:tblGrid>
        <w:gridCol w:w="1552"/>
        <w:gridCol w:w="1416"/>
        <w:gridCol w:w="1170"/>
        <w:gridCol w:w="1172"/>
        <w:gridCol w:w="1260"/>
        <w:gridCol w:w="1170"/>
        <w:gridCol w:w="1074"/>
      </w:tblGrid>
      <w:tr w:rsidR="00416A63" w:rsidRPr="000019CC" w14:paraId="36A692A8" w14:textId="77777777" w:rsidTr="00CF75F0">
        <w:trPr>
          <w:cnfStyle w:val="100000000000" w:firstRow="1" w:lastRow="0" w:firstColumn="0" w:lastColumn="0" w:oddVBand="0" w:evenVBand="0" w:oddHBand="0" w:evenHBand="0" w:firstRowFirstColumn="0" w:firstRowLastColumn="0" w:lastRowFirstColumn="0" w:lastRowLastColumn="0"/>
        </w:trPr>
        <w:tc>
          <w:tcPr>
            <w:tcW w:w="880" w:type="pct"/>
            <w:vMerge w:val="restart"/>
            <w:tcBorders>
              <w:top w:val="single" w:sz="4" w:space="0" w:color="auto"/>
              <w:left w:val="single" w:sz="4" w:space="0" w:color="auto"/>
              <w:bottom w:val="single" w:sz="4" w:space="0" w:color="auto"/>
              <w:right w:val="single" w:sz="4" w:space="0" w:color="auto"/>
            </w:tcBorders>
          </w:tcPr>
          <w:p w14:paraId="4737CB7C" w14:textId="77777777" w:rsidR="00416A63" w:rsidRPr="00073395" w:rsidRDefault="00416A63" w:rsidP="00DC7F79">
            <w:pPr>
              <w:pStyle w:val="Tabletext"/>
              <w:rPr>
                <w:bCs/>
              </w:rPr>
            </w:pPr>
          </w:p>
        </w:tc>
        <w:tc>
          <w:tcPr>
            <w:tcW w:w="2131" w:type="pct"/>
            <w:gridSpan w:val="3"/>
            <w:tcBorders>
              <w:top w:val="single" w:sz="4" w:space="0" w:color="auto"/>
              <w:left w:val="single" w:sz="4" w:space="0" w:color="auto"/>
              <w:bottom w:val="single" w:sz="4" w:space="0" w:color="auto"/>
              <w:right w:val="single" w:sz="4" w:space="0" w:color="auto"/>
            </w:tcBorders>
          </w:tcPr>
          <w:p w14:paraId="4286324F" w14:textId="59829699" w:rsidR="00416A63" w:rsidRPr="00416A63" w:rsidRDefault="0015470B" w:rsidP="00DC7F79">
            <w:pPr>
              <w:pStyle w:val="Tabletext"/>
              <w:rPr>
                <w:bCs/>
              </w:rPr>
            </w:pPr>
            <w:r>
              <w:rPr>
                <w:bCs/>
              </w:rPr>
              <w:t xml:space="preserve">Daratumumab </w:t>
            </w:r>
            <w:r w:rsidR="00416A63" w:rsidRPr="00416A63">
              <w:rPr>
                <w:bCs/>
              </w:rPr>
              <w:t>+ CyBorD (N=193)</w:t>
            </w:r>
          </w:p>
        </w:tc>
        <w:tc>
          <w:tcPr>
            <w:tcW w:w="1988" w:type="pct"/>
            <w:gridSpan w:val="3"/>
            <w:tcBorders>
              <w:left w:val="single" w:sz="4" w:space="0" w:color="auto"/>
            </w:tcBorders>
          </w:tcPr>
          <w:p w14:paraId="3144C782" w14:textId="48180D01" w:rsidR="00416A63" w:rsidRPr="00416A63" w:rsidRDefault="0015470B" w:rsidP="0015470B">
            <w:pPr>
              <w:pStyle w:val="Tabletext"/>
              <w:rPr>
                <w:bCs/>
              </w:rPr>
            </w:pPr>
            <w:r>
              <w:rPr>
                <w:bCs/>
              </w:rPr>
              <w:t>CyBorD only</w:t>
            </w:r>
            <w:r>
              <w:rPr>
                <w:bCs/>
              </w:rPr>
              <w:br/>
            </w:r>
            <w:r w:rsidR="00416A63" w:rsidRPr="00416A63">
              <w:rPr>
                <w:bCs/>
              </w:rPr>
              <w:t>(N=188)</w:t>
            </w:r>
          </w:p>
        </w:tc>
      </w:tr>
      <w:tr w:rsidR="0015470B" w:rsidRPr="000019CC" w14:paraId="44A78450" w14:textId="77777777" w:rsidTr="00CF75F0">
        <w:trPr>
          <w:trHeight w:val="520"/>
        </w:trPr>
        <w:tc>
          <w:tcPr>
            <w:tcW w:w="880" w:type="pct"/>
            <w:vMerge/>
            <w:tcBorders>
              <w:top w:val="single" w:sz="4" w:space="0" w:color="auto"/>
              <w:left w:val="single" w:sz="4" w:space="0" w:color="auto"/>
              <w:bottom w:val="single" w:sz="4" w:space="0" w:color="auto"/>
              <w:right w:val="single" w:sz="4" w:space="0" w:color="auto"/>
            </w:tcBorders>
            <w:shd w:val="clear" w:color="auto" w:fill="006DA7"/>
          </w:tcPr>
          <w:p w14:paraId="2F54F500" w14:textId="77777777" w:rsidR="00416A63" w:rsidRPr="00DC7F79" w:rsidRDefault="00416A63" w:rsidP="00DC7F79">
            <w:pPr>
              <w:pStyle w:val="Tabletext"/>
              <w:rPr>
                <w:bCs/>
              </w:rPr>
            </w:pPr>
          </w:p>
        </w:tc>
        <w:tc>
          <w:tcPr>
            <w:tcW w:w="803" w:type="pct"/>
            <w:tcBorders>
              <w:top w:val="single" w:sz="4" w:space="0" w:color="auto"/>
              <w:left w:val="single" w:sz="4" w:space="0" w:color="auto"/>
              <w:bottom w:val="single" w:sz="4" w:space="0" w:color="auto"/>
              <w:right w:val="single" w:sz="4" w:space="0" w:color="auto"/>
            </w:tcBorders>
            <w:shd w:val="clear" w:color="auto" w:fill="006DA7"/>
          </w:tcPr>
          <w:p w14:paraId="6947BCCA" w14:textId="77777777" w:rsidR="00416A63" w:rsidRPr="00DC7F79" w:rsidRDefault="00416A63" w:rsidP="003259E6">
            <w:pPr>
              <w:pStyle w:val="Tabletext"/>
              <w:ind w:left="0"/>
              <w:rPr>
                <w:rFonts w:cs="Calibri"/>
                <w:b/>
                <w:bCs/>
                <w:iCs/>
                <w:color w:val="FFFFFF" w:themeColor="background1"/>
                <w:sz w:val="18"/>
                <w:szCs w:val="18"/>
              </w:rPr>
            </w:pPr>
            <w:r w:rsidRPr="00DC7F79">
              <w:rPr>
                <w:rFonts w:cs="Calibri"/>
                <w:b/>
                <w:bCs/>
                <w:iCs/>
                <w:color w:val="FFFFFF" w:themeColor="background1"/>
                <w:sz w:val="18"/>
                <w:szCs w:val="18"/>
              </w:rPr>
              <w:t>All Grade n (%)</w:t>
            </w:r>
          </w:p>
        </w:tc>
        <w:tc>
          <w:tcPr>
            <w:tcW w:w="664" w:type="pct"/>
            <w:tcBorders>
              <w:left w:val="single" w:sz="4" w:space="0" w:color="auto"/>
            </w:tcBorders>
            <w:shd w:val="clear" w:color="auto" w:fill="006DA7"/>
          </w:tcPr>
          <w:p w14:paraId="00228FA4" w14:textId="77777777" w:rsidR="00416A63" w:rsidRPr="00DC7F79" w:rsidRDefault="00416A63" w:rsidP="003259E6">
            <w:pPr>
              <w:pStyle w:val="Tabletext"/>
              <w:ind w:left="0"/>
              <w:rPr>
                <w:rFonts w:cs="Calibri"/>
                <w:b/>
                <w:bCs/>
                <w:iCs/>
                <w:color w:val="FFFFFF" w:themeColor="background1"/>
                <w:sz w:val="18"/>
                <w:szCs w:val="18"/>
              </w:rPr>
            </w:pPr>
            <w:r w:rsidRPr="00DC7F79">
              <w:rPr>
                <w:rFonts w:cs="Calibri"/>
                <w:b/>
                <w:bCs/>
                <w:iCs/>
                <w:color w:val="FFFFFF" w:themeColor="background1"/>
                <w:sz w:val="18"/>
                <w:szCs w:val="18"/>
              </w:rPr>
              <w:t>Grade 3 n (%)</w:t>
            </w:r>
          </w:p>
        </w:tc>
        <w:tc>
          <w:tcPr>
            <w:tcW w:w="665" w:type="pct"/>
            <w:shd w:val="clear" w:color="auto" w:fill="006DA7"/>
          </w:tcPr>
          <w:p w14:paraId="48ED3C87" w14:textId="616E5656" w:rsidR="00416A63" w:rsidRPr="00DC7F79" w:rsidRDefault="0015470B" w:rsidP="003259E6">
            <w:pPr>
              <w:pStyle w:val="Tabletext"/>
              <w:ind w:left="0"/>
              <w:rPr>
                <w:rFonts w:cs="Calibri"/>
                <w:b/>
                <w:bCs/>
                <w:iCs/>
                <w:color w:val="FFFFFF" w:themeColor="background1"/>
                <w:sz w:val="18"/>
                <w:szCs w:val="18"/>
              </w:rPr>
            </w:pPr>
            <w:r>
              <w:rPr>
                <w:rFonts w:cs="Calibri"/>
                <w:b/>
                <w:bCs/>
                <w:iCs/>
                <w:color w:val="FFFFFF" w:themeColor="background1"/>
                <w:sz w:val="18"/>
                <w:szCs w:val="18"/>
              </w:rPr>
              <w:t>Grade 4</w:t>
            </w:r>
            <w:r>
              <w:rPr>
                <w:rFonts w:cs="Calibri"/>
                <w:b/>
                <w:bCs/>
                <w:iCs/>
                <w:color w:val="FFFFFF" w:themeColor="background1"/>
                <w:sz w:val="18"/>
                <w:szCs w:val="18"/>
              </w:rPr>
              <w:br/>
            </w:r>
            <w:r w:rsidR="00416A63" w:rsidRPr="00DC7F79">
              <w:rPr>
                <w:rFonts w:cs="Calibri"/>
                <w:b/>
                <w:bCs/>
                <w:iCs/>
                <w:color w:val="FFFFFF" w:themeColor="background1"/>
                <w:sz w:val="18"/>
                <w:szCs w:val="18"/>
              </w:rPr>
              <w:t>n (%)</w:t>
            </w:r>
          </w:p>
        </w:tc>
        <w:tc>
          <w:tcPr>
            <w:tcW w:w="715" w:type="pct"/>
            <w:shd w:val="clear" w:color="auto" w:fill="006DA7"/>
          </w:tcPr>
          <w:p w14:paraId="5037D87E" w14:textId="77777777" w:rsidR="00416A63" w:rsidRPr="00DC7F79" w:rsidRDefault="00416A63" w:rsidP="003259E6">
            <w:pPr>
              <w:pStyle w:val="Tabletext"/>
              <w:ind w:left="0"/>
              <w:rPr>
                <w:rFonts w:cs="Calibri"/>
                <w:b/>
                <w:bCs/>
                <w:iCs/>
                <w:color w:val="FFFFFF" w:themeColor="background1"/>
                <w:sz w:val="18"/>
                <w:szCs w:val="18"/>
              </w:rPr>
            </w:pPr>
            <w:r w:rsidRPr="00DC7F79">
              <w:rPr>
                <w:rFonts w:cs="Calibri"/>
                <w:b/>
                <w:bCs/>
                <w:iCs/>
                <w:color w:val="FFFFFF" w:themeColor="background1"/>
                <w:sz w:val="18"/>
                <w:szCs w:val="18"/>
              </w:rPr>
              <w:t>All Grade n (%)</w:t>
            </w:r>
          </w:p>
        </w:tc>
        <w:tc>
          <w:tcPr>
            <w:tcW w:w="664" w:type="pct"/>
            <w:shd w:val="clear" w:color="auto" w:fill="006DA7"/>
          </w:tcPr>
          <w:p w14:paraId="09792CA6" w14:textId="38F5331E" w:rsidR="00416A63" w:rsidRPr="00DC7F79" w:rsidRDefault="0015470B" w:rsidP="003259E6">
            <w:pPr>
              <w:pStyle w:val="Tabletext"/>
              <w:ind w:left="0"/>
              <w:rPr>
                <w:rFonts w:cs="Calibri"/>
                <w:b/>
                <w:bCs/>
                <w:iCs/>
                <w:color w:val="FFFFFF" w:themeColor="background1"/>
                <w:sz w:val="18"/>
                <w:szCs w:val="18"/>
              </w:rPr>
            </w:pPr>
            <w:r>
              <w:rPr>
                <w:rFonts w:cs="Calibri"/>
                <w:b/>
                <w:bCs/>
                <w:iCs/>
                <w:color w:val="FFFFFF" w:themeColor="background1"/>
                <w:sz w:val="18"/>
                <w:szCs w:val="18"/>
              </w:rPr>
              <w:t>Grade 3 n </w:t>
            </w:r>
            <w:r w:rsidR="00416A63" w:rsidRPr="00DC7F79">
              <w:rPr>
                <w:rFonts w:cs="Calibri"/>
                <w:b/>
                <w:bCs/>
                <w:iCs/>
                <w:color w:val="FFFFFF" w:themeColor="background1"/>
                <w:sz w:val="18"/>
                <w:szCs w:val="18"/>
              </w:rPr>
              <w:t>(%)</w:t>
            </w:r>
          </w:p>
        </w:tc>
        <w:tc>
          <w:tcPr>
            <w:tcW w:w="610" w:type="pct"/>
            <w:shd w:val="clear" w:color="auto" w:fill="006DA7"/>
          </w:tcPr>
          <w:p w14:paraId="08B28BBD" w14:textId="78697666" w:rsidR="00416A63" w:rsidRPr="00DC7F79" w:rsidRDefault="0015470B" w:rsidP="003259E6">
            <w:pPr>
              <w:pStyle w:val="Tabletext"/>
              <w:ind w:left="0"/>
              <w:rPr>
                <w:rFonts w:cs="Calibri"/>
                <w:b/>
                <w:bCs/>
                <w:iCs/>
                <w:color w:val="FFFFFF" w:themeColor="background1"/>
                <w:sz w:val="18"/>
                <w:szCs w:val="18"/>
              </w:rPr>
            </w:pPr>
            <w:r>
              <w:rPr>
                <w:rFonts w:cs="Calibri"/>
                <w:b/>
                <w:bCs/>
                <w:iCs/>
                <w:color w:val="FFFFFF" w:themeColor="background1"/>
                <w:sz w:val="18"/>
                <w:szCs w:val="18"/>
              </w:rPr>
              <w:t>Grade 4 n </w:t>
            </w:r>
            <w:r w:rsidR="00416A63" w:rsidRPr="00DC7F79">
              <w:rPr>
                <w:rFonts w:cs="Calibri"/>
                <w:b/>
                <w:bCs/>
                <w:iCs/>
                <w:color w:val="FFFFFF" w:themeColor="background1"/>
                <w:sz w:val="18"/>
                <w:szCs w:val="18"/>
              </w:rPr>
              <w:t>(%)</w:t>
            </w:r>
          </w:p>
        </w:tc>
      </w:tr>
      <w:tr w:rsidR="0015470B" w:rsidRPr="000019CC" w14:paraId="6DE827A8" w14:textId="77777777" w:rsidTr="00CF75F0">
        <w:tc>
          <w:tcPr>
            <w:tcW w:w="880" w:type="pct"/>
            <w:tcBorders>
              <w:top w:val="single" w:sz="4" w:space="0" w:color="auto"/>
            </w:tcBorders>
          </w:tcPr>
          <w:p w14:paraId="698BC2CF" w14:textId="77777777" w:rsidR="00BF5F3D" w:rsidRPr="00BF5F3D" w:rsidRDefault="00BF5F3D" w:rsidP="003259E6">
            <w:pPr>
              <w:pStyle w:val="Tabletext"/>
              <w:ind w:left="0"/>
              <w:rPr>
                <w:rFonts w:cs="Calibri"/>
                <w:iCs/>
                <w:color w:val="auto"/>
                <w:szCs w:val="20"/>
              </w:rPr>
            </w:pPr>
            <w:r w:rsidRPr="00BF5F3D">
              <w:rPr>
                <w:rFonts w:cs="Calibri"/>
                <w:iCs/>
                <w:color w:val="auto"/>
                <w:szCs w:val="20"/>
              </w:rPr>
              <w:t>Anaemia</w:t>
            </w:r>
          </w:p>
        </w:tc>
        <w:tc>
          <w:tcPr>
            <w:tcW w:w="803" w:type="pct"/>
            <w:tcBorders>
              <w:top w:val="single" w:sz="4" w:space="0" w:color="auto"/>
            </w:tcBorders>
          </w:tcPr>
          <w:p w14:paraId="31BD5F8F" w14:textId="77777777" w:rsidR="00BF5F3D" w:rsidRPr="00BF5F3D" w:rsidRDefault="00BF5F3D" w:rsidP="00DC7F79">
            <w:pPr>
              <w:pStyle w:val="Tabletext"/>
              <w:rPr>
                <w:rFonts w:cs="Calibri"/>
                <w:iCs/>
                <w:color w:val="auto"/>
                <w:sz w:val="18"/>
                <w:szCs w:val="18"/>
              </w:rPr>
            </w:pPr>
            <w:r w:rsidRPr="00BF5F3D">
              <w:rPr>
                <w:rFonts w:cs="Calibri"/>
                <w:iCs/>
                <w:color w:val="auto"/>
                <w:sz w:val="18"/>
                <w:szCs w:val="18"/>
              </w:rPr>
              <w:t>125 (65)</w:t>
            </w:r>
          </w:p>
        </w:tc>
        <w:tc>
          <w:tcPr>
            <w:tcW w:w="664" w:type="pct"/>
          </w:tcPr>
          <w:p w14:paraId="4907BB0E" w14:textId="77777777" w:rsidR="00BF5F3D" w:rsidRPr="00BF5F3D" w:rsidRDefault="00BF5F3D" w:rsidP="00DC7F79">
            <w:pPr>
              <w:pStyle w:val="Tabletext"/>
              <w:rPr>
                <w:rFonts w:cs="Calibri"/>
                <w:iCs/>
                <w:color w:val="auto"/>
                <w:sz w:val="18"/>
                <w:szCs w:val="18"/>
              </w:rPr>
            </w:pPr>
            <w:r w:rsidRPr="00BF5F3D">
              <w:rPr>
                <w:rFonts w:cs="Calibri"/>
                <w:iCs/>
                <w:color w:val="auto"/>
                <w:sz w:val="18"/>
                <w:szCs w:val="18"/>
              </w:rPr>
              <w:t>11 (6)</w:t>
            </w:r>
          </w:p>
        </w:tc>
        <w:tc>
          <w:tcPr>
            <w:tcW w:w="665" w:type="pct"/>
          </w:tcPr>
          <w:p w14:paraId="489FD436" w14:textId="77777777" w:rsidR="00BF5F3D" w:rsidRPr="00BF5F3D" w:rsidRDefault="00BF5F3D" w:rsidP="00DC7F79">
            <w:pPr>
              <w:pStyle w:val="Tabletext"/>
              <w:rPr>
                <w:rFonts w:cs="Calibri"/>
                <w:iCs/>
                <w:color w:val="auto"/>
                <w:sz w:val="18"/>
                <w:szCs w:val="18"/>
              </w:rPr>
            </w:pPr>
            <w:r w:rsidRPr="00BF5F3D">
              <w:rPr>
                <w:rFonts w:cs="Calibri"/>
                <w:iCs/>
                <w:color w:val="auto"/>
                <w:sz w:val="18"/>
                <w:szCs w:val="18"/>
              </w:rPr>
              <w:t>0</w:t>
            </w:r>
          </w:p>
        </w:tc>
        <w:tc>
          <w:tcPr>
            <w:tcW w:w="715" w:type="pct"/>
          </w:tcPr>
          <w:p w14:paraId="369D0A70" w14:textId="77777777" w:rsidR="00BF5F3D" w:rsidRPr="00BF5F3D" w:rsidRDefault="00BF5F3D" w:rsidP="00DC7F79">
            <w:pPr>
              <w:pStyle w:val="Tabletext"/>
              <w:rPr>
                <w:rFonts w:cs="Calibri"/>
                <w:iCs/>
                <w:color w:val="auto"/>
                <w:sz w:val="18"/>
                <w:szCs w:val="18"/>
              </w:rPr>
            </w:pPr>
            <w:r w:rsidRPr="00BF5F3D">
              <w:rPr>
                <w:rFonts w:cs="Calibri"/>
                <w:iCs/>
                <w:color w:val="auto"/>
                <w:sz w:val="18"/>
                <w:szCs w:val="18"/>
              </w:rPr>
              <w:t>131 (70)</w:t>
            </w:r>
          </w:p>
        </w:tc>
        <w:tc>
          <w:tcPr>
            <w:tcW w:w="664" w:type="pct"/>
          </w:tcPr>
          <w:p w14:paraId="41A636F7" w14:textId="77777777" w:rsidR="00BF5F3D" w:rsidRPr="00BF5F3D" w:rsidRDefault="00BF5F3D" w:rsidP="00DC7F79">
            <w:pPr>
              <w:pStyle w:val="Tabletext"/>
              <w:rPr>
                <w:rFonts w:cs="Calibri"/>
                <w:iCs/>
                <w:color w:val="auto"/>
                <w:sz w:val="18"/>
                <w:szCs w:val="18"/>
              </w:rPr>
            </w:pPr>
            <w:r w:rsidRPr="00BF5F3D">
              <w:rPr>
                <w:rFonts w:cs="Calibri"/>
                <w:iCs/>
                <w:color w:val="auto"/>
                <w:sz w:val="18"/>
                <w:szCs w:val="18"/>
              </w:rPr>
              <w:t>12 (6)</w:t>
            </w:r>
          </w:p>
        </w:tc>
        <w:tc>
          <w:tcPr>
            <w:tcW w:w="610" w:type="pct"/>
          </w:tcPr>
          <w:p w14:paraId="20977820" w14:textId="77777777" w:rsidR="00BF5F3D" w:rsidRPr="00BF5F3D" w:rsidRDefault="00BF5F3D" w:rsidP="00DC7F79">
            <w:pPr>
              <w:pStyle w:val="Tabletext"/>
              <w:rPr>
                <w:rFonts w:cs="Calibri"/>
                <w:iCs/>
                <w:color w:val="auto"/>
                <w:sz w:val="18"/>
                <w:szCs w:val="18"/>
              </w:rPr>
            </w:pPr>
            <w:r w:rsidRPr="00BF5F3D">
              <w:rPr>
                <w:rFonts w:cs="Calibri"/>
                <w:iCs/>
                <w:color w:val="auto"/>
                <w:sz w:val="18"/>
                <w:szCs w:val="18"/>
              </w:rPr>
              <w:t>0</w:t>
            </w:r>
          </w:p>
        </w:tc>
      </w:tr>
      <w:tr w:rsidR="0015470B" w:rsidRPr="000019CC" w14:paraId="60D77786" w14:textId="77777777" w:rsidTr="00CF75F0">
        <w:tc>
          <w:tcPr>
            <w:tcW w:w="880" w:type="pct"/>
          </w:tcPr>
          <w:p w14:paraId="7E465588" w14:textId="77777777" w:rsidR="00BF5F3D" w:rsidRPr="00BF5F3D" w:rsidRDefault="00BF5F3D" w:rsidP="003259E6">
            <w:pPr>
              <w:pStyle w:val="Tabletext"/>
              <w:ind w:left="0"/>
              <w:rPr>
                <w:rFonts w:cs="Calibri"/>
                <w:iCs/>
                <w:color w:val="auto"/>
                <w:szCs w:val="20"/>
              </w:rPr>
            </w:pPr>
            <w:r w:rsidRPr="00BF5F3D">
              <w:rPr>
                <w:rFonts w:cs="Calibri"/>
                <w:iCs/>
                <w:color w:val="auto"/>
                <w:szCs w:val="20"/>
              </w:rPr>
              <w:t>Thrombocytopenia</w:t>
            </w:r>
          </w:p>
        </w:tc>
        <w:tc>
          <w:tcPr>
            <w:tcW w:w="803" w:type="pct"/>
          </w:tcPr>
          <w:p w14:paraId="6B4C4C32" w14:textId="77777777" w:rsidR="00BF5F3D" w:rsidRPr="00BF5F3D" w:rsidRDefault="00BF5F3D" w:rsidP="00DC7F79">
            <w:pPr>
              <w:pStyle w:val="Tabletext"/>
              <w:rPr>
                <w:rFonts w:cs="Calibri"/>
                <w:iCs/>
                <w:color w:val="auto"/>
                <w:sz w:val="18"/>
                <w:szCs w:val="18"/>
              </w:rPr>
            </w:pPr>
            <w:r w:rsidRPr="00BF5F3D">
              <w:rPr>
                <w:rFonts w:cs="Calibri"/>
                <w:iCs/>
                <w:color w:val="auto"/>
                <w:sz w:val="18"/>
                <w:szCs w:val="18"/>
              </w:rPr>
              <w:t>87 (45)</w:t>
            </w:r>
          </w:p>
        </w:tc>
        <w:tc>
          <w:tcPr>
            <w:tcW w:w="664" w:type="pct"/>
          </w:tcPr>
          <w:p w14:paraId="69141BDD" w14:textId="77777777" w:rsidR="00BF5F3D" w:rsidRPr="00BF5F3D" w:rsidRDefault="00BF5F3D" w:rsidP="00DC7F79">
            <w:pPr>
              <w:pStyle w:val="Tabletext"/>
              <w:rPr>
                <w:rFonts w:cs="Calibri"/>
                <w:iCs/>
                <w:color w:val="auto"/>
                <w:sz w:val="18"/>
                <w:szCs w:val="18"/>
              </w:rPr>
            </w:pPr>
            <w:r w:rsidRPr="00BF5F3D">
              <w:rPr>
                <w:rFonts w:cs="Calibri"/>
                <w:iCs/>
                <w:color w:val="auto"/>
                <w:sz w:val="18"/>
                <w:szCs w:val="18"/>
              </w:rPr>
              <w:t>4 (2)</w:t>
            </w:r>
          </w:p>
        </w:tc>
        <w:tc>
          <w:tcPr>
            <w:tcW w:w="665" w:type="pct"/>
          </w:tcPr>
          <w:p w14:paraId="437DD74F" w14:textId="77777777" w:rsidR="00BF5F3D" w:rsidRPr="00BF5F3D" w:rsidRDefault="00BF5F3D" w:rsidP="00DC7F79">
            <w:pPr>
              <w:pStyle w:val="Tabletext"/>
              <w:rPr>
                <w:rFonts w:cs="Calibri"/>
                <w:iCs/>
                <w:color w:val="auto"/>
                <w:sz w:val="18"/>
                <w:szCs w:val="18"/>
              </w:rPr>
            </w:pPr>
            <w:r w:rsidRPr="00BF5F3D">
              <w:rPr>
                <w:rFonts w:cs="Calibri"/>
                <w:iCs/>
                <w:color w:val="auto"/>
                <w:sz w:val="18"/>
                <w:szCs w:val="18"/>
              </w:rPr>
              <w:t>2 (1)</w:t>
            </w:r>
          </w:p>
        </w:tc>
        <w:tc>
          <w:tcPr>
            <w:tcW w:w="715" w:type="pct"/>
          </w:tcPr>
          <w:p w14:paraId="4DB9CC5D" w14:textId="77777777" w:rsidR="00BF5F3D" w:rsidRPr="00BF5F3D" w:rsidRDefault="00BF5F3D" w:rsidP="00DC7F79">
            <w:pPr>
              <w:pStyle w:val="Tabletext"/>
              <w:rPr>
                <w:rFonts w:cs="Calibri"/>
                <w:iCs/>
                <w:color w:val="auto"/>
                <w:sz w:val="18"/>
                <w:szCs w:val="18"/>
              </w:rPr>
            </w:pPr>
            <w:r w:rsidRPr="00BF5F3D">
              <w:rPr>
                <w:rFonts w:cs="Calibri"/>
                <w:iCs/>
                <w:color w:val="auto"/>
                <w:sz w:val="18"/>
                <w:szCs w:val="18"/>
              </w:rPr>
              <w:t>75 (40)</w:t>
            </w:r>
          </w:p>
        </w:tc>
        <w:tc>
          <w:tcPr>
            <w:tcW w:w="664" w:type="pct"/>
          </w:tcPr>
          <w:p w14:paraId="6BE1DD61" w14:textId="77777777" w:rsidR="00BF5F3D" w:rsidRPr="00BF5F3D" w:rsidRDefault="00BF5F3D" w:rsidP="00DC7F79">
            <w:pPr>
              <w:pStyle w:val="Tabletext"/>
              <w:rPr>
                <w:rFonts w:cs="Calibri"/>
                <w:iCs/>
                <w:color w:val="auto"/>
                <w:sz w:val="18"/>
                <w:szCs w:val="18"/>
              </w:rPr>
            </w:pPr>
            <w:r w:rsidRPr="00BF5F3D">
              <w:rPr>
                <w:rFonts w:cs="Calibri"/>
                <w:iCs/>
                <w:color w:val="auto"/>
                <w:sz w:val="18"/>
                <w:szCs w:val="18"/>
              </w:rPr>
              <w:t>6 (3)</w:t>
            </w:r>
          </w:p>
        </w:tc>
        <w:tc>
          <w:tcPr>
            <w:tcW w:w="610" w:type="pct"/>
          </w:tcPr>
          <w:p w14:paraId="52F6CB06" w14:textId="77777777" w:rsidR="00BF5F3D" w:rsidRPr="00BF5F3D" w:rsidRDefault="00BF5F3D" w:rsidP="00DC7F79">
            <w:pPr>
              <w:pStyle w:val="Tabletext"/>
              <w:rPr>
                <w:rFonts w:cs="Calibri"/>
                <w:iCs/>
                <w:color w:val="auto"/>
                <w:sz w:val="18"/>
                <w:szCs w:val="18"/>
              </w:rPr>
            </w:pPr>
            <w:r w:rsidRPr="00BF5F3D">
              <w:rPr>
                <w:rFonts w:cs="Calibri"/>
                <w:iCs/>
                <w:color w:val="auto"/>
                <w:sz w:val="18"/>
                <w:szCs w:val="18"/>
              </w:rPr>
              <w:t>1 (1)</w:t>
            </w:r>
          </w:p>
        </w:tc>
      </w:tr>
      <w:tr w:rsidR="0015470B" w:rsidRPr="000019CC" w14:paraId="68311AC9" w14:textId="77777777" w:rsidTr="00CF75F0">
        <w:tc>
          <w:tcPr>
            <w:tcW w:w="880" w:type="pct"/>
          </w:tcPr>
          <w:p w14:paraId="4511416C" w14:textId="77777777" w:rsidR="00BF5F3D" w:rsidRPr="00BF5F3D" w:rsidRDefault="00BF5F3D" w:rsidP="003259E6">
            <w:pPr>
              <w:pStyle w:val="Tabletext"/>
              <w:ind w:left="0"/>
              <w:rPr>
                <w:rFonts w:cs="Calibri"/>
                <w:iCs/>
                <w:color w:val="auto"/>
                <w:szCs w:val="20"/>
              </w:rPr>
            </w:pPr>
            <w:r w:rsidRPr="00BF5F3D">
              <w:rPr>
                <w:rFonts w:cs="Calibri"/>
                <w:iCs/>
                <w:color w:val="auto"/>
                <w:szCs w:val="20"/>
              </w:rPr>
              <w:t>Leukopenia</w:t>
            </w:r>
          </w:p>
        </w:tc>
        <w:tc>
          <w:tcPr>
            <w:tcW w:w="803" w:type="pct"/>
          </w:tcPr>
          <w:p w14:paraId="42079BBC" w14:textId="77777777" w:rsidR="00BF5F3D" w:rsidRPr="00BF5F3D" w:rsidRDefault="00BF5F3D" w:rsidP="00DC7F79">
            <w:pPr>
              <w:pStyle w:val="Tabletext"/>
              <w:rPr>
                <w:rFonts w:cs="Calibri"/>
                <w:iCs/>
                <w:color w:val="auto"/>
                <w:sz w:val="18"/>
                <w:szCs w:val="18"/>
              </w:rPr>
            </w:pPr>
            <w:r w:rsidRPr="00BF5F3D">
              <w:rPr>
                <w:rFonts w:cs="Calibri"/>
                <w:iCs/>
                <w:color w:val="auto"/>
                <w:sz w:val="18"/>
                <w:szCs w:val="18"/>
              </w:rPr>
              <w:t>112 (58)</w:t>
            </w:r>
          </w:p>
        </w:tc>
        <w:tc>
          <w:tcPr>
            <w:tcW w:w="664" w:type="pct"/>
          </w:tcPr>
          <w:p w14:paraId="38EE4A6C" w14:textId="77777777" w:rsidR="00BF5F3D" w:rsidRPr="00BF5F3D" w:rsidRDefault="00BF5F3D" w:rsidP="00DC7F79">
            <w:pPr>
              <w:pStyle w:val="Tabletext"/>
              <w:rPr>
                <w:rFonts w:cs="Calibri"/>
                <w:iCs/>
                <w:color w:val="auto"/>
                <w:sz w:val="18"/>
                <w:szCs w:val="18"/>
              </w:rPr>
            </w:pPr>
            <w:r w:rsidRPr="00BF5F3D">
              <w:rPr>
                <w:rFonts w:cs="Calibri"/>
                <w:iCs/>
                <w:color w:val="auto"/>
                <w:sz w:val="18"/>
                <w:szCs w:val="18"/>
              </w:rPr>
              <w:t>9 (5)</w:t>
            </w:r>
          </w:p>
        </w:tc>
        <w:tc>
          <w:tcPr>
            <w:tcW w:w="665" w:type="pct"/>
          </w:tcPr>
          <w:p w14:paraId="28A9E3E2" w14:textId="77777777" w:rsidR="00BF5F3D" w:rsidRPr="00BF5F3D" w:rsidRDefault="00BF5F3D" w:rsidP="00DC7F79">
            <w:pPr>
              <w:pStyle w:val="Tabletext"/>
              <w:rPr>
                <w:rFonts w:cs="Calibri"/>
                <w:iCs/>
                <w:color w:val="auto"/>
                <w:sz w:val="18"/>
                <w:szCs w:val="18"/>
              </w:rPr>
            </w:pPr>
            <w:r w:rsidRPr="00BF5F3D">
              <w:rPr>
                <w:rFonts w:cs="Calibri"/>
                <w:iCs/>
                <w:color w:val="auto"/>
                <w:sz w:val="18"/>
                <w:szCs w:val="18"/>
              </w:rPr>
              <w:t>5 (3)</w:t>
            </w:r>
          </w:p>
        </w:tc>
        <w:tc>
          <w:tcPr>
            <w:tcW w:w="715" w:type="pct"/>
          </w:tcPr>
          <w:p w14:paraId="189815FE" w14:textId="77777777" w:rsidR="00BF5F3D" w:rsidRPr="00BF5F3D" w:rsidRDefault="00BF5F3D" w:rsidP="00DC7F79">
            <w:pPr>
              <w:pStyle w:val="Tabletext"/>
              <w:rPr>
                <w:rFonts w:cs="Calibri"/>
                <w:iCs/>
                <w:color w:val="auto"/>
                <w:sz w:val="18"/>
                <w:szCs w:val="18"/>
              </w:rPr>
            </w:pPr>
            <w:r w:rsidRPr="00BF5F3D">
              <w:rPr>
                <w:rFonts w:cs="Calibri"/>
                <w:iCs/>
                <w:color w:val="auto"/>
                <w:sz w:val="18"/>
                <w:szCs w:val="18"/>
              </w:rPr>
              <w:t>85 (45)</w:t>
            </w:r>
          </w:p>
        </w:tc>
        <w:tc>
          <w:tcPr>
            <w:tcW w:w="664" w:type="pct"/>
          </w:tcPr>
          <w:p w14:paraId="1D90704A" w14:textId="77777777" w:rsidR="00BF5F3D" w:rsidRPr="00BF5F3D" w:rsidRDefault="00BF5F3D" w:rsidP="00DC7F79">
            <w:pPr>
              <w:pStyle w:val="Tabletext"/>
              <w:rPr>
                <w:rFonts w:cs="Calibri"/>
                <w:iCs/>
                <w:color w:val="auto"/>
                <w:sz w:val="18"/>
                <w:szCs w:val="18"/>
              </w:rPr>
            </w:pPr>
            <w:r w:rsidRPr="00BF5F3D">
              <w:rPr>
                <w:rFonts w:cs="Calibri"/>
                <w:iCs/>
                <w:color w:val="auto"/>
                <w:sz w:val="18"/>
                <w:szCs w:val="18"/>
              </w:rPr>
              <w:t>8 (4)</w:t>
            </w:r>
          </w:p>
        </w:tc>
        <w:tc>
          <w:tcPr>
            <w:tcW w:w="610" w:type="pct"/>
          </w:tcPr>
          <w:p w14:paraId="49309781" w14:textId="77777777" w:rsidR="00BF5F3D" w:rsidRPr="00BF5F3D" w:rsidRDefault="00BF5F3D" w:rsidP="00DC7F79">
            <w:pPr>
              <w:pStyle w:val="Tabletext"/>
              <w:rPr>
                <w:rFonts w:cs="Calibri"/>
                <w:iCs/>
                <w:color w:val="auto"/>
                <w:sz w:val="18"/>
                <w:szCs w:val="18"/>
              </w:rPr>
            </w:pPr>
            <w:r w:rsidRPr="00BF5F3D">
              <w:rPr>
                <w:rFonts w:cs="Calibri"/>
                <w:iCs/>
                <w:color w:val="auto"/>
                <w:sz w:val="18"/>
                <w:szCs w:val="18"/>
              </w:rPr>
              <w:t>0</w:t>
            </w:r>
          </w:p>
        </w:tc>
      </w:tr>
      <w:tr w:rsidR="0015470B" w:rsidRPr="000019CC" w14:paraId="33626889" w14:textId="77777777" w:rsidTr="00CF75F0">
        <w:tc>
          <w:tcPr>
            <w:tcW w:w="880" w:type="pct"/>
          </w:tcPr>
          <w:p w14:paraId="3EDD7294" w14:textId="77777777" w:rsidR="00BF5F3D" w:rsidRPr="00BF5F3D" w:rsidRDefault="00BF5F3D" w:rsidP="003259E6">
            <w:pPr>
              <w:pStyle w:val="Tabletext"/>
              <w:ind w:left="0"/>
              <w:rPr>
                <w:rFonts w:cs="Calibri"/>
                <w:iCs/>
                <w:color w:val="auto"/>
                <w:szCs w:val="20"/>
              </w:rPr>
            </w:pPr>
            <w:r w:rsidRPr="00BF5F3D">
              <w:rPr>
                <w:rFonts w:cs="Calibri"/>
                <w:iCs/>
                <w:color w:val="auto"/>
                <w:szCs w:val="20"/>
              </w:rPr>
              <w:t>Neutropenia</w:t>
            </w:r>
          </w:p>
        </w:tc>
        <w:tc>
          <w:tcPr>
            <w:tcW w:w="803" w:type="pct"/>
          </w:tcPr>
          <w:p w14:paraId="50815E46" w14:textId="77777777" w:rsidR="00BF5F3D" w:rsidRPr="00BF5F3D" w:rsidRDefault="00BF5F3D" w:rsidP="00DC7F79">
            <w:pPr>
              <w:pStyle w:val="Tabletext"/>
              <w:rPr>
                <w:rFonts w:cs="Calibri"/>
                <w:iCs/>
                <w:color w:val="auto"/>
                <w:sz w:val="18"/>
                <w:szCs w:val="18"/>
              </w:rPr>
            </w:pPr>
            <w:r w:rsidRPr="00BF5F3D">
              <w:rPr>
                <w:rFonts w:cs="Calibri"/>
                <w:iCs/>
                <w:color w:val="auto"/>
                <w:sz w:val="18"/>
                <w:szCs w:val="18"/>
              </w:rPr>
              <w:t>56 (29)</w:t>
            </w:r>
          </w:p>
        </w:tc>
        <w:tc>
          <w:tcPr>
            <w:tcW w:w="664" w:type="pct"/>
          </w:tcPr>
          <w:p w14:paraId="0E0A7A5A" w14:textId="77777777" w:rsidR="00BF5F3D" w:rsidRPr="00BF5F3D" w:rsidRDefault="00BF5F3D" w:rsidP="00DC7F79">
            <w:pPr>
              <w:pStyle w:val="Tabletext"/>
              <w:rPr>
                <w:rFonts w:cs="Calibri"/>
                <w:iCs/>
                <w:color w:val="auto"/>
                <w:sz w:val="18"/>
                <w:szCs w:val="18"/>
              </w:rPr>
            </w:pPr>
            <w:r w:rsidRPr="00BF5F3D">
              <w:rPr>
                <w:rFonts w:cs="Calibri"/>
                <w:iCs/>
                <w:color w:val="auto"/>
                <w:sz w:val="18"/>
                <w:szCs w:val="18"/>
              </w:rPr>
              <w:t>6 (3)</w:t>
            </w:r>
          </w:p>
        </w:tc>
        <w:tc>
          <w:tcPr>
            <w:tcW w:w="665" w:type="pct"/>
          </w:tcPr>
          <w:p w14:paraId="430476C8" w14:textId="77777777" w:rsidR="00BF5F3D" w:rsidRPr="00BF5F3D" w:rsidRDefault="00BF5F3D" w:rsidP="00DC7F79">
            <w:pPr>
              <w:pStyle w:val="Tabletext"/>
              <w:rPr>
                <w:rFonts w:cs="Calibri"/>
                <w:iCs/>
                <w:color w:val="auto"/>
                <w:sz w:val="18"/>
                <w:szCs w:val="18"/>
              </w:rPr>
            </w:pPr>
            <w:r w:rsidRPr="00BF5F3D">
              <w:rPr>
                <w:rFonts w:cs="Calibri"/>
                <w:iCs/>
                <w:color w:val="auto"/>
                <w:sz w:val="18"/>
                <w:szCs w:val="18"/>
              </w:rPr>
              <w:t>6 (3)</w:t>
            </w:r>
          </w:p>
        </w:tc>
        <w:tc>
          <w:tcPr>
            <w:tcW w:w="715" w:type="pct"/>
          </w:tcPr>
          <w:p w14:paraId="1D4DB751" w14:textId="77777777" w:rsidR="00BF5F3D" w:rsidRPr="00BF5F3D" w:rsidRDefault="00BF5F3D" w:rsidP="00DC7F79">
            <w:pPr>
              <w:pStyle w:val="Tabletext"/>
              <w:rPr>
                <w:rFonts w:cs="Calibri"/>
                <w:iCs/>
                <w:color w:val="auto"/>
                <w:sz w:val="18"/>
                <w:szCs w:val="18"/>
              </w:rPr>
            </w:pPr>
            <w:r w:rsidRPr="00BF5F3D">
              <w:rPr>
                <w:rFonts w:cs="Calibri"/>
                <w:iCs/>
                <w:color w:val="auto"/>
                <w:sz w:val="18"/>
                <w:szCs w:val="18"/>
              </w:rPr>
              <w:t>34 (18)</w:t>
            </w:r>
          </w:p>
        </w:tc>
        <w:tc>
          <w:tcPr>
            <w:tcW w:w="664" w:type="pct"/>
          </w:tcPr>
          <w:p w14:paraId="497E5E0A" w14:textId="77777777" w:rsidR="00BF5F3D" w:rsidRPr="00BF5F3D" w:rsidRDefault="00BF5F3D" w:rsidP="00DC7F79">
            <w:pPr>
              <w:pStyle w:val="Tabletext"/>
              <w:rPr>
                <w:rFonts w:cs="Calibri"/>
                <w:iCs/>
                <w:color w:val="auto"/>
                <w:sz w:val="18"/>
                <w:szCs w:val="18"/>
              </w:rPr>
            </w:pPr>
            <w:r w:rsidRPr="00BF5F3D">
              <w:rPr>
                <w:rFonts w:cs="Calibri"/>
                <w:iCs/>
                <w:color w:val="auto"/>
                <w:sz w:val="18"/>
                <w:szCs w:val="18"/>
              </w:rPr>
              <w:t>7 (4)</w:t>
            </w:r>
          </w:p>
        </w:tc>
        <w:tc>
          <w:tcPr>
            <w:tcW w:w="610" w:type="pct"/>
          </w:tcPr>
          <w:p w14:paraId="0FEA87A4" w14:textId="77777777" w:rsidR="00BF5F3D" w:rsidRPr="00BF5F3D" w:rsidRDefault="00BF5F3D" w:rsidP="00DC7F79">
            <w:pPr>
              <w:pStyle w:val="Tabletext"/>
              <w:rPr>
                <w:rFonts w:cs="Calibri"/>
                <w:iCs/>
                <w:color w:val="auto"/>
                <w:sz w:val="18"/>
                <w:szCs w:val="18"/>
              </w:rPr>
            </w:pPr>
            <w:r w:rsidRPr="00BF5F3D">
              <w:rPr>
                <w:rFonts w:cs="Calibri"/>
                <w:iCs/>
                <w:color w:val="auto"/>
                <w:sz w:val="18"/>
                <w:szCs w:val="18"/>
              </w:rPr>
              <w:t>0</w:t>
            </w:r>
          </w:p>
        </w:tc>
      </w:tr>
      <w:tr w:rsidR="0015470B" w:rsidRPr="000019CC" w14:paraId="56644E5C" w14:textId="77777777" w:rsidTr="00CF75F0">
        <w:tc>
          <w:tcPr>
            <w:tcW w:w="880" w:type="pct"/>
          </w:tcPr>
          <w:p w14:paraId="61510DF5" w14:textId="77777777" w:rsidR="00BF5F3D" w:rsidRPr="00BF5F3D" w:rsidRDefault="00BF5F3D" w:rsidP="003259E6">
            <w:pPr>
              <w:pStyle w:val="Tabletext"/>
              <w:ind w:left="0"/>
              <w:rPr>
                <w:rFonts w:cs="Calibri"/>
                <w:iCs/>
                <w:color w:val="auto"/>
                <w:szCs w:val="20"/>
              </w:rPr>
            </w:pPr>
            <w:r w:rsidRPr="00BF5F3D">
              <w:rPr>
                <w:rFonts w:cs="Calibri"/>
                <w:iCs/>
                <w:color w:val="auto"/>
                <w:szCs w:val="20"/>
              </w:rPr>
              <w:t>Lymphopenia</w:t>
            </w:r>
          </w:p>
        </w:tc>
        <w:tc>
          <w:tcPr>
            <w:tcW w:w="803" w:type="pct"/>
          </w:tcPr>
          <w:p w14:paraId="7D916710" w14:textId="77777777" w:rsidR="00BF5F3D" w:rsidRPr="00BF5F3D" w:rsidRDefault="00BF5F3D" w:rsidP="00DC7F79">
            <w:pPr>
              <w:pStyle w:val="Tabletext"/>
              <w:rPr>
                <w:rFonts w:cs="Calibri"/>
                <w:iCs/>
                <w:color w:val="auto"/>
                <w:sz w:val="18"/>
                <w:szCs w:val="18"/>
              </w:rPr>
            </w:pPr>
            <w:r w:rsidRPr="00BF5F3D">
              <w:rPr>
                <w:rFonts w:cs="Calibri"/>
                <w:iCs/>
                <w:color w:val="auto"/>
                <w:sz w:val="18"/>
                <w:szCs w:val="18"/>
              </w:rPr>
              <w:t>153 (79)</w:t>
            </w:r>
          </w:p>
        </w:tc>
        <w:tc>
          <w:tcPr>
            <w:tcW w:w="664" w:type="pct"/>
          </w:tcPr>
          <w:p w14:paraId="4E2BC2B4" w14:textId="77777777" w:rsidR="00BF5F3D" w:rsidRPr="00BF5F3D" w:rsidRDefault="00BF5F3D" w:rsidP="00DC7F79">
            <w:pPr>
              <w:pStyle w:val="Tabletext"/>
              <w:rPr>
                <w:rFonts w:cs="Calibri"/>
                <w:iCs/>
                <w:color w:val="auto"/>
                <w:sz w:val="18"/>
                <w:szCs w:val="18"/>
              </w:rPr>
            </w:pPr>
            <w:r w:rsidRPr="00BF5F3D">
              <w:rPr>
                <w:rFonts w:cs="Calibri"/>
                <w:iCs/>
                <w:color w:val="auto"/>
                <w:sz w:val="18"/>
                <w:szCs w:val="18"/>
              </w:rPr>
              <w:t>67 (53)</w:t>
            </w:r>
          </w:p>
        </w:tc>
        <w:tc>
          <w:tcPr>
            <w:tcW w:w="665" w:type="pct"/>
          </w:tcPr>
          <w:p w14:paraId="7FD950D3" w14:textId="77777777" w:rsidR="00BF5F3D" w:rsidRPr="00BF5F3D" w:rsidRDefault="00BF5F3D" w:rsidP="00DC7F79">
            <w:pPr>
              <w:pStyle w:val="Tabletext"/>
              <w:rPr>
                <w:rFonts w:cs="Calibri"/>
                <w:iCs/>
                <w:color w:val="auto"/>
                <w:sz w:val="18"/>
                <w:szCs w:val="18"/>
              </w:rPr>
            </w:pPr>
            <w:r w:rsidRPr="00BF5F3D">
              <w:rPr>
                <w:rFonts w:cs="Calibri"/>
                <w:iCs/>
                <w:color w:val="auto"/>
                <w:sz w:val="18"/>
                <w:szCs w:val="18"/>
              </w:rPr>
              <w:t>35 (18)</w:t>
            </w:r>
          </w:p>
        </w:tc>
        <w:tc>
          <w:tcPr>
            <w:tcW w:w="715" w:type="pct"/>
          </w:tcPr>
          <w:p w14:paraId="4EFE9BE6" w14:textId="77777777" w:rsidR="00BF5F3D" w:rsidRPr="00BF5F3D" w:rsidRDefault="00BF5F3D" w:rsidP="00DC7F79">
            <w:pPr>
              <w:pStyle w:val="Tabletext"/>
              <w:rPr>
                <w:rFonts w:cs="Calibri"/>
                <w:iCs/>
                <w:color w:val="auto"/>
                <w:sz w:val="18"/>
                <w:szCs w:val="18"/>
              </w:rPr>
            </w:pPr>
            <w:r w:rsidRPr="00BF5F3D">
              <w:rPr>
                <w:rFonts w:cs="Calibri"/>
                <w:iCs/>
                <w:color w:val="auto"/>
                <w:sz w:val="18"/>
                <w:szCs w:val="18"/>
              </w:rPr>
              <w:t>132 (70)</w:t>
            </w:r>
          </w:p>
        </w:tc>
        <w:tc>
          <w:tcPr>
            <w:tcW w:w="664" w:type="pct"/>
          </w:tcPr>
          <w:p w14:paraId="18AF9A1A" w14:textId="7E62A8C3" w:rsidR="00BF5F3D" w:rsidRPr="00BF5F3D" w:rsidRDefault="00BF5F3D" w:rsidP="00DC7F79">
            <w:pPr>
              <w:pStyle w:val="Tabletext"/>
              <w:rPr>
                <w:rFonts w:cs="Calibri"/>
                <w:iCs/>
                <w:color w:val="auto"/>
                <w:sz w:val="18"/>
                <w:szCs w:val="18"/>
              </w:rPr>
            </w:pPr>
            <w:r w:rsidRPr="00BF5F3D">
              <w:rPr>
                <w:rFonts w:cs="Calibri"/>
                <w:iCs/>
                <w:color w:val="auto"/>
                <w:sz w:val="18"/>
                <w:szCs w:val="18"/>
              </w:rPr>
              <w:t>74 (39)</w:t>
            </w:r>
          </w:p>
        </w:tc>
        <w:tc>
          <w:tcPr>
            <w:tcW w:w="610" w:type="pct"/>
          </w:tcPr>
          <w:p w14:paraId="23B79F3B" w14:textId="77777777" w:rsidR="00BF5F3D" w:rsidRPr="00BF5F3D" w:rsidRDefault="00BF5F3D" w:rsidP="00DC7F79">
            <w:pPr>
              <w:pStyle w:val="Tabletext"/>
              <w:rPr>
                <w:rFonts w:cs="Calibri"/>
                <w:iCs/>
                <w:color w:val="auto"/>
                <w:sz w:val="18"/>
                <w:szCs w:val="18"/>
              </w:rPr>
            </w:pPr>
            <w:r w:rsidRPr="00BF5F3D">
              <w:rPr>
                <w:rFonts w:cs="Calibri"/>
                <w:iCs/>
                <w:color w:val="auto"/>
                <w:sz w:val="18"/>
                <w:szCs w:val="18"/>
              </w:rPr>
              <w:t>12 (6)</w:t>
            </w:r>
          </w:p>
        </w:tc>
      </w:tr>
    </w:tbl>
    <w:p w14:paraId="60F64D84" w14:textId="01E4F5EE" w:rsidR="00CF75F0" w:rsidRDefault="00CF75F0" w:rsidP="00CF75F0">
      <w:pPr>
        <w:pStyle w:val="TableDescription"/>
      </w:pPr>
      <w:r>
        <w:t xml:space="preserve">Abbreviation: </w:t>
      </w:r>
      <w:proofErr w:type="spellStart"/>
      <w:r>
        <w:t>CyBorG</w:t>
      </w:r>
      <w:proofErr w:type="spellEnd"/>
      <w:r>
        <w:t xml:space="preserve"> = </w:t>
      </w:r>
      <w:r w:rsidRPr="00CF75F0">
        <w:t>cyclophosphamide, bortezomib and dexamethasone combination therap</w:t>
      </w:r>
      <w:r>
        <w:t>y.</w:t>
      </w:r>
    </w:p>
    <w:p w14:paraId="47BB683A" w14:textId="504167E6" w:rsidR="00CF75F0" w:rsidRDefault="00CF75F0" w:rsidP="00CF75F0">
      <w:pPr>
        <w:pStyle w:val="Heading5"/>
      </w:pPr>
      <w:r>
        <w:lastRenderedPageBreak/>
        <w:t>Serious adverse events including fatal events</w:t>
      </w:r>
    </w:p>
    <w:p w14:paraId="783BB400" w14:textId="2ED65F8F" w:rsidR="00CF75F0" w:rsidRPr="00CF75F0" w:rsidRDefault="00CF75F0" w:rsidP="00CF75F0">
      <w:r>
        <w:t>The following table summarises serious adverse events including deaths in Study AMY3001 (Andromeda trial)</w:t>
      </w:r>
    </w:p>
    <w:p w14:paraId="6C467F93" w14:textId="264DD162" w:rsidR="00F20392" w:rsidRDefault="0011684A" w:rsidP="0011684A">
      <w:pPr>
        <w:pStyle w:val="Tabletitle0"/>
      </w:pPr>
      <w:r>
        <w:t xml:space="preserve">Table </w:t>
      </w:r>
      <w:fldSimple w:instr=" SEQ Table \* ARABIC ">
        <w:r>
          <w:rPr>
            <w:noProof/>
          </w:rPr>
          <w:t>7</w:t>
        </w:r>
      </w:fldSimple>
      <w:r w:rsidR="00D734DF">
        <w:rPr>
          <w:noProof/>
        </w:rPr>
        <w:t xml:space="preserve">: </w:t>
      </w:r>
      <w:r w:rsidR="00CF75F0">
        <w:rPr>
          <w:noProof/>
        </w:rPr>
        <w:t>Study AMY3001 (</w:t>
      </w:r>
      <w:r w:rsidR="00073395">
        <w:t>ANDROMEDA trial</w:t>
      </w:r>
      <w:r w:rsidR="00CF75F0">
        <w:t>)</w:t>
      </w:r>
      <w:r w:rsidR="00073395">
        <w:t xml:space="preserve"> </w:t>
      </w:r>
      <w:r w:rsidR="00CF75F0">
        <w:rPr>
          <w:noProof/>
        </w:rPr>
        <w:t>S</w:t>
      </w:r>
      <w:r w:rsidR="00D734DF" w:rsidRPr="00833E68">
        <w:t>ummary</w:t>
      </w:r>
      <w:r w:rsidR="00F20392" w:rsidRPr="00833E68">
        <w:t xml:space="preserve"> of </w:t>
      </w:r>
      <w:r w:rsidR="00D734DF">
        <w:t>s</w:t>
      </w:r>
      <w:r w:rsidR="00F20392">
        <w:t xml:space="preserve">erious </w:t>
      </w:r>
      <w:r w:rsidR="00D734DF">
        <w:t>adverse events and de</w:t>
      </w:r>
      <w:r w:rsidR="00F20392">
        <w:t>aths</w:t>
      </w:r>
    </w:p>
    <w:tbl>
      <w:tblPr>
        <w:tblStyle w:val="TableTGAblue"/>
        <w:tblW w:w="8815" w:type="dxa"/>
        <w:tblLook w:val="04A0" w:firstRow="1" w:lastRow="0" w:firstColumn="1" w:lastColumn="0" w:noHBand="0" w:noVBand="1"/>
        <w:tblCaption w:val="ANDROMEDA trial A summary of serious adverse events and deaths"/>
        <w:tblDescription w:val="This table presents a summary of serious adverse events and deaths of the Andromeda trial. "/>
      </w:tblPr>
      <w:tblGrid>
        <w:gridCol w:w="2840"/>
        <w:gridCol w:w="2799"/>
        <w:gridCol w:w="3176"/>
      </w:tblGrid>
      <w:tr w:rsidR="002C521F" w:rsidRPr="00E1306D" w14:paraId="387ED957" w14:textId="77777777" w:rsidTr="0015470B">
        <w:trPr>
          <w:cnfStyle w:val="100000000000" w:firstRow="1" w:lastRow="0" w:firstColumn="0" w:lastColumn="0" w:oddVBand="0" w:evenVBand="0" w:oddHBand="0" w:evenHBand="0" w:firstRowFirstColumn="0" w:firstRowLastColumn="0" w:lastRowFirstColumn="0" w:lastRowLastColumn="0"/>
        </w:trPr>
        <w:tc>
          <w:tcPr>
            <w:tcW w:w="2840" w:type="dxa"/>
            <w:tcBorders>
              <w:top w:val="single" w:sz="4" w:space="0" w:color="auto"/>
              <w:left w:val="single" w:sz="4" w:space="0" w:color="auto"/>
              <w:bottom w:val="single" w:sz="4" w:space="0" w:color="auto"/>
              <w:right w:val="single" w:sz="4" w:space="0" w:color="auto"/>
            </w:tcBorders>
          </w:tcPr>
          <w:p w14:paraId="556298EC" w14:textId="7B6C9CD2" w:rsidR="002C521F" w:rsidRPr="00E1306D" w:rsidRDefault="00CF75F0" w:rsidP="00094291">
            <w:pPr>
              <w:rPr>
                <w:sz w:val="19"/>
                <w:szCs w:val="19"/>
              </w:rPr>
            </w:pPr>
            <w:bookmarkStart w:id="47" w:name="ColumnTitle_3"/>
            <w:r>
              <w:rPr>
                <w:sz w:val="19"/>
                <w:szCs w:val="19"/>
              </w:rPr>
              <w:t>Event</w:t>
            </w:r>
          </w:p>
        </w:tc>
        <w:tc>
          <w:tcPr>
            <w:tcW w:w="2799" w:type="dxa"/>
            <w:tcBorders>
              <w:top w:val="single" w:sz="4" w:space="0" w:color="auto"/>
              <w:left w:val="single" w:sz="4" w:space="0" w:color="auto"/>
              <w:bottom w:val="single" w:sz="4" w:space="0" w:color="auto"/>
              <w:right w:val="single" w:sz="4" w:space="0" w:color="auto"/>
            </w:tcBorders>
          </w:tcPr>
          <w:p w14:paraId="42917199" w14:textId="0C05CE0C" w:rsidR="002C521F" w:rsidRPr="00E1306D" w:rsidRDefault="00CF75F0" w:rsidP="00094291">
            <w:pPr>
              <w:rPr>
                <w:sz w:val="19"/>
                <w:szCs w:val="19"/>
              </w:rPr>
            </w:pPr>
            <w:r w:rsidRPr="00E1306D">
              <w:rPr>
                <w:rFonts w:cs="Calibri"/>
                <w:bCs/>
                <w:sz w:val="19"/>
                <w:szCs w:val="19"/>
                <w:lang w:eastAsia="ja-JP"/>
              </w:rPr>
              <w:t xml:space="preserve">CyBorD </w:t>
            </w:r>
            <w:r>
              <w:rPr>
                <w:rFonts w:cs="Calibri"/>
                <w:bCs/>
                <w:sz w:val="19"/>
                <w:szCs w:val="19"/>
                <w:lang w:eastAsia="ja-JP"/>
              </w:rPr>
              <w:t xml:space="preserve">only arm </w:t>
            </w:r>
            <w:r w:rsidRPr="00E1306D">
              <w:rPr>
                <w:rFonts w:cs="Calibri"/>
                <w:bCs/>
                <w:sz w:val="19"/>
                <w:szCs w:val="19"/>
                <w:lang w:eastAsia="ja-JP"/>
              </w:rPr>
              <w:t>(n</w:t>
            </w:r>
            <w:r>
              <w:rPr>
                <w:rFonts w:cs="Calibri"/>
                <w:bCs/>
                <w:sz w:val="19"/>
                <w:szCs w:val="19"/>
                <w:lang w:eastAsia="ja-JP"/>
              </w:rPr>
              <w:t> </w:t>
            </w:r>
            <w:r w:rsidRPr="00E1306D">
              <w:rPr>
                <w:rFonts w:cs="Calibri"/>
                <w:bCs/>
                <w:sz w:val="19"/>
                <w:szCs w:val="19"/>
                <w:lang w:eastAsia="ja-JP"/>
              </w:rPr>
              <w:t>=</w:t>
            </w:r>
            <w:r>
              <w:rPr>
                <w:rFonts w:cs="Calibri"/>
                <w:bCs/>
                <w:sz w:val="19"/>
                <w:szCs w:val="19"/>
                <w:lang w:eastAsia="ja-JP"/>
              </w:rPr>
              <w:t> </w:t>
            </w:r>
            <w:r w:rsidRPr="00E1306D">
              <w:rPr>
                <w:rFonts w:cs="Calibri"/>
                <w:bCs/>
                <w:sz w:val="19"/>
                <w:szCs w:val="19"/>
                <w:lang w:eastAsia="ja-JP"/>
              </w:rPr>
              <w:t>188)</w:t>
            </w:r>
          </w:p>
        </w:tc>
        <w:tc>
          <w:tcPr>
            <w:tcW w:w="3176" w:type="dxa"/>
            <w:tcBorders>
              <w:top w:val="single" w:sz="4" w:space="0" w:color="auto"/>
              <w:left w:val="single" w:sz="4" w:space="0" w:color="auto"/>
              <w:bottom w:val="single" w:sz="4" w:space="0" w:color="auto"/>
              <w:right w:val="single" w:sz="4" w:space="0" w:color="auto"/>
            </w:tcBorders>
          </w:tcPr>
          <w:p w14:paraId="60BFC895" w14:textId="15255D3F" w:rsidR="002C521F" w:rsidRPr="00E1306D" w:rsidRDefault="00CF75F0" w:rsidP="00094291">
            <w:pPr>
              <w:rPr>
                <w:sz w:val="19"/>
                <w:szCs w:val="19"/>
              </w:rPr>
            </w:pPr>
            <w:r w:rsidRPr="00E1306D">
              <w:rPr>
                <w:rFonts w:cs="Calibri"/>
                <w:bCs/>
                <w:sz w:val="19"/>
                <w:szCs w:val="19"/>
                <w:lang w:eastAsia="ja-JP"/>
              </w:rPr>
              <w:t>D</w:t>
            </w:r>
            <w:r>
              <w:rPr>
                <w:rFonts w:cs="Calibri"/>
                <w:bCs/>
                <w:sz w:val="19"/>
                <w:szCs w:val="19"/>
                <w:lang w:eastAsia="ja-JP"/>
              </w:rPr>
              <w:t>aratumumab</w:t>
            </w:r>
            <w:r w:rsidRPr="00E1306D">
              <w:rPr>
                <w:rFonts w:cs="Calibri"/>
                <w:bCs/>
                <w:sz w:val="19"/>
                <w:szCs w:val="19"/>
                <w:lang w:eastAsia="ja-JP"/>
              </w:rPr>
              <w:t xml:space="preserve"> + CyBorD </w:t>
            </w:r>
            <w:r>
              <w:rPr>
                <w:rFonts w:cs="Calibri"/>
                <w:bCs/>
                <w:sz w:val="19"/>
                <w:szCs w:val="19"/>
                <w:lang w:eastAsia="ja-JP"/>
              </w:rPr>
              <w:t xml:space="preserve"> arm </w:t>
            </w:r>
            <w:r w:rsidRPr="00E1306D">
              <w:rPr>
                <w:rFonts w:cs="Calibri"/>
                <w:bCs/>
                <w:sz w:val="19"/>
                <w:szCs w:val="19"/>
                <w:lang w:eastAsia="ja-JP"/>
              </w:rPr>
              <w:t>(n</w:t>
            </w:r>
            <w:r>
              <w:rPr>
                <w:rFonts w:cs="Calibri"/>
                <w:bCs/>
                <w:sz w:val="19"/>
                <w:szCs w:val="19"/>
                <w:lang w:eastAsia="ja-JP"/>
              </w:rPr>
              <w:t xml:space="preserve"> </w:t>
            </w:r>
            <w:r w:rsidRPr="00E1306D">
              <w:rPr>
                <w:rFonts w:cs="Calibri"/>
                <w:bCs/>
                <w:sz w:val="19"/>
                <w:szCs w:val="19"/>
                <w:lang w:eastAsia="ja-JP"/>
              </w:rPr>
              <w:t>=</w:t>
            </w:r>
            <w:r>
              <w:rPr>
                <w:rFonts w:cs="Calibri"/>
                <w:bCs/>
                <w:sz w:val="19"/>
                <w:szCs w:val="19"/>
                <w:lang w:eastAsia="ja-JP"/>
              </w:rPr>
              <w:t xml:space="preserve"> </w:t>
            </w:r>
            <w:r w:rsidRPr="00E1306D">
              <w:rPr>
                <w:rFonts w:cs="Calibri"/>
                <w:bCs/>
                <w:sz w:val="19"/>
                <w:szCs w:val="19"/>
                <w:lang w:eastAsia="ja-JP"/>
              </w:rPr>
              <w:t>193)</w:t>
            </w:r>
          </w:p>
        </w:tc>
      </w:tr>
      <w:bookmarkEnd w:id="47"/>
      <w:tr w:rsidR="002C521F" w:rsidRPr="00E1306D" w14:paraId="3125D4E6" w14:textId="77777777" w:rsidTr="0015470B">
        <w:tc>
          <w:tcPr>
            <w:tcW w:w="8815" w:type="dxa"/>
            <w:gridSpan w:val="3"/>
            <w:tcBorders>
              <w:top w:val="single" w:sz="4" w:space="0" w:color="auto"/>
            </w:tcBorders>
          </w:tcPr>
          <w:p w14:paraId="4D00C22B" w14:textId="77777777" w:rsidR="002C521F" w:rsidRPr="00CF75F0" w:rsidRDefault="002C521F" w:rsidP="00094291">
            <w:pPr>
              <w:rPr>
                <w:b/>
                <w:sz w:val="19"/>
                <w:szCs w:val="19"/>
              </w:rPr>
            </w:pPr>
            <w:r w:rsidRPr="00CF75F0">
              <w:rPr>
                <w:rFonts w:cs="Calibri"/>
                <w:b/>
                <w:color w:val="auto"/>
                <w:sz w:val="19"/>
                <w:szCs w:val="19"/>
              </w:rPr>
              <w:t>Serious Adverse Events (SAEs)</w:t>
            </w:r>
          </w:p>
        </w:tc>
      </w:tr>
      <w:tr w:rsidR="002C521F" w:rsidRPr="00E1306D" w14:paraId="41CA4C0C" w14:textId="77777777" w:rsidTr="0015470B">
        <w:tc>
          <w:tcPr>
            <w:tcW w:w="2840" w:type="dxa"/>
          </w:tcPr>
          <w:p w14:paraId="136536E7" w14:textId="77777777" w:rsidR="002C521F" w:rsidRPr="00E1306D" w:rsidRDefault="002C521F" w:rsidP="00094291">
            <w:pPr>
              <w:rPr>
                <w:sz w:val="19"/>
                <w:szCs w:val="19"/>
              </w:rPr>
            </w:pPr>
            <w:r w:rsidRPr="00E1306D">
              <w:rPr>
                <w:rFonts w:cs="Calibri"/>
                <w:color w:val="auto"/>
                <w:sz w:val="19"/>
                <w:szCs w:val="19"/>
              </w:rPr>
              <w:t>Any SAE</w:t>
            </w:r>
          </w:p>
        </w:tc>
        <w:tc>
          <w:tcPr>
            <w:tcW w:w="2799" w:type="dxa"/>
          </w:tcPr>
          <w:p w14:paraId="2CF7EA00" w14:textId="77777777" w:rsidR="002C521F" w:rsidRPr="00E1306D" w:rsidRDefault="002C521F" w:rsidP="00094291">
            <w:pPr>
              <w:rPr>
                <w:sz w:val="19"/>
                <w:szCs w:val="19"/>
              </w:rPr>
            </w:pPr>
            <w:r w:rsidRPr="00E1306D">
              <w:rPr>
                <w:rFonts w:cs="Calibri"/>
                <w:color w:val="auto"/>
                <w:sz w:val="19"/>
                <w:szCs w:val="19"/>
              </w:rPr>
              <w:t>36.2%</w:t>
            </w:r>
          </w:p>
        </w:tc>
        <w:tc>
          <w:tcPr>
            <w:tcW w:w="3176" w:type="dxa"/>
          </w:tcPr>
          <w:p w14:paraId="3DD8D0AD" w14:textId="77777777" w:rsidR="002C521F" w:rsidRPr="00E1306D" w:rsidRDefault="002C521F" w:rsidP="00094291">
            <w:pPr>
              <w:rPr>
                <w:sz w:val="19"/>
                <w:szCs w:val="19"/>
              </w:rPr>
            </w:pPr>
            <w:r w:rsidRPr="00E1306D">
              <w:rPr>
                <w:rFonts w:cs="Calibri"/>
                <w:color w:val="auto"/>
                <w:sz w:val="19"/>
                <w:szCs w:val="19"/>
              </w:rPr>
              <w:t>43%</w:t>
            </w:r>
          </w:p>
        </w:tc>
      </w:tr>
      <w:tr w:rsidR="002C521F" w:rsidRPr="00E1306D" w14:paraId="51F3D096" w14:textId="77777777" w:rsidTr="0015470B">
        <w:tc>
          <w:tcPr>
            <w:tcW w:w="8815" w:type="dxa"/>
            <w:gridSpan w:val="3"/>
          </w:tcPr>
          <w:p w14:paraId="08D441FA" w14:textId="721506B6" w:rsidR="002C521F" w:rsidRPr="00CF75F0" w:rsidRDefault="002C521F" w:rsidP="00094291">
            <w:pPr>
              <w:rPr>
                <w:b/>
                <w:sz w:val="19"/>
                <w:szCs w:val="19"/>
              </w:rPr>
            </w:pPr>
            <w:r w:rsidRPr="00CF75F0">
              <w:rPr>
                <w:rFonts w:cs="Calibri"/>
                <w:b/>
                <w:color w:val="auto"/>
                <w:sz w:val="19"/>
                <w:szCs w:val="19"/>
              </w:rPr>
              <w:t>SAEs in &gt;</w:t>
            </w:r>
            <w:r w:rsidR="00CF75F0" w:rsidRPr="00CF75F0">
              <w:rPr>
                <w:rFonts w:cs="Calibri"/>
                <w:b/>
                <w:color w:val="auto"/>
                <w:sz w:val="19"/>
                <w:szCs w:val="19"/>
              </w:rPr>
              <w:t xml:space="preserve"> </w:t>
            </w:r>
            <w:r w:rsidRPr="00CF75F0">
              <w:rPr>
                <w:rFonts w:cs="Calibri"/>
                <w:b/>
                <w:color w:val="auto"/>
                <w:sz w:val="19"/>
                <w:szCs w:val="19"/>
              </w:rPr>
              <w:t>2% of either arm</w:t>
            </w:r>
          </w:p>
        </w:tc>
      </w:tr>
      <w:tr w:rsidR="002C521F" w:rsidRPr="00E1306D" w14:paraId="02F1E981" w14:textId="77777777" w:rsidTr="0015470B">
        <w:tc>
          <w:tcPr>
            <w:tcW w:w="2840" w:type="dxa"/>
          </w:tcPr>
          <w:p w14:paraId="1195F03F" w14:textId="66245175" w:rsidR="002C521F" w:rsidRPr="00E1306D" w:rsidRDefault="00CF75F0" w:rsidP="00094291">
            <w:pPr>
              <w:rPr>
                <w:sz w:val="19"/>
                <w:szCs w:val="19"/>
              </w:rPr>
            </w:pPr>
            <w:r w:rsidRPr="00E1306D">
              <w:rPr>
                <w:rFonts w:cs="Calibri"/>
                <w:color w:val="auto"/>
                <w:sz w:val="19"/>
                <w:szCs w:val="19"/>
              </w:rPr>
              <w:t>P</w:t>
            </w:r>
            <w:r w:rsidR="002C521F" w:rsidRPr="00E1306D">
              <w:rPr>
                <w:rFonts w:cs="Calibri"/>
                <w:color w:val="auto"/>
                <w:sz w:val="19"/>
                <w:szCs w:val="19"/>
              </w:rPr>
              <w:t>neumonia</w:t>
            </w:r>
          </w:p>
        </w:tc>
        <w:tc>
          <w:tcPr>
            <w:tcW w:w="2799" w:type="dxa"/>
          </w:tcPr>
          <w:p w14:paraId="402E6DFD" w14:textId="77777777" w:rsidR="002C521F" w:rsidRPr="00E1306D" w:rsidRDefault="002C521F" w:rsidP="00094291">
            <w:pPr>
              <w:rPr>
                <w:sz w:val="19"/>
                <w:szCs w:val="19"/>
              </w:rPr>
            </w:pPr>
            <w:r w:rsidRPr="00E1306D">
              <w:rPr>
                <w:rFonts w:cs="Calibri"/>
                <w:color w:val="auto"/>
                <w:sz w:val="19"/>
                <w:szCs w:val="19"/>
              </w:rPr>
              <w:t>4.8%</w:t>
            </w:r>
          </w:p>
        </w:tc>
        <w:tc>
          <w:tcPr>
            <w:tcW w:w="3176" w:type="dxa"/>
          </w:tcPr>
          <w:p w14:paraId="503E593A" w14:textId="77777777" w:rsidR="002C521F" w:rsidRPr="00E1306D" w:rsidRDefault="002C521F" w:rsidP="00094291">
            <w:pPr>
              <w:rPr>
                <w:sz w:val="19"/>
                <w:szCs w:val="19"/>
              </w:rPr>
            </w:pPr>
            <w:r w:rsidRPr="00E1306D">
              <w:rPr>
                <w:rFonts w:cs="Calibri"/>
                <w:color w:val="auto"/>
                <w:sz w:val="19"/>
                <w:szCs w:val="19"/>
              </w:rPr>
              <w:t>7.3%</w:t>
            </w:r>
          </w:p>
        </w:tc>
      </w:tr>
      <w:tr w:rsidR="002C521F" w:rsidRPr="00E1306D" w14:paraId="76610285" w14:textId="77777777" w:rsidTr="0015470B">
        <w:tc>
          <w:tcPr>
            <w:tcW w:w="2840" w:type="dxa"/>
          </w:tcPr>
          <w:p w14:paraId="1597AEC4" w14:textId="2170C209" w:rsidR="002C521F" w:rsidRPr="00E1306D" w:rsidRDefault="008E7BE4" w:rsidP="00094291">
            <w:pPr>
              <w:rPr>
                <w:sz w:val="19"/>
                <w:szCs w:val="19"/>
              </w:rPr>
            </w:pPr>
            <w:r>
              <w:rPr>
                <w:rFonts w:cs="Calibri"/>
                <w:color w:val="auto"/>
                <w:sz w:val="19"/>
                <w:szCs w:val="19"/>
              </w:rPr>
              <w:t>C</w:t>
            </w:r>
            <w:r w:rsidR="002C521F" w:rsidRPr="00E1306D">
              <w:rPr>
                <w:rFonts w:cs="Calibri"/>
                <w:color w:val="auto"/>
                <w:sz w:val="19"/>
                <w:szCs w:val="19"/>
              </w:rPr>
              <w:t>ardiac failure</w:t>
            </w:r>
          </w:p>
        </w:tc>
        <w:tc>
          <w:tcPr>
            <w:tcW w:w="2799" w:type="dxa"/>
          </w:tcPr>
          <w:p w14:paraId="771851D2" w14:textId="77777777" w:rsidR="002C521F" w:rsidRPr="00E1306D" w:rsidRDefault="002C521F" w:rsidP="00094291">
            <w:pPr>
              <w:rPr>
                <w:sz w:val="19"/>
                <w:szCs w:val="19"/>
              </w:rPr>
            </w:pPr>
            <w:r w:rsidRPr="00E1306D">
              <w:rPr>
                <w:rFonts w:cs="Calibri"/>
                <w:color w:val="auto"/>
                <w:sz w:val="19"/>
                <w:szCs w:val="19"/>
              </w:rPr>
              <w:t>4.3%</w:t>
            </w:r>
          </w:p>
        </w:tc>
        <w:tc>
          <w:tcPr>
            <w:tcW w:w="3176" w:type="dxa"/>
          </w:tcPr>
          <w:p w14:paraId="7B07D41B" w14:textId="77777777" w:rsidR="002C521F" w:rsidRPr="00E1306D" w:rsidRDefault="002C521F" w:rsidP="00094291">
            <w:pPr>
              <w:rPr>
                <w:sz w:val="19"/>
                <w:szCs w:val="19"/>
              </w:rPr>
            </w:pPr>
            <w:r w:rsidRPr="00E1306D">
              <w:rPr>
                <w:rFonts w:cs="Calibri"/>
                <w:color w:val="auto"/>
                <w:sz w:val="19"/>
                <w:szCs w:val="19"/>
              </w:rPr>
              <w:t>6.2%</w:t>
            </w:r>
          </w:p>
        </w:tc>
      </w:tr>
      <w:tr w:rsidR="002C521F" w:rsidRPr="00E1306D" w14:paraId="655EF8D3" w14:textId="77777777" w:rsidTr="0015470B">
        <w:tc>
          <w:tcPr>
            <w:tcW w:w="2840" w:type="dxa"/>
          </w:tcPr>
          <w:p w14:paraId="02AAAC1F" w14:textId="716C5E34" w:rsidR="002C521F" w:rsidRPr="00E1306D" w:rsidRDefault="008E7BE4" w:rsidP="00094291">
            <w:pPr>
              <w:rPr>
                <w:sz w:val="19"/>
                <w:szCs w:val="19"/>
              </w:rPr>
            </w:pPr>
            <w:r>
              <w:rPr>
                <w:rFonts w:cs="Calibri"/>
                <w:color w:val="auto"/>
                <w:sz w:val="19"/>
                <w:szCs w:val="19"/>
              </w:rPr>
              <w:t>A</w:t>
            </w:r>
            <w:r w:rsidR="002C521F" w:rsidRPr="00E1306D">
              <w:rPr>
                <w:rFonts w:cs="Calibri"/>
                <w:color w:val="auto"/>
                <w:sz w:val="19"/>
                <w:szCs w:val="19"/>
              </w:rPr>
              <w:t>trial fibrillation</w:t>
            </w:r>
          </w:p>
        </w:tc>
        <w:tc>
          <w:tcPr>
            <w:tcW w:w="2799" w:type="dxa"/>
          </w:tcPr>
          <w:p w14:paraId="6899C1DA" w14:textId="77777777" w:rsidR="002C521F" w:rsidRPr="00E1306D" w:rsidRDefault="002C521F" w:rsidP="00094291">
            <w:pPr>
              <w:rPr>
                <w:sz w:val="19"/>
                <w:szCs w:val="19"/>
              </w:rPr>
            </w:pPr>
            <w:r w:rsidRPr="00E1306D">
              <w:rPr>
                <w:rFonts w:cs="Calibri"/>
                <w:color w:val="auto"/>
                <w:sz w:val="19"/>
                <w:szCs w:val="19"/>
              </w:rPr>
              <w:t>1.1%</w:t>
            </w:r>
          </w:p>
        </w:tc>
        <w:tc>
          <w:tcPr>
            <w:tcW w:w="3176" w:type="dxa"/>
          </w:tcPr>
          <w:p w14:paraId="6DAEC8EC" w14:textId="77777777" w:rsidR="002C521F" w:rsidRPr="00E1306D" w:rsidRDefault="002C521F" w:rsidP="00094291">
            <w:pPr>
              <w:rPr>
                <w:sz w:val="19"/>
                <w:szCs w:val="19"/>
              </w:rPr>
            </w:pPr>
            <w:r w:rsidRPr="00E1306D">
              <w:rPr>
                <w:rFonts w:cs="Calibri"/>
                <w:color w:val="auto"/>
                <w:sz w:val="19"/>
                <w:szCs w:val="19"/>
              </w:rPr>
              <w:t>2.1%</w:t>
            </w:r>
          </w:p>
        </w:tc>
      </w:tr>
      <w:tr w:rsidR="002C521F" w:rsidRPr="00E1306D" w14:paraId="4C587E10" w14:textId="77777777" w:rsidTr="0015470B">
        <w:tc>
          <w:tcPr>
            <w:tcW w:w="2840" w:type="dxa"/>
          </w:tcPr>
          <w:p w14:paraId="077C907F" w14:textId="652AD1DC" w:rsidR="002C521F" w:rsidRPr="00E1306D" w:rsidRDefault="00CF75F0" w:rsidP="00094291">
            <w:pPr>
              <w:rPr>
                <w:sz w:val="19"/>
                <w:szCs w:val="19"/>
              </w:rPr>
            </w:pPr>
            <w:r w:rsidRPr="00E1306D">
              <w:rPr>
                <w:rFonts w:cs="Calibri"/>
                <w:color w:val="auto"/>
                <w:sz w:val="19"/>
                <w:szCs w:val="19"/>
              </w:rPr>
              <w:t>D</w:t>
            </w:r>
            <w:r w:rsidR="002C521F" w:rsidRPr="00E1306D">
              <w:rPr>
                <w:rFonts w:cs="Calibri"/>
                <w:color w:val="auto"/>
                <w:sz w:val="19"/>
                <w:szCs w:val="19"/>
              </w:rPr>
              <w:t>yspnoea</w:t>
            </w:r>
          </w:p>
        </w:tc>
        <w:tc>
          <w:tcPr>
            <w:tcW w:w="2799" w:type="dxa"/>
          </w:tcPr>
          <w:p w14:paraId="50C00372" w14:textId="77777777" w:rsidR="002C521F" w:rsidRPr="00E1306D" w:rsidRDefault="002C521F" w:rsidP="00094291">
            <w:pPr>
              <w:rPr>
                <w:sz w:val="19"/>
                <w:szCs w:val="19"/>
              </w:rPr>
            </w:pPr>
            <w:r w:rsidRPr="00E1306D">
              <w:rPr>
                <w:rFonts w:cs="Calibri"/>
                <w:color w:val="auto"/>
                <w:sz w:val="19"/>
                <w:szCs w:val="19"/>
              </w:rPr>
              <w:t>1.6%</w:t>
            </w:r>
          </w:p>
        </w:tc>
        <w:tc>
          <w:tcPr>
            <w:tcW w:w="3176" w:type="dxa"/>
          </w:tcPr>
          <w:p w14:paraId="715105CD" w14:textId="77777777" w:rsidR="002C521F" w:rsidRPr="00E1306D" w:rsidRDefault="002C521F" w:rsidP="00094291">
            <w:pPr>
              <w:rPr>
                <w:sz w:val="19"/>
                <w:szCs w:val="19"/>
              </w:rPr>
            </w:pPr>
            <w:r w:rsidRPr="00E1306D">
              <w:rPr>
                <w:rFonts w:cs="Calibri"/>
                <w:color w:val="auto"/>
                <w:sz w:val="19"/>
                <w:szCs w:val="19"/>
              </w:rPr>
              <w:t>2.1%</w:t>
            </w:r>
          </w:p>
        </w:tc>
      </w:tr>
      <w:tr w:rsidR="002C521F" w:rsidRPr="00E1306D" w14:paraId="54C4A98F" w14:textId="77777777" w:rsidTr="0015470B">
        <w:tc>
          <w:tcPr>
            <w:tcW w:w="2840" w:type="dxa"/>
          </w:tcPr>
          <w:p w14:paraId="79E8F790" w14:textId="286180ED" w:rsidR="002C521F" w:rsidRPr="00E1306D" w:rsidRDefault="008E7BE4" w:rsidP="00094291">
            <w:pPr>
              <w:rPr>
                <w:rFonts w:cs="Calibri"/>
                <w:sz w:val="19"/>
                <w:szCs w:val="19"/>
              </w:rPr>
            </w:pPr>
            <w:r>
              <w:rPr>
                <w:rFonts w:cs="Calibri"/>
                <w:color w:val="auto"/>
                <w:sz w:val="19"/>
                <w:szCs w:val="19"/>
              </w:rPr>
              <w:t>P</w:t>
            </w:r>
            <w:r w:rsidR="002C521F" w:rsidRPr="00E1306D">
              <w:rPr>
                <w:rFonts w:cs="Calibri"/>
                <w:color w:val="auto"/>
                <w:sz w:val="19"/>
                <w:szCs w:val="19"/>
              </w:rPr>
              <w:t>leural effusion</w:t>
            </w:r>
          </w:p>
        </w:tc>
        <w:tc>
          <w:tcPr>
            <w:tcW w:w="2799" w:type="dxa"/>
          </w:tcPr>
          <w:p w14:paraId="796E41A6" w14:textId="77777777" w:rsidR="002C521F" w:rsidRPr="00E1306D" w:rsidRDefault="002C521F" w:rsidP="00094291">
            <w:pPr>
              <w:rPr>
                <w:rFonts w:cs="Calibri"/>
                <w:sz w:val="19"/>
                <w:szCs w:val="19"/>
              </w:rPr>
            </w:pPr>
            <w:r w:rsidRPr="00E1306D">
              <w:rPr>
                <w:rFonts w:cs="Calibri"/>
                <w:color w:val="auto"/>
                <w:sz w:val="19"/>
                <w:szCs w:val="19"/>
              </w:rPr>
              <w:t>0.5%</w:t>
            </w:r>
          </w:p>
        </w:tc>
        <w:tc>
          <w:tcPr>
            <w:tcW w:w="3176" w:type="dxa"/>
          </w:tcPr>
          <w:p w14:paraId="15D984B4" w14:textId="77777777" w:rsidR="002C521F" w:rsidRPr="00E1306D" w:rsidRDefault="002C521F" w:rsidP="00094291">
            <w:pPr>
              <w:rPr>
                <w:rFonts w:cs="Calibri"/>
                <w:sz w:val="19"/>
                <w:szCs w:val="19"/>
              </w:rPr>
            </w:pPr>
            <w:r w:rsidRPr="00E1306D">
              <w:rPr>
                <w:rFonts w:cs="Calibri"/>
                <w:color w:val="auto"/>
                <w:sz w:val="19"/>
                <w:szCs w:val="19"/>
              </w:rPr>
              <w:t>2.1%</w:t>
            </w:r>
          </w:p>
        </w:tc>
      </w:tr>
      <w:tr w:rsidR="002C521F" w:rsidRPr="00E1306D" w14:paraId="4D368CBE" w14:textId="77777777" w:rsidTr="0015470B">
        <w:tc>
          <w:tcPr>
            <w:tcW w:w="2840" w:type="dxa"/>
          </w:tcPr>
          <w:p w14:paraId="17A9A752" w14:textId="6D536E10" w:rsidR="002C521F" w:rsidRPr="00E1306D" w:rsidRDefault="008E7BE4" w:rsidP="00094291">
            <w:pPr>
              <w:rPr>
                <w:rFonts w:cs="Calibri"/>
                <w:sz w:val="19"/>
                <w:szCs w:val="19"/>
              </w:rPr>
            </w:pPr>
            <w:r>
              <w:rPr>
                <w:rFonts w:cs="Calibri"/>
                <w:color w:val="auto"/>
                <w:sz w:val="19"/>
                <w:szCs w:val="19"/>
              </w:rPr>
              <w:t>S</w:t>
            </w:r>
            <w:r w:rsidR="002C521F" w:rsidRPr="00E1306D">
              <w:rPr>
                <w:rFonts w:cs="Calibri"/>
                <w:color w:val="auto"/>
                <w:sz w:val="19"/>
                <w:szCs w:val="19"/>
              </w:rPr>
              <w:t>udden death</w:t>
            </w:r>
          </w:p>
        </w:tc>
        <w:tc>
          <w:tcPr>
            <w:tcW w:w="2799" w:type="dxa"/>
          </w:tcPr>
          <w:p w14:paraId="6284BC7E" w14:textId="77777777" w:rsidR="002C521F" w:rsidRPr="00E1306D" w:rsidRDefault="002C521F" w:rsidP="00094291">
            <w:pPr>
              <w:rPr>
                <w:rFonts w:cs="Calibri"/>
                <w:sz w:val="19"/>
                <w:szCs w:val="19"/>
              </w:rPr>
            </w:pPr>
            <w:r w:rsidRPr="00E1306D">
              <w:rPr>
                <w:rFonts w:cs="Calibri"/>
                <w:color w:val="auto"/>
                <w:sz w:val="19"/>
                <w:szCs w:val="19"/>
              </w:rPr>
              <w:t>1.6%</w:t>
            </w:r>
          </w:p>
        </w:tc>
        <w:tc>
          <w:tcPr>
            <w:tcW w:w="3176" w:type="dxa"/>
          </w:tcPr>
          <w:p w14:paraId="19402776" w14:textId="77777777" w:rsidR="002C521F" w:rsidRPr="00E1306D" w:rsidRDefault="002C521F" w:rsidP="00094291">
            <w:pPr>
              <w:rPr>
                <w:rFonts w:cs="Calibri"/>
                <w:sz w:val="19"/>
                <w:szCs w:val="19"/>
              </w:rPr>
            </w:pPr>
            <w:r w:rsidRPr="00E1306D">
              <w:rPr>
                <w:rFonts w:cs="Calibri"/>
                <w:color w:val="auto"/>
                <w:sz w:val="19"/>
                <w:szCs w:val="19"/>
              </w:rPr>
              <w:t>3.1%</w:t>
            </w:r>
          </w:p>
        </w:tc>
      </w:tr>
      <w:tr w:rsidR="002C521F" w:rsidRPr="00E1306D" w14:paraId="7EB56096" w14:textId="77777777" w:rsidTr="0015470B">
        <w:tc>
          <w:tcPr>
            <w:tcW w:w="2840" w:type="dxa"/>
          </w:tcPr>
          <w:p w14:paraId="40C23BAD" w14:textId="5EEDDE81" w:rsidR="002C521F" w:rsidRPr="00E1306D" w:rsidRDefault="00CF75F0" w:rsidP="00094291">
            <w:pPr>
              <w:rPr>
                <w:rFonts w:cs="Calibri"/>
                <w:sz w:val="19"/>
                <w:szCs w:val="19"/>
              </w:rPr>
            </w:pPr>
            <w:r w:rsidRPr="00E1306D">
              <w:rPr>
                <w:rFonts w:cs="Calibri"/>
                <w:color w:val="auto"/>
                <w:sz w:val="19"/>
                <w:szCs w:val="19"/>
              </w:rPr>
              <w:t>D</w:t>
            </w:r>
            <w:r w:rsidR="002C521F" w:rsidRPr="00E1306D">
              <w:rPr>
                <w:rFonts w:cs="Calibri"/>
                <w:color w:val="auto"/>
                <w:sz w:val="19"/>
                <w:szCs w:val="19"/>
              </w:rPr>
              <w:t>iarrhoea</w:t>
            </w:r>
          </w:p>
        </w:tc>
        <w:tc>
          <w:tcPr>
            <w:tcW w:w="2799" w:type="dxa"/>
          </w:tcPr>
          <w:p w14:paraId="76782FD7" w14:textId="77777777" w:rsidR="002C521F" w:rsidRPr="00E1306D" w:rsidRDefault="002C521F" w:rsidP="00094291">
            <w:pPr>
              <w:rPr>
                <w:rFonts w:cs="Calibri"/>
                <w:sz w:val="19"/>
                <w:szCs w:val="19"/>
              </w:rPr>
            </w:pPr>
            <w:r w:rsidRPr="00E1306D">
              <w:rPr>
                <w:rFonts w:cs="Calibri"/>
                <w:color w:val="auto"/>
                <w:sz w:val="19"/>
                <w:szCs w:val="19"/>
              </w:rPr>
              <w:t>2.1%</w:t>
            </w:r>
          </w:p>
        </w:tc>
        <w:tc>
          <w:tcPr>
            <w:tcW w:w="3176" w:type="dxa"/>
          </w:tcPr>
          <w:p w14:paraId="7BD03CB2" w14:textId="77777777" w:rsidR="002C521F" w:rsidRPr="00E1306D" w:rsidRDefault="002C521F" w:rsidP="00094291">
            <w:pPr>
              <w:rPr>
                <w:rFonts w:cs="Calibri"/>
                <w:sz w:val="19"/>
                <w:szCs w:val="19"/>
              </w:rPr>
            </w:pPr>
            <w:r w:rsidRPr="00E1306D">
              <w:rPr>
                <w:rFonts w:cs="Calibri"/>
                <w:color w:val="auto"/>
                <w:sz w:val="19"/>
                <w:szCs w:val="19"/>
              </w:rPr>
              <w:t>1.6%</w:t>
            </w:r>
          </w:p>
        </w:tc>
      </w:tr>
      <w:tr w:rsidR="002C521F" w:rsidRPr="00E1306D" w14:paraId="7EDF747A" w14:textId="77777777" w:rsidTr="0015470B">
        <w:tc>
          <w:tcPr>
            <w:tcW w:w="2840" w:type="dxa"/>
          </w:tcPr>
          <w:p w14:paraId="0F47584D" w14:textId="4803D656" w:rsidR="002C521F" w:rsidRPr="00E1306D" w:rsidRDefault="008E7BE4" w:rsidP="00094291">
            <w:pPr>
              <w:rPr>
                <w:rFonts w:cs="Calibri"/>
                <w:sz w:val="19"/>
                <w:szCs w:val="19"/>
              </w:rPr>
            </w:pPr>
            <w:r>
              <w:rPr>
                <w:rFonts w:cs="Calibri"/>
                <w:color w:val="auto"/>
                <w:sz w:val="19"/>
                <w:szCs w:val="19"/>
              </w:rPr>
              <w:t>F</w:t>
            </w:r>
            <w:r w:rsidR="002C521F" w:rsidRPr="00E1306D">
              <w:rPr>
                <w:rFonts w:cs="Calibri"/>
                <w:color w:val="auto"/>
                <w:sz w:val="19"/>
                <w:szCs w:val="19"/>
              </w:rPr>
              <w:t>luid overload</w:t>
            </w:r>
          </w:p>
        </w:tc>
        <w:tc>
          <w:tcPr>
            <w:tcW w:w="2799" w:type="dxa"/>
          </w:tcPr>
          <w:p w14:paraId="3F13348D" w14:textId="77777777" w:rsidR="002C521F" w:rsidRPr="00E1306D" w:rsidRDefault="002C521F" w:rsidP="00094291">
            <w:pPr>
              <w:rPr>
                <w:rFonts w:cs="Calibri"/>
                <w:sz w:val="19"/>
                <w:szCs w:val="19"/>
              </w:rPr>
            </w:pPr>
            <w:r w:rsidRPr="00E1306D">
              <w:rPr>
                <w:rFonts w:cs="Calibri"/>
                <w:color w:val="auto"/>
                <w:sz w:val="19"/>
                <w:szCs w:val="19"/>
              </w:rPr>
              <w:t>2.7%</w:t>
            </w:r>
          </w:p>
        </w:tc>
        <w:tc>
          <w:tcPr>
            <w:tcW w:w="3176" w:type="dxa"/>
          </w:tcPr>
          <w:p w14:paraId="5ED3D000" w14:textId="77777777" w:rsidR="002C521F" w:rsidRPr="00E1306D" w:rsidRDefault="002C521F" w:rsidP="00094291">
            <w:pPr>
              <w:rPr>
                <w:rFonts w:cs="Calibri"/>
                <w:sz w:val="19"/>
                <w:szCs w:val="19"/>
              </w:rPr>
            </w:pPr>
            <w:r w:rsidRPr="00E1306D">
              <w:rPr>
                <w:rFonts w:cs="Calibri"/>
                <w:color w:val="auto"/>
                <w:sz w:val="19"/>
                <w:szCs w:val="19"/>
              </w:rPr>
              <w:t>0.5%</w:t>
            </w:r>
          </w:p>
        </w:tc>
      </w:tr>
      <w:tr w:rsidR="002C521F" w:rsidRPr="00E1306D" w14:paraId="13E6AEA0" w14:textId="77777777" w:rsidTr="0015470B">
        <w:tc>
          <w:tcPr>
            <w:tcW w:w="2840" w:type="dxa"/>
          </w:tcPr>
          <w:p w14:paraId="5D845C69" w14:textId="3C95773B" w:rsidR="002C521F" w:rsidRPr="00E1306D" w:rsidRDefault="00CF75F0" w:rsidP="00094291">
            <w:pPr>
              <w:rPr>
                <w:rFonts w:cs="Calibri"/>
                <w:sz w:val="19"/>
                <w:szCs w:val="19"/>
              </w:rPr>
            </w:pPr>
            <w:r w:rsidRPr="00E1306D">
              <w:rPr>
                <w:rFonts w:cs="Calibri"/>
                <w:color w:val="auto"/>
                <w:sz w:val="19"/>
                <w:szCs w:val="19"/>
              </w:rPr>
              <w:t>S</w:t>
            </w:r>
            <w:r w:rsidR="002C521F" w:rsidRPr="00E1306D">
              <w:rPr>
                <w:rFonts w:cs="Calibri"/>
                <w:color w:val="auto"/>
                <w:sz w:val="19"/>
                <w:szCs w:val="19"/>
              </w:rPr>
              <w:t>yncope</w:t>
            </w:r>
          </w:p>
        </w:tc>
        <w:tc>
          <w:tcPr>
            <w:tcW w:w="2799" w:type="dxa"/>
          </w:tcPr>
          <w:p w14:paraId="39DA1E28" w14:textId="77777777" w:rsidR="002C521F" w:rsidRPr="00E1306D" w:rsidRDefault="002C521F" w:rsidP="00094291">
            <w:pPr>
              <w:rPr>
                <w:rFonts w:cs="Calibri"/>
                <w:sz w:val="19"/>
                <w:szCs w:val="19"/>
              </w:rPr>
            </w:pPr>
            <w:r w:rsidRPr="00E1306D">
              <w:rPr>
                <w:rFonts w:cs="Calibri"/>
                <w:color w:val="auto"/>
                <w:sz w:val="19"/>
                <w:szCs w:val="19"/>
              </w:rPr>
              <w:t>3.2%</w:t>
            </w:r>
          </w:p>
        </w:tc>
        <w:tc>
          <w:tcPr>
            <w:tcW w:w="3176" w:type="dxa"/>
          </w:tcPr>
          <w:p w14:paraId="7FC3C197" w14:textId="77777777" w:rsidR="002C521F" w:rsidRPr="00E1306D" w:rsidRDefault="002C521F" w:rsidP="00094291">
            <w:pPr>
              <w:rPr>
                <w:rFonts w:cs="Calibri"/>
                <w:sz w:val="19"/>
                <w:szCs w:val="19"/>
              </w:rPr>
            </w:pPr>
            <w:r w:rsidRPr="00E1306D">
              <w:rPr>
                <w:rFonts w:cs="Calibri"/>
                <w:color w:val="auto"/>
                <w:sz w:val="19"/>
                <w:szCs w:val="19"/>
              </w:rPr>
              <w:t>1.6%</w:t>
            </w:r>
          </w:p>
        </w:tc>
      </w:tr>
      <w:tr w:rsidR="002C521F" w:rsidRPr="00E1306D" w14:paraId="2BDB840C" w14:textId="77777777" w:rsidTr="0015470B">
        <w:tc>
          <w:tcPr>
            <w:tcW w:w="8815" w:type="dxa"/>
            <w:gridSpan w:val="3"/>
          </w:tcPr>
          <w:p w14:paraId="13C5F1D7" w14:textId="77777777" w:rsidR="002C521F" w:rsidRPr="00CF75F0" w:rsidRDefault="002C521F" w:rsidP="00094291">
            <w:pPr>
              <w:rPr>
                <w:rFonts w:cs="Calibri"/>
                <w:b/>
                <w:sz w:val="19"/>
                <w:szCs w:val="19"/>
              </w:rPr>
            </w:pPr>
            <w:r w:rsidRPr="00CF75F0">
              <w:rPr>
                <w:rFonts w:cs="Calibri"/>
                <w:b/>
                <w:color w:val="auto"/>
                <w:sz w:val="19"/>
                <w:szCs w:val="19"/>
              </w:rPr>
              <w:t>Deaths</w:t>
            </w:r>
          </w:p>
        </w:tc>
      </w:tr>
      <w:tr w:rsidR="002C521F" w:rsidRPr="00E1306D" w14:paraId="07466ACD" w14:textId="77777777" w:rsidTr="0015470B">
        <w:tc>
          <w:tcPr>
            <w:tcW w:w="2840" w:type="dxa"/>
          </w:tcPr>
          <w:p w14:paraId="1F658A04" w14:textId="7F111788" w:rsidR="002C521F" w:rsidRPr="00E1306D" w:rsidRDefault="002C521F" w:rsidP="00094291">
            <w:pPr>
              <w:rPr>
                <w:rFonts w:cs="Calibri"/>
                <w:sz w:val="19"/>
                <w:szCs w:val="19"/>
              </w:rPr>
            </w:pPr>
            <w:r w:rsidRPr="00E1306D">
              <w:rPr>
                <w:rFonts w:cs="Calibri"/>
                <w:sz w:val="19"/>
                <w:szCs w:val="19"/>
              </w:rPr>
              <w:t xml:space="preserve">In cycles 1 </w:t>
            </w:r>
            <w:r w:rsidR="00CF75F0">
              <w:rPr>
                <w:rFonts w:cs="Calibri"/>
                <w:sz w:val="19"/>
                <w:szCs w:val="19"/>
              </w:rPr>
              <w:t>to</w:t>
            </w:r>
            <w:r w:rsidRPr="00E1306D">
              <w:rPr>
                <w:rFonts w:cs="Calibri"/>
                <w:sz w:val="19"/>
                <w:szCs w:val="19"/>
              </w:rPr>
              <w:t xml:space="preserve"> 6</w:t>
            </w:r>
          </w:p>
        </w:tc>
        <w:tc>
          <w:tcPr>
            <w:tcW w:w="2799" w:type="dxa"/>
          </w:tcPr>
          <w:p w14:paraId="156C8423" w14:textId="77777777" w:rsidR="002C521F" w:rsidRPr="00E1306D" w:rsidRDefault="002C521F" w:rsidP="00094291">
            <w:pPr>
              <w:rPr>
                <w:rFonts w:cs="Calibri"/>
                <w:sz w:val="19"/>
                <w:szCs w:val="19"/>
              </w:rPr>
            </w:pPr>
            <w:r w:rsidRPr="00E1306D">
              <w:rPr>
                <w:rFonts w:cs="Calibri"/>
                <w:color w:val="auto"/>
                <w:sz w:val="19"/>
                <w:szCs w:val="19"/>
              </w:rPr>
              <w:t>4.3%</w:t>
            </w:r>
          </w:p>
        </w:tc>
        <w:tc>
          <w:tcPr>
            <w:tcW w:w="3176" w:type="dxa"/>
          </w:tcPr>
          <w:p w14:paraId="7F15ED88" w14:textId="77777777" w:rsidR="002C521F" w:rsidRPr="00E1306D" w:rsidRDefault="002C521F" w:rsidP="00094291">
            <w:pPr>
              <w:rPr>
                <w:rFonts w:cs="Calibri"/>
                <w:sz w:val="19"/>
                <w:szCs w:val="19"/>
              </w:rPr>
            </w:pPr>
            <w:r w:rsidRPr="00E1306D">
              <w:rPr>
                <w:rFonts w:cs="Calibri"/>
                <w:color w:val="auto"/>
                <w:sz w:val="19"/>
                <w:szCs w:val="19"/>
              </w:rPr>
              <w:t>4.1%</w:t>
            </w:r>
          </w:p>
        </w:tc>
      </w:tr>
      <w:tr w:rsidR="002C521F" w:rsidRPr="00E1306D" w14:paraId="3721A933" w14:textId="77777777" w:rsidTr="0015470B">
        <w:tc>
          <w:tcPr>
            <w:tcW w:w="2840" w:type="dxa"/>
          </w:tcPr>
          <w:p w14:paraId="337BFFA2" w14:textId="77777777" w:rsidR="002C521F" w:rsidRPr="00E1306D" w:rsidRDefault="002C521F" w:rsidP="00094291">
            <w:pPr>
              <w:rPr>
                <w:rFonts w:cs="Calibri"/>
                <w:sz w:val="19"/>
                <w:szCs w:val="19"/>
              </w:rPr>
            </w:pPr>
            <w:r w:rsidRPr="00E1306D">
              <w:rPr>
                <w:rFonts w:cs="Calibri"/>
                <w:sz w:val="19"/>
                <w:szCs w:val="19"/>
              </w:rPr>
              <w:t>After cycle 6</w:t>
            </w:r>
          </w:p>
        </w:tc>
        <w:tc>
          <w:tcPr>
            <w:tcW w:w="2799" w:type="dxa"/>
          </w:tcPr>
          <w:p w14:paraId="370AB66E" w14:textId="77777777" w:rsidR="002C521F" w:rsidRPr="00E1306D" w:rsidRDefault="002C521F" w:rsidP="00094291">
            <w:pPr>
              <w:rPr>
                <w:rFonts w:cs="Calibri"/>
                <w:sz w:val="19"/>
                <w:szCs w:val="19"/>
              </w:rPr>
            </w:pPr>
            <w:r w:rsidRPr="00E1306D">
              <w:rPr>
                <w:rFonts w:cs="Calibri"/>
                <w:sz w:val="19"/>
                <w:szCs w:val="19"/>
              </w:rPr>
              <w:t>N/A</w:t>
            </w:r>
          </w:p>
        </w:tc>
        <w:tc>
          <w:tcPr>
            <w:tcW w:w="3176" w:type="dxa"/>
          </w:tcPr>
          <w:p w14:paraId="310565DD" w14:textId="77777777" w:rsidR="002C521F" w:rsidRPr="00E1306D" w:rsidRDefault="002C521F" w:rsidP="00094291">
            <w:pPr>
              <w:rPr>
                <w:rFonts w:cs="Calibri"/>
                <w:sz w:val="19"/>
                <w:szCs w:val="19"/>
              </w:rPr>
            </w:pPr>
            <w:r w:rsidRPr="00E1306D">
              <w:rPr>
                <w:rFonts w:cs="Calibri"/>
                <w:sz w:val="19"/>
                <w:szCs w:val="19"/>
              </w:rPr>
              <w:t>0.5%</w:t>
            </w:r>
          </w:p>
        </w:tc>
      </w:tr>
      <w:tr w:rsidR="002C521F" w:rsidRPr="00E1306D" w14:paraId="364560E4" w14:textId="77777777" w:rsidTr="0015470B">
        <w:tc>
          <w:tcPr>
            <w:tcW w:w="8815" w:type="dxa"/>
            <w:gridSpan w:val="3"/>
          </w:tcPr>
          <w:p w14:paraId="2164E22B" w14:textId="77777777" w:rsidR="002C521F" w:rsidRPr="00CF75F0" w:rsidRDefault="002C521F" w:rsidP="00094291">
            <w:pPr>
              <w:rPr>
                <w:rFonts w:cs="Calibri"/>
                <w:b/>
                <w:sz w:val="19"/>
                <w:szCs w:val="19"/>
              </w:rPr>
            </w:pPr>
            <w:r w:rsidRPr="00CF75F0">
              <w:rPr>
                <w:rFonts w:cs="Calibri"/>
                <w:b/>
                <w:color w:val="auto"/>
                <w:sz w:val="19"/>
                <w:szCs w:val="19"/>
              </w:rPr>
              <w:t>Drug dosing interruption</w:t>
            </w:r>
          </w:p>
        </w:tc>
      </w:tr>
      <w:tr w:rsidR="002C521F" w:rsidRPr="00E1306D" w14:paraId="403B4C86" w14:textId="77777777" w:rsidTr="0015470B">
        <w:tc>
          <w:tcPr>
            <w:tcW w:w="2840" w:type="dxa"/>
          </w:tcPr>
          <w:p w14:paraId="1EA2D96E" w14:textId="4B1D5C64" w:rsidR="002C521F" w:rsidRPr="00E1306D" w:rsidRDefault="008E7BE4" w:rsidP="00094291">
            <w:pPr>
              <w:rPr>
                <w:rFonts w:cs="Calibri"/>
                <w:sz w:val="19"/>
                <w:szCs w:val="19"/>
              </w:rPr>
            </w:pPr>
            <w:r>
              <w:rPr>
                <w:rFonts w:cs="Calibri"/>
                <w:color w:val="auto"/>
                <w:sz w:val="19"/>
                <w:szCs w:val="19"/>
              </w:rPr>
              <w:t>Due to adverse event</w:t>
            </w:r>
          </w:p>
        </w:tc>
        <w:tc>
          <w:tcPr>
            <w:tcW w:w="2799" w:type="dxa"/>
          </w:tcPr>
          <w:p w14:paraId="687C1931" w14:textId="77777777" w:rsidR="002C521F" w:rsidRPr="00E1306D" w:rsidRDefault="002C521F" w:rsidP="00094291">
            <w:pPr>
              <w:rPr>
                <w:rFonts w:cs="Calibri"/>
                <w:sz w:val="19"/>
                <w:szCs w:val="19"/>
              </w:rPr>
            </w:pPr>
            <w:r w:rsidRPr="00E1306D">
              <w:rPr>
                <w:rFonts w:cs="Calibri"/>
                <w:color w:val="auto"/>
                <w:sz w:val="19"/>
                <w:szCs w:val="19"/>
              </w:rPr>
              <w:t>60.6%</w:t>
            </w:r>
          </w:p>
        </w:tc>
        <w:tc>
          <w:tcPr>
            <w:tcW w:w="3176" w:type="dxa"/>
          </w:tcPr>
          <w:p w14:paraId="7BDF4A88" w14:textId="77777777" w:rsidR="002C521F" w:rsidRPr="00E1306D" w:rsidRDefault="002C521F" w:rsidP="00094291">
            <w:pPr>
              <w:rPr>
                <w:rFonts w:cs="Calibri"/>
                <w:sz w:val="19"/>
                <w:szCs w:val="19"/>
              </w:rPr>
            </w:pPr>
            <w:r w:rsidRPr="00E1306D">
              <w:rPr>
                <w:rFonts w:cs="Calibri"/>
                <w:color w:val="auto"/>
                <w:sz w:val="19"/>
                <w:szCs w:val="19"/>
              </w:rPr>
              <w:t>67.9%</w:t>
            </w:r>
          </w:p>
        </w:tc>
      </w:tr>
      <w:tr w:rsidR="002C521F" w:rsidRPr="00E1306D" w14:paraId="65C7025F" w14:textId="77777777" w:rsidTr="0015470B">
        <w:tc>
          <w:tcPr>
            <w:tcW w:w="2840" w:type="dxa"/>
          </w:tcPr>
          <w:p w14:paraId="3DF39A1B" w14:textId="656AFDDA" w:rsidR="002C521F" w:rsidRPr="00E1306D" w:rsidRDefault="002C521F" w:rsidP="00094291">
            <w:pPr>
              <w:rPr>
                <w:rFonts w:cs="Calibri"/>
                <w:sz w:val="19"/>
                <w:szCs w:val="19"/>
              </w:rPr>
            </w:pPr>
            <w:r w:rsidRPr="00E1306D">
              <w:rPr>
                <w:rFonts w:cs="Calibri"/>
                <w:sz w:val="19"/>
                <w:szCs w:val="19"/>
              </w:rPr>
              <w:t>Grade ≥</w:t>
            </w:r>
            <w:r w:rsidR="008E7BE4">
              <w:rPr>
                <w:rFonts w:cs="Calibri"/>
                <w:sz w:val="19"/>
                <w:szCs w:val="19"/>
              </w:rPr>
              <w:t xml:space="preserve"> </w:t>
            </w:r>
            <w:r w:rsidRPr="00E1306D">
              <w:rPr>
                <w:rFonts w:cs="Calibri"/>
                <w:sz w:val="19"/>
                <w:szCs w:val="19"/>
              </w:rPr>
              <w:t>3 event</w:t>
            </w:r>
          </w:p>
        </w:tc>
        <w:tc>
          <w:tcPr>
            <w:tcW w:w="2799" w:type="dxa"/>
          </w:tcPr>
          <w:p w14:paraId="456BC717" w14:textId="77777777" w:rsidR="002C521F" w:rsidRPr="00E1306D" w:rsidRDefault="002C521F" w:rsidP="00094291">
            <w:pPr>
              <w:rPr>
                <w:rFonts w:cs="Calibri"/>
                <w:sz w:val="19"/>
                <w:szCs w:val="19"/>
              </w:rPr>
            </w:pPr>
            <w:r w:rsidRPr="00E1306D">
              <w:rPr>
                <w:rFonts w:cs="Calibri"/>
                <w:color w:val="auto"/>
                <w:sz w:val="19"/>
                <w:szCs w:val="19"/>
              </w:rPr>
              <w:t>31.4%</w:t>
            </w:r>
          </w:p>
        </w:tc>
        <w:tc>
          <w:tcPr>
            <w:tcW w:w="3176" w:type="dxa"/>
          </w:tcPr>
          <w:p w14:paraId="52C1898F" w14:textId="77777777" w:rsidR="002C521F" w:rsidRPr="00E1306D" w:rsidRDefault="002C521F" w:rsidP="00094291">
            <w:pPr>
              <w:rPr>
                <w:rFonts w:cs="Calibri"/>
                <w:sz w:val="19"/>
                <w:szCs w:val="19"/>
              </w:rPr>
            </w:pPr>
            <w:r w:rsidRPr="00E1306D">
              <w:rPr>
                <w:rFonts w:cs="Calibri"/>
                <w:color w:val="auto"/>
                <w:sz w:val="19"/>
                <w:szCs w:val="19"/>
              </w:rPr>
              <w:t>33.7%</w:t>
            </w:r>
          </w:p>
        </w:tc>
      </w:tr>
    </w:tbl>
    <w:p w14:paraId="063F930F" w14:textId="1EAF64E7" w:rsidR="00CF75F0" w:rsidRDefault="00CF75F0" w:rsidP="00CF75F0">
      <w:pPr>
        <w:pStyle w:val="TableDescription"/>
      </w:pPr>
      <w:r>
        <w:t>Abbreviation: CyBorD = cyclophosphamide, bortezomib and dexamethasone combination therapy; SAE = serious adverse event.</w:t>
      </w:r>
    </w:p>
    <w:p w14:paraId="6FE9A030" w14:textId="30CA7552" w:rsidR="00F20392" w:rsidRDefault="00F20392" w:rsidP="00416A63">
      <w:pPr>
        <w:rPr>
          <w:i/>
        </w:rPr>
      </w:pPr>
      <w:r>
        <w:t>Beyond the first 6 months</w:t>
      </w:r>
      <w:r w:rsidR="008E7BE4">
        <w:t>,</w:t>
      </w:r>
      <w:r>
        <w:t xml:space="preserve"> 2</w:t>
      </w:r>
      <w:r w:rsidR="00E25051" w:rsidRPr="00E25051">
        <w:t xml:space="preserve"> </w:t>
      </w:r>
      <w:r w:rsidR="00E25051">
        <w:t xml:space="preserve">out of </w:t>
      </w:r>
      <w:r>
        <w:t xml:space="preserve">193 </w:t>
      </w:r>
      <w:r w:rsidR="008E7BE4">
        <w:t>patients from</w:t>
      </w:r>
      <w:r>
        <w:t xml:space="preserve"> the </w:t>
      </w:r>
      <w:r w:rsidR="008E7BE4">
        <w:t>daratumumab</w:t>
      </w:r>
      <w:r w:rsidR="00711BD7">
        <w:t xml:space="preserve"> + CyBorD</w:t>
      </w:r>
      <w:r>
        <w:t xml:space="preserve"> arm and 8</w:t>
      </w:r>
      <w:r w:rsidR="00E25051" w:rsidRPr="00E25051">
        <w:t xml:space="preserve"> </w:t>
      </w:r>
      <w:r w:rsidR="00E25051">
        <w:t xml:space="preserve">out of </w:t>
      </w:r>
      <w:r>
        <w:t xml:space="preserve">188 </w:t>
      </w:r>
      <w:r w:rsidR="008E7BE4">
        <w:t xml:space="preserve">patients </w:t>
      </w:r>
      <w:r>
        <w:t xml:space="preserve">of the CyBorD </w:t>
      </w:r>
      <w:r w:rsidR="008E7BE4">
        <w:t xml:space="preserve">only </w:t>
      </w:r>
      <w:r>
        <w:t>arm died.</w:t>
      </w:r>
    </w:p>
    <w:p w14:paraId="70B342CD" w14:textId="13FDBA53" w:rsidR="00F20392" w:rsidRDefault="00F20392" w:rsidP="008E7BE4">
      <w:pPr>
        <w:pStyle w:val="Heading6"/>
      </w:pPr>
      <w:r>
        <w:t>Serious cardiac events</w:t>
      </w:r>
    </w:p>
    <w:p w14:paraId="2816ABEF" w14:textId="2CF979DA" w:rsidR="00F20392" w:rsidRDefault="00F20392" w:rsidP="00416A63">
      <w:r>
        <w:t xml:space="preserve">While many of the safety findings in the submission were consistent with the expected safety profile of daratumumab, of particular interest were the cardiac events. Grade 3 </w:t>
      </w:r>
      <w:r w:rsidR="00BC12D8">
        <w:t>to</w:t>
      </w:r>
      <w:r>
        <w:t xml:space="preserve"> 4 cardiac adverse e</w:t>
      </w:r>
      <w:r w:rsidR="008E7BE4">
        <w:t xml:space="preserve">vents, and </w:t>
      </w:r>
      <w:r>
        <w:t>serious cardiac</w:t>
      </w:r>
      <w:r w:rsidR="008E7BE4">
        <w:t xml:space="preserve"> events occurred in 9.6%, and </w:t>
      </w:r>
      <w:r>
        <w:t xml:space="preserve">13.3% of the </w:t>
      </w:r>
      <w:r>
        <w:lastRenderedPageBreak/>
        <w:t xml:space="preserve">CyBorD </w:t>
      </w:r>
      <w:r w:rsidR="008E7BE4">
        <w:t xml:space="preserve">only arm and 11.4%, and </w:t>
      </w:r>
      <w:r>
        <w:t xml:space="preserve">15.5% of the </w:t>
      </w:r>
      <w:r w:rsidR="008E7BE4">
        <w:t>daratumumab</w:t>
      </w:r>
      <w:r w:rsidR="00711BD7">
        <w:t xml:space="preserve"> + CyBorD</w:t>
      </w:r>
      <w:r>
        <w:t xml:space="preserve"> </w:t>
      </w:r>
      <w:r w:rsidR="008E7BE4">
        <w:t xml:space="preserve">only </w:t>
      </w:r>
      <w:r>
        <w:t>arm</w:t>
      </w:r>
      <w:r w:rsidR="008E7BE4">
        <w:t xml:space="preserve"> respectively</w:t>
      </w:r>
      <w:r>
        <w:t>.</w:t>
      </w:r>
    </w:p>
    <w:p w14:paraId="08CEB43D" w14:textId="33E2957F" w:rsidR="00F20392" w:rsidRDefault="00F20392" w:rsidP="00F348A4">
      <w:r>
        <w:t xml:space="preserve">An analysis of Grade 5 toxicity or cardiac </w:t>
      </w:r>
      <w:r w:rsidR="00BC12D8">
        <w:t>s</w:t>
      </w:r>
      <w:r w:rsidR="00BC12D8" w:rsidRPr="00BC12D8">
        <w:t xml:space="preserve">erious </w:t>
      </w:r>
      <w:r w:rsidR="00BC12D8">
        <w:t>a</w:t>
      </w:r>
      <w:r w:rsidR="00BC12D8" w:rsidRPr="00BC12D8">
        <w:t xml:space="preserve">dverse </w:t>
      </w:r>
      <w:r w:rsidR="00BC12D8">
        <w:t>e</w:t>
      </w:r>
      <w:r w:rsidR="00BC12D8" w:rsidRPr="00BC12D8">
        <w:t>vents</w:t>
      </w:r>
      <w:r w:rsidR="00BC12D8">
        <w:t xml:space="preserve"> (</w:t>
      </w:r>
      <w:r>
        <w:t>SAE</w:t>
      </w:r>
      <w:r w:rsidR="008E7BE4">
        <w:t>s</w:t>
      </w:r>
      <w:r w:rsidR="00BC12D8">
        <w:t>)</w:t>
      </w:r>
      <w:r>
        <w:t xml:space="preserve"> by</w:t>
      </w:r>
      <w:r w:rsidR="00C345E9">
        <w:t xml:space="preserve"> Mayo Cardiac Staging</w:t>
      </w:r>
      <w:r w:rsidR="00BC12D8">
        <w:t>;</w:t>
      </w:r>
      <w:r w:rsidR="00BC12D8">
        <w:fldChar w:fldCharType="begin"/>
      </w:r>
      <w:r w:rsidR="00BC12D8">
        <w:instrText xml:space="preserve"> NOTEREF _Ref112405255 \f \h </w:instrText>
      </w:r>
      <w:r w:rsidR="00BC12D8">
        <w:fldChar w:fldCharType="separate"/>
      </w:r>
      <w:r w:rsidR="008E7BE4" w:rsidRPr="008E7BE4">
        <w:rPr>
          <w:rStyle w:val="FootnoteReference"/>
        </w:rPr>
        <w:t>15</w:t>
      </w:r>
      <w:r w:rsidR="00BC12D8">
        <w:fldChar w:fldCharType="end"/>
      </w:r>
      <w:r>
        <w:t xml:space="preserve"> was conducted. For Cardiac stage</w:t>
      </w:r>
      <w:r w:rsidR="008E7BE4">
        <w:t xml:space="preserve">s I, II and IIIa/IIIb 2.4%, 8.9%, and </w:t>
      </w:r>
      <w:r>
        <w:t xml:space="preserve">25.4% of the CyBorD </w:t>
      </w:r>
      <w:r w:rsidR="008E7BE4">
        <w:t xml:space="preserve">only arm and 0%, 13.3%, and </w:t>
      </w:r>
      <w:r>
        <w:t xml:space="preserve">27.8% of the </w:t>
      </w:r>
      <w:r w:rsidR="008E7BE4">
        <w:t xml:space="preserve">daratumumab </w:t>
      </w:r>
      <w:r w:rsidR="00711BD7">
        <w:t>+ CyBorD</w:t>
      </w:r>
      <w:r>
        <w:t xml:space="preserve"> arm, respectively had Grade 5 toxicity or cardiac SAE.</w:t>
      </w:r>
    </w:p>
    <w:p w14:paraId="7CE5356A" w14:textId="77777777" w:rsidR="00F20392" w:rsidRDefault="00F20392" w:rsidP="00093EA4">
      <w:r>
        <w:t>The following seeks to quantify haematological and cardiac response against the risk of cardiac death for each of the treatment arms.</w:t>
      </w:r>
    </w:p>
    <w:p w14:paraId="003F18A0" w14:textId="549411B8" w:rsidR="00F20392" w:rsidRPr="000B2B62" w:rsidRDefault="00F20392" w:rsidP="0011684A">
      <w:pPr>
        <w:pStyle w:val="Tabletitle0"/>
      </w:pPr>
      <w:r w:rsidRPr="000B2B62">
        <w:t xml:space="preserve">Table </w:t>
      </w:r>
      <w:r w:rsidR="006232AC">
        <w:fldChar w:fldCharType="begin"/>
      </w:r>
      <w:r w:rsidR="006232AC">
        <w:instrText xml:space="preserve"> SEQ Table \* ARABIC </w:instrText>
      </w:r>
      <w:r w:rsidR="006232AC">
        <w:fldChar w:fldCharType="separate"/>
      </w:r>
      <w:r w:rsidR="0011684A">
        <w:rPr>
          <w:noProof/>
        </w:rPr>
        <w:t>8</w:t>
      </w:r>
      <w:r w:rsidR="006232AC">
        <w:rPr>
          <w:noProof/>
        </w:rPr>
        <w:fldChar w:fldCharType="end"/>
      </w:r>
      <w:r w:rsidR="00D734DF">
        <w:rPr>
          <w:noProof/>
        </w:rPr>
        <w:t>:</w:t>
      </w:r>
      <w:r w:rsidRPr="000B2B62">
        <w:t xml:space="preserve"> </w:t>
      </w:r>
      <w:r w:rsidR="008E7BE4">
        <w:t>Study AMY3001 (</w:t>
      </w:r>
      <w:r w:rsidR="00CB5B86" w:rsidRPr="000B2B62">
        <w:t>ANDROMEDA</w:t>
      </w:r>
      <w:r w:rsidR="00CB5B86">
        <w:t xml:space="preserve"> trial</w:t>
      </w:r>
      <w:r w:rsidR="008E7BE4">
        <w:t>)</w:t>
      </w:r>
      <w:r w:rsidR="00CB5B86">
        <w:t xml:space="preserve"> </w:t>
      </w:r>
      <w:r w:rsidR="008E7BE4">
        <w:t>C</w:t>
      </w:r>
      <w:r w:rsidRPr="000B2B62">
        <w:t xml:space="preserve">ardiac </w:t>
      </w:r>
      <w:r w:rsidR="00D734DF">
        <w:t>o</w:t>
      </w:r>
      <w:r w:rsidRPr="000B2B62">
        <w:t xml:space="preserve">utcomes and </w:t>
      </w:r>
      <w:r w:rsidR="00D734DF">
        <w:t>c</w:t>
      </w:r>
      <w:r w:rsidRPr="000B2B62">
        <w:t xml:space="preserve">omplete </w:t>
      </w:r>
      <w:r w:rsidR="00D734DF">
        <w:t>h</w:t>
      </w:r>
      <w:r w:rsidRPr="000B2B62">
        <w:t xml:space="preserve">aematologic </w:t>
      </w:r>
      <w:r w:rsidR="00D734DF">
        <w:t>r</w:t>
      </w:r>
      <w:r w:rsidRPr="000B2B62">
        <w:t xml:space="preserve">esponse by </w:t>
      </w:r>
      <w:r w:rsidR="008E7BE4">
        <w:t>b</w:t>
      </w:r>
      <w:r w:rsidRPr="000B2B62">
        <w:t xml:space="preserve">aseline </w:t>
      </w:r>
      <w:r w:rsidR="00D734DF">
        <w:t>c</w:t>
      </w:r>
      <w:r w:rsidRPr="000B2B62">
        <w:t xml:space="preserve">ardiac </w:t>
      </w:r>
      <w:r w:rsidR="00D734DF">
        <w:t>s</w:t>
      </w:r>
      <w:r w:rsidRPr="000B2B62">
        <w:t>tage</w:t>
      </w:r>
    </w:p>
    <w:p w14:paraId="0FA06202" w14:textId="524B6078" w:rsidR="00F20392" w:rsidRDefault="00F20392" w:rsidP="00F20392">
      <w:r w:rsidRPr="002A2128">
        <w:rPr>
          <w:noProof/>
          <w:lang w:val="en-GB" w:eastAsia="en-GB"/>
        </w:rPr>
        <w:drawing>
          <wp:inline distT="0" distB="0" distL="0" distR="0" wp14:anchorId="3407C47B" wp14:editId="6EDCD6FD">
            <wp:extent cx="5334000" cy="2297983"/>
            <wp:effectExtent l="0" t="0" r="0" b="7620"/>
            <wp:docPr id="3" name="Picture 3" descr="The cardiac outcomes and complete haematologic response by baseline cardiac stage of the ANDROMEDA stud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he cardiac outcomes and complete haematologic response by baseline cardiac stage of the ANDROMEDA study"/>
                    <pic:cNvPicPr>
                      <a:picLocks noChangeAspect="1" noChangeArrowheads="1"/>
                    </pic:cNvPicPr>
                  </pic:nvPicPr>
                  <pic:blipFill rotWithShape="1">
                    <a:blip r:embed="rId19">
                      <a:extLst>
                        <a:ext uri="{28A0092B-C50C-407E-A947-70E740481C1C}">
                          <a14:useLocalDpi xmlns:a14="http://schemas.microsoft.com/office/drawing/2010/main" val="0"/>
                        </a:ext>
                      </a:extLst>
                    </a:blip>
                    <a:srcRect l="1829" r="3258" b="20320"/>
                    <a:stretch/>
                  </pic:blipFill>
                  <pic:spPr bwMode="auto">
                    <a:xfrm>
                      <a:off x="0" y="0"/>
                      <a:ext cx="5346092" cy="2303192"/>
                    </a:xfrm>
                    <a:prstGeom prst="rect">
                      <a:avLst/>
                    </a:prstGeom>
                    <a:noFill/>
                    <a:ln>
                      <a:noFill/>
                    </a:ln>
                    <a:extLst>
                      <a:ext uri="{53640926-AAD7-44D8-BBD7-CCE9431645EC}">
                        <a14:shadowObscured xmlns:a14="http://schemas.microsoft.com/office/drawing/2010/main"/>
                      </a:ext>
                    </a:extLst>
                  </pic:spPr>
                </pic:pic>
              </a:graphicData>
            </a:graphic>
          </wp:inline>
        </w:drawing>
      </w:r>
    </w:p>
    <w:p w14:paraId="0C671440" w14:textId="1EB192DE" w:rsidR="00B0343B" w:rsidRDefault="00416A63" w:rsidP="002C521F">
      <w:pPr>
        <w:pStyle w:val="TableDescription"/>
      </w:pPr>
      <w:r>
        <w:t>Abbreviat</w:t>
      </w:r>
      <w:r w:rsidR="008E7BE4">
        <w:t xml:space="preserve">ions: CyBorD = cyclophosphamide, bortezomib and </w:t>
      </w:r>
      <w:r>
        <w:t>dexamethasone</w:t>
      </w:r>
      <w:r w:rsidR="008E7BE4">
        <w:t xml:space="preserve"> combination therapy</w:t>
      </w:r>
      <w:r>
        <w:t xml:space="preserve">; Dara SC = </w:t>
      </w:r>
      <w:r w:rsidR="008E7BE4">
        <w:t xml:space="preserve">subcutaneous </w:t>
      </w:r>
      <w:r w:rsidR="00906AB4" w:rsidRPr="00906AB4">
        <w:t xml:space="preserve">daratumumab </w:t>
      </w:r>
      <w:r>
        <w:t xml:space="preserve">subcutaneous </w:t>
      </w:r>
      <w:r w:rsidR="008E7BE4">
        <w:t>(</w:t>
      </w:r>
      <w:r>
        <w:t>+ recombinant human hyaluronidase</w:t>
      </w:r>
      <w:r w:rsidR="00B0343B">
        <w:t xml:space="preserve"> PH20 (rhuPH20)</w:t>
      </w:r>
      <w:r w:rsidR="008E7BE4">
        <w:t>)</w:t>
      </w:r>
      <w:r w:rsidR="00B0343B">
        <w:t>; HemCR = h</w:t>
      </w:r>
      <w:r w:rsidR="008E7BE4">
        <w:t>a</w:t>
      </w:r>
      <w:r w:rsidR="00B0343B">
        <w:t>ematologic complete response based on IRC; card</w:t>
      </w:r>
      <w:r w:rsidR="00F348A4">
        <w:t>iac response = cardiac response based on IRC at 6 months.</w:t>
      </w:r>
    </w:p>
    <w:p w14:paraId="16DC9CD4" w14:textId="3ABC2479" w:rsidR="00F20392" w:rsidRDefault="00F20392" w:rsidP="00F20392">
      <w:r>
        <w:t>Of the 49</w:t>
      </w:r>
      <w:r w:rsidR="00F348A4">
        <w:t xml:space="preserve"> out of </w:t>
      </w:r>
      <w:r>
        <w:t>90 patients from the CyBorD</w:t>
      </w:r>
      <w:r w:rsidR="008E7BE4">
        <w:t xml:space="preserve"> only</w:t>
      </w:r>
      <w:r>
        <w:t xml:space="preserve"> arm who received subsequent therapy crossed over to daratumumab </w:t>
      </w:r>
      <w:r w:rsidR="0008724B">
        <w:t>intravenously (</w:t>
      </w:r>
      <w:r>
        <w:t>IV</w:t>
      </w:r>
      <w:r w:rsidR="0008724B">
        <w:t>)</w:t>
      </w:r>
      <w:r>
        <w:t>. Of those, one patient with progressive cardiac disease prior to crossing to daratumumab IV died of cardiac failure.</w:t>
      </w:r>
    </w:p>
    <w:p w14:paraId="28793868" w14:textId="6A4BD5BB" w:rsidR="00F20392" w:rsidRDefault="00F20392" w:rsidP="00F20392">
      <w:r>
        <w:t xml:space="preserve">Case narratives were provided for three CyBorD </w:t>
      </w:r>
      <w:r w:rsidR="008E7BE4">
        <w:t xml:space="preserve">only treated </w:t>
      </w:r>
      <w:r>
        <w:t xml:space="preserve">patients and </w:t>
      </w:r>
      <w:r w:rsidR="00306A60">
        <w:t>6</w:t>
      </w:r>
      <w:bookmarkStart w:id="48" w:name="_Toc163441390"/>
      <w:r w:rsidR="008E7BE4">
        <w:t xml:space="preserve"> daratumumab</w:t>
      </w:r>
      <w:r w:rsidR="00F348A4">
        <w:t xml:space="preserve"> </w:t>
      </w:r>
      <w:r>
        <w:t xml:space="preserve">+ CyBorD </w:t>
      </w:r>
      <w:r w:rsidR="008E7BE4">
        <w:t xml:space="preserve">treated </w:t>
      </w:r>
      <w:r>
        <w:t>patients who had</w:t>
      </w:r>
      <w:r w:rsidR="008E7BE4">
        <w:t xml:space="preserve"> sudden cardiac death. The two daratumumab</w:t>
      </w:r>
      <w:r w:rsidR="00F348A4">
        <w:t xml:space="preserve"> </w:t>
      </w:r>
      <w:r>
        <w:t>+</w:t>
      </w:r>
      <w:r w:rsidR="00F348A4">
        <w:t xml:space="preserve"> </w:t>
      </w:r>
      <w:r>
        <w:t xml:space="preserve">CyBorD </w:t>
      </w:r>
      <w:r w:rsidR="008E7BE4">
        <w:t xml:space="preserve">treated </w:t>
      </w:r>
      <w:r>
        <w:t xml:space="preserve">deaths occurred </w:t>
      </w:r>
      <w:r w:rsidR="008E7BE4">
        <w:t>one and 3 days after the commencement of daratumumab</w:t>
      </w:r>
      <w:r w:rsidR="00F348A4">
        <w:t xml:space="preserve"> </w:t>
      </w:r>
      <w:r>
        <w:t>+</w:t>
      </w:r>
      <w:r w:rsidR="00F348A4">
        <w:t xml:space="preserve"> </w:t>
      </w:r>
      <w:r>
        <w:t xml:space="preserve">CyBorD. Both had Mayo Cardiac Stage IIIa cardiac involvement. In the sponsor’s analysis of treated patients, the early death events in </w:t>
      </w:r>
      <w:r w:rsidR="008E7BE4">
        <w:t xml:space="preserve">Study AMY3001 (the </w:t>
      </w:r>
      <w:r>
        <w:t xml:space="preserve">ANDROMEDA </w:t>
      </w:r>
      <w:r w:rsidR="00BC12D8">
        <w:t>trial</w:t>
      </w:r>
      <w:r w:rsidR="008E7BE4">
        <w:t>)</w:t>
      </w:r>
      <w:r w:rsidR="00BC12D8">
        <w:t xml:space="preserve"> </w:t>
      </w:r>
      <w:r w:rsidR="008E7BE4">
        <w:t>45 </w:t>
      </w:r>
      <w:r>
        <w:t>patients died in the first 6 months (25</w:t>
      </w:r>
      <w:r w:rsidR="00F348A4">
        <w:t xml:space="preserve"> out of </w:t>
      </w:r>
      <w:r w:rsidR="008E7BE4">
        <w:t>193 daratumumab</w:t>
      </w:r>
      <w:r w:rsidR="00F348A4">
        <w:t xml:space="preserve"> </w:t>
      </w:r>
      <w:r>
        <w:t>+</w:t>
      </w:r>
      <w:r w:rsidR="00F348A4">
        <w:t xml:space="preserve"> </w:t>
      </w:r>
      <w:r>
        <w:t xml:space="preserve">CyBorD </w:t>
      </w:r>
      <w:r w:rsidR="008E7BE4">
        <w:t xml:space="preserve">treated patients, </w:t>
      </w:r>
      <w:r>
        <w:t>and 20</w:t>
      </w:r>
      <w:r w:rsidR="00F348A4">
        <w:t xml:space="preserve"> out of </w:t>
      </w:r>
      <w:r>
        <w:t>188 CyBorD</w:t>
      </w:r>
      <w:r w:rsidR="008E7BE4">
        <w:t>-only treated patients</w:t>
      </w:r>
      <w:r>
        <w:t>), mostly due to amyloid cardiomyopathy.</w:t>
      </w:r>
    </w:p>
    <w:p w14:paraId="4D75AD14" w14:textId="77777777" w:rsidR="00F20392" w:rsidRDefault="00F20392" w:rsidP="00F20392">
      <w:r>
        <w:t>Among other events renal and hepatobiliary disorders occurred in similar proportion of patients in each treatment arm.</w:t>
      </w:r>
    </w:p>
    <w:p w14:paraId="4EDB7872" w14:textId="77777777" w:rsidR="008E7846" w:rsidRDefault="00386150" w:rsidP="007B6132">
      <w:pPr>
        <w:pStyle w:val="Heading3"/>
        <w:rPr>
          <w:lang w:eastAsia="en-AU"/>
        </w:rPr>
      </w:pPr>
      <w:bookmarkStart w:id="49" w:name="_Toc314842514"/>
      <w:bookmarkStart w:id="50" w:name="_Toc117158645"/>
      <w:r>
        <w:rPr>
          <w:lang w:eastAsia="en-AU"/>
        </w:rPr>
        <w:t>Risk m</w:t>
      </w:r>
      <w:r w:rsidR="008E7846">
        <w:rPr>
          <w:lang w:eastAsia="en-AU"/>
        </w:rPr>
        <w:t xml:space="preserve">anagement </w:t>
      </w:r>
      <w:r>
        <w:rPr>
          <w:lang w:eastAsia="en-AU"/>
        </w:rPr>
        <w:t>p</w:t>
      </w:r>
      <w:r w:rsidR="008E7846">
        <w:rPr>
          <w:lang w:eastAsia="en-AU"/>
        </w:rPr>
        <w:t>lan</w:t>
      </w:r>
      <w:bookmarkEnd w:id="49"/>
      <w:bookmarkEnd w:id="50"/>
    </w:p>
    <w:p w14:paraId="28238DCB" w14:textId="061BB127" w:rsidR="00093EA4" w:rsidRDefault="00093EA4" w:rsidP="0074163C">
      <w:bookmarkStart w:id="51" w:name="_Toc247691531"/>
      <w:bookmarkStart w:id="52" w:name="_Toc314842515"/>
      <w:bookmarkStart w:id="53" w:name="_Toc196046505"/>
      <w:bookmarkStart w:id="54" w:name="_Toc196046949"/>
      <w:r w:rsidRPr="00093EA4">
        <w:t xml:space="preserve">The most recently evaluated </w:t>
      </w:r>
      <w:r>
        <w:t>European Union (</w:t>
      </w:r>
      <w:r w:rsidRPr="00093EA4">
        <w:t>EU</w:t>
      </w:r>
      <w:r>
        <w:t>)</w:t>
      </w:r>
      <w:r w:rsidRPr="00093EA4">
        <w:t>-</w:t>
      </w:r>
      <w:r>
        <w:t>risk management plan (</w:t>
      </w:r>
      <w:r w:rsidRPr="00093EA4">
        <w:t>RMP</w:t>
      </w:r>
      <w:r>
        <w:t>)</w:t>
      </w:r>
      <w:r w:rsidRPr="00093EA4">
        <w:t xml:space="preserve"> was version 7.4 (dated 17 June 2020; </w:t>
      </w:r>
      <w:r>
        <w:t>data lock point (</w:t>
      </w:r>
      <w:r w:rsidRPr="00093EA4">
        <w:t>DLP</w:t>
      </w:r>
      <w:r>
        <w:t>)</w:t>
      </w:r>
      <w:r w:rsidRPr="00093EA4">
        <w:t xml:space="preserve"> 29 January 2020) and </w:t>
      </w:r>
      <w:r>
        <w:t>Australia specific annex (</w:t>
      </w:r>
      <w:r w:rsidRPr="00093EA4">
        <w:t>ASA</w:t>
      </w:r>
      <w:r>
        <w:t>)</w:t>
      </w:r>
      <w:r w:rsidRPr="00093EA4">
        <w:t xml:space="preserve"> version 8.0 (dated 18 August 2020). In support of the extended indications, the sponsor has submitted EU-RMP version 8.1 (dated 3 September 2020; DLP 10 August 2020) and ASA version 9.0 (dated 11 September 2020). At Round 2, the sponsor </w:t>
      </w:r>
      <w:r w:rsidRPr="00093EA4">
        <w:lastRenderedPageBreak/>
        <w:t>has submitted EU-RMP version 8.3 (dated 15 March 2021; DLP 10 August 2020) and ASA version 10.0 (dated 12 March 2021) in support of the application.</w:t>
      </w:r>
    </w:p>
    <w:p w14:paraId="5F8AA398" w14:textId="188457A8" w:rsidR="0074163C" w:rsidRDefault="0074163C" w:rsidP="0074163C">
      <w:r>
        <w:t xml:space="preserve">The summary of safety concerns and their associated risk monitoring and mitigation strategies are summarised in </w:t>
      </w:r>
      <w:r w:rsidR="00973B6E">
        <w:fldChar w:fldCharType="begin"/>
      </w:r>
      <w:r w:rsidR="00973B6E">
        <w:instrText xml:space="preserve"> REF _Ref110335376 \h </w:instrText>
      </w:r>
      <w:r w:rsidR="00973B6E">
        <w:fldChar w:fldCharType="separate"/>
      </w:r>
      <w:r w:rsidR="00973B6E">
        <w:t xml:space="preserve">Table </w:t>
      </w:r>
      <w:r w:rsidR="00973B6E">
        <w:rPr>
          <w:noProof/>
        </w:rPr>
        <w:t>9</w:t>
      </w:r>
      <w:r w:rsidR="00973B6E">
        <w:t>: Summary of safety concerns</w:t>
      </w:r>
      <w:r w:rsidR="00973B6E">
        <w:fldChar w:fldCharType="end"/>
      </w:r>
      <w:r>
        <w:t xml:space="preserve">. Further information regarding </w:t>
      </w:r>
      <w:r w:rsidR="00CC5044">
        <w:t>the TGA</w:t>
      </w:r>
      <w:r w:rsidR="00BF7063">
        <w:t>’</w:t>
      </w:r>
      <w:r w:rsidR="00CC5044">
        <w:t>s r</w:t>
      </w:r>
      <w:r>
        <w:t xml:space="preserve">isk management approach can be found in </w:t>
      </w:r>
      <w:hyperlink r:id="rId20" w:history="1">
        <w:r w:rsidRPr="0023444E">
          <w:rPr>
            <w:rStyle w:val="Hyperlink"/>
          </w:rPr>
          <w:t>risk management plans for medicines and biologicals</w:t>
        </w:r>
      </w:hyperlink>
      <w:r>
        <w:t xml:space="preserve"> and </w:t>
      </w:r>
      <w:hyperlink r:id="rId21" w:history="1">
        <w:r w:rsidRPr="0023444E">
          <w:rPr>
            <w:rStyle w:val="Hyperlink"/>
          </w:rPr>
          <w:t>the TGA's risk management approach</w:t>
        </w:r>
      </w:hyperlink>
      <w:r>
        <w:t>.</w:t>
      </w:r>
    </w:p>
    <w:p w14:paraId="64B2F3C8" w14:textId="6A596774" w:rsidR="0074163C" w:rsidRDefault="0074163C" w:rsidP="0074163C">
      <w:pPr>
        <w:pStyle w:val="TableTitle"/>
      </w:pPr>
      <w:bookmarkStart w:id="55" w:name="_Ref97629131"/>
      <w:bookmarkStart w:id="56" w:name="_Ref110335376"/>
      <w:r>
        <w:t xml:space="preserve">Table </w:t>
      </w:r>
      <w:fldSimple w:instr=" SEQ Table \* ARABIC ">
        <w:r w:rsidR="0011684A">
          <w:rPr>
            <w:noProof/>
          </w:rPr>
          <w:t>9</w:t>
        </w:r>
      </w:fldSimple>
      <w:bookmarkEnd w:id="55"/>
      <w:r>
        <w:t>: Summary of safety concerns</w:t>
      </w:r>
      <w:bookmarkEnd w:id="56"/>
    </w:p>
    <w:tbl>
      <w:tblPr>
        <w:tblStyle w:val="TableTGAblue"/>
        <w:tblW w:w="5188" w:type="pct"/>
        <w:tblLook w:val="04A0" w:firstRow="1" w:lastRow="0" w:firstColumn="1" w:lastColumn="0" w:noHBand="0" w:noVBand="1"/>
        <w:tblCaption w:val="Summary of safety concerns"/>
        <w:tblDescription w:val="This table presents a summary of safety concerns for Darzalex SC. "/>
      </w:tblPr>
      <w:tblGrid>
        <w:gridCol w:w="1564"/>
        <w:gridCol w:w="2392"/>
        <w:gridCol w:w="1081"/>
        <w:gridCol w:w="1352"/>
        <w:gridCol w:w="1082"/>
        <w:gridCol w:w="1343"/>
      </w:tblGrid>
      <w:tr w:rsidR="005E1958" w:rsidRPr="00BF5F3D" w14:paraId="2B92DD94" w14:textId="77777777" w:rsidTr="008E7BE4">
        <w:trPr>
          <w:cnfStyle w:val="100000000000" w:firstRow="1" w:lastRow="0" w:firstColumn="0" w:lastColumn="0" w:oddVBand="0" w:evenVBand="0" w:oddHBand="0" w:evenHBand="0" w:firstRowFirstColumn="0" w:firstRowLastColumn="0" w:lastRowFirstColumn="0" w:lastRowLastColumn="0"/>
          <w:trHeight w:val="131"/>
        </w:trPr>
        <w:tc>
          <w:tcPr>
            <w:tcW w:w="2244" w:type="pct"/>
            <w:gridSpan w:val="2"/>
            <w:vMerge w:val="restart"/>
            <w:tcBorders>
              <w:top w:val="single" w:sz="4" w:space="0" w:color="auto"/>
              <w:left w:val="single" w:sz="4" w:space="0" w:color="auto"/>
              <w:bottom w:val="single" w:sz="4" w:space="0" w:color="auto"/>
              <w:right w:val="single" w:sz="4" w:space="0" w:color="auto"/>
            </w:tcBorders>
          </w:tcPr>
          <w:p w14:paraId="0E39F2BF" w14:textId="77777777" w:rsidR="005E1958" w:rsidRPr="002C521F" w:rsidRDefault="005E1958" w:rsidP="008E7BE4">
            <w:pPr>
              <w:pStyle w:val="Tabletext"/>
              <w:ind w:left="0" w:right="0"/>
              <w:rPr>
                <w:bCs/>
                <w:sz w:val="20"/>
                <w:szCs w:val="20"/>
              </w:rPr>
            </w:pPr>
            <w:r w:rsidRPr="00806C0B">
              <w:rPr>
                <w:bCs/>
                <w:sz w:val="20"/>
                <w:szCs w:val="20"/>
              </w:rPr>
              <w:t>Summary of safety concerns</w:t>
            </w:r>
          </w:p>
        </w:tc>
        <w:tc>
          <w:tcPr>
            <w:tcW w:w="1380" w:type="pct"/>
            <w:gridSpan w:val="2"/>
            <w:tcBorders>
              <w:top w:val="single" w:sz="4" w:space="0" w:color="auto"/>
              <w:left w:val="single" w:sz="4" w:space="0" w:color="auto"/>
              <w:bottom w:val="single" w:sz="4" w:space="0" w:color="auto"/>
              <w:right w:val="single" w:sz="4" w:space="0" w:color="auto"/>
            </w:tcBorders>
          </w:tcPr>
          <w:p w14:paraId="602252AA" w14:textId="77777777" w:rsidR="005E1958" w:rsidRPr="002C521F" w:rsidRDefault="005E1958" w:rsidP="008E7BE4">
            <w:pPr>
              <w:pStyle w:val="Tabletext"/>
              <w:ind w:left="0" w:right="0"/>
              <w:rPr>
                <w:bCs/>
                <w:sz w:val="20"/>
                <w:szCs w:val="20"/>
              </w:rPr>
            </w:pPr>
            <w:r w:rsidRPr="00806C0B">
              <w:rPr>
                <w:bCs/>
                <w:sz w:val="20"/>
                <w:szCs w:val="20"/>
              </w:rPr>
              <w:t>Pharmacovigilance</w:t>
            </w:r>
          </w:p>
        </w:tc>
        <w:tc>
          <w:tcPr>
            <w:tcW w:w="1377" w:type="pct"/>
            <w:gridSpan w:val="2"/>
            <w:tcBorders>
              <w:top w:val="single" w:sz="4" w:space="0" w:color="auto"/>
              <w:left w:val="single" w:sz="4" w:space="0" w:color="auto"/>
              <w:bottom w:val="single" w:sz="4" w:space="0" w:color="auto"/>
              <w:right w:val="single" w:sz="4" w:space="0" w:color="auto"/>
            </w:tcBorders>
          </w:tcPr>
          <w:p w14:paraId="1FCA3653" w14:textId="77777777" w:rsidR="005E1958" w:rsidRPr="002C521F" w:rsidRDefault="005E1958" w:rsidP="008E7BE4">
            <w:pPr>
              <w:pStyle w:val="Tabletext"/>
              <w:ind w:left="0" w:right="0"/>
              <w:rPr>
                <w:bCs/>
                <w:sz w:val="20"/>
                <w:szCs w:val="20"/>
              </w:rPr>
            </w:pPr>
            <w:r w:rsidRPr="00806C0B">
              <w:rPr>
                <w:bCs/>
                <w:sz w:val="20"/>
                <w:szCs w:val="20"/>
              </w:rPr>
              <w:t>Risk Minimisation</w:t>
            </w:r>
          </w:p>
        </w:tc>
      </w:tr>
      <w:tr w:rsidR="005E1958" w:rsidRPr="00BF5F3D" w14:paraId="645BBA94" w14:textId="77777777" w:rsidTr="008E7BE4">
        <w:trPr>
          <w:trHeight w:val="150"/>
        </w:trPr>
        <w:tc>
          <w:tcPr>
            <w:tcW w:w="2244" w:type="pct"/>
            <w:gridSpan w:val="2"/>
            <w:vMerge/>
            <w:tcBorders>
              <w:top w:val="single" w:sz="4" w:space="0" w:color="auto"/>
              <w:left w:val="single" w:sz="4" w:space="0" w:color="auto"/>
              <w:bottom w:val="single" w:sz="4" w:space="0" w:color="auto"/>
              <w:right w:val="single" w:sz="4" w:space="0" w:color="auto"/>
            </w:tcBorders>
            <w:shd w:val="clear" w:color="auto" w:fill="006DA7"/>
          </w:tcPr>
          <w:p w14:paraId="3C4B3EEC" w14:textId="77777777" w:rsidR="005E1958" w:rsidRPr="002C521F" w:rsidRDefault="005E1958" w:rsidP="008E7BE4">
            <w:pPr>
              <w:pStyle w:val="Tabletext"/>
              <w:ind w:left="0" w:right="0"/>
              <w:rPr>
                <w:b/>
                <w:bCs/>
                <w:color w:val="FFFFFF" w:themeColor="background1"/>
                <w:sz w:val="20"/>
                <w:szCs w:val="20"/>
              </w:rPr>
            </w:pPr>
          </w:p>
        </w:tc>
        <w:tc>
          <w:tcPr>
            <w:tcW w:w="613" w:type="pct"/>
            <w:tcBorders>
              <w:top w:val="single" w:sz="4" w:space="0" w:color="auto"/>
              <w:left w:val="single" w:sz="4" w:space="0" w:color="auto"/>
              <w:bottom w:val="single" w:sz="4" w:space="0" w:color="auto"/>
              <w:right w:val="single" w:sz="4" w:space="0" w:color="auto"/>
            </w:tcBorders>
            <w:shd w:val="clear" w:color="auto" w:fill="006DA7"/>
          </w:tcPr>
          <w:p w14:paraId="2DB9BA81" w14:textId="77777777" w:rsidR="005E1958" w:rsidRPr="002C521F" w:rsidRDefault="005E1958" w:rsidP="008E7BE4">
            <w:pPr>
              <w:pStyle w:val="Tabletext"/>
              <w:ind w:left="0" w:right="0"/>
              <w:rPr>
                <w:b/>
                <w:bCs/>
                <w:color w:val="FFFFFF" w:themeColor="background1"/>
                <w:sz w:val="20"/>
                <w:szCs w:val="20"/>
              </w:rPr>
            </w:pPr>
            <w:r w:rsidRPr="002C521F">
              <w:rPr>
                <w:b/>
                <w:bCs/>
                <w:color w:val="FFFFFF" w:themeColor="background1"/>
                <w:sz w:val="20"/>
                <w:szCs w:val="20"/>
              </w:rPr>
              <w:t>Routine</w:t>
            </w:r>
          </w:p>
        </w:tc>
        <w:tc>
          <w:tcPr>
            <w:tcW w:w="767" w:type="pct"/>
            <w:tcBorders>
              <w:top w:val="single" w:sz="4" w:space="0" w:color="auto"/>
              <w:left w:val="single" w:sz="4" w:space="0" w:color="auto"/>
              <w:bottom w:val="single" w:sz="4" w:space="0" w:color="auto"/>
              <w:right w:val="single" w:sz="4" w:space="0" w:color="auto"/>
            </w:tcBorders>
            <w:shd w:val="clear" w:color="auto" w:fill="006DA7"/>
          </w:tcPr>
          <w:p w14:paraId="4934A760" w14:textId="77777777" w:rsidR="005E1958" w:rsidRPr="002C521F" w:rsidRDefault="005E1958" w:rsidP="008E7BE4">
            <w:pPr>
              <w:pStyle w:val="Tabletext"/>
              <w:ind w:left="0" w:right="0"/>
              <w:rPr>
                <w:b/>
                <w:bCs/>
                <w:color w:val="FFFFFF" w:themeColor="background1"/>
                <w:sz w:val="20"/>
                <w:szCs w:val="20"/>
              </w:rPr>
            </w:pPr>
            <w:r w:rsidRPr="002C521F">
              <w:rPr>
                <w:b/>
                <w:bCs/>
                <w:color w:val="FFFFFF" w:themeColor="background1"/>
                <w:sz w:val="20"/>
                <w:szCs w:val="20"/>
              </w:rPr>
              <w:t>Additional</w:t>
            </w:r>
          </w:p>
        </w:tc>
        <w:tc>
          <w:tcPr>
            <w:tcW w:w="614" w:type="pct"/>
            <w:tcBorders>
              <w:top w:val="single" w:sz="4" w:space="0" w:color="auto"/>
              <w:left w:val="single" w:sz="4" w:space="0" w:color="auto"/>
              <w:bottom w:val="single" w:sz="4" w:space="0" w:color="auto"/>
              <w:right w:val="single" w:sz="4" w:space="0" w:color="auto"/>
            </w:tcBorders>
            <w:shd w:val="clear" w:color="auto" w:fill="006DA7"/>
          </w:tcPr>
          <w:p w14:paraId="0405F6C7" w14:textId="77777777" w:rsidR="005E1958" w:rsidRPr="002C521F" w:rsidRDefault="005E1958" w:rsidP="008E7BE4">
            <w:pPr>
              <w:pStyle w:val="Tabletext"/>
              <w:ind w:left="0" w:right="0"/>
              <w:rPr>
                <w:b/>
                <w:bCs/>
                <w:color w:val="FFFFFF" w:themeColor="background1"/>
                <w:sz w:val="20"/>
                <w:szCs w:val="20"/>
              </w:rPr>
            </w:pPr>
            <w:r w:rsidRPr="002C521F">
              <w:rPr>
                <w:b/>
                <w:bCs/>
                <w:color w:val="FFFFFF" w:themeColor="background1"/>
                <w:sz w:val="20"/>
                <w:szCs w:val="20"/>
              </w:rPr>
              <w:t>Routine</w:t>
            </w:r>
          </w:p>
        </w:tc>
        <w:tc>
          <w:tcPr>
            <w:tcW w:w="763" w:type="pct"/>
            <w:tcBorders>
              <w:top w:val="single" w:sz="4" w:space="0" w:color="auto"/>
              <w:left w:val="single" w:sz="4" w:space="0" w:color="auto"/>
              <w:bottom w:val="single" w:sz="4" w:space="0" w:color="auto"/>
              <w:right w:val="single" w:sz="4" w:space="0" w:color="auto"/>
            </w:tcBorders>
            <w:shd w:val="clear" w:color="auto" w:fill="006DA7"/>
          </w:tcPr>
          <w:p w14:paraId="73D8EF28" w14:textId="77777777" w:rsidR="005E1958" w:rsidRPr="002C521F" w:rsidRDefault="005E1958" w:rsidP="008E7BE4">
            <w:pPr>
              <w:pStyle w:val="Tabletext"/>
              <w:ind w:left="0" w:right="0"/>
              <w:rPr>
                <w:b/>
                <w:bCs/>
                <w:color w:val="FFFFFF" w:themeColor="background1"/>
                <w:sz w:val="20"/>
                <w:szCs w:val="20"/>
              </w:rPr>
            </w:pPr>
            <w:r w:rsidRPr="002C521F">
              <w:rPr>
                <w:b/>
                <w:bCs/>
                <w:color w:val="FFFFFF" w:themeColor="background1"/>
                <w:sz w:val="20"/>
                <w:szCs w:val="20"/>
              </w:rPr>
              <w:t>Additional</w:t>
            </w:r>
          </w:p>
        </w:tc>
      </w:tr>
      <w:tr w:rsidR="005E1958" w:rsidRPr="00BF5F3D" w14:paraId="44BB7D1A" w14:textId="77777777" w:rsidTr="008E7BE4">
        <w:trPr>
          <w:trHeight w:val="137"/>
        </w:trPr>
        <w:tc>
          <w:tcPr>
            <w:tcW w:w="887" w:type="pct"/>
            <w:vMerge w:val="restart"/>
            <w:tcBorders>
              <w:top w:val="single" w:sz="4" w:space="0" w:color="auto"/>
            </w:tcBorders>
          </w:tcPr>
          <w:p w14:paraId="2E11B315" w14:textId="77777777" w:rsidR="005E1958" w:rsidRPr="002C521F" w:rsidRDefault="005E1958" w:rsidP="008E7BE4">
            <w:pPr>
              <w:pStyle w:val="Tabletext"/>
              <w:ind w:left="0" w:right="0"/>
              <w:rPr>
                <w:b/>
                <w:bCs/>
              </w:rPr>
            </w:pPr>
            <w:r w:rsidRPr="002C521F">
              <w:rPr>
                <w:b/>
                <w:bCs/>
                <w:szCs w:val="22"/>
              </w:rPr>
              <w:t>Important identified risks</w:t>
            </w:r>
          </w:p>
        </w:tc>
        <w:tc>
          <w:tcPr>
            <w:tcW w:w="1356" w:type="pct"/>
            <w:tcBorders>
              <w:top w:val="single" w:sz="4" w:space="0" w:color="auto"/>
            </w:tcBorders>
          </w:tcPr>
          <w:p w14:paraId="780FF502" w14:textId="77777777" w:rsidR="005E1958" w:rsidRPr="002C521F" w:rsidRDefault="005E1958" w:rsidP="008E7BE4">
            <w:pPr>
              <w:pStyle w:val="Tabletext"/>
              <w:ind w:left="0" w:right="0"/>
            </w:pPr>
            <w:r w:rsidRPr="002C521F">
              <w:rPr>
                <w:szCs w:val="22"/>
              </w:rPr>
              <w:t>Interference for blood typing (minor antigen) (positive indirect Coombs’ test)</w:t>
            </w:r>
          </w:p>
        </w:tc>
        <w:tc>
          <w:tcPr>
            <w:tcW w:w="613" w:type="pct"/>
            <w:tcBorders>
              <w:top w:val="single" w:sz="4" w:space="0" w:color="auto"/>
            </w:tcBorders>
          </w:tcPr>
          <w:p w14:paraId="17373967" w14:textId="77777777" w:rsidR="005E1958" w:rsidRPr="008E7BE4" w:rsidRDefault="005E1958" w:rsidP="008E7BE4">
            <w:pPr>
              <w:pStyle w:val="Tabletext"/>
              <w:ind w:left="0" w:right="0"/>
              <w:jc w:val="center"/>
              <w:rPr>
                <w:sz w:val="20"/>
              </w:rPr>
            </w:pPr>
            <w:r w:rsidRPr="008E7BE4">
              <w:rPr>
                <w:sz w:val="20"/>
                <w:szCs w:val="22"/>
              </w:rPr>
              <w:sym w:font="Wingdings" w:char="F0FC"/>
            </w:r>
          </w:p>
        </w:tc>
        <w:tc>
          <w:tcPr>
            <w:tcW w:w="767" w:type="pct"/>
            <w:tcBorders>
              <w:top w:val="single" w:sz="4" w:space="0" w:color="auto"/>
            </w:tcBorders>
          </w:tcPr>
          <w:p w14:paraId="3CA1D8A5" w14:textId="77777777" w:rsidR="005E1958" w:rsidRPr="008E7BE4" w:rsidRDefault="005E1958" w:rsidP="008E7BE4">
            <w:pPr>
              <w:pStyle w:val="Tabletext"/>
              <w:ind w:left="0" w:right="0"/>
              <w:jc w:val="center"/>
              <w:rPr>
                <w:sz w:val="20"/>
              </w:rPr>
            </w:pPr>
            <w:r w:rsidRPr="008E7BE4">
              <w:rPr>
                <w:sz w:val="20"/>
                <w:szCs w:val="22"/>
              </w:rPr>
              <w:t>–</w:t>
            </w:r>
          </w:p>
        </w:tc>
        <w:tc>
          <w:tcPr>
            <w:tcW w:w="614" w:type="pct"/>
            <w:tcBorders>
              <w:top w:val="single" w:sz="4" w:space="0" w:color="auto"/>
            </w:tcBorders>
          </w:tcPr>
          <w:p w14:paraId="2800FC92" w14:textId="77777777" w:rsidR="005E1958" w:rsidRPr="008E7BE4" w:rsidRDefault="005E1958" w:rsidP="008E7BE4">
            <w:pPr>
              <w:pStyle w:val="Tabletext"/>
              <w:ind w:left="0" w:right="0"/>
              <w:jc w:val="center"/>
              <w:rPr>
                <w:sz w:val="20"/>
              </w:rPr>
            </w:pPr>
            <w:r w:rsidRPr="008E7BE4">
              <w:rPr>
                <w:sz w:val="20"/>
                <w:szCs w:val="22"/>
              </w:rPr>
              <w:sym w:font="Wingdings" w:char="F0FC"/>
            </w:r>
          </w:p>
        </w:tc>
        <w:tc>
          <w:tcPr>
            <w:tcW w:w="763" w:type="pct"/>
            <w:tcBorders>
              <w:top w:val="single" w:sz="4" w:space="0" w:color="auto"/>
            </w:tcBorders>
          </w:tcPr>
          <w:p w14:paraId="48E64395" w14:textId="77777777" w:rsidR="005E1958" w:rsidRPr="008E7BE4" w:rsidRDefault="005E1958" w:rsidP="008E7BE4">
            <w:pPr>
              <w:pStyle w:val="Tabletext"/>
              <w:ind w:left="0" w:right="0"/>
              <w:jc w:val="center"/>
              <w:rPr>
                <w:sz w:val="20"/>
              </w:rPr>
            </w:pPr>
            <w:r w:rsidRPr="008E7BE4">
              <w:rPr>
                <w:sz w:val="20"/>
                <w:szCs w:val="22"/>
              </w:rPr>
              <w:sym w:font="Wingdings" w:char="F0FC"/>
            </w:r>
            <w:r w:rsidRPr="008E7BE4">
              <w:rPr>
                <w:sz w:val="20"/>
                <w:szCs w:val="22"/>
              </w:rPr>
              <w:t>*</w:t>
            </w:r>
          </w:p>
        </w:tc>
      </w:tr>
      <w:tr w:rsidR="005E1958" w:rsidRPr="00BF5F3D" w14:paraId="45ECB0D3" w14:textId="77777777" w:rsidTr="008E7BE4">
        <w:trPr>
          <w:trHeight w:val="187"/>
        </w:trPr>
        <w:tc>
          <w:tcPr>
            <w:tcW w:w="887" w:type="pct"/>
            <w:vMerge/>
          </w:tcPr>
          <w:p w14:paraId="67BB1D58" w14:textId="77777777" w:rsidR="005E1958" w:rsidRPr="002C521F" w:rsidRDefault="005E1958" w:rsidP="008E7BE4">
            <w:pPr>
              <w:pStyle w:val="Tabletext"/>
              <w:ind w:left="0" w:right="0"/>
              <w:rPr>
                <w:b/>
                <w:bCs/>
              </w:rPr>
            </w:pPr>
          </w:p>
        </w:tc>
        <w:tc>
          <w:tcPr>
            <w:tcW w:w="1356" w:type="pct"/>
          </w:tcPr>
          <w:p w14:paraId="10619D14" w14:textId="77777777" w:rsidR="005E1958" w:rsidRPr="002C521F" w:rsidRDefault="005E1958" w:rsidP="008E7BE4">
            <w:pPr>
              <w:pStyle w:val="Tabletext"/>
              <w:ind w:left="0" w:right="0"/>
            </w:pPr>
            <w:r w:rsidRPr="002C521F">
              <w:rPr>
                <w:szCs w:val="22"/>
              </w:rPr>
              <w:t>Hepatitis B virus reactivation</w:t>
            </w:r>
          </w:p>
        </w:tc>
        <w:tc>
          <w:tcPr>
            <w:tcW w:w="613" w:type="pct"/>
          </w:tcPr>
          <w:p w14:paraId="0BD3AF28" w14:textId="77777777" w:rsidR="005E1958" w:rsidRPr="008E7BE4" w:rsidRDefault="005E1958" w:rsidP="008E7BE4">
            <w:pPr>
              <w:pStyle w:val="Tabletext"/>
              <w:ind w:left="0" w:right="0"/>
              <w:jc w:val="center"/>
              <w:rPr>
                <w:sz w:val="20"/>
              </w:rPr>
            </w:pPr>
            <w:r w:rsidRPr="008E7BE4">
              <w:rPr>
                <w:sz w:val="20"/>
                <w:szCs w:val="22"/>
              </w:rPr>
              <w:sym w:font="Wingdings" w:char="F0FC"/>
            </w:r>
          </w:p>
        </w:tc>
        <w:tc>
          <w:tcPr>
            <w:tcW w:w="767" w:type="pct"/>
          </w:tcPr>
          <w:p w14:paraId="52F34F6C" w14:textId="77777777" w:rsidR="005E1958" w:rsidRPr="008E7BE4" w:rsidRDefault="005E1958" w:rsidP="008E7BE4">
            <w:pPr>
              <w:pStyle w:val="Tabletext"/>
              <w:ind w:left="0" w:right="0"/>
              <w:jc w:val="center"/>
              <w:rPr>
                <w:sz w:val="20"/>
              </w:rPr>
            </w:pPr>
            <w:r w:rsidRPr="008E7BE4">
              <w:rPr>
                <w:sz w:val="20"/>
                <w:szCs w:val="22"/>
              </w:rPr>
              <w:t>–</w:t>
            </w:r>
          </w:p>
        </w:tc>
        <w:tc>
          <w:tcPr>
            <w:tcW w:w="614" w:type="pct"/>
          </w:tcPr>
          <w:p w14:paraId="5B3ABD6C" w14:textId="77777777" w:rsidR="005E1958" w:rsidRPr="008E7BE4" w:rsidRDefault="005E1958" w:rsidP="008E7BE4">
            <w:pPr>
              <w:pStyle w:val="Tabletext"/>
              <w:ind w:left="0" w:right="0"/>
              <w:jc w:val="center"/>
              <w:rPr>
                <w:sz w:val="20"/>
              </w:rPr>
            </w:pPr>
            <w:r w:rsidRPr="008E7BE4">
              <w:rPr>
                <w:sz w:val="20"/>
                <w:szCs w:val="22"/>
              </w:rPr>
              <w:sym w:font="Wingdings" w:char="F0FC"/>
            </w:r>
          </w:p>
        </w:tc>
        <w:tc>
          <w:tcPr>
            <w:tcW w:w="763" w:type="pct"/>
          </w:tcPr>
          <w:p w14:paraId="7781B43E" w14:textId="77777777" w:rsidR="005E1958" w:rsidRPr="008E7BE4" w:rsidRDefault="005E1958" w:rsidP="008E7BE4">
            <w:pPr>
              <w:pStyle w:val="Tabletext"/>
              <w:ind w:left="0" w:right="0"/>
              <w:jc w:val="center"/>
              <w:rPr>
                <w:sz w:val="20"/>
              </w:rPr>
            </w:pPr>
            <w:r w:rsidRPr="008E7BE4">
              <w:rPr>
                <w:sz w:val="20"/>
                <w:szCs w:val="22"/>
              </w:rPr>
              <w:t>–</w:t>
            </w:r>
          </w:p>
        </w:tc>
      </w:tr>
      <w:tr w:rsidR="005E1958" w:rsidRPr="00BF5F3D" w14:paraId="781192A9" w14:textId="77777777" w:rsidTr="008E7BE4">
        <w:trPr>
          <w:trHeight w:val="159"/>
        </w:trPr>
        <w:tc>
          <w:tcPr>
            <w:tcW w:w="887" w:type="pct"/>
          </w:tcPr>
          <w:p w14:paraId="244863B3" w14:textId="77777777" w:rsidR="005E1958" w:rsidRPr="002C521F" w:rsidRDefault="005E1958" w:rsidP="008E7BE4">
            <w:pPr>
              <w:pStyle w:val="Tabletext"/>
              <w:ind w:left="0" w:right="0"/>
              <w:rPr>
                <w:b/>
                <w:bCs/>
              </w:rPr>
            </w:pPr>
            <w:r w:rsidRPr="002C521F">
              <w:rPr>
                <w:b/>
                <w:bCs/>
                <w:szCs w:val="22"/>
              </w:rPr>
              <w:t>Important potential risks</w:t>
            </w:r>
          </w:p>
        </w:tc>
        <w:tc>
          <w:tcPr>
            <w:tcW w:w="1356" w:type="pct"/>
          </w:tcPr>
          <w:p w14:paraId="082583BA" w14:textId="77777777" w:rsidR="005E1958" w:rsidRPr="002C521F" w:rsidRDefault="005E1958" w:rsidP="008E7BE4">
            <w:pPr>
              <w:pStyle w:val="Tabletext"/>
              <w:ind w:left="0" w:right="0"/>
            </w:pPr>
            <w:r w:rsidRPr="002C521F">
              <w:rPr>
                <w:szCs w:val="22"/>
              </w:rPr>
              <w:t>Nil</w:t>
            </w:r>
          </w:p>
        </w:tc>
        <w:tc>
          <w:tcPr>
            <w:tcW w:w="613" w:type="pct"/>
          </w:tcPr>
          <w:p w14:paraId="223B24CE" w14:textId="77777777" w:rsidR="005E1958" w:rsidRPr="008E7BE4" w:rsidRDefault="005E1958" w:rsidP="008E7BE4">
            <w:pPr>
              <w:pStyle w:val="Tabletext"/>
              <w:ind w:left="0" w:right="0"/>
              <w:jc w:val="center"/>
              <w:rPr>
                <w:sz w:val="20"/>
              </w:rPr>
            </w:pPr>
            <w:r w:rsidRPr="008E7BE4">
              <w:rPr>
                <w:sz w:val="20"/>
                <w:szCs w:val="22"/>
              </w:rPr>
              <w:t>–</w:t>
            </w:r>
          </w:p>
        </w:tc>
        <w:tc>
          <w:tcPr>
            <w:tcW w:w="767" w:type="pct"/>
          </w:tcPr>
          <w:p w14:paraId="51FFA915" w14:textId="77777777" w:rsidR="005E1958" w:rsidRPr="008E7BE4" w:rsidRDefault="005E1958" w:rsidP="008E7BE4">
            <w:pPr>
              <w:pStyle w:val="Tabletext"/>
              <w:ind w:left="0" w:right="0"/>
              <w:jc w:val="center"/>
              <w:rPr>
                <w:sz w:val="20"/>
              </w:rPr>
            </w:pPr>
            <w:r w:rsidRPr="008E7BE4">
              <w:rPr>
                <w:sz w:val="20"/>
                <w:szCs w:val="22"/>
              </w:rPr>
              <w:t>–</w:t>
            </w:r>
          </w:p>
        </w:tc>
        <w:tc>
          <w:tcPr>
            <w:tcW w:w="614" w:type="pct"/>
          </w:tcPr>
          <w:p w14:paraId="580677F3" w14:textId="77777777" w:rsidR="005E1958" w:rsidRPr="008E7BE4" w:rsidRDefault="005E1958" w:rsidP="008E7BE4">
            <w:pPr>
              <w:pStyle w:val="Tabletext"/>
              <w:ind w:left="0" w:right="0"/>
              <w:jc w:val="center"/>
              <w:rPr>
                <w:sz w:val="20"/>
              </w:rPr>
            </w:pPr>
            <w:r w:rsidRPr="008E7BE4">
              <w:rPr>
                <w:sz w:val="20"/>
                <w:szCs w:val="22"/>
              </w:rPr>
              <w:t>–</w:t>
            </w:r>
          </w:p>
        </w:tc>
        <w:tc>
          <w:tcPr>
            <w:tcW w:w="763" w:type="pct"/>
          </w:tcPr>
          <w:p w14:paraId="0B347FA5" w14:textId="77777777" w:rsidR="005E1958" w:rsidRPr="008E7BE4" w:rsidRDefault="005E1958" w:rsidP="008E7BE4">
            <w:pPr>
              <w:pStyle w:val="Tabletext"/>
              <w:ind w:left="0" w:right="0"/>
              <w:jc w:val="center"/>
              <w:rPr>
                <w:sz w:val="20"/>
              </w:rPr>
            </w:pPr>
            <w:r w:rsidRPr="008E7BE4">
              <w:rPr>
                <w:sz w:val="20"/>
                <w:szCs w:val="22"/>
              </w:rPr>
              <w:t>–</w:t>
            </w:r>
          </w:p>
        </w:tc>
      </w:tr>
      <w:tr w:rsidR="005E1958" w:rsidRPr="00BF5F3D" w14:paraId="43484EE0" w14:textId="77777777" w:rsidTr="008E7BE4">
        <w:trPr>
          <w:trHeight w:val="178"/>
        </w:trPr>
        <w:tc>
          <w:tcPr>
            <w:tcW w:w="887" w:type="pct"/>
          </w:tcPr>
          <w:p w14:paraId="553466AA" w14:textId="77777777" w:rsidR="005E1958" w:rsidRPr="002C521F" w:rsidRDefault="005E1958" w:rsidP="008E7BE4">
            <w:pPr>
              <w:pStyle w:val="Tabletext"/>
              <w:ind w:left="0" w:right="0"/>
              <w:rPr>
                <w:b/>
                <w:bCs/>
              </w:rPr>
            </w:pPr>
            <w:r w:rsidRPr="002C521F">
              <w:rPr>
                <w:b/>
                <w:bCs/>
                <w:szCs w:val="22"/>
              </w:rPr>
              <w:t>Missing information</w:t>
            </w:r>
          </w:p>
        </w:tc>
        <w:tc>
          <w:tcPr>
            <w:tcW w:w="1356" w:type="pct"/>
          </w:tcPr>
          <w:p w14:paraId="5653589B" w14:textId="77777777" w:rsidR="005E1958" w:rsidRPr="002C521F" w:rsidRDefault="005E1958" w:rsidP="008E7BE4">
            <w:pPr>
              <w:pStyle w:val="Tabletext"/>
              <w:ind w:left="0" w:right="0"/>
            </w:pPr>
            <w:r w:rsidRPr="002C521F">
              <w:rPr>
                <w:szCs w:val="22"/>
              </w:rPr>
              <w:t>Use in patients with AL amyloidosis who have pre-existing serious cardiac involvement</w:t>
            </w:r>
          </w:p>
        </w:tc>
        <w:tc>
          <w:tcPr>
            <w:tcW w:w="613" w:type="pct"/>
          </w:tcPr>
          <w:p w14:paraId="567B0BC6" w14:textId="77777777" w:rsidR="005E1958" w:rsidRPr="008E7BE4" w:rsidRDefault="005E1958" w:rsidP="008E7BE4">
            <w:pPr>
              <w:pStyle w:val="Tabletext"/>
              <w:ind w:left="0" w:right="0"/>
              <w:jc w:val="center"/>
              <w:rPr>
                <w:sz w:val="20"/>
              </w:rPr>
            </w:pPr>
            <w:r w:rsidRPr="008E7BE4">
              <w:rPr>
                <w:sz w:val="20"/>
                <w:szCs w:val="22"/>
              </w:rPr>
              <w:sym w:font="Wingdings" w:char="F0FC"/>
            </w:r>
          </w:p>
        </w:tc>
        <w:tc>
          <w:tcPr>
            <w:tcW w:w="767" w:type="pct"/>
          </w:tcPr>
          <w:p w14:paraId="497F801F" w14:textId="77777777" w:rsidR="005E1958" w:rsidRPr="008E7BE4" w:rsidRDefault="005E1958" w:rsidP="008E7BE4">
            <w:pPr>
              <w:pStyle w:val="Tabletext"/>
              <w:ind w:left="0" w:right="0"/>
              <w:jc w:val="center"/>
              <w:rPr>
                <w:sz w:val="20"/>
              </w:rPr>
            </w:pPr>
            <w:r w:rsidRPr="008E7BE4">
              <w:rPr>
                <w:sz w:val="20"/>
                <w:szCs w:val="22"/>
              </w:rPr>
              <w:sym w:font="Wingdings" w:char="F0FC"/>
            </w:r>
            <w:r w:rsidRPr="008E7BE4">
              <w:rPr>
                <w:sz w:val="20"/>
                <w:szCs w:val="22"/>
              </w:rPr>
              <w:t>†</w:t>
            </w:r>
          </w:p>
        </w:tc>
        <w:tc>
          <w:tcPr>
            <w:tcW w:w="614" w:type="pct"/>
          </w:tcPr>
          <w:p w14:paraId="3B631342" w14:textId="77777777" w:rsidR="005E1958" w:rsidRPr="008E7BE4" w:rsidRDefault="005E1958" w:rsidP="008E7BE4">
            <w:pPr>
              <w:pStyle w:val="Tabletext"/>
              <w:ind w:left="0" w:right="0"/>
              <w:jc w:val="center"/>
              <w:rPr>
                <w:sz w:val="20"/>
              </w:rPr>
            </w:pPr>
            <w:r w:rsidRPr="008E7BE4">
              <w:rPr>
                <w:sz w:val="20"/>
                <w:szCs w:val="22"/>
              </w:rPr>
              <w:sym w:font="Wingdings" w:char="F0FC"/>
            </w:r>
          </w:p>
        </w:tc>
        <w:tc>
          <w:tcPr>
            <w:tcW w:w="763" w:type="pct"/>
          </w:tcPr>
          <w:p w14:paraId="62E69754" w14:textId="77777777" w:rsidR="005E1958" w:rsidRPr="008E7BE4" w:rsidRDefault="005E1958" w:rsidP="008E7BE4">
            <w:pPr>
              <w:pStyle w:val="Tabletext"/>
              <w:ind w:left="0" w:right="0"/>
              <w:jc w:val="center"/>
              <w:rPr>
                <w:sz w:val="20"/>
              </w:rPr>
            </w:pPr>
            <w:r w:rsidRPr="008E7BE4">
              <w:rPr>
                <w:sz w:val="20"/>
                <w:szCs w:val="22"/>
              </w:rPr>
              <w:t>–</w:t>
            </w:r>
          </w:p>
        </w:tc>
      </w:tr>
    </w:tbl>
    <w:p w14:paraId="2FEAB4FC" w14:textId="4373D0D1" w:rsidR="00F348A4" w:rsidRDefault="005E1958" w:rsidP="002C521F">
      <w:pPr>
        <w:pStyle w:val="TableDescription"/>
      </w:pPr>
      <w:r w:rsidRPr="00F348A4">
        <w:t xml:space="preserve">*Additional Risk Minimisation Activities include educational material for </w:t>
      </w:r>
      <w:r w:rsidR="00093EA4">
        <w:t>health care professionals (</w:t>
      </w:r>
      <w:r w:rsidRPr="00F348A4">
        <w:t>HCPs</w:t>
      </w:r>
      <w:r w:rsidR="00093EA4">
        <w:t>)</w:t>
      </w:r>
      <w:r w:rsidRPr="00F348A4">
        <w:t xml:space="preserve"> and Blood Banks and </w:t>
      </w:r>
      <w:r w:rsidR="008E7BE4">
        <w:t xml:space="preserve">a Patient Alert Card (PAC). (A Dear </w:t>
      </w:r>
      <w:r w:rsidRPr="00F348A4">
        <w:t>HCP letter was distributed regarding Hepatitis B reactivation but distribution was completed in February 2019).</w:t>
      </w:r>
    </w:p>
    <w:p w14:paraId="53036231" w14:textId="07042049" w:rsidR="008303ED" w:rsidRDefault="005E1958" w:rsidP="002C521F">
      <w:pPr>
        <w:pStyle w:val="TableDescription"/>
      </w:pPr>
      <w:r w:rsidRPr="00F348A4">
        <w:t>† Multicentre prospective study of daratumumab-based therapy in p</w:t>
      </w:r>
      <w:r w:rsidR="00A07038">
        <w:t>atients with newly diagnosed AL </w:t>
      </w:r>
      <w:r w:rsidRPr="00F348A4">
        <w:t>amyloidosis.</w:t>
      </w:r>
    </w:p>
    <w:p w14:paraId="1D706216" w14:textId="716BE37F" w:rsidR="00093EA4" w:rsidRDefault="00093EA4" w:rsidP="008303ED">
      <w:r>
        <w:t xml:space="preserve">The summary of safety concerns </w:t>
      </w:r>
      <w:proofErr w:type="gramStart"/>
      <w:r>
        <w:t>are</w:t>
      </w:r>
      <w:proofErr w:type="gramEnd"/>
      <w:r>
        <w:t xml:space="preserve"> acceptable including the removal of Missing Information </w:t>
      </w:r>
      <w:r w:rsidR="00DF7541">
        <w:t>‘</w:t>
      </w:r>
      <w:r>
        <w:t>Use in pregnancy and lactation</w:t>
      </w:r>
      <w:r w:rsidR="00DF7541">
        <w:t>’</w:t>
      </w:r>
      <w:r>
        <w:t xml:space="preserve"> and </w:t>
      </w:r>
      <w:r w:rsidR="00DF7541">
        <w:t>‘</w:t>
      </w:r>
      <w:r>
        <w:t>Reproductive and developmental toxicity.</w:t>
      </w:r>
      <w:r w:rsidR="00DF7541">
        <w:t>’</w:t>
      </w:r>
      <w:r>
        <w:t xml:space="preserve"> Use in these populations is unlikely due to the age at diagnosis of patients with multiple myeloma and amyloidosis and therefore data are unlikely to be ascertained.</w:t>
      </w:r>
    </w:p>
    <w:p w14:paraId="7B6FB3C4" w14:textId="1C20EFB7" w:rsidR="00093EA4" w:rsidRDefault="00093EA4" w:rsidP="008303ED">
      <w:r>
        <w:t>Only routine pharmacovigilance activities have been proposed. However,</w:t>
      </w:r>
      <w:r w:rsidR="00A07038">
        <w:t xml:space="preserve"> an</w:t>
      </w:r>
      <w:r>
        <w:t xml:space="preserve"> </w:t>
      </w:r>
      <w:r w:rsidR="00DF7541">
        <w:t>oversea</w:t>
      </w:r>
      <w:r w:rsidR="00A07038">
        <w:t>s</w:t>
      </w:r>
      <w:r w:rsidR="00DF7541">
        <w:t xml:space="preserve"> regulator</w:t>
      </w:r>
      <w:r>
        <w:t xml:space="preserve"> has requested </w:t>
      </w:r>
      <w:r w:rsidR="00A07038">
        <w:t>the sponsor</w:t>
      </w:r>
      <w:r>
        <w:t xml:space="preserve"> conduct a post-marketing clinical trial in newly diagnosed and relapsed/refractory AL amyloidosis for all serious cardiovascular adverse events, and all deaths. This study should be added to the pharmacovigilance plan for Australia. At </w:t>
      </w:r>
      <w:r w:rsidR="00DF7541">
        <w:t xml:space="preserve">second round of </w:t>
      </w:r>
      <w:r w:rsidR="008303ED">
        <w:t>evaluation</w:t>
      </w:r>
      <w:r>
        <w:t xml:space="preserve">, the requested study has been added to the updated EU-RMP and ASA and also </w:t>
      </w:r>
      <w:r w:rsidR="00DF7541">
        <w:rPr>
          <w:i/>
        </w:rPr>
        <w:t>‘</w:t>
      </w:r>
      <w:r>
        <w:rPr>
          <w:i/>
        </w:rPr>
        <w:t>Use in patients with AL amyloidosis who have pre-existing cardiac involvement</w:t>
      </w:r>
      <w:r w:rsidR="00DF7541">
        <w:rPr>
          <w:i/>
        </w:rPr>
        <w:t>’</w:t>
      </w:r>
      <w:r>
        <w:t xml:space="preserve"> has been added as Missing Information to the summary of safety concerns.</w:t>
      </w:r>
    </w:p>
    <w:p w14:paraId="5365664A" w14:textId="7E1BEBAC" w:rsidR="00093EA4" w:rsidRPr="00AA3951" w:rsidRDefault="00093EA4" w:rsidP="008303ED">
      <w:r>
        <w:t xml:space="preserve">As previously routine and additional risk minimisation activities have been proposed. Routine activities include a follow-up questionnaire for Interference for Blood Typing (Minor Antigens) and Haemolytic Transfusion Reactions. Additional risk minimisation activities include </w:t>
      </w:r>
      <w:r w:rsidR="00BC12D8" w:rsidRPr="00BC12D8">
        <w:t>health care professionals</w:t>
      </w:r>
      <w:r>
        <w:t xml:space="preserve"> and Blood Bank educational material and a </w:t>
      </w:r>
      <w:r w:rsidR="00BC12D8" w:rsidRPr="00F348A4">
        <w:t>Patient Alert Card</w:t>
      </w:r>
      <w:r>
        <w:t>.</w:t>
      </w:r>
      <w:r w:rsidR="00A07038">
        <w:t xml:space="preserve"> This educational material needed</w:t>
      </w:r>
      <w:r>
        <w:t xml:space="preserve"> to be updated with the new indication </w:t>
      </w:r>
      <w:r w:rsidR="00A07038">
        <w:t>prior to approval</w:t>
      </w:r>
      <w:r>
        <w:t xml:space="preserve"> by the TGA.</w:t>
      </w:r>
    </w:p>
    <w:p w14:paraId="511C0279" w14:textId="77777777" w:rsidR="008E7846" w:rsidRDefault="00AA0ED0" w:rsidP="008E7846">
      <w:pPr>
        <w:pStyle w:val="Heading3"/>
      </w:pPr>
      <w:bookmarkStart w:id="57" w:name="_Toc117158646"/>
      <w:r>
        <w:lastRenderedPageBreak/>
        <w:t>Risk-benefit a</w:t>
      </w:r>
      <w:r w:rsidR="008E7846">
        <w:t>nalysis</w:t>
      </w:r>
      <w:bookmarkEnd w:id="51"/>
      <w:bookmarkEnd w:id="52"/>
      <w:bookmarkEnd w:id="57"/>
    </w:p>
    <w:p w14:paraId="3A97B246" w14:textId="77777777" w:rsidR="0074163C" w:rsidRDefault="0074163C" w:rsidP="0074163C">
      <w:pPr>
        <w:pStyle w:val="Heading4"/>
      </w:pPr>
      <w:bookmarkStart w:id="58" w:name="_Toc98931932"/>
      <w:r>
        <w:t>Delegate’s considerations</w:t>
      </w:r>
      <w:bookmarkEnd w:id="58"/>
    </w:p>
    <w:p w14:paraId="1A0F761C" w14:textId="77777777" w:rsidR="005E1958" w:rsidRDefault="005E1958" w:rsidP="005E1958">
      <w:r>
        <w:t>AL amyloidosis is a life threatening and rare condition, often diagnosed late and with multiple organ involvement.</w:t>
      </w:r>
    </w:p>
    <w:p w14:paraId="5E32D0FC" w14:textId="6972844C" w:rsidR="005E1958" w:rsidRDefault="005E1958" w:rsidP="005E1958">
      <w:r>
        <w:t xml:space="preserve">There are no registered therapies </w:t>
      </w:r>
      <w:r w:rsidR="00A07038">
        <w:t>with</w:t>
      </w:r>
      <w:r>
        <w:t xml:space="preserve"> CyBorD </w:t>
      </w:r>
      <w:r w:rsidR="00A07038">
        <w:t xml:space="preserve">(cyclophosphamide, bortezomib and dexamethasone) combination therapy. The CyBorD combination </w:t>
      </w:r>
      <w:r>
        <w:t>has been used for</w:t>
      </w:r>
      <w:r w:rsidR="00A07038">
        <w:t xml:space="preserve"> some time in the treatment</w:t>
      </w:r>
      <w:r>
        <w:t xml:space="preserve"> AL amyloidosis and appears in current Australian guidelines.</w:t>
      </w:r>
      <w:r w:rsidR="00A07038" w:rsidRPr="00A07038">
        <w:rPr>
          <w:vertAlign w:val="superscript"/>
        </w:rPr>
        <w:fldChar w:fldCharType="begin"/>
      </w:r>
      <w:r w:rsidR="00A07038" w:rsidRPr="00A07038">
        <w:rPr>
          <w:vertAlign w:val="superscript"/>
        </w:rPr>
        <w:instrText xml:space="preserve"> NOTEREF _Ref117063564 \h </w:instrText>
      </w:r>
      <w:r w:rsidR="00A07038">
        <w:rPr>
          <w:vertAlign w:val="superscript"/>
        </w:rPr>
        <w:instrText xml:space="preserve"> \* MERGEFORMAT </w:instrText>
      </w:r>
      <w:r w:rsidR="00A07038" w:rsidRPr="00A07038">
        <w:rPr>
          <w:vertAlign w:val="superscript"/>
        </w:rPr>
      </w:r>
      <w:r w:rsidR="00A07038" w:rsidRPr="00A07038">
        <w:rPr>
          <w:vertAlign w:val="superscript"/>
        </w:rPr>
        <w:fldChar w:fldCharType="separate"/>
      </w:r>
      <w:r w:rsidR="00A07038" w:rsidRPr="00A07038">
        <w:rPr>
          <w:vertAlign w:val="superscript"/>
        </w:rPr>
        <w:t>2</w:t>
      </w:r>
      <w:r w:rsidR="00A07038" w:rsidRPr="00A07038">
        <w:rPr>
          <w:vertAlign w:val="superscript"/>
        </w:rPr>
        <w:fldChar w:fldCharType="end"/>
      </w:r>
      <w:r>
        <w:t xml:space="preserve"> Daratumumab added to this combination compared with the combination alone allows the attribution of efficacy and safety to daratumumab in the context of this condition.</w:t>
      </w:r>
    </w:p>
    <w:p w14:paraId="5E8831F4" w14:textId="613C3EAA" w:rsidR="005E1958" w:rsidRDefault="00A07038" w:rsidP="005E1958">
      <w:r>
        <w:t>Efficacy is</w:t>
      </w:r>
      <w:r w:rsidR="005E1958">
        <w:t xml:space="preserve"> assessed by complete haematological response, as defined </w:t>
      </w:r>
      <w:r w:rsidR="005E1958" w:rsidRPr="008303ED">
        <w:t xml:space="preserve">by </w:t>
      </w:r>
      <w:proofErr w:type="spellStart"/>
      <w:r w:rsidR="005E1958" w:rsidRPr="008303ED">
        <w:t>Pall</w:t>
      </w:r>
      <w:r w:rsidR="008303ED" w:rsidRPr="008303ED">
        <w:t>a</w:t>
      </w:r>
      <w:r w:rsidR="005E1958" w:rsidRPr="008303ED">
        <w:t>dini</w:t>
      </w:r>
      <w:proofErr w:type="spellEnd"/>
      <w:r w:rsidR="00BC12D8">
        <w:t>.</w:t>
      </w:r>
      <w:r w:rsidR="008303ED" w:rsidRPr="008303ED">
        <w:rPr>
          <w:rStyle w:val="FootnoteReference"/>
        </w:rPr>
        <w:footnoteReference w:id="21"/>
      </w:r>
      <w:r w:rsidR="005E1958">
        <w:t xml:space="preserve"> The modified complete haematological response used for t</w:t>
      </w:r>
      <w:r>
        <w:t>he primary analysis included 22 </w:t>
      </w:r>
      <w:r w:rsidR="005E1958">
        <w:t xml:space="preserve">patients from the </w:t>
      </w:r>
      <w:r>
        <w:t>daratumumab</w:t>
      </w:r>
      <w:r w:rsidR="00711BD7">
        <w:t xml:space="preserve"> + </w:t>
      </w:r>
      <w:proofErr w:type="spellStart"/>
      <w:r w:rsidR="00711BD7">
        <w:t>CyBorD</w:t>
      </w:r>
      <w:proofErr w:type="spellEnd"/>
      <w:r w:rsidR="005E1958">
        <w:t xml:space="preserve"> arm</w:t>
      </w:r>
      <w:r>
        <w:t>,</w:t>
      </w:r>
      <w:r w:rsidR="005E1958">
        <w:t xml:space="preserve"> and 9 </w:t>
      </w:r>
      <w:r>
        <w:t xml:space="preserve">patients </w:t>
      </w:r>
      <w:r w:rsidR="005E1958">
        <w:t xml:space="preserve">from the </w:t>
      </w:r>
      <w:proofErr w:type="spellStart"/>
      <w:r w:rsidR="005E1958">
        <w:t>CyBorD</w:t>
      </w:r>
      <w:proofErr w:type="spellEnd"/>
      <w:r>
        <w:t>-only treatment</w:t>
      </w:r>
      <w:r w:rsidR="005E1958">
        <w:t xml:space="preserve"> arm that did not meet the full complete response criteria. A sensitivity analysis did not meaningfully change the </w:t>
      </w:r>
      <w:r>
        <w:t>odds ratio</w:t>
      </w:r>
      <w:r w:rsidR="005E1958">
        <w:t xml:space="preserve"> for the difference between the two arms that has a point estimate of approximately </w:t>
      </w:r>
      <w:r w:rsidR="00CB0BE6">
        <w:t>five</w:t>
      </w:r>
      <w:r w:rsidR="005E1958">
        <w:t xml:space="preserve">. </w:t>
      </w:r>
    </w:p>
    <w:p w14:paraId="29F158C0" w14:textId="4189955A" w:rsidR="005E1958" w:rsidRDefault="005E1958" w:rsidP="005E1958">
      <w:r>
        <w:t xml:space="preserve">The data are immature; 43.5% of the events for the </w:t>
      </w:r>
      <w:r w:rsidR="00A07038">
        <w:t>major organ deterioration</w:t>
      </w:r>
      <w:r w:rsidR="00A07038">
        <w:noBreakHyphen/>
        <w:t>progression free survival (</w:t>
      </w:r>
      <w:r>
        <w:t>MOD-PFS</w:t>
      </w:r>
      <w:r w:rsidR="00A07038">
        <w:t>)</w:t>
      </w:r>
      <w:r>
        <w:t xml:space="preserve"> had accrued with a median follow up of 11.4 months. The </w:t>
      </w:r>
      <w:r w:rsidR="00E25051" w:rsidRPr="00726469">
        <w:t>IPCW</w:t>
      </w:r>
      <w:r w:rsidR="00E25051">
        <w:t xml:space="preserve"> </w:t>
      </w:r>
      <w:r>
        <w:t>method</w:t>
      </w:r>
      <w:r w:rsidR="00A07038">
        <w:t>;</w:t>
      </w:r>
      <w:r w:rsidR="00A07038" w:rsidRPr="00A07038">
        <w:rPr>
          <w:vertAlign w:val="superscript"/>
        </w:rPr>
        <w:fldChar w:fldCharType="begin"/>
      </w:r>
      <w:r w:rsidR="00A07038" w:rsidRPr="00A07038">
        <w:rPr>
          <w:vertAlign w:val="superscript"/>
        </w:rPr>
        <w:instrText xml:space="preserve"> NOTEREF _Ref117083707 \h </w:instrText>
      </w:r>
      <w:r w:rsidR="00A07038">
        <w:rPr>
          <w:vertAlign w:val="superscript"/>
        </w:rPr>
        <w:instrText xml:space="preserve"> \* MERGEFORMAT </w:instrText>
      </w:r>
      <w:r w:rsidR="00A07038" w:rsidRPr="00A07038">
        <w:rPr>
          <w:vertAlign w:val="superscript"/>
        </w:rPr>
      </w:r>
      <w:r w:rsidR="00A07038" w:rsidRPr="00A07038">
        <w:rPr>
          <w:vertAlign w:val="superscript"/>
        </w:rPr>
        <w:fldChar w:fldCharType="separate"/>
      </w:r>
      <w:r w:rsidR="00A07038" w:rsidRPr="00A07038">
        <w:rPr>
          <w:vertAlign w:val="superscript"/>
        </w:rPr>
        <w:t>19</w:t>
      </w:r>
      <w:r w:rsidR="00A07038" w:rsidRPr="00A07038">
        <w:rPr>
          <w:vertAlign w:val="superscript"/>
        </w:rPr>
        <w:fldChar w:fldCharType="end"/>
      </w:r>
      <w:r>
        <w:t xml:space="preserve"> was used because of concerns about the influence of subsequent therapies on the interpretation of the results. This technique aims to account for situations where treatments after discontinuation of treatment but still within the study period can influence the ultimate outcome for the patient, such as switching to treatment in a comparator arm, another treatment or discontinuing altogether. The advice of the </w:t>
      </w:r>
      <w:r w:rsidR="00CB0BE6">
        <w:t>Advisory Committee of Medicine (</w:t>
      </w:r>
      <w:r>
        <w:t>ACM</w:t>
      </w:r>
      <w:r w:rsidR="00CB0BE6">
        <w:t>)</w:t>
      </w:r>
      <w:r>
        <w:t xml:space="preserve"> is requested regarding the interpretation of the </w:t>
      </w:r>
      <w:r w:rsidR="00CB0BE6" w:rsidRPr="00CB0BE6">
        <w:t>Kaplan-Meier</w:t>
      </w:r>
      <w:r>
        <w:t xml:space="preserve"> outputs using this method.</w:t>
      </w:r>
    </w:p>
    <w:p w14:paraId="2AE681F0" w14:textId="71F57053" w:rsidR="005E1958" w:rsidRDefault="005E1958" w:rsidP="005E1958">
      <w:r>
        <w:t>As statistical significance for MOD-PFS was not reached</w:t>
      </w:r>
      <w:r w:rsidR="00A07038">
        <w:t>, overall survival</w:t>
      </w:r>
      <w:r>
        <w:t xml:space="preserve"> was described and the data were immature. Cardiac and renal response data appear promising, although there is a correlation between improvement in renal function and clearance of </w:t>
      </w:r>
      <w:r w:rsidR="00A07038">
        <w:t>N-terminal pro</w:t>
      </w:r>
      <w:r w:rsidR="00A07038" w:rsidRPr="00A07038">
        <w:t xml:space="preserve">hormone brain natriuretic peptide </w:t>
      </w:r>
      <w:r w:rsidR="00A07038">
        <w:t>(</w:t>
      </w:r>
      <w:r>
        <w:t>NT-proBNP</w:t>
      </w:r>
      <w:r w:rsidR="00A07038">
        <w:t>)</w:t>
      </w:r>
      <w:r>
        <w:t xml:space="preserve"> that may be a confounding factor for this component of the cardiac response.</w:t>
      </w:r>
    </w:p>
    <w:p w14:paraId="681392E6" w14:textId="70408F0E" w:rsidR="005E1958" w:rsidRDefault="005E1958" w:rsidP="005E1958">
      <w:r>
        <w:t xml:space="preserve">Clinically, a reduction in </w:t>
      </w:r>
      <w:r w:rsidR="00A07038">
        <w:t>free light chain</w:t>
      </w:r>
      <w:r>
        <w:t xml:space="preserve"> is accepted in Australia as corr</w:t>
      </w:r>
      <w:r w:rsidR="00A07038">
        <w:t>elating with improved survival.</w:t>
      </w:r>
      <w:r w:rsidR="00A07038" w:rsidRPr="00A07038">
        <w:rPr>
          <w:vertAlign w:val="superscript"/>
        </w:rPr>
        <w:fldChar w:fldCharType="begin"/>
      </w:r>
      <w:r w:rsidR="00A07038" w:rsidRPr="00A07038">
        <w:rPr>
          <w:vertAlign w:val="superscript"/>
        </w:rPr>
        <w:instrText xml:space="preserve"> NOTEREF _Ref117063564 \h </w:instrText>
      </w:r>
      <w:r w:rsidR="00A07038">
        <w:rPr>
          <w:vertAlign w:val="superscript"/>
        </w:rPr>
        <w:instrText xml:space="preserve"> \* MERGEFORMAT </w:instrText>
      </w:r>
      <w:r w:rsidR="00A07038" w:rsidRPr="00A07038">
        <w:rPr>
          <w:vertAlign w:val="superscript"/>
        </w:rPr>
      </w:r>
      <w:r w:rsidR="00A07038" w:rsidRPr="00A07038">
        <w:rPr>
          <w:vertAlign w:val="superscript"/>
        </w:rPr>
        <w:fldChar w:fldCharType="separate"/>
      </w:r>
      <w:r w:rsidR="00A07038" w:rsidRPr="00A07038">
        <w:rPr>
          <w:vertAlign w:val="superscript"/>
        </w:rPr>
        <w:t>2</w:t>
      </w:r>
      <w:r w:rsidR="00A07038" w:rsidRPr="00A07038">
        <w:rPr>
          <w:vertAlign w:val="superscript"/>
        </w:rPr>
        <w:fldChar w:fldCharType="end"/>
      </w:r>
      <w:r w:rsidR="00A07038">
        <w:t xml:space="preserve"> </w:t>
      </w:r>
      <w:r>
        <w:t xml:space="preserve">The </w:t>
      </w:r>
      <w:r w:rsidR="00A07038">
        <w:t>difference in involved and uninvolved free light chain</w:t>
      </w:r>
      <w:r>
        <w:t xml:space="preserve"> &lt;</w:t>
      </w:r>
      <w:r w:rsidR="00CB0BE6">
        <w:t> </w:t>
      </w:r>
      <w:r>
        <w:t xml:space="preserve">10 mg was 64% in the </w:t>
      </w:r>
      <w:r w:rsidR="00D0214E">
        <w:t>daratumumab</w:t>
      </w:r>
      <w:r w:rsidR="00711BD7">
        <w:t xml:space="preserve"> + CyBorD</w:t>
      </w:r>
      <w:r>
        <w:t xml:space="preserve"> arm v</w:t>
      </w:r>
      <w:r w:rsidR="00CB0BE6">
        <w:t>ersus</w:t>
      </w:r>
      <w:r w:rsidR="00D0214E">
        <w:t xml:space="preserve"> 30.6% in the CyBorD-only </w:t>
      </w:r>
      <w:r>
        <w:t>arm and the median ti</w:t>
      </w:r>
      <w:r w:rsidR="00D0214E">
        <w:t>me to onset was 29 days in the daratumumab</w:t>
      </w:r>
      <w:r w:rsidR="00CB0BE6">
        <w:t> </w:t>
      </w:r>
      <w:r w:rsidR="008D0C14">
        <w:t>+</w:t>
      </w:r>
      <w:r w:rsidR="00CB0BE6">
        <w:t> </w:t>
      </w:r>
      <w:r>
        <w:t>CyBorD arm and 56 days in the CyBorD arm.</w:t>
      </w:r>
    </w:p>
    <w:p w14:paraId="51F78308" w14:textId="36111736" w:rsidR="005E1958" w:rsidRDefault="005E1958" w:rsidP="005E1958">
      <w:r>
        <w:t>The safety profile of daratumumab has been established in the setting of multiple myeloma. While generally similar, concern arose from early</w:t>
      </w:r>
      <w:r w:rsidR="00D0214E">
        <w:t xml:space="preserve"> cardiac deaths, higher in the daratumumab</w:t>
      </w:r>
      <w:r w:rsidR="00CB0BE6">
        <w:t> </w:t>
      </w:r>
      <w:r w:rsidR="008D0C14">
        <w:t>+</w:t>
      </w:r>
      <w:r w:rsidR="00CB0BE6">
        <w:t> </w:t>
      </w:r>
      <w:r>
        <w:t xml:space="preserve">CyBorD. There is a lag to onset of organ function improvement in amyloidosis treatment. Patients will likely need additional support in the lag between the reduction of amyloid production from the clone and clearance of amyloid by other processes. Pathologies that result from the presence of amyloid are likely to continue in the meantime, and this would be expected in both arms of the study. At </w:t>
      </w:r>
      <w:r w:rsidR="00CB0BE6">
        <w:t>B</w:t>
      </w:r>
      <w:r>
        <w:t>asel</w:t>
      </w:r>
      <w:r w:rsidR="00D0214E">
        <w:t>ine, 3.5% more patients in the daratumumab</w:t>
      </w:r>
      <w:r w:rsidR="00CB0BE6">
        <w:t> </w:t>
      </w:r>
      <w:r>
        <w:t>+</w:t>
      </w:r>
      <w:r w:rsidR="00CB0BE6">
        <w:t> </w:t>
      </w:r>
      <w:r>
        <w:t>CyBorD arm than in the CyBorD</w:t>
      </w:r>
      <w:r w:rsidR="00D0214E">
        <w:t>-only</w:t>
      </w:r>
      <w:r>
        <w:t xml:space="preserve"> arm had NYHA Class IIIA</w:t>
      </w:r>
      <w:r w:rsidR="00D0214E">
        <w:t>;</w:t>
      </w:r>
      <w:r w:rsidR="00160F23">
        <w:fldChar w:fldCharType="begin"/>
      </w:r>
      <w:r w:rsidR="00160F23">
        <w:instrText xml:space="preserve"> NOTEREF _Ref112405255 \f \h </w:instrText>
      </w:r>
      <w:r w:rsidR="00160F23">
        <w:fldChar w:fldCharType="separate"/>
      </w:r>
      <w:r w:rsidR="00D0214E" w:rsidRPr="00D0214E">
        <w:rPr>
          <w:rStyle w:val="FootnoteReference"/>
        </w:rPr>
        <w:t>15</w:t>
      </w:r>
      <w:r w:rsidR="00160F23">
        <w:fldChar w:fldCharType="end"/>
      </w:r>
      <w:r>
        <w:t xml:space="preserve"> functional symptoms. A 2.4% excess of e</w:t>
      </w:r>
      <w:r w:rsidR="00D0214E">
        <w:t>arly death was reported in the daratumumab</w:t>
      </w:r>
      <w:r w:rsidR="00CB0BE6">
        <w:t xml:space="preserve"> </w:t>
      </w:r>
      <w:r>
        <w:t>+</w:t>
      </w:r>
      <w:r w:rsidR="00CB0BE6">
        <w:t xml:space="preserve"> </w:t>
      </w:r>
      <w:r>
        <w:t xml:space="preserve">CyBorD arm compared with the CyBorD arm in the first </w:t>
      </w:r>
      <w:r w:rsidR="00160F23">
        <w:t>six</w:t>
      </w:r>
      <w:r>
        <w:t xml:space="preserve"> months of treatment. One patient from the CyBorD arm who moved to subsequent daratumumab </w:t>
      </w:r>
      <w:r w:rsidR="0008724B">
        <w:t>IV</w:t>
      </w:r>
      <w:r>
        <w:t xml:space="preserve"> therapy and who had deteriorating cardiac function died of cardiac failure. The </w:t>
      </w:r>
      <w:r>
        <w:lastRenderedPageBreak/>
        <w:t>administration instructions for the IV formulation require an infusion of a minimum of 500</w:t>
      </w:r>
      <w:r w:rsidR="00CB0BE6">
        <w:t> </w:t>
      </w:r>
      <w:r>
        <w:t>mL and up to 1000</w:t>
      </w:r>
      <w:r w:rsidR="00CB0BE6">
        <w:t> </w:t>
      </w:r>
      <w:r>
        <w:t>mL if the first dose is given on a single day. A relatively small number of patients contributed events to the analysis, and in the context of the imbalance in NYHA IIIA</w:t>
      </w:r>
      <w:r w:rsidR="00160F23">
        <w:t>;</w:t>
      </w:r>
      <w:r w:rsidR="00160F23">
        <w:fldChar w:fldCharType="begin"/>
      </w:r>
      <w:r w:rsidR="00160F23">
        <w:instrText xml:space="preserve"> NOTEREF _Ref112405255 \f \h </w:instrText>
      </w:r>
      <w:r w:rsidR="00160F23">
        <w:fldChar w:fldCharType="separate"/>
      </w:r>
      <w:r w:rsidR="00160F23" w:rsidRPr="00726469">
        <w:rPr>
          <w:rStyle w:val="FootnoteReference"/>
        </w:rPr>
        <w:t>2</w:t>
      </w:r>
      <w:r w:rsidR="00160F23">
        <w:fldChar w:fldCharType="end"/>
      </w:r>
      <w:r>
        <w:t xml:space="preserve"> patients between the groups at </w:t>
      </w:r>
      <w:r w:rsidR="00160F23">
        <w:t>B</w:t>
      </w:r>
      <w:r>
        <w:t>aseline it is difficult to discern the impact of the treatment from the impact of the underlying disease.</w:t>
      </w:r>
    </w:p>
    <w:p w14:paraId="1F6A9EF4" w14:textId="0213B201" w:rsidR="005E1958" w:rsidRPr="007416EF" w:rsidRDefault="005E1958" w:rsidP="005E1958">
      <w:r>
        <w:t xml:space="preserve">The sponsor has chosen the </w:t>
      </w:r>
      <w:r w:rsidR="00D0214E">
        <w:t>subcutaneous</w:t>
      </w:r>
      <w:r>
        <w:t xml:space="preserve"> form</w:t>
      </w:r>
      <w:r w:rsidR="00D0214E">
        <w:t xml:space="preserve"> (Darzalex SC)</w:t>
      </w:r>
      <w:r>
        <w:t xml:space="preserve"> of daratumumab for study. The volume of infusion required for the intravenous formulation </w:t>
      </w:r>
      <w:r w:rsidR="00D0214E">
        <w:t xml:space="preserve">(Darzalex) </w:t>
      </w:r>
      <w:r>
        <w:t>is potentially problematic for patients with cardiac and/or renal disease.</w:t>
      </w:r>
    </w:p>
    <w:p w14:paraId="5860B056" w14:textId="25C22EE3" w:rsidR="005E1958" w:rsidRPr="00670BEC" w:rsidRDefault="005E1958" w:rsidP="005E1958">
      <w:r>
        <w:t>Flat dosing is reasonable for most patients although patients of body weight less than 50</w:t>
      </w:r>
      <w:r w:rsidR="00160F23">
        <w:t> </w:t>
      </w:r>
      <w:r>
        <w:t xml:space="preserve">kg may be more at risk of neutropenia and febrile neutropenia. This is also a recognised consideration for the use of </w:t>
      </w:r>
      <w:r w:rsidR="00D0214E">
        <w:t>subcutaneous</w:t>
      </w:r>
      <w:r>
        <w:t xml:space="preserve"> dosing in patients with multiple myeloma, for which registration has been granted in Australia, and the relatively small number of patients &lt;</w:t>
      </w:r>
      <w:r w:rsidR="00160F23">
        <w:t> </w:t>
      </w:r>
      <w:r>
        <w:t>50</w:t>
      </w:r>
      <w:r w:rsidR="0008724B">
        <w:t> </w:t>
      </w:r>
      <w:r w:rsidR="00D0214E">
        <w:t>kg (</w:t>
      </w:r>
      <w:r>
        <w:t>9</w:t>
      </w:r>
      <w:r w:rsidR="00D0214E">
        <w:t xml:space="preserve"> patients</w:t>
      </w:r>
      <w:r>
        <w:t xml:space="preserve">) on which these analyses are based. The incidence of other </w:t>
      </w:r>
      <w:r w:rsidR="00160F23">
        <w:t>adverse events</w:t>
      </w:r>
      <w:r>
        <w:t xml:space="preserve"> such as anaemia and cardiac and renal disorders was similar across the weight groupings in AL amyloidosis. The evaluator was satisfied the proposed dose reaches the serum level needed to achieve 99% CD38 target that was determined for multiple myeloma.</w:t>
      </w:r>
    </w:p>
    <w:p w14:paraId="1059A7D7" w14:textId="1E1A22E8" w:rsidR="005E1958" w:rsidRDefault="005E1958" w:rsidP="005E1958">
      <w:pPr>
        <w:pStyle w:val="Instructions"/>
        <w:rPr>
          <w:i w:val="0"/>
          <w:color w:val="auto"/>
        </w:rPr>
      </w:pPr>
      <w:r w:rsidRPr="00AE7C88">
        <w:rPr>
          <w:i w:val="0"/>
          <w:color w:val="auto"/>
        </w:rPr>
        <w:t>From the evidence presented, and subject to the advice of the ACM, the addition of daratumumab to cyclophosphamide, bortezomib and dexamethasone</w:t>
      </w:r>
      <w:r w:rsidR="00D0214E">
        <w:rPr>
          <w:i w:val="0"/>
          <w:color w:val="auto"/>
        </w:rPr>
        <w:t xml:space="preserve"> (CyBorD)</w:t>
      </w:r>
      <w:r w:rsidRPr="00AE7C88">
        <w:rPr>
          <w:i w:val="0"/>
          <w:color w:val="auto"/>
        </w:rPr>
        <w:t xml:space="preserve">, would seem a reasonable option for treatment for patients early in their disease and treatment course. The balance of benefits and harms is uncertain for patients </w:t>
      </w:r>
      <w:r>
        <w:rPr>
          <w:i w:val="0"/>
          <w:color w:val="auto"/>
        </w:rPr>
        <w:t>who present with NYHA class IIIA</w:t>
      </w:r>
      <w:r w:rsidRPr="00AE7C88">
        <w:rPr>
          <w:i w:val="0"/>
          <w:color w:val="auto"/>
        </w:rPr>
        <w:t xml:space="preserve"> functional symptoms and there is no evidence to support the use of this combination </w:t>
      </w:r>
      <w:r>
        <w:rPr>
          <w:i w:val="0"/>
          <w:color w:val="auto"/>
        </w:rPr>
        <w:t>in patients with NYHA Class IIIB</w:t>
      </w:r>
      <w:r w:rsidRPr="00AE7C88">
        <w:rPr>
          <w:i w:val="0"/>
          <w:color w:val="auto"/>
        </w:rPr>
        <w:t xml:space="preserve"> and IV symptoms.</w:t>
      </w:r>
    </w:p>
    <w:p w14:paraId="5A88995A" w14:textId="77777777" w:rsidR="005E1958" w:rsidRDefault="005E1958" w:rsidP="005E1958">
      <w:pPr>
        <w:pStyle w:val="Heading4"/>
      </w:pPr>
      <w:r>
        <w:t>Indication</w:t>
      </w:r>
    </w:p>
    <w:p w14:paraId="456FFF04" w14:textId="2EBF8088" w:rsidR="005E1958" w:rsidRDefault="005E1958" w:rsidP="005E1958">
      <w:r>
        <w:t xml:space="preserve">The proposed indication is broad and could be interpreted as suitability for use as monotherapy. For AL amyloidosis, daratumumab without concurrent use of a proteasome inhibitor (bortezomib), chemotherapy agent (cyclophosphamide) and corticosteroid (dexamethasone) has not been demonstrated. The sponsor has only demonstrated benefit in combination with </w:t>
      </w:r>
      <w:r w:rsidR="00D0214E">
        <w:t>the CyBorD (</w:t>
      </w:r>
      <w:r>
        <w:t>bortezomib, cyclophosphamide and dexamethasone</w:t>
      </w:r>
      <w:r w:rsidR="00D0214E">
        <w:t>) combination</w:t>
      </w:r>
      <w:r>
        <w:t>, and as has occurred internationally this should be reflected in the wording of the indication. Whether there should be additional limits to the population either through the wording of the indication, precautionary statements or other means is an issue upon which the advice of the ACM is sought.</w:t>
      </w:r>
    </w:p>
    <w:p w14:paraId="084D43E8" w14:textId="77777777" w:rsidR="0074163C" w:rsidRDefault="0074163C" w:rsidP="0074163C">
      <w:pPr>
        <w:pStyle w:val="Heading4"/>
      </w:pPr>
      <w:bookmarkStart w:id="59" w:name="_Toc98931934"/>
      <w:r>
        <w:t>Questions for the sponsor</w:t>
      </w:r>
      <w:bookmarkEnd w:id="59"/>
    </w:p>
    <w:p w14:paraId="1732CA44" w14:textId="77777777" w:rsidR="0074163C" w:rsidRPr="00955A16" w:rsidRDefault="0074163C" w:rsidP="0074163C">
      <w:r>
        <w:t>The sponsor provided the following response to questions from the Delegate.</w:t>
      </w:r>
    </w:p>
    <w:p w14:paraId="583BC1DD" w14:textId="63D62B28" w:rsidR="00E97883" w:rsidRDefault="00E97883" w:rsidP="00726469">
      <w:pPr>
        <w:pStyle w:val="Numberbullet0"/>
        <w:rPr>
          <w:b/>
          <w:bCs/>
          <w:i/>
          <w:iCs/>
        </w:rPr>
      </w:pPr>
      <w:r w:rsidRPr="00726469">
        <w:rPr>
          <w:b/>
          <w:bCs/>
          <w:i/>
          <w:iCs/>
        </w:rPr>
        <w:t>It is noted the</w:t>
      </w:r>
      <w:r w:rsidR="00D0214E">
        <w:rPr>
          <w:b/>
          <w:bCs/>
          <w:i/>
          <w:iCs/>
        </w:rPr>
        <w:t xml:space="preserve"> United States (US) Food and Drug Administration</w:t>
      </w:r>
      <w:r w:rsidRPr="00726469">
        <w:rPr>
          <w:b/>
          <w:bCs/>
          <w:i/>
          <w:iCs/>
        </w:rPr>
        <w:t xml:space="preserve"> </w:t>
      </w:r>
      <w:r w:rsidR="00D0214E">
        <w:rPr>
          <w:b/>
          <w:bCs/>
          <w:i/>
          <w:iCs/>
        </w:rPr>
        <w:t>(</w:t>
      </w:r>
      <w:r w:rsidRPr="00726469">
        <w:rPr>
          <w:b/>
          <w:bCs/>
          <w:i/>
          <w:iCs/>
        </w:rPr>
        <w:t>FDA</w:t>
      </w:r>
      <w:r w:rsidR="00D0214E">
        <w:rPr>
          <w:b/>
          <w:bCs/>
          <w:i/>
          <w:iCs/>
        </w:rPr>
        <w:t>)</w:t>
      </w:r>
      <w:r w:rsidRPr="00726469">
        <w:rPr>
          <w:b/>
          <w:bCs/>
          <w:i/>
          <w:iCs/>
        </w:rPr>
        <w:t xml:space="preserve"> granted accelerated approval for daratumumab for the proposed indication. What plans does the sponsor have for generating additional data to confirm the clinical benefit in this population of further characterise the potential cardiovascular risk in this population?</w:t>
      </w:r>
    </w:p>
    <w:p w14:paraId="35B754D0" w14:textId="34E47C34" w:rsidR="002D0FC8" w:rsidRPr="00D0214E" w:rsidRDefault="002D0FC8" w:rsidP="005D1CF4">
      <w:pPr>
        <w:pStyle w:val="Heading4"/>
      </w:pPr>
      <w:r w:rsidRPr="00D0214E">
        <w:t xml:space="preserve">Confirmatory </w:t>
      </w:r>
      <w:r w:rsidR="0008724B" w:rsidRPr="00D0214E">
        <w:t>e</w:t>
      </w:r>
      <w:r w:rsidRPr="00D0214E">
        <w:t xml:space="preserve">fficacy </w:t>
      </w:r>
      <w:r w:rsidR="0008724B" w:rsidRPr="00D0214E">
        <w:t>d</w:t>
      </w:r>
      <w:r w:rsidRPr="00D0214E">
        <w:t>ata</w:t>
      </w:r>
    </w:p>
    <w:p w14:paraId="67EFB176" w14:textId="5FF3A2AB" w:rsidR="002D0FC8" w:rsidRDefault="002D0FC8" w:rsidP="002D0FC8">
      <w:r w:rsidRPr="002D0FC8">
        <w:t xml:space="preserve">The primary endpoint of </w:t>
      </w:r>
      <w:r w:rsidR="0008724B">
        <w:t>S</w:t>
      </w:r>
      <w:r w:rsidRPr="002D0FC8">
        <w:t xml:space="preserve">tudy AMY3001 </w:t>
      </w:r>
      <w:r w:rsidR="00D0214E">
        <w:t xml:space="preserve">(Andromeda trial) </w:t>
      </w:r>
      <w:r w:rsidRPr="002D0FC8">
        <w:t>was overall h</w:t>
      </w:r>
      <w:r w:rsidR="009C07FB">
        <w:t>a</w:t>
      </w:r>
      <w:r w:rsidRPr="002D0FC8">
        <w:t>ematologic complete response rate.  This endpoint was select</w:t>
      </w:r>
      <w:r w:rsidR="00D0214E">
        <w:t>ed, as the treatment goal in AL </w:t>
      </w:r>
      <w:r w:rsidRPr="002D0FC8">
        <w:t>amyloidosis is to achieve a deep h</w:t>
      </w:r>
      <w:r w:rsidR="00D0214E">
        <w:t>a</w:t>
      </w:r>
      <w:r w:rsidRPr="002D0FC8">
        <w:t>ematologic response which are associated with superior outcomes and increased chances for organ response.</w:t>
      </w:r>
    </w:p>
    <w:p w14:paraId="35A16F27" w14:textId="514AC3F0" w:rsidR="002D0FC8" w:rsidRDefault="002D0FC8" w:rsidP="002D0FC8">
      <w:r w:rsidRPr="002D0FC8">
        <w:lastRenderedPageBreak/>
        <w:t xml:space="preserve">Secondary endpoints of </w:t>
      </w:r>
      <w:r w:rsidR="00D0214E">
        <w:t>Major organ deterioration progression free survival (</w:t>
      </w:r>
      <w:r w:rsidRPr="002D0FC8">
        <w:t>MOD-PFS</w:t>
      </w:r>
      <w:r w:rsidR="00D0214E">
        <w:t>)</w:t>
      </w:r>
      <w:r w:rsidRPr="002D0FC8">
        <w:t xml:space="preserve"> and </w:t>
      </w:r>
      <w:r w:rsidR="00D0214E">
        <w:t>overall survival</w:t>
      </w:r>
      <w:r w:rsidRPr="002D0FC8">
        <w:t xml:space="preserve"> within </w:t>
      </w:r>
      <w:r w:rsidR="0008724B">
        <w:t>S</w:t>
      </w:r>
      <w:r w:rsidRPr="002D0FC8">
        <w:t>tudy AMY3001 will provide confirmatory data of the longer term clinical be</w:t>
      </w:r>
      <w:r w:rsidR="00D0214E">
        <w:t xml:space="preserve">nefits of adding daratumumab subcutaneously </w:t>
      </w:r>
      <w:r w:rsidRPr="002D0FC8">
        <w:t xml:space="preserve">to </w:t>
      </w:r>
      <w:r>
        <w:t>CyBorD</w:t>
      </w:r>
      <w:r w:rsidRPr="002D0FC8">
        <w:t xml:space="preserve"> for treatment of AL amyloidosis. As specified in the statistical analysis plan, </w:t>
      </w:r>
      <w:r w:rsidR="00D0214E">
        <w:t>overall survival</w:t>
      </w:r>
      <w:r w:rsidRPr="002D0FC8">
        <w:t xml:space="preserve"> is a major secondary endpoint and included in the formal hierarchical hypothesis testing. The </w:t>
      </w:r>
      <w:r w:rsidR="00D0214E">
        <w:t>marketing authorisation holder</w:t>
      </w:r>
      <w:r w:rsidRPr="002D0FC8">
        <w:t xml:space="preserve"> can commit to provide the final overall survival analysis post-approval with a projected submission of June 2025.</w:t>
      </w:r>
    </w:p>
    <w:p w14:paraId="0858408B" w14:textId="35210D33" w:rsidR="002D0FC8" w:rsidRPr="00D0214E" w:rsidRDefault="002D0FC8" w:rsidP="005D1CF4">
      <w:pPr>
        <w:pStyle w:val="Heading4"/>
      </w:pPr>
      <w:r w:rsidRPr="00D0214E">
        <w:t>Characteri</w:t>
      </w:r>
      <w:r w:rsidR="0008724B" w:rsidRPr="00D0214E">
        <w:t>s</w:t>
      </w:r>
      <w:r w:rsidRPr="00D0214E">
        <w:t xml:space="preserve">ation of </w:t>
      </w:r>
      <w:r w:rsidR="0008724B" w:rsidRPr="00D0214E">
        <w:t>c</w:t>
      </w:r>
      <w:r w:rsidRPr="00D0214E">
        <w:t xml:space="preserve">ardiovascular </w:t>
      </w:r>
      <w:r w:rsidR="0008724B" w:rsidRPr="00D0214E">
        <w:t>r</w:t>
      </w:r>
      <w:r w:rsidRPr="00D0214E">
        <w:t>isk</w:t>
      </w:r>
    </w:p>
    <w:p w14:paraId="0EACB81D" w14:textId="48927723" w:rsidR="002D0FC8" w:rsidRDefault="00D0214E" w:rsidP="002D0FC8">
      <w:r>
        <w:t>To further characteris</w:t>
      </w:r>
      <w:r w:rsidR="002D0FC8" w:rsidRPr="002D0FC8">
        <w:t xml:space="preserve">e cardiac adverse events in AL amyloidosis patients treated with daratumumab, the </w:t>
      </w:r>
      <w:r w:rsidR="0008724B">
        <w:t>s</w:t>
      </w:r>
      <w:r w:rsidR="002D0FC8" w:rsidRPr="002D0FC8">
        <w:t>ponsor is also planning a multicentre, prospective, observational study of daratumumab-based therapy in newly diagnosed AL amyloidosis patients. A brief synopsis is provided below:</w:t>
      </w:r>
    </w:p>
    <w:p w14:paraId="7378576F" w14:textId="3D594300" w:rsidR="002D0FC8" w:rsidRDefault="00D0214E" w:rsidP="002D0FC8">
      <w:pPr>
        <w:pStyle w:val="ListBullet"/>
      </w:pPr>
      <w:r>
        <w:t>Study t</w:t>
      </w:r>
      <w:r w:rsidR="002D0FC8" w:rsidRPr="002D0FC8">
        <w:t>itle: A multicentre, prospective, observational study of daratumumab-based therapy in patients with newly diagnosed AL amyloidosis.</w:t>
      </w:r>
    </w:p>
    <w:p w14:paraId="0233BE52" w14:textId="4E712999" w:rsidR="002D0FC8" w:rsidRDefault="00D0214E" w:rsidP="002D0FC8">
      <w:pPr>
        <w:pStyle w:val="ListBullet"/>
      </w:pPr>
      <w:r>
        <w:t>Primary o</w:t>
      </w:r>
      <w:r w:rsidR="002D0FC8" w:rsidRPr="002D0FC8">
        <w:t>bjective: The primary objective of the</w:t>
      </w:r>
      <w:r>
        <w:t xml:space="preserve"> study is to further characteris</w:t>
      </w:r>
      <w:r w:rsidR="002D0FC8" w:rsidRPr="002D0FC8">
        <w:t>e cardiac adverse events in patients with newly diagnosed AL amyloidosis treated with subcutaneous daratumumab-based therapy in terms of the incidence, severity, clinical presentation, management, and outcome.</w:t>
      </w:r>
    </w:p>
    <w:p w14:paraId="6966C48F" w14:textId="741F5784" w:rsidR="002D0FC8" w:rsidRDefault="00D0214E" w:rsidP="002D0FC8">
      <w:pPr>
        <w:pStyle w:val="ListBullet"/>
      </w:pPr>
      <w:r>
        <w:t>Patient p</w:t>
      </w:r>
      <w:r w:rsidR="002D0FC8" w:rsidRPr="002D0FC8">
        <w:t>opulation: Patients with light chain amyloidosis who initiate subcutaneous d</w:t>
      </w:r>
      <w:r>
        <w:t>aratumumab based therapy.  The s</w:t>
      </w:r>
      <w:r w:rsidR="002D0FC8" w:rsidRPr="002D0FC8">
        <w:t>ponsor plans to recruit at least 100 patients across multiple sites in the US</w:t>
      </w:r>
      <w:r>
        <w:t>A</w:t>
      </w:r>
      <w:r w:rsidR="002D0FC8" w:rsidRPr="002D0FC8">
        <w:t xml:space="preserve"> and other countries.</w:t>
      </w:r>
    </w:p>
    <w:p w14:paraId="632EA2CF" w14:textId="52AA3EAD" w:rsidR="002D0FC8" w:rsidRDefault="00D0214E" w:rsidP="002D0FC8">
      <w:pPr>
        <w:pStyle w:val="ListBullet"/>
      </w:pPr>
      <w:r>
        <w:t>Data collection s</w:t>
      </w:r>
      <w:r w:rsidR="002D0FC8" w:rsidRPr="002D0FC8">
        <w:t>ources: Data collection for patients with AL amyloidosis will include, but may not be limited to: demographic data; baseline disease characteristics including cardiac parameters as appropriate to determine cardiac risk status; treatment regimen and dosing; h</w:t>
      </w:r>
      <w:r w:rsidR="009C07FB">
        <w:t>a</w:t>
      </w:r>
      <w:r w:rsidR="002D0FC8" w:rsidRPr="002D0FC8">
        <w:t>ematologic response as per standard of care; serious adverse events with a focus on major cardiac events including non-fatal myocardial infarction, cardiac failure, arrhythmia, as well as fatal cardiac events and events of sudden death.  Management and outcome of major cardiac events, including</w:t>
      </w:r>
      <w:r w:rsidR="002D0FC8">
        <w:t xml:space="preserve"> </w:t>
      </w:r>
      <w:r>
        <w:t>hospitalis</w:t>
      </w:r>
      <w:r w:rsidR="002D0FC8" w:rsidRPr="002D0FC8">
        <w:t>ations, will be analysed.   Data collection will be considered complete for a participating patient if data are available for 2 years following initiation of daratumumab therapy (or until initiation of subsequent treatment, withdrawal of consent, death, or loss to follow-up).</w:t>
      </w:r>
    </w:p>
    <w:p w14:paraId="539BD33B" w14:textId="6A54BD47" w:rsidR="002D0FC8" w:rsidRPr="002D0FC8" w:rsidRDefault="00D0214E" w:rsidP="002D0FC8">
      <w:pPr>
        <w:pStyle w:val="ListBullet"/>
      </w:pPr>
      <w:r>
        <w:t>Study d</w:t>
      </w:r>
      <w:r w:rsidR="002D0FC8" w:rsidRPr="002D0FC8">
        <w:t>uration: The overall duration of the study, including recruitment and follow-up, is anticipated to be approximately 5 years.</w:t>
      </w:r>
    </w:p>
    <w:p w14:paraId="61B3CFEC" w14:textId="77777777" w:rsidR="0074163C" w:rsidRPr="00F73346" w:rsidRDefault="0074163C" w:rsidP="0074163C">
      <w:pPr>
        <w:pStyle w:val="Heading4"/>
      </w:pPr>
      <w:bookmarkStart w:id="60" w:name="_Toc98931936"/>
      <w:bookmarkStart w:id="61" w:name="_Toc247691532"/>
      <w:bookmarkStart w:id="62" w:name="_Toc314842516"/>
      <w:bookmarkEnd w:id="48"/>
      <w:bookmarkEnd w:id="53"/>
      <w:bookmarkEnd w:id="54"/>
      <w:r w:rsidRPr="00F73346">
        <w:t>Advisory Committee considerations</w:t>
      </w:r>
      <w:bookmarkEnd w:id="60"/>
    </w:p>
    <w:p w14:paraId="4A3C7A02" w14:textId="2254D15E" w:rsidR="0074163C" w:rsidRDefault="0074163C" w:rsidP="0074163C">
      <w:pPr>
        <w:rPr>
          <w:bCs/>
        </w:rPr>
      </w:pPr>
      <w:r w:rsidRPr="00456765">
        <w:rPr>
          <w:bCs/>
        </w:rPr>
        <w:t xml:space="preserve">The </w:t>
      </w:r>
      <w:hyperlink r:id="rId22" w:history="1">
        <w:r w:rsidRPr="00C65E63">
          <w:rPr>
            <w:rStyle w:val="Hyperlink"/>
            <w:szCs w:val="21"/>
          </w:rPr>
          <w:t>Advisory Committee on Medicines (ACM)</w:t>
        </w:r>
      </w:hyperlink>
      <w:r w:rsidRPr="00F73346">
        <w:rPr>
          <w:szCs w:val="21"/>
        </w:rPr>
        <w:t>,</w:t>
      </w:r>
      <w:r w:rsidRPr="00F73346">
        <w:rPr>
          <w:bCs/>
        </w:rPr>
        <w:t xml:space="preserve"> </w:t>
      </w:r>
      <w:r w:rsidRPr="00456765">
        <w:rPr>
          <w:bCs/>
        </w:rPr>
        <w:t>having considered the evaluations and the Delegate’s overview, as well as the sponsor’s response to these documents, advised the following</w:t>
      </w:r>
      <w:r>
        <w:rPr>
          <w:bCs/>
        </w:rPr>
        <w:t>.</w:t>
      </w:r>
    </w:p>
    <w:p w14:paraId="0D218070" w14:textId="77777777" w:rsidR="0074163C" w:rsidRPr="00F73346" w:rsidRDefault="0074163C" w:rsidP="0074163C">
      <w:pPr>
        <w:pStyle w:val="Heading5"/>
      </w:pPr>
      <w:r w:rsidRPr="00F73346">
        <w:t>Specific advice to the Delegate</w:t>
      </w:r>
    </w:p>
    <w:p w14:paraId="69D8DDF7" w14:textId="4D16E30A" w:rsidR="00E97883" w:rsidRPr="00D0214E" w:rsidRDefault="00E97883" w:rsidP="00BD3AA5">
      <w:pPr>
        <w:pStyle w:val="Numberbullet0"/>
        <w:numPr>
          <w:ilvl w:val="0"/>
          <w:numId w:val="16"/>
        </w:numPr>
        <w:rPr>
          <w:b/>
          <w:bCs/>
          <w:i/>
          <w:iCs/>
        </w:rPr>
      </w:pPr>
      <w:r w:rsidRPr="00D0214E">
        <w:rPr>
          <w:b/>
          <w:bCs/>
          <w:i/>
          <w:iCs/>
        </w:rPr>
        <w:t xml:space="preserve">Does the ACM consider the complete haematologic </w:t>
      </w:r>
      <w:r w:rsidR="00D0214E" w:rsidRPr="00D0214E">
        <w:rPr>
          <w:b/>
          <w:bCs/>
          <w:i/>
          <w:iCs/>
        </w:rPr>
        <w:t xml:space="preserve">response </w:t>
      </w:r>
      <w:r w:rsidRPr="00D0214E">
        <w:rPr>
          <w:b/>
          <w:bCs/>
          <w:i/>
          <w:iCs/>
        </w:rPr>
        <w:t xml:space="preserve">and MOD-PFS </w:t>
      </w:r>
      <w:r w:rsidR="00D0214E" w:rsidRPr="00D0214E">
        <w:rPr>
          <w:b/>
          <w:bCs/>
          <w:i/>
          <w:iCs/>
        </w:rPr>
        <w:t>(</w:t>
      </w:r>
      <w:r w:rsidR="00D0214E" w:rsidRPr="00D0214E">
        <w:rPr>
          <w:b/>
          <w:i/>
        </w:rPr>
        <w:t xml:space="preserve">major organ deterioration progression free survival) </w:t>
      </w:r>
      <w:r w:rsidRPr="00D0214E">
        <w:rPr>
          <w:b/>
          <w:bCs/>
          <w:i/>
          <w:iCs/>
        </w:rPr>
        <w:t>response acceptable surrogates for disease outcome in AL amyloidosis?</w:t>
      </w:r>
    </w:p>
    <w:p w14:paraId="3FC83CC0" w14:textId="77777777" w:rsidR="00E97883" w:rsidRDefault="00E97883" w:rsidP="00E97883">
      <w:r>
        <w:t>The ACM advised that h</w:t>
      </w:r>
      <w:r w:rsidRPr="00853D9A">
        <w:t>aematologic response, including complete response, is a strong and reliable predictor of overall survival in AL amyloidosis</w:t>
      </w:r>
      <w:r>
        <w:t>. As h</w:t>
      </w:r>
      <w:r w:rsidRPr="00853D9A">
        <w:t>aematologic response is based on measurement of the serum free light chain</w:t>
      </w:r>
      <w:r>
        <w:t>, which is causing the disease, the ACM did not consider this to be a surrogate marker but rather an actual measure of disease levels.</w:t>
      </w:r>
    </w:p>
    <w:p w14:paraId="7FCF5A6D" w14:textId="77777777" w:rsidR="00E97883" w:rsidRDefault="00E97883" w:rsidP="00E97883">
      <w:r>
        <w:lastRenderedPageBreak/>
        <w:t>The ACM noted that MOD-PFS is driven by haematologic progression (rise in the amyloid forming free light chains), severe cardiac failure, severe renal disease and death. The ACM considered MOD-PFS to be a reasonable surrogate for disease outcome.</w:t>
      </w:r>
    </w:p>
    <w:p w14:paraId="50CD0F24" w14:textId="00C7B6FF" w:rsidR="00E97883" w:rsidRPr="00853D9A" w:rsidRDefault="00E97883" w:rsidP="00BD3AA5">
      <w:pPr>
        <w:pStyle w:val="Numberbullet0"/>
        <w:numPr>
          <w:ilvl w:val="0"/>
          <w:numId w:val="2"/>
        </w:numPr>
        <w:rPr>
          <w:b/>
          <w:bCs/>
          <w:i/>
          <w:iCs/>
        </w:rPr>
      </w:pPr>
      <w:r w:rsidRPr="00853D9A">
        <w:rPr>
          <w:b/>
          <w:bCs/>
          <w:i/>
          <w:iCs/>
        </w:rPr>
        <w:t>Does the ACM have any concerns about the approach to the statistical analysis of MOD-PFS by the sponsor?</w:t>
      </w:r>
    </w:p>
    <w:p w14:paraId="65CAC88B" w14:textId="3B869529" w:rsidR="00E97883" w:rsidRDefault="00E97883" w:rsidP="00E97883">
      <w:r>
        <w:t xml:space="preserve">Overall, the ACM did not have any major concerns about the sponsor’s approach to </w:t>
      </w:r>
      <w:r w:rsidRPr="00D0520B">
        <w:t>statistical analysis of MOD-PFS</w:t>
      </w:r>
      <w:r>
        <w:t>. While the analysis has low power, the ACM were s</w:t>
      </w:r>
      <w:r w:rsidRPr="00D0520B">
        <w:t>atisfied that the sponsor has noted that the analysis of MOD-PFS is interim</w:t>
      </w:r>
      <w:r>
        <w:t>, and that the i</w:t>
      </w:r>
      <w:r w:rsidRPr="00D0520B">
        <w:t xml:space="preserve">nterim analysis was not based on </w:t>
      </w:r>
      <w:r>
        <w:t xml:space="preserve">the </w:t>
      </w:r>
      <w:r w:rsidRPr="00D0520B">
        <w:t>number of events.</w:t>
      </w:r>
    </w:p>
    <w:p w14:paraId="2F7C6EFD" w14:textId="33355728" w:rsidR="00E97883" w:rsidRDefault="00E97883" w:rsidP="00E97883">
      <w:r>
        <w:t xml:space="preserve">The ACM advised that the </w:t>
      </w:r>
      <w:r w:rsidR="006A73B4">
        <w:t xml:space="preserve">inverse probability of censoring weighting </w:t>
      </w:r>
      <w:r>
        <w:t>(IPCW)</w:t>
      </w:r>
      <w:r w:rsidR="006A73B4" w:rsidRPr="006A73B4">
        <w:rPr>
          <w:vertAlign w:val="superscript"/>
        </w:rPr>
        <w:fldChar w:fldCharType="begin"/>
      </w:r>
      <w:r w:rsidR="006A73B4" w:rsidRPr="006A73B4">
        <w:rPr>
          <w:vertAlign w:val="superscript"/>
        </w:rPr>
        <w:instrText xml:space="preserve"> NOTEREF _Ref117083707 \h </w:instrText>
      </w:r>
      <w:r w:rsidR="006A73B4">
        <w:rPr>
          <w:vertAlign w:val="superscript"/>
        </w:rPr>
        <w:instrText xml:space="preserve"> \* MERGEFORMAT </w:instrText>
      </w:r>
      <w:r w:rsidR="006A73B4" w:rsidRPr="006A73B4">
        <w:rPr>
          <w:vertAlign w:val="superscript"/>
        </w:rPr>
      </w:r>
      <w:r w:rsidR="006A73B4" w:rsidRPr="006A73B4">
        <w:rPr>
          <w:vertAlign w:val="superscript"/>
        </w:rPr>
        <w:fldChar w:fldCharType="separate"/>
      </w:r>
      <w:r w:rsidR="006A73B4" w:rsidRPr="006A73B4">
        <w:rPr>
          <w:vertAlign w:val="superscript"/>
        </w:rPr>
        <w:t>19</w:t>
      </w:r>
      <w:r w:rsidR="006A73B4" w:rsidRPr="006A73B4">
        <w:rPr>
          <w:vertAlign w:val="superscript"/>
        </w:rPr>
        <w:fldChar w:fldCharType="end"/>
      </w:r>
      <w:r>
        <w:t xml:space="preserve"> technique used within the analysis, while not common, appears to be a </w:t>
      </w:r>
      <w:r w:rsidRPr="00E414AE">
        <w:t xml:space="preserve">valid </w:t>
      </w:r>
      <w:r>
        <w:t>statistical technique in this scenario given</w:t>
      </w:r>
      <w:r w:rsidRPr="00E414AE">
        <w:t xml:space="preserve"> the nature of the data and th</w:t>
      </w:r>
      <w:r>
        <w:t>at this is an</w:t>
      </w:r>
      <w:r w:rsidRPr="00E414AE">
        <w:t xml:space="preserve"> interim analysis</w:t>
      </w:r>
      <w:r>
        <w:t>. However, the ACM noted that the IPCW technique is based on a number of assumptions, including exchangeability. The ACM advised that to confirm assumptions are met the sponsor could be asked to investigate exchangeability and confirm that exchangeability has been met.</w:t>
      </w:r>
    </w:p>
    <w:p w14:paraId="53BAA85D" w14:textId="76DE27A1" w:rsidR="00E97883" w:rsidRPr="00853D9A" w:rsidRDefault="00E97883" w:rsidP="00BD3AA5">
      <w:pPr>
        <w:pStyle w:val="Numberbullet0"/>
        <w:numPr>
          <w:ilvl w:val="0"/>
          <w:numId w:val="2"/>
        </w:numPr>
        <w:rPr>
          <w:b/>
          <w:bCs/>
          <w:i/>
          <w:iCs/>
        </w:rPr>
      </w:pPr>
      <w:r w:rsidRPr="00853D9A">
        <w:rPr>
          <w:b/>
          <w:bCs/>
          <w:i/>
          <w:iCs/>
        </w:rPr>
        <w:t>The data are immature</w:t>
      </w:r>
      <w:r w:rsidR="006A73B4">
        <w:rPr>
          <w:b/>
          <w:bCs/>
          <w:i/>
          <w:iCs/>
        </w:rPr>
        <w:t>,</w:t>
      </w:r>
      <w:r w:rsidRPr="00853D9A">
        <w:rPr>
          <w:b/>
          <w:bCs/>
          <w:i/>
          <w:iCs/>
        </w:rPr>
        <w:t xml:space="preserve"> however </w:t>
      </w:r>
      <w:r w:rsidR="006A73B4">
        <w:rPr>
          <w:b/>
          <w:bCs/>
          <w:i/>
          <w:iCs/>
        </w:rPr>
        <w:t>there is a clinical unmet need.</w:t>
      </w:r>
      <w:r w:rsidR="006A73B4">
        <w:rPr>
          <w:b/>
          <w:bCs/>
          <w:i/>
          <w:iCs/>
        </w:rPr>
        <w:br/>
      </w:r>
      <w:r w:rsidRPr="00853D9A">
        <w:rPr>
          <w:b/>
          <w:bCs/>
          <w:i/>
          <w:iCs/>
        </w:rPr>
        <w:t>Overall, does the ACM consider the evidence is sufficient to support the use of daratumumab in AL amyloidosis?</w:t>
      </w:r>
    </w:p>
    <w:p w14:paraId="3AD9EA6D" w14:textId="38E4DFC0" w:rsidR="00E97883" w:rsidRDefault="00E97883" w:rsidP="00E97883">
      <w:r>
        <w:t>The ACM advised that i</w:t>
      </w:r>
      <w:r w:rsidRPr="00D0520B">
        <w:t xml:space="preserve">n AL amyloidosis, especially those with cardiac involvement, the need for effective and approved treatments is critical and a real area of </w:t>
      </w:r>
      <w:r>
        <w:t xml:space="preserve">unmet </w:t>
      </w:r>
      <w:r w:rsidRPr="00D0520B">
        <w:t>need</w:t>
      </w:r>
      <w:r>
        <w:t xml:space="preserve">. The ACM agreed that the results of the surrogate endpoints from the trial are strongly associated with an improvement in survival; the complete response </w:t>
      </w:r>
      <w:r w:rsidRPr="00D0520B">
        <w:t xml:space="preserve">rate is strongly and consistently associated with improved </w:t>
      </w:r>
      <w:r w:rsidR="006A73B4">
        <w:t>overall survival</w:t>
      </w:r>
      <w:r>
        <w:t>, the c</w:t>
      </w:r>
      <w:r w:rsidRPr="00D0520B">
        <w:t xml:space="preserve">ardiac organ response is strongly associated with improved </w:t>
      </w:r>
      <w:r w:rsidR="006A73B4">
        <w:t>overall survival</w:t>
      </w:r>
      <w:r>
        <w:t>, and the r</w:t>
      </w:r>
      <w:r w:rsidRPr="00D0520B">
        <w:t xml:space="preserve">enal organ response is strongly associated with reduced risk of </w:t>
      </w:r>
      <w:r>
        <w:t xml:space="preserve">end stage renal failure. The ACM were of the opinion that the </w:t>
      </w:r>
      <w:r w:rsidRPr="00D0520B">
        <w:t>current preliminary data supports use of daratumumab in AL amyloidosis</w:t>
      </w:r>
      <w:r>
        <w:t>.</w:t>
      </w:r>
    </w:p>
    <w:p w14:paraId="55032DFD" w14:textId="77777777" w:rsidR="00E97883" w:rsidRPr="00853D9A" w:rsidRDefault="00E97883" w:rsidP="00BD3AA5">
      <w:pPr>
        <w:pStyle w:val="Numberbullet0"/>
        <w:numPr>
          <w:ilvl w:val="0"/>
          <w:numId w:val="2"/>
        </w:numPr>
        <w:rPr>
          <w:b/>
          <w:bCs/>
          <w:i/>
          <w:iCs/>
        </w:rPr>
      </w:pPr>
      <w:r w:rsidRPr="00853D9A">
        <w:rPr>
          <w:b/>
          <w:bCs/>
          <w:i/>
          <w:iCs/>
        </w:rPr>
        <w:t>What measures does the ACM advise to mitigate the potential risk of an imbalance in early cardiac death and cardiac adverse events?</w:t>
      </w:r>
    </w:p>
    <w:p w14:paraId="76082D4E" w14:textId="61C94236" w:rsidR="00E97883" w:rsidRDefault="00E97883" w:rsidP="00E97883">
      <w:r>
        <w:t>The ACM did not have any specific concerns relating to the risk of early cardiac death and cardiac adverse events with daratumumab treatment. The ACM emphasi</w:t>
      </w:r>
      <w:r w:rsidR="006A73B4">
        <w:t>sed that AL </w:t>
      </w:r>
      <w:r>
        <w:t xml:space="preserve">amyloidosis is a very serious disease with terrible outcomes for those with cardiac involvement, and there does not appear to be any evidence that daratumumab is causing more cardiac harm than the disease itself. There has also been no evidence of daratumumab causing direct cardiac toxicity. The ACM noted that the proposed imbalance in </w:t>
      </w:r>
      <w:r w:rsidRPr="00E414AE">
        <w:t>early cardiac death and cardiac adverse events</w:t>
      </w:r>
      <w:r>
        <w:t xml:space="preserve"> is based on very small numbers of </w:t>
      </w:r>
      <w:r w:rsidR="00BD3AA5">
        <w:t>patients and</w:t>
      </w:r>
      <w:r>
        <w:t xml:space="preserve"> were of the opinion that this is not sufficient to warrant a safety signal.</w:t>
      </w:r>
    </w:p>
    <w:p w14:paraId="32BF06D8" w14:textId="18F168D8" w:rsidR="00E97883" w:rsidRDefault="006A73B4" w:rsidP="00BD3AA5">
      <w:pPr>
        <w:pStyle w:val="Numberbullet0"/>
        <w:numPr>
          <w:ilvl w:val="0"/>
          <w:numId w:val="2"/>
        </w:numPr>
        <w:rPr>
          <w:b/>
          <w:bCs/>
          <w:i/>
          <w:iCs/>
        </w:rPr>
      </w:pPr>
      <w:r>
        <w:rPr>
          <w:b/>
          <w:bCs/>
          <w:i/>
          <w:iCs/>
        </w:rPr>
        <w:t>Does the ACM have any o</w:t>
      </w:r>
      <w:r w:rsidR="00E97883" w:rsidRPr="00B834E7">
        <w:rPr>
          <w:b/>
          <w:bCs/>
          <w:i/>
          <w:iCs/>
        </w:rPr>
        <w:t>ther advice</w:t>
      </w:r>
      <w:r>
        <w:rPr>
          <w:b/>
          <w:bCs/>
          <w:i/>
          <w:iCs/>
        </w:rPr>
        <w:t xml:space="preserve"> applicable to this submission?</w:t>
      </w:r>
    </w:p>
    <w:p w14:paraId="65764989" w14:textId="04E66324" w:rsidR="00E97883" w:rsidRDefault="00E97883" w:rsidP="00E97883">
      <w:r>
        <w:t>The ACM emphasised that ‘</w:t>
      </w:r>
      <w:r w:rsidRPr="00B834E7">
        <w:t>AL</w:t>
      </w:r>
      <w:r>
        <w:t>’</w:t>
      </w:r>
      <w:r w:rsidRPr="00B834E7">
        <w:t xml:space="preserve"> is not an abbreviation</w:t>
      </w:r>
      <w:r>
        <w:t xml:space="preserve"> and noted that</w:t>
      </w:r>
      <w:r w:rsidRPr="00B834E7">
        <w:t xml:space="preserve"> in some places in the </w:t>
      </w:r>
      <w:r w:rsidR="006A73B4">
        <w:t>Product Information (</w:t>
      </w:r>
      <w:r w:rsidRPr="00B834E7">
        <w:t>PI</w:t>
      </w:r>
      <w:r w:rsidR="006A73B4">
        <w:t>)</w:t>
      </w:r>
      <w:r w:rsidRPr="00B834E7">
        <w:t>/</w:t>
      </w:r>
      <w:r w:rsidR="00BB089A">
        <w:t>Consumer Medicine Information (</w:t>
      </w:r>
      <w:r w:rsidRPr="00B834E7">
        <w:t>CMI</w:t>
      </w:r>
      <w:r w:rsidR="00BB089A">
        <w:t>)</w:t>
      </w:r>
      <w:r w:rsidRPr="00B834E7">
        <w:t xml:space="preserve"> is says </w:t>
      </w:r>
      <w:r>
        <w:t>‘</w:t>
      </w:r>
      <w:r w:rsidRPr="00B834E7">
        <w:t>light chain (AL)</w:t>
      </w:r>
      <w:r>
        <w:t xml:space="preserve"> </w:t>
      </w:r>
      <w:r w:rsidR="00BD3AA5">
        <w:t>amyloidosis’ but</w:t>
      </w:r>
      <w:r>
        <w:t xml:space="preserve"> should instead state ‘light chain AL amyloidosis’.</w:t>
      </w:r>
    </w:p>
    <w:p w14:paraId="05EFE809" w14:textId="2E480817" w:rsidR="00E97883" w:rsidRDefault="00E97883" w:rsidP="00E97883">
      <w:r>
        <w:t>The ACM advised that while Mayo 2004</w:t>
      </w:r>
      <w:r w:rsidR="006A73B4">
        <w:t>;</w:t>
      </w:r>
      <w:r w:rsidR="00711BD7">
        <w:rPr>
          <w:rStyle w:val="FootnoteReference"/>
        </w:rPr>
        <w:footnoteReference w:id="22"/>
      </w:r>
      <w:r>
        <w:t xml:space="preserve"> cardiac stage 3B patients were not included in the trial, they should not be excluded from the proposed indication as they have quite severe disease and limited treatment options.</w:t>
      </w:r>
    </w:p>
    <w:p w14:paraId="34076DBA" w14:textId="03B633F4" w:rsidR="006A73B4" w:rsidRPr="00B834E7" w:rsidRDefault="006A73B4" w:rsidP="006A73B4">
      <w:pPr>
        <w:spacing w:before="0" w:after="200" w:line="0" w:lineRule="auto"/>
      </w:pPr>
    </w:p>
    <w:p w14:paraId="5FA55DE3" w14:textId="77777777" w:rsidR="00E97883" w:rsidRDefault="00E97883" w:rsidP="005D1CF4">
      <w:pPr>
        <w:pStyle w:val="Heading3"/>
        <w:pageBreakBefore/>
      </w:pPr>
      <w:bookmarkStart w:id="63" w:name="_Toc80347786"/>
      <w:bookmarkStart w:id="64" w:name="_Toc117158647"/>
      <w:r>
        <w:lastRenderedPageBreak/>
        <w:t>ACM conclusion</w:t>
      </w:r>
      <w:bookmarkEnd w:id="63"/>
      <w:bookmarkEnd w:id="64"/>
    </w:p>
    <w:p w14:paraId="660FA547" w14:textId="77777777" w:rsidR="00E97883" w:rsidRDefault="00E97883" w:rsidP="00E97883">
      <w:r w:rsidRPr="007E73DB">
        <w:t xml:space="preserve">The </w:t>
      </w:r>
      <w:r w:rsidRPr="00C12AE4">
        <w:t xml:space="preserve">ACM considered this product to have an </w:t>
      </w:r>
      <w:r w:rsidRPr="001E4AEE">
        <w:t>overall positive</w:t>
      </w:r>
      <w:r w:rsidRPr="00C12AE4">
        <w:t xml:space="preserve"> benefit-risk profile</w:t>
      </w:r>
      <w:r>
        <w:t xml:space="preserve"> for the indication:</w:t>
      </w:r>
    </w:p>
    <w:p w14:paraId="01449081" w14:textId="35151AB7" w:rsidR="00E97883" w:rsidRPr="00B834E7" w:rsidRDefault="00E97883" w:rsidP="00E97883">
      <w:pPr>
        <w:ind w:left="720"/>
        <w:rPr>
          <w:i/>
          <w:iCs/>
        </w:rPr>
      </w:pPr>
      <w:r w:rsidRPr="00B834E7">
        <w:rPr>
          <w:i/>
          <w:iCs/>
        </w:rPr>
        <w:fldChar w:fldCharType="begin"/>
      </w:r>
      <w:r w:rsidRPr="00B834E7">
        <w:rPr>
          <w:i/>
          <w:iCs/>
        </w:rPr>
        <w:instrText xml:space="preserve"> MERGEFIELD Current_proposed_indications </w:instrText>
      </w:r>
      <w:r w:rsidRPr="00B834E7">
        <w:rPr>
          <w:i/>
          <w:iCs/>
        </w:rPr>
        <w:fldChar w:fldCharType="separate"/>
      </w:r>
      <w:r w:rsidRPr="00B834E7">
        <w:rPr>
          <w:i/>
          <w:iCs/>
          <w:noProof/>
        </w:rPr>
        <w:t>D</w:t>
      </w:r>
      <w:r w:rsidR="00160F23">
        <w:rPr>
          <w:i/>
          <w:iCs/>
          <w:noProof/>
        </w:rPr>
        <w:t>arzalex</w:t>
      </w:r>
      <w:r w:rsidRPr="00B834E7">
        <w:rPr>
          <w:i/>
          <w:iCs/>
          <w:noProof/>
        </w:rPr>
        <w:t xml:space="preserve"> SC in combination with bortezomib, cyclophosphamide and desxamethasone, is indicated for the treatment of patients with light chain AL amyloidosis.</w:t>
      </w:r>
      <w:r w:rsidRPr="00B834E7">
        <w:rPr>
          <w:i/>
          <w:iCs/>
          <w:noProof/>
        </w:rPr>
        <w:fldChar w:fldCharType="end"/>
      </w:r>
    </w:p>
    <w:p w14:paraId="50E56EB3" w14:textId="6753FB47" w:rsidR="008E7846" w:rsidRPr="002E238E" w:rsidRDefault="008E7846" w:rsidP="00D212F3">
      <w:pPr>
        <w:pStyle w:val="Heading2"/>
      </w:pPr>
      <w:bookmarkStart w:id="65" w:name="_Toc117158648"/>
      <w:r>
        <w:t>Outcome</w:t>
      </w:r>
      <w:bookmarkEnd w:id="61"/>
      <w:bookmarkEnd w:id="62"/>
      <w:bookmarkEnd w:id="65"/>
    </w:p>
    <w:p w14:paraId="0CD49D1A" w14:textId="09532638" w:rsidR="0074163C" w:rsidRDefault="0074163C" w:rsidP="0074163C">
      <w:bookmarkStart w:id="66" w:name="_Toc247691533"/>
      <w:bookmarkStart w:id="67" w:name="_Toc314842517"/>
      <w:r>
        <w:t xml:space="preserve">Based on a review of quality, </w:t>
      </w:r>
      <w:r w:rsidR="00CC5044">
        <w:t>safety,</w:t>
      </w:r>
      <w:r>
        <w:t xml:space="preserve"> and efficacy, the TGA approved the registration of </w:t>
      </w:r>
      <w:r w:rsidR="00D4234D">
        <w:t>Darzalex SC</w:t>
      </w:r>
      <w:r w:rsidR="00D4234D" w:rsidRPr="000A4A42">
        <w:t xml:space="preserve"> (</w:t>
      </w:r>
      <w:r w:rsidR="00D4234D">
        <w:t>daratumumab</w:t>
      </w:r>
      <w:r w:rsidR="00D4234D" w:rsidRPr="000A4A42">
        <w:t xml:space="preserve">) </w:t>
      </w:r>
      <w:r w:rsidR="00D4234D" w:rsidRPr="00675AD5">
        <w:t>1800 mg/15 mL solution for injection vial</w:t>
      </w:r>
      <w:r>
        <w:t>, for the following extension of indications:</w:t>
      </w:r>
    </w:p>
    <w:p w14:paraId="11B5399D" w14:textId="270BE8EC" w:rsidR="00702BE2" w:rsidRPr="00702BE2" w:rsidRDefault="00702BE2" w:rsidP="00094291">
      <w:pPr>
        <w:ind w:left="720"/>
        <w:rPr>
          <w:i/>
          <w:iCs/>
        </w:rPr>
      </w:pPr>
      <w:r w:rsidRPr="00702BE2">
        <w:rPr>
          <w:i/>
          <w:iCs/>
        </w:rPr>
        <w:t>D</w:t>
      </w:r>
      <w:r w:rsidR="00160F23">
        <w:rPr>
          <w:i/>
          <w:iCs/>
        </w:rPr>
        <w:t>arzalex</w:t>
      </w:r>
      <w:r w:rsidRPr="00702BE2">
        <w:rPr>
          <w:i/>
          <w:iCs/>
        </w:rPr>
        <w:t xml:space="preserve"> SC in combination with bortezomib, cyclophosphamide and dexamethasone, is indicated for the treatment of patients with light chain AL amyloidosis.</w:t>
      </w:r>
    </w:p>
    <w:p w14:paraId="43D3D087" w14:textId="77777777" w:rsidR="0074163C" w:rsidRDefault="0074163C" w:rsidP="0074163C">
      <w:r>
        <w:t>As such, the full indications at this time were:</w:t>
      </w:r>
    </w:p>
    <w:p w14:paraId="60E8B54A" w14:textId="243FACEB" w:rsidR="00702BE2" w:rsidRPr="00702BE2" w:rsidRDefault="00160F23" w:rsidP="00702BE2">
      <w:pPr>
        <w:pStyle w:val="Default"/>
        <w:rPr>
          <w:rFonts w:asciiTheme="minorHAnsi" w:hAnsiTheme="minorHAnsi"/>
          <w:i/>
          <w:iCs/>
          <w:color w:val="auto"/>
          <w:sz w:val="22"/>
          <w:szCs w:val="22"/>
        </w:rPr>
      </w:pPr>
      <w:r>
        <w:rPr>
          <w:i/>
          <w:iCs/>
          <w:color w:val="auto"/>
        </w:rPr>
        <w:tab/>
      </w:r>
      <w:r w:rsidR="00702BE2" w:rsidRPr="00702BE2">
        <w:rPr>
          <w:rFonts w:asciiTheme="minorHAnsi" w:hAnsiTheme="minorHAnsi"/>
          <w:i/>
          <w:iCs/>
          <w:color w:val="auto"/>
          <w:sz w:val="22"/>
          <w:szCs w:val="22"/>
        </w:rPr>
        <w:t>D</w:t>
      </w:r>
      <w:r>
        <w:rPr>
          <w:rFonts w:asciiTheme="minorHAnsi" w:hAnsiTheme="minorHAnsi"/>
          <w:i/>
          <w:iCs/>
          <w:color w:val="auto"/>
          <w:sz w:val="22"/>
          <w:szCs w:val="22"/>
        </w:rPr>
        <w:t>arzalex</w:t>
      </w:r>
      <w:r w:rsidR="00702BE2" w:rsidRPr="00702BE2">
        <w:rPr>
          <w:rFonts w:asciiTheme="minorHAnsi" w:hAnsiTheme="minorHAnsi"/>
          <w:i/>
          <w:iCs/>
          <w:color w:val="auto"/>
          <w:sz w:val="22"/>
          <w:szCs w:val="22"/>
        </w:rPr>
        <w:t xml:space="preserve"> SC is indicated for the treatment of patients:</w:t>
      </w:r>
    </w:p>
    <w:p w14:paraId="5A7FC8E0" w14:textId="05494888" w:rsidR="00702BE2" w:rsidRPr="00726469" w:rsidRDefault="00702BE2" w:rsidP="00726469">
      <w:pPr>
        <w:pStyle w:val="ListBullet2"/>
        <w:rPr>
          <w:i/>
          <w:iCs/>
        </w:rPr>
      </w:pPr>
      <w:r w:rsidRPr="00726469">
        <w:rPr>
          <w:i/>
          <w:iCs/>
        </w:rPr>
        <w:t>with newly diagnosed multiple myeloma:</w:t>
      </w:r>
    </w:p>
    <w:p w14:paraId="05E8D991" w14:textId="77777777" w:rsidR="00702BE2" w:rsidRPr="00726469" w:rsidRDefault="00702BE2" w:rsidP="00726469">
      <w:pPr>
        <w:pStyle w:val="ListBullet3"/>
        <w:rPr>
          <w:i/>
          <w:iCs/>
        </w:rPr>
      </w:pPr>
      <w:r w:rsidRPr="00726469">
        <w:rPr>
          <w:i/>
          <w:iCs/>
        </w:rPr>
        <w:t>who are eligible for autologous stem cell transplant. For use in combination with:</w:t>
      </w:r>
    </w:p>
    <w:p w14:paraId="7B517C57" w14:textId="3F07CBF5" w:rsidR="00702BE2" w:rsidRPr="00160F23" w:rsidRDefault="00702BE2" w:rsidP="00726469">
      <w:pPr>
        <w:pStyle w:val="ListBullet3"/>
        <w:numPr>
          <w:ilvl w:val="3"/>
          <w:numId w:val="3"/>
        </w:numPr>
        <w:rPr>
          <w:i/>
          <w:iCs/>
        </w:rPr>
      </w:pPr>
      <w:r w:rsidRPr="00160F23">
        <w:rPr>
          <w:i/>
          <w:iCs/>
        </w:rPr>
        <w:t xml:space="preserve">bortezomib, thalidomide, and dexamethasone. </w:t>
      </w:r>
    </w:p>
    <w:p w14:paraId="4EDF8A91" w14:textId="024300B8" w:rsidR="00702BE2" w:rsidRPr="00726469" w:rsidRDefault="00702BE2" w:rsidP="00726469">
      <w:pPr>
        <w:pStyle w:val="ListBullet3"/>
        <w:rPr>
          <w:i/>
          <w:iCs/>
        </w:rPr>
      </w:pPr>
      <w:r w:rsidRPr="00726469">
        <w:rPr>
          <w:i/>
          <w:iCs/>
        </w:rPr>
        <w:t xml:space="preserve"> who are ineligible for autologous stem cell transplant. For use in combination with: </w:t>
      </w:r>
    </w:p>
    <w:p w14:paraId="70D3CF04" w14:textId="77777777" w:rsidR="00702BE2" w:rsidRPr="00160F23" w:rsidRDefault="00702BE2" w:rsidP="00726469">
      <w:pPr>
        <w:pStyle w:val="ListBullet3"/>
        <w:numPr>
          <w:ilvl w:val="3"/>
          <w:numId w:val="3"/>
        </w:numPr>
        <w:rPr>
          <w:i/>
          <w:iCs/>
        </w:rPr>
      </w:pPr>
      <w:r w:rsidRPr="00160F23">
        <w:rPr>
          <w:i/>
          <w:iCs/>
        </w:rPr>
        <w:t xml:space="preserve">bortezomib, melphalan and prednisone, or </w:t>
      </w:r>
    </w:p>
    <w:p w14:paraId="08B9BBBA" w14:textId="77777777" w:rsidR="00702BE2" w:rsidRPr="00BB089A" w:rsidRDefault="00702BE2" w:rsidP="00726469">
      <w:pPr>
        <w:pStyle w:val="ListBullet3"/>
        <w:numPr>
          <w:ilvl w:val="3"/>
          <w:numId w:val="3"/>
        </w:numPr>
        <w:rPr>
          <w:i/>
          <w:iCs/>
        </w:rPr>
      </w:pPr>
      <w:r w:rsidRPr="00BB089A">
        <w:rPr>
          <w:i/>
          <w:iCs/>
        </w:rPr>
        <w:t xml:space="preserve">lenalidomide and dexamethasone. </w:t>
      </w:r>
    </w:p>
    <w:p w14:paraId="7AFFA95C" w14:textId="35E4AC78" w:rsidR="00702BE2" w:rsidRPr="00726469" w:rsidRDefault="00702BE2" w:rsidP="00726469">
      <w:pPr>
        <w:pStyle w:val="ListBullet2"/>
        <w:rPr>
          <w:i/>
          <w:iCs/>
        </w:rPr>
      </w:pPr>
      <w:r w:rsidRPr="00726469">
        <w:rPr>
          <w:i/>
          <w:iCs/>
        </w:rPr>
        <w:t xml:space="preserve">with multiple myeloma who have received: </w:t>
      </w:r>
    </w:p>
    <w:p w14:paraId="3D1116F3" w14:textId="001FA4E1" w:rsidR="00702BE2" w:rsidRPr="00726469" w:rsidRDefault="00702BE2" w:rsidP="00726469">
      <w:pPr>
        <w:pStyle w:val="ListBullet3"/>
        <w:rPr>
          <w:i/>
          <w:iCs/>
        </w:rPr>
      </w:pPr>
      <w:r w:rsidRPr="00726469">
        <w:rPr>
          <w:i/>
          <w:iCs/>
        </w:rPr>
        <w:t xml:space="preserve">at least one prior therapy. For use in combination with: </w:t>
      </w:r>
    </w:p>
    <w:p w14:paraId="53AA2ABD" w14:textId="77777777" w:rsidR="00702BE2" w:rsidRPr="00160F23" w:rsidRDefault="00702BE2" w:rsidP="00726469">
      <w:pPr>
        <w:pStyle w:val="ListBullet3"/>
        <w:numPr>
          <w:ilvl w:val="3"/>
          <w:numId w:val="3"/>
        </w:numPr>
        <w:rPr>
          <w:i/>
          <w:iCs/>
        </w:rPr>
      </w:pPr>
      <w:r w:rsidRPr="00160F23">
        <w:rPr>
          <w:i/>
          <w:iCs/>
        </w:rPr>
        <w:t xml:space="preserve">bortezomib and dexamethasone, or </w:t>
      </w:r>
    </w:p>
    <w:p w14:paraId="423672EC" w14:textId="77777777" w:rsidR="00702BE2" w:rsidRPr="00BB089A" w:rsidRDefault="00702BE2" w:rsidP="00726469">
      <w:pPr>
        <w:pStyle w:val="ListBullet3"/>
        <w:numPr>
          <w:ilvl w:val="3"/>
          <w:numId w:val="3"/>
        </w:numPr>
        <w:rPr>
          <w:i/>
          <w:iCs/>
        </w:rPr>
      </w:pPr>
      <w:r w:rsidRPr="00BB089A">
        <w:rPr>
          <w:i/>
          <w:iCs/>
        </w:rPr>
        <w:t xml:space="preserve">lenalidomide and dexamethasone. </w:t>
      </w:r>
    </w:p>
    <w:p w14:paraId="5DE036EC" w14:textId="30F624B0" w:rsidR="00702BE2" w:rsidRPr="00726469" w:rsidRDefault="00702BE2" w:rsidP="00726469">
      <w:pPr>
        <w:pStyle w:val="ListBullet3"/>
        <w:rPr>
          <w:i/>
          <w:iCs/>
        </w:rPr>
      </w:pPr>
      <w:r w:rsidRPr="00726469">
        <w:rPr>
          <w:i/>
          <w:iCs/>
        </w:rPr>
        <w:t xml:space="preserve">at least three prior lines of therapy including a proteasome inhibitor (PI) and an immunomodulatory agent or who are refractory to both a PI and an immunomodulatory agent. For use as: </w:t>
      </w:r>
    </w:p>
    <w:p w14:paraId="7DA7E00F" w14:textId="77777777" w:rsidR="00702BE2" w:rsidRPr="00160F23" w:rsidRDefault="00702BE2" w:rsidP="00726469">
      <w:pPr>
        <w:pStyle w:val="ListBullet3"/>
        <w:numPr>
          <w:ilvl w:val="3"/>
          <w:numId w:val="3"/>
        </w:numPr>
        <w:rPr>
          <w:i/>
          <w:iCs/>
        </w:rPr>
      </w:pPr>
      <w:r w:rsidRPr="00160F23">
        <w:rPr>
          <w:i/>
          <w:iCs/>
        </w:rPr>
        <w:t xml:space="preserve">monotherapy. </w:t>
      </w:r>
    </w:p>
    <w:p w14:paraId="6D77AD22" w14:textId="0D902614" w:rsidR="00702BE2" w:rsidRPr="00702BE2" w:rsidRDefault="00702BE2" w:rsidP="00726469">
      <w:pPr>
        <w:autoSpaceDE w:val="0"/>
        <w:autoSpaceDN w:val="0"/>
        <w:ind w:left="720"/>
        <w:rPr>
          <w:rFonts w:asciiTheme="minorHAnsi" w:hAnsiTheme="minorHAnsi"/>
          <w:i/>
          <w:iCs/>
        </w:rPr>
      </w:pPr>
      <w:r w:rsidRPr="00702BE2">
        <w:rPr>
          <w:rFonts w:asciiTheme="minorHAnsi" w:hAnsiTheme="minorHAnsi" w:cs="Tahoma"/>
          <w:i/>
          <w:iCs/>
        </w:rPr>
        <w:t>D</w:t>
      </w:r>
      <w:r w:rsidR="00160F23">
        <w:rPr>
          <w:rFonts w:asciiTheme="minorHAnsi" w:hAnsiTheme="minorHAnsi" w:cs="Tahoma"/>
          <w:i/>
          <w:iCs/>
        </w:rPr>
        <w:t>arzalex</w:t>
      </w:r>
      <w:r w:rsidRPr="00702BE2">
        <w:rPr>
          <w:rFonts w:asciiTheme="minorHAnsi" w:hAnsiTheme="minorHAnsi" w:cs="Tahoma"/>
          <w:i/>
          <w:iCs/>
        </w:rPr>
        <w:t xml:space="preserve"> SC in combination with bortezomib, cyclophosphamide and dexamethasone, is indicated for the treatment of patients with light chain AL amyloidosis.</w:t>
      </w:r>
    </w:p>
    <w:p w14:paraId="31038409" w14:textId="3A113149" w:rsidR="0074163C" w:rsidRPr="00D23139" w:rsidRDefault="0074163C" w:rsidP="0074163C">
      <w:r>
        <w:t xml:space="preserve">The above </w:t>
      </w:r>
      <w:r w:rsidRPr="00C105CF">
        <w:t xml:space="preserve">extension of indications </w:t>
      </w:r>
      <w:proofErr w:type="gramStart"/>
      <w:r>
        <w:t>are</w:t>
      </w:r>
      <w:proofErr w:type="gramEnd"/>
      <w:r>
        <w:t xml:space="preserve"> inclusive of the previous approved indications.</w:t>
      </w:r>
    </w:p>
    <w:p w14:paraId="6EED0889" w14:textId="77777777" w:rsidR="00D23139" w:rsidRPr="00D23139" w:rsidRDefault="00D23139" w:rsidP="00D212F3">
      <w:pPr>
        <w:pStyle w:val="Heading3"/>
      </w:pPr>
      <w:bookmarkStart w:id="68" w:name="_Toc117158649"/>
      <w:r w:rsidRPr="00D23139">
        <w:t>Specific conditions of registration applying to these goods</w:t>
      </w:r>
      <w:bookmarkEnd w:id="68"/>
    </w:p>
    <w:p w14:paraId="4514126A" w14:textId="77777777" w:rsidR="00726469" w:rsidRDefault="00702BE2" w:rsidP="00726469">
      <w:pPr>
        <w:pStyle w:val="ListBullet"/>
        <w:numPr>
          <w:ilvl w:val="0"/>
          <w:numId w:val="18"/>
        </w:numPr>
      </w:pPr>
      <w:r w:rsidRPr="00BF60C0">
        <w:t xml:space="preserve">The </w:t>
      </w:r>
      <w:r w:rsidRPr="00702BE2">
        <w:t>Darzalex SC</w:t>
      </w:r>
      <w:r w:rsidRPr="00BF60C0">
        <w:t xml:space="preserve"> EU-</w:t>
      </w:r>
      <w:r w:rsidR="00BB089A" w:rsidRPr="00BF60C0" w:rsidDel="00BB089A">
        <w:t xml:space="preserve"> </w:t>
      </w:r>
      <w:r w:rsidRPr="00BF60C0">
        <w:t xml:space="preserve">RMP (version 8.3, dated 15 March 2021, data lock point 10 August 2020), with Australian </w:t>
      </w:r>
      <w:r w:rsidR="00BB089A">
        <w:t>s</w:t>
      </w:r>
      <w:r w:rsidRPr="00BF60C0">
        <w:t xml:space="preserve">pecific </w:t>
      </w:r>
      <w:r w:rsidR="00BB089A">
        <w:t>a</w:t>
      </w:r>
      <w:r w:rsidRPr="00BF60C0">
        <w:t>nnex (version 10.0, dated 12 March 2021), included with submission PM-2020-04809-1-6, and any subsequent revisions, as agreed with the TGA will be implemented in Australia.</w:t>
      </w:r>
    </w:p>
    <w:p w14:paraId="36E5BA54" w14:textId="77777777" w:rsidR="00726469" w:rsidRDefault="00702BE2" w:rsidP="00726469">
      <w:pPr>
        <w:pStyle w:val="ListBullet"/>
        <w:numPr>
          <w:ilvl w:val="0"/>
          <w:numId w:val="0"/>
        </w:numPr>
        <w:ind w:left="360"/>
      </w:pPr>
      <w:r w:rsidRPr="00BF60C0">
        <w:lastRenderedPageBreak/>
        <w:t xml:space="preserve">An obligatory component of risk management plans is routine pharmacovigilance. Routine pharmacovigilance includes the submission of periodic safety update reports (PSURs).Reports are to be provided in line with the current published list of EU reference dates and frequency of submission of PSURs until the period covered by such reports is not less than three years from the date of </w:t>
      </w:r>
      <w:r w:rsidR="00BB089A">
        <w:t>the</w:t>
      </w:r>
      <w:r w:rsidR="00BB089A" w:rsidRPr="00BF60C0">
        <w:t xml:space="preserve"> </w:t>
      </w:r>
      <w:r w:rsidRPr="00BF60C0">
        <w:t>approval letter.</w:t>
      </w:r>
    </w:p>
    <w:p w14:paraId="2AE64886" w14:textId="2E135662" w:rsidR="00702BE2" w:rsidRPr="00BF60C0" w:rsidRDefault="00702BE2" w:rsidP="00726469">
      <w:pPr>
        <w:pStyle w:val="ListBullet"/>
        <w:numPr>
          <w:ilvl w:val="0"/>
          <w:numId w:val="0"/>
        </w:numPr>
        <w:ind w:left="360"/>
      </w:pPr>
      <w:r w:rsidRPr="00BF60C0">
        <w:t>The reports are to at least meet the requirements for PSURs as described in the European Medicines Agency’s Guideline on good pharmacovigilance practices (GVP) Module VII-periodic safety update report (Rev 1), Part VII.B Structures and processes. Note that submission of a PSUR does not constitute an application to vary the registration.</w:t>
      </w:r>
    </w:p>
    <w:p w14:paraId="7440F452" w14:textId="1CD30536" w:rsidR="00702BE2" w:rsidRDefault="00702BE2" w:rsidP="00726469">
      <w:pPr>
        <w:pStyle w:val="ListBullet"/>
      </w:pPr>
      <w:r w:rsidRPr="00702BE2">
        <w:t>Conduct a multicentre, prospective study of daratumumab-based therapy in patients with newly diagnosed AL amyloidosis for all serious cardiovascular adverse events, and all deaths. On completion the clinical study report should be provided for evaluation.</w:t>
      </w:r>
    </w:p>
    <w:p w14:paraId="394B634B" w14:textId="4F0778D5" w:rsidR="00702BE2" w:rsidRPr="00702BE2" w:rsidRDefault="00702BE2" w:rsidP="00726469">
      <w:pPr>
        <w:pStyle w:val="ListBullet"/>
      </w:pPr>
      <w:r w:rsidRPr="00702BE2">
        <w:t>For all injectable products the Product Information must be included with the product as a package insert.</w:t>
      </w:r>
    </w:p>
    <w:p w14:paraId="28F0999D" w14:textId="77777777" w:rsidR="008E7846" w:rsidRDefault="00A80B5B" w:rsidP="00D23139">
      <w:pPr>
        <w:pStyle w:val="Heading2"/>
      </w:pPr>
      <w:bookmarkStart w:id="69" w:name="_Toc117158650"/>
      <w:r>
        <w:t xml:space="preserve">Attachment 1. </w:t>
      </w:r>
      <w:r w:rsidR="008E7846">
        <w:t xml:space="preserve">Product </w:t>
      </w:r>
      <w:r w:rsidR="00AA0ED0">
        <w:t>I</w:t>
      </w:r>
      <w:r w:rsidR="008E7846">
        <w:t>nformation</w:t>
      </w:r>
      <w:bookmarkEnd w:id="66"/>
      <w:bookmarkEnd w:id="67"/>
      <w:bookmarkEnd w:id="69"/>
    </w:p>
    <w:p w14:paraId="3141DD99" w14:textId="592D2957" w:rsidR="00523A21" w:rsidRDefault="006136D7" w:rsidP="00C80137">
      <w:r w:rsidRPr="002B3624">
        <w:t xml:space="preserve">The </w:t>
      </w:r>
      <w:r>
        <w:t>PI</w:t>
      </w:r>
      <w:r w:rsidRPr="002B3624">
        <w:t xml:space="preserve"> for </w:t>
      </w:r>
      <w:r w:rsidR="00EF0C3E" w:rsidRPr="00F1128B">
        <w:t>D</w:t>
      </w:r>
      <w:r w:rsidR="00EF0C3E">
        <w:t>arzalex</w:t>
      </w:r>
      <w:r w:rsidR="00EF0C3E" w:rsidRPr="00F1128B">
        <w:t xml:space="preserve"> SC </w:t>
      </w:r>
      <w:r>
        <w:t xml:space="preserve">approved with the submission which is described in </w:t>
      </w:r>
      <w:r w:rsidRPr="002B3624">
        <w:t>this AusPAR is at Attachment 1.</w:t>
      </w:r>
      <w:r w:rsidR="00CC5044">
        <w:t xml:space="preserve"> </w:t>
      </w:r>
      <w:r w:rsidR="0074163C" w:rsidRPr="00940A89">
        <w:t xml:space="preserve">For the most recent </w:t>
      </w:r>
      <w:r w:rsidR="0074163C">
        <w:t>PI,</w:t>
      </w:r>
      <w:r w:rsidR="0074163C" w:rsidRPr="00940A89">
        <w:t xml:space="preserve"> ple</w:t>
      </w:r>
      <w:r w:rsidR="0074163C">
        <w:t xml:space="preserve">ase refer to the TGA </w:t>
      </w:r>
      <w:hyperlink r:id="rId23" w:history="1">
        <w:r w:rsidR="0074163C" w:rsidRPr="008A698E">
          <w:rPr>
            <w:rStyle w:val="Hyperlink"/>
          </w:rPr>
          <w:t>PI/CMI search facility</w:t>
        </w:r>
        <w:r w:rsidR="0074163C" w:rsidRPr="00EB36D6">
          <w:rPr>
            <w:rStyle w:val="Hyperlink"/>
            <w:color w:val="auto"/>
            <w:u w:val="none"/>
          </w:rPr>
          <w:t>.</w:t>
        </w:r>
      </w:hyperlink>
    </w:p>
    <w:p w14:paraId="7B7B3090" w14:textId="77777777" w:rsidR="00744121" w:rsidRDefault="00744121" w:rsidP="00744121">
      <w:pPr>
        <w:rPr>
          <w:lang w:eastAsia="ja-JP"/>
        </w:rPr>
      </w:pPr>
    </w:p>
    <w:p w14:paraId="4002FDC6" w14:textId="77777777" w:rsidR="00C80137" w:rsidRPr="001D043B" w:rsidRDefault="00C80137" w:rsidP="003A7F6C">
      <w:pPr>
        <w:pStyle w:val="TableTitle"/>
        <w:sectPr w:rsidR="00C80137" w:rsidRPr="001D043B" w:rsidSect="00D2295F">
          <w:headerReference w:type="even" r:id="rId24"/>
          <w:headerReference w:type="default" r:id="rId25"/>
          <w:headerReference w:type="first" r:id="rId26"/>
          <w:footerReference w:type="first" r:id="rId27"/>
          <w:pgSz w:w="11906" w:h="16838" w:code="9"/>
          <w:pgMar w:top="834" w:right="1700" w:bottom="1191" w:left="1701" w:header="907" w:footer="216" w:gutter="0"/>
          <w:cols w:space="708"/>
          <w:docGrid w:linePitch="360"/>
        </w:sectPr>
      </w:pPr>
    </w:p>
    <w:tbl>
      <w:tblPr>
        <w:tblW w:w="9175" w:type="dxa"/>
        <w:tblInd w:w="-284" w:type="dxa"/>
        <w:tblLayout w:type="fixed"/>
        <w:tblCellMar>
          <w:left w:w="0" w:type="dxa"/>
          <w:right w:w="0" w:type="dxa"/>
        </w:tblCellMar>
        <w:tblLook w:val="04A0" w:firstRow="1" w:lastRow="0" w:firstColumn="1" w:lastColumn="0" w:noHBand="0" w:noVBand="1"/>
      </w:tblPr>
      <w:tblGrid>
        <w:gridCol w:w="9175"/>
      </w:tblGrid>
      <w:tr w:rsidR="001C32CD" w:rsidRPr="00487162" w14:paraId="0046323B" w14:textId="77777777" w:rsidTr="00A05FA4">
        <w:trPr>
          <w:trHeight w:hRule="exact" w:val="704"/>
        </w:trPr>
        <w:tc>
          <w:tcPr>
            <w:tcW w:w="9175" w:type="dxa"/>
          </w:tcPr>
          <w:p w14:paraId="4DCE5957" w14:textId="77777777" w:rsidR="001C32CD" w:rsidRPr="00487162" w:rsidRDefault="001C32CD" w:rsidP="00A05FA4">
            <w:pPr>
              <w:pStyle w:val="TGASignoff"/>
            </w:pPr>
            <w:r w:rsidRPr="00487162">
              <w:lastRenderedPageBreak/>
              <w:t>Therapeutic Goods Administration</w:t>
            </w:r>
          </w:p>
        </w:tc>
      </w:tr>
      <w:tr w:rsidR="001C32CD" w:rsidRPr="004C239D" w14:paraId="6DA05562" w14:textId="77777777" w:rsidTr="00A05FA4">
        <w:trPr>
          <w:trHeight w:val="1221"/>
        </w:trPr>
        <w:tc>
          <w:tcPr>
            <w:tcW w:w="9175" w:type="dxa"/>
            <w:tcMar>
              <w:top w:w="28" w:type="dxa"/>
            </w:tcMar>
          </w:tcPr>
          <w:p w14:paraId="2001A9D2" w14:textId="77777777" w:rsidR="001C32CD" w:rsidRPr="00487162" w:rsidRDefault="001C32CD" w:rsidP="00A05FA4">
            <w:pPr>
              <w:pStyle w:val="Address"/>
            </w:pPr>
            <w:r w:rsidRPr="00487162">
              <w:t>PO Box 100 Woden ACT 2606 Australia</w:t>
            </w:r>
          </w:p>
          <w:p w14:paraId="7ADCB374" w14:textId="77777777" w:rsidR="001C32CD" w:rsidRPr="00487162" w:rsidRDefault="001C32CD" w:rsidP="00A05FA4">
            <w:pPr>
              <w:pStyle w:val="Address"/>
            </w:pPr>
            <w:r w:rsidRPr="00487162">
              <w:t xml:space="preserve">Email: </w:t>
            </w:r>
            <w:hyperlink r:id="rId28" w:history="1">
              <w:r w:rsidRPr="004C239D">
                <w:rPr>
                  <w:rStyle w:val="Hyperlink"/>
                </w:rPr>
                <w:t>info@tga.gov.au</w:t>
              </w:r>
            </w:hyperlink>
            <w:r w:rsidRPr="00487162">
              <w:t xml:space="preserve">  Phone: 1800 020 653  Fax: 02 6232 8605</w:t>
            </w:r>
          </w:p>
          <w:p w14:paraId="7FDD7361" w14:textId="77777777" w:rsidR="001C32CD" w:rsidRPr="004C239D" w:rsidRDefault="006232AC" w:rsidP="00A05FA4">
            <w:pPr>
              <w:pStyle w:val="Address"/>
              <w:spacing w:line="260" w:lineRule="atLeast"/>
              <w:rPr>
                <w:b/>
                <w:color w:val="0000FF"/>
                <w:u w:val="single"/>
              </w:rPr>
            </w:pPr>
            <w:hyperlink r:id="rId29" w:history="1">
              <w:r w:rsidR="007C6B9B" w:rsidRPr="007C6B9B">
                <w:rPr>
                  <w:rStyle w:val="Hyperlink"/>
                  <w:b/>
                </w:rPr>
                <w:t>https://www.tga.gov.au</w:t>
              </w:r>
            </w:hyperlink>
          </w:p>
        </w:tc>
      </w:tr>
    </w:tbl>
    <w:p w14:paraId="3AF88843" w14:textId="77777777" w:rsidR="00774E1D" w:rsidRPr="008A5E0B" w:rsidRDefault="00774E1D" w:rsidP="004C239D"/>
    <w:sectPr w:rsidR="00774E1D" w:rsidRPr="008A5E0B" w:rsidSect="001C32CD">
      <w:headerReference w:type="even" r:id="rId30"/>
      <w:headerReference w:type="default" r:id="rId31"/>
      <w:footerReference w:type="default" r:id="rId32"/>
      <w:headerReference w:type="first" r:id="rId33"/>
      <w:footerReference w:type="first" r:id="rId34"/>
      <w:pgSz w:w="11906" w:h="16838" w:code="9"/>
      <w:pgMar w:top="13467" w:right="1701" w:bottom="426" w:left="1701" w:header="90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BC3BF3" w14:textId="77777777" w:rsidR="00B6151B" w:rsidRDefault="00B6151B" w:rsidP="00C40A36">
      <w:pPr>
        <w:spacing w:after="0"/>
      </w:pPr>
      <w:r>
        <w:separator/>
      </w:r>
    </w:p>
  </w:endnote>
  <w:endnote w:type="continuationSeparator" w:id="0">
    <w:p w14:paraId="77B9AD7F" w14:textId="77777777" w:rsidR="00B6151B" w:rsidRDefault="00B6151B" w:rsidP="00C40A3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Wingdings 3">
    <w:panose1 w:val="05040102010807070707"/>
    <w:charset w:val="02"/>
    <w:family w:val="roman"/>
    <w:pitch w:val="variable"/>
    <w:sig w:usb0="00000000" w:usb1="10000000" w:usb2="00000000" w:usb3="00000000" w:csb0="80000000" w:csb1="00000000"/>
  </w:font>
  <w:font w:name="MingLiU">
    <w:altName w:val="細明體"/>
    <w:panose1 w:val="02010609000101010101"/>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861" w:type="dxa"/>
      <w:tblBorders>
        <w:top w:val="single" w:sz="4" w:space="0" w:color="auto"/>
      </w:tblBorders>
      <w:tblLayout w:type="fixed"/>
      <w:tblCellMar>
        <w:top w:w="170" w:type="dxa"/>
        <w:left w:w="0" w:type="dxa"/>
        <w:bottom w:w="227" w:type="dxa"/>
        <w:right w:w="0" w:type="dxa"/>
      </w:tblCellMar>
      <w:tblLook w:val="04A0" w:firstRow="1" w:lastRow="0" w:firstColumn="1" w:lastColumn="0" w:noHBand="0" w:noVBand="1"/>
    </w:tblPr>
    <w:tblGrid>
      <w:gridCol w:w="7371"/>
      <w:gridCol w:w="1490"/>
    </w:tblGrid>
    <w:tr w:rsidR="00F620D2" w:rsidRPr="00487162" w14:paraId="586F6380" w14:textId="77777777" w:rsidTr="00DB750B">
      <w:trPr>
        <w:trHeight w:val="269"/>
      </w:trPr>
      <w:tc>
        <w:tcPr>
          <w:tcW w:w="7371" w:type="dxa"/>
          <w:tcMar>
            <w:top w:w="142" w:type="dxa"/>
            <w:bottom w:w="0" w:type="dxa"/>
          </w:tcMar>
        </w:tcPr>
        <w:p w14:paraId="35BB212F" w14:textId="2D56E7E9" w:rsidR="00F620D2" w:rsidRPr="00487162" w:rsidRDefault="00F620D2" w:rsidP="00460036">
          <w:pPr>
            <w:pStyle w:val="Footer"/>
          </w:pPr>
          <w:r w:rsidRPr="00487162">
            <w:t>AusPA</w:t>
          </w:r>
          <w:r>
            <w:t xml:space="preserve">R - </w:t>
          </w:r>
          <w:r w:rsidRPr="00F1128B">
            <w:t xml:space="preserve">DARZALEX SC - </w:t>
          </w:r>
          <w:r>
            <w:t>d</w:t>
          </w:r>
          <w:r w:rsidRPr="00F1128B">
            <w:t>aratumumab - Janssen-Cilag Pty Ltd - PM-2020-04809-1-6</w:t>
          </w:r>
          <w:r>
            <w:br/>
          </w:r>
          <w:r w:rsidR="00C01D64">
            <w:t>Final – 20 October 2022</w:t>
          </w:r>
        </w:p>
      </w:tc>
      <w:tc>
        <w:tcPr>
          <w:tcW w:w="1490" w:type="dxa"/>
          <w:tcMar>
            <w:top w:w="142" w:type="dxa"/>
            <w:bottom w:w="0" w:type="dxa"/>
          </w:tcMar>
        </w:tcPr>
        <w:p w14:paraId="66F4CD28" w14:textId="677CA9D6" w:rsidR="00F620D2" w:rsidRPr="00487162" w:rsidRDefault="00F620D2" w:rsidP="00DB750B">
          <w:pPr>
            <w:pStyle w:val="Footer"/>
            <w:jc w:val="right"/>
          </w:pPr>
          <w:r w:rsidRPr="00487162">
            <w:t xml:space="preserve">Page </w:t>
          </w:r>
          <w:r>
            <w:fldChar w:fldCharType="begin"/>
          </w:r>
          <w:r>
            <w:instrText xml:space="preserve"> PAGE  \* Arabic </w:instrText>
          </w:r>
          <w:r>
            <w:fldChar w:fldCharType="separate"/>
          </w:r>
          <w:r w:rsidR="00855994">
            <w:rPr>
              <w:noProof/>
            </w:rPr>
            <w:t>11</w:t>
          </w:r>
          <w:r>
            <w:fldChar w:fldCharType="end"/>
          </w:r>
          <w:r w:rsidRPr="00487162">
            <w:t xml:space="preserve"> of </w:t>
          </w:r>
          <w:fldSimple w:instr=" NUMPAGES  \* Arabic ">
            <w:r w:rsidR="00855994">
              <w:rPr>
                <w:noProof/>
              </w:rPr>
              <w:t>39</w:t>
            </w:r>
          </w:fldSimple>
        </w:p>
      </w:tc>
    </w:tr>
  </w:tbl>
  <w:p w14:paraId="44491BE3" w14:textId="77777777" w:rsidR="00F620D2" w:rsidRDefault="00F620D2" w:rsidP="003D1E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861" w:type="dxa"/>
      <w:tblLayout w:type="fixed"/>
      <w:tblCellMar>
        <w:top w:w="170" w:type="dxa"/>
        <w:left w:w="0" w:type="dxa"/>
        <w:bottom w:w="227" w:type="dxa"/>
        <w:right w:w="0" w:type="dxa"/>
      </w:tblCellMar>
      <w:tblLook w:val="04A0" w:firstRow="1" w:lastRow="0" w:firstColumn="1" w:lastColumn="0" w:noHBand="0" w:noVBand="1"/>
    </w:tblPr>
    <w:tblGrid>
      <w:gridCol w:w="4519"/>
      <w:gridCol w:w="4342"/>
    </w:tblGrid>
    <w:tr w:rsidR="00F620D2" w:rsidRPr="00487162" w14:paraId="1F17D596" w14:textId="77777777" w:rsidTr="00E45619">
      <w:trPr>
        <w:trHeight w:val="269"/>
      </w:trPr>
      <w:tc>
        <w:tcPr>
          <w:tcW w:w="4519" w:type="dxa"/>
          <w:tcBorders>
            <w:top w:val="single" w:sz="4" w:space="0" w:color="auto"/>
          </w:tcBorders>
          <w:tcMar>
            <w:top w:w="142" w:type="dxa"/>
            <w:bottom w:w="0" w:type="dxa"/>
          </w:tcMar>
        </w:tcPr>
        <w:p w14:paraId="29FC845B" w14:textId="77777777" w:rsidR="00F620D2" w:rsidRPr="00487162" w:rsidRDefault="00F620D2" w:rsidP="00FE1DEE">
          <w:pPr>
            <w:pStyle w:val="Footer"/>
          </w:pPr>
          <w:r w:rsidRPr="00487162">
            <w:t>Document title, Part #, Section # - Section title</w:t>
          </w:r>
        </w:p>
        <w:p w14:paraId="576E6CB3" w14:textId="77777777" w:rsidR="00F620D2" w:rsidRPr="00487162" w:rsidRDefault="00F620D2" w:rsidP="00FE1DEE">
          <w:pPr>
            <w:pStyle w:val="Footer"/>
          </w:pPr>
          <w:r w:rsidRPr="00487162">
            <w:t>V1.0 October 2010</w:t>
          </w:r>
        </w:p>
      </w:tc>
      <w:tc>
        <w:tcPr>
          <w:tcW w:w="4342" w:type="dxa"/>
          <w:tcBorders>
            <w:top w:val="single" w:sz="4" w:space="0" w:color="auto"/>
          </w:tcBorders>
          <w:tcMar>
            <w:top w:w="142" w:type="dxa"/>
            <w:bottom w:w="0" w:type="dxa"/>
          </w:tcMar>
        </w:tcPr>
        <w:p w14:paraId="424D0078" w14:textId="77777777" w:rsidR="00F620D2" w:rsidRPr="00487162" w:rsidRDefault="00F620D2" w:rsidP="00E45619">
          <w:pPr>
            <w:pStyle w:val="Footer"/>
            <w:jc w:val="right"/>
          </w:pPr>
          <w:r w:rsidRPr="00487162">
            <w:t xml:space="preserve">Page </w:t>
          </w:r>
          <w:r>
            <w:fldChar w:fldCharType="begin"/>
          </w:r>
          <w:r>
            <w:instrText xml:space="preserve"> PAGE   \* MERGEFORMAT </w:instrText>
          </w:r>
          <w:r>
            <w:fldChar w:fldCharType="separate"/>
          </w:r>
          <w:r w:rsidRPr="00487162">
            <w:rPr>
              <w:noProof/>
            </w:rPr>
            <w:t>3</w:t>
          </w:r>
          <w:r>
            <w:rPr>
              <w:noProof/>
            </w:rPr>
            <w:fldChar w:fldCharType="end"/>
          </w:r>
          <w:r w:rsidRPr="00487162">
            <w:t xml:space="preserve"> of </w:t>
          </w:r>
          <w:fldSimple w:instr=" NUMPAGES  ">
            <w:r>
              <w:rPr>
                <w:noProof/>
              </w:rPr>
              <w:t>21</w:t>
            </w:r>
          </w:fldSimple>
        </w:p>
      </w:tc>
    </w:tr>
  </w:tbl>
  <w:p w14:paraId="706994BC" w14:textId="77777777" w:rsidR="00F620D2" w:rsidRDefault="00F620D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050199" w14:textId="77777777" w:rsidR="00F620D2" w:rsidRPr="001C32CD" w:rsidRDefault="00F620D2" w:rsidP="001C32C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875" w:type="dxa"/>
      <w:tblLayout w:type="fixed"/>
      <w:tblCellMar>
        <w:top w:w="170" w:type="dxa"/>
        <w:left w:w="0" w:type="dxa"/>
        <w:bottom w:w="227" w:type="dxa"/>
        <w:right w:w="0" w:type="dxa"/>
      </w:tblCellMar>
      <w:tblLook w:val="04A0" w:firstRow="1" w:lastRow="0" w:firstColumn="1" w:lastColumn="0" w:noHBand="0" w:noVBand="1"/>
    </w:tblPr>
    <w:tblGrid>
      <w:gridCol w:w="4519"/>
      <w:gridCol w:w="4356"/>
    </w:tblGrid>
    <w:tr w:rsidR="00F620D2" w14:paraId="6966B945" w14:textId="77777777" w:rsidTr="0010601F">
      <w:trPr>
        <w:trHeight w:val="108"/>
      </w:trPr>
      <w:tc>
        <w:tcPr>
          <w:tcW w:w="8875" w:type="dxa"/>
          <w:gridSpan w:val="2"/>
          <w:tcBorders>
            <w:bottom w:val="single" w:sz="4" w:space="0" w:color="auto"/>
          </w:tcBorders>
          <w:tcMar>
            <w:right w:w="284" w:type="dxa"/>
          </w:tcMar>
        </w:tcPr>
        <w:p w14:paraId="416EA741" w14:textId="77777777" w:rsidR="00F620D2" w:rsidRDefault="00F620D2" w:rsidP="006E08B3">
          <w:pPr>
            <w:pStyle w:val="Heading3"/>
          </w:pPr>
          <w:r>
            <w:t>Copyright</w:t>
          </w:r>
        </w:p>
        <w:p w14:paraId="4D1342FA" w14:textId="77777777" w:rsidR="00F620D2" w:rsidRDefault="00F620D2" w:rsidP="006E08B3">
          <w:r>
            <w:rPr>
              <w:rFonts w:cs="Arial"/>
            </w:rPr>
            <w:t>©</w:t>
          </w:r>
          <w:r>
            <w:t xml:space="preserve"> Commonwealth of Australia [add year]</w:t>
          </w:r>
        </w:p>
        <w:p w14:paraId="76FD585E" w14:textId="77777777" w:rsidR="00F620D2" w:rsidRDefault="00F620D2" w:rsidP="006E08B3"/>
        <w:p w14:paraId="70340F66" w14:textId="77777777" w:rsidR="00F620D2" w:rsidRDefault="00F620D2" w:rsidP="006E08B3">
          <w:r>
            <w:t xml:space="preserve">This work is copyright. Apart from any use as permitted under the Copyright Act 1968, no part may be reproduced by any process without prior written permission from the Commonwealth Copyright Administration, Attorney General’s Department, National Circuit, Barton ACT 2600 or posted at  </w:t>
          </w:r>
          <w:r w:rsidRPr="006E08B3">
            <w:t>http://www.ag.gov.au/cca</w:t>
          </w:r>
        </w:p>
        <w:p w14:paraId="183FA2A2" w14:textId="77777777" w:rsidR="00F620D2" w:rsidRDefault="00F620D2" w:rsidP="006E08B3"/>
        <w:p w14:paraId="5C4EEDF4" w14:textId="77777777" w:rsidR="00F620D2" w:rsidRDefault="00F620D2" w:rsidP="006E08B3">
          <w:pPr>
            <w:pStyle w:val="Heading3"/>
          </w:pPr>
          <w:r>
            <w:t>Confidentiality</w:t>
          </w:r>
        </w:p>
        <w:p w14:paraId="5B0B7FF5" w14:textId="77777777" w:rsidR="00F620D2" w:rsidRDefault="00F620D2" w:rsidP="006E08B3">
          <w:r>
            <w:t>All submissions received will be placed on the TGA’s Internet site, unless marked confidential. Any confidential material contained within your submission should be provided under a separate cover and clearly marked “IN CONFIDENCE”. Reasons for a claim to confidentiality must be included in the space provided on the TGA submission coversheet.</w:t>
          </w:r>
        </w:p>
        <w:p w14:paraId="6338BD6F" w14:textId="77777777" w:rsidR="00F620D2" w:rsidRDefault="00F620D2" w:rsidP="006E08B3"/>
        <w:p w14:paraId="12C82697" w14:textId="77777777" w:rsidR="00F620D2" w:rsidRDefault="00F620D2" w:rsidP="006E08B3">
          <w:r>
            <w:t>For submission made by individuals, all personal details, other than your name, will be removed from your submission before it is published on the TGA’s Internet site.</w:t>
          </w:r>
        </w:p>
        <w:p w14:paraId="237D2B79" w14:textId="77777777" w:rsidR="00F620D2" w:rsidRDefault="00F620D2" w:rsidP="006E08B3"/>
        <w:p w14:paraId="13F998C7" w14:textId="77777777" w:rsidR="00F620D2" w:rsidRDefault="00F620D2" w:rsidP="006E08B3">
          <w:r>
            <w:t>In addition, a list of parties making submissions will be published. If you do not wish to be identified with your submission you must specifically request this in the space provided in the submission coversheet.</w:t>
          </w:r>
        </w:p>
      </w:tc>
    </w:tr>
    <w:tr w:rsidR="00F620D2" w14:paraId="08FD0565" w14:textId="77777777" w:rsidTr="0010601F">
      <w:trPr>
        <w:trHeight w:val="417"/>
      </w:trPr>
      <w:tc>
        <w:tcPr>
          <w:tcW w:w="4519" w:type="dxa"/>
          <w:tcBorders>
            <w:top w:val="single" w:sz="4" w:space="0" w:color="auto"/>
          </w:tcBorders>
          <w:tcMar>
            <w:top w:w="142" w:type="dxa"/>
            <w:bottom w:w="0" w:type="dxa"/>
          </w:tcMar>
        </w:tcPr>
        <w:p w14:paraId="24DE8800" w14:textId="77777777" w:rsidR="00F620D2" w:rsidRDefault="00F620D2" w:rsidP="006E08B3">
          <w:r>
            <w:t>Document title, Part #, Section # - Section title</w:t>
          </w:r>
        </w:p>
        <w:p w14:paraId="08142C1D" w14:textId="77777777" w:rsidR="00F620D2" w:rsidRDefault="00F620D2" w:rsidP="006E08B3">
          <w:r>
            <w:t>V1.0 October 2010</w:t>
          </w:r>
        </w:p>
      </w:tc>
      <w:tc>
        <w:tcPr>
          <w:tcW w:w="4356" w:type="dxa"/>
          <w:tcBorders>
            <w:top w:val="single" w:sz="4" w:space="0" w:color="auto"/>
          </w:tcBorders>
          <w:tcMar>
            <w:top w:w="142" w:type="dxa"/>
            <w:bottom w:w="0" w:type="dxa"/>
          </w:tcMar>
        </w:tcPr>
        <w:p w14:paraId="08ED0C49" w14:textId="77777777" w:rsidR="00F620D2" w:rsidRDefault="00F620D2" w:rsidP="006E08B3">
          <w:pPr>
            <w:jc w:val="right"/>
          </w:pPr>
          <w:r>
            <w:t xml:space="preserve">Page </w:t>
          </w:r>
          <w:r>
            <w:fldChar w:fldCharType="begin"/>
          </w:r>
          <w:r>
            <w:instrText xml:space="preserve"> PAGE   \* MERGEFORMAT </w:instrText>
          </w:r>
          <w:r>
            <w:fldChar w:fldCharType="separate"/>
          </w:r>
          <w:r>
            <w:rPr>
              <w:noProof/>
            </w:rPr>
            <w:t>1</w:t>
          </w:r>
          <w:r>
            <w:rPr>
              <w:noProof/>
            </w:rPr>
            <w:fldChar w:fldCharType="end"/>
          </w:r>
          <w:r>
            <w:t xml:space="preserve"> of </w:t>
          </w:r>
          <w:fldSimple w:instr=" NUMPAGES  \* Arabic ">
            <w:r>
              <w:rPr>
                <w:noProof/>
              </w:rPr>
              <w:t>21</w:t>
            </w:r>
          </w:fldSimple>
          <w:r>
            <w:t xml:space="preserve">  </w:t>
          </w:r>
        </w:p>
      </w:tc>
    </w:tr>
  </w:tbl>
  <w:p w14:paraId="6DC4A1FF" w14:textId="77777777" w:rsidR="00F620D2" w:rsidRDefault="00F620D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72AAB2" w14:textId="77777777" w:rsidR="00B6151B" w:rsidRDefault="00B6151B" w:rsidP="00C40A36">
      <w:pPr>
        <w:spacing w:after="0"/>
      </w:pPr>
      <w:r>
        <w:separator/>
      </w:r>
    </w:p>
  </w:footnote>
  <w:footnote w:type="continuationSeparator" w:id="0">
    <w:p w14:paraId="0072F150" w14:textId="77777777" w:rsidR="00B6151B" w:rsidRDefault="00B6151B" w:rsidP="00C40A36">
      <w:pPr>
        <w:spacing w:after="0"/>
      </w:pPr>
      <w:r>
        <w:continuationSeparator/>
      </w:r>
    </w:p>
  </w:footnote>
  <w:footnote w:id="1">
    <w:p w14:paraId="0E1A5D5B" w14:textId="2F64B725" w:rsidR="00F620D2" w:rsidRPr="005A441A" w:rsidRDefault="00F620D2">
      <w:pPr>
        <w:pStyle w:val="FootnoteText"/>
        <w:rPr>
          <w:lang w:val="en-GB"/>
        </w:rPr>
      </w:pPr>
      <w:r>
        <w:rPr>
          <w:rStyle w:val="FootnoteReference"/>
        </w:rPr>
        <w:footnoteRef/>
      </w:r>
      <w:r>
        <w:t xml:space="preserve"> Picken MM. </w:t>
      </w:r>
      <w:r w:rsidRPr="009F0262">
        <w:t>The Pathology of Amyloido</w:t>
      </w:r>
      <w:r>
        <w:t>sis in Classification: A Review</w:t>
      </w:r>
      <w:r w:rsidRPr="009F0262">
        <w:t xml:space="preserve">. </w:t>
      </w:r>
      <w:r w:rsidRPr="005A441A">
        <w:rPr>
          <w:i/>
        </w:rPr>
        <w:t>Acta Haematologica.</w:t>
      </w:r>
      <w:r w:rsidRPr="009F0262">
        <w:t xml:space="preserve"> </w:t>
      </w:r>
      <w:r>
        <w:t xml:space="preserve">2020; </w:t>
      </w:r>
      <w:r w:rsidRPr="009F0262">
        <w:t>143 (4): 322–334.</w:t>
      </w:r>
    </w:p>
  </w:footnote>
  <w:footnote w:id="2">
    <w:p w14:paraId="13FB06BB" w14:textId="308372EE" w:rsidR="00F620D2" w:rsidRPr="002C3139" w:rsidRDefault="00F620D2" w:rsidP="00BD768B">
      <w:pPr>
        <w:pStyle w:val="FootnoteText"/>
      </w:pPr>
      <w:r>
        <w:rPr>
          <w:rStyle w:val="FootnoteReference"/>
        </w:rPr>
        <w:footnoteRef/>
      </w:r>
      <w:r>
        <w:t xml:space="preserve"> Medical Scientific Advisory Group (MSAG) to Myeloma Australia (MFA). MSAG Clinical Practice Guideline for management of systemic AL amyloidosis (updated 2019). Myeloma Australia. Available at: </w:t>
      </w:r>
      <w:hyperlink r:id="rId1" w:history="1">
        <w:r w:rsidRPr="000E494D">
          <w:rPr>
            <w:rStyle w:val="Hyperlink"/>
          </w:rPr>
          <w:t>https://myeloma.org.au/wp-content/uploads/2021/11/MSAG-Clinical-Practice-Guidelines_Managemen-of-Systemic-Amyloidosis-Oct19.pdf</w:t>
        </w:r>
      </w:hyperlink>
      <w:r>
        <w:t xml:space="preserve"> </w:t>
      </w:r>
    </w:p>
  </w:footnote>
  <w:footnote w:id="3">
    <w:p w14:paraId="63F7BCB8" w14:textId="77777777" w:rsidR="00F620D2" w:rsidRPr="007E15FF" w:rsidRDefault="00F620D2" w:rsidP="00BD768B">
      <w:pPr>
        <w:pStyle w:val="FootnoteText"/>
        <w:rPr>
          <w:lang w:val="en-GB"/>
        </w:rPr>
      </w:pPr>
      <w:r>
        <w:rPr>
          <w:rStyle w:val="FootnoteReference"/>
        </w:rPr>
        <w:footnoteRef/>
      </w:r>
      <w:r>
        <w:t xml:space="preserve"> </w:t>
      </w:r>
      <w:r w:rsidRPr="00BD768B">
        <w:t xml:space="preserve">Wisniowski B, McLeod D, Adams R, et al. The epidemiology of amyloidosis in Australia. </w:t>
      </w:r>
      <w:r w:rsidRPr="007E15FF">
        <w:rPr>
          <w:i/>
        </w:rPr>
        <w:t>Amyloid</w:t>
      </w:r>
      <w:r w:rsidRPr="00BD768B">
        <w:t>. 2019;26(sup1):132-133.</w:t>
      </w:r>
    </w:p>
  </w:footnote>
  <w:footnote w:id="4">
    <w:p w14:paraId="6C62CE3D" w14:textId="0052B622" w:rsidR="00F620D2" w:rsidRPr="005A441A" w:rsidRDefault="00F620D2">
      <w:pPr>
        <w:pStyle w:val="FootnoteText"/>
        <w:rPr>
          <w:lang w:val="en-GB"/>
        </w:rPr>
      </w:pPr>
      <w:r>
        <w:rPr>
          <w:rStyle w:val="FootnoteReference"/>
        </w:rPr>
        <w:footnoteRef/>
      </w:r>
      <w:r>
        <w:t xml:space="preserve"> </w:t>
      </w:r>
      <w:r w:rsidRPr="0098685C">
        <w:t xml:space="preserve">Rawat, P., Prabakaran, R., Kumar, S. et al. Exploring the sequence features determining amyloidosis in human antibody light chains. </w:t>
      </w:r>
      <w:r w:rsidRPr="005A441A">
        <w:rPr>
          <w:i/>
        </w:rPr>
        <w:t>Sci Rep</w:t>
      </w:r>
      <w:r w:rsidRPr="0098685C">
        <w:t xml:space="preserve"> 11, 13785 (2021).</w:t>
      </w:r>
    </w:p>
  </w:footnote>
  <w:footnote w:id="5">
    <w:p w14:paraId="5EB9DF51" w14:textId="6F215208" w:rsidR="00F620D2" w:rsidRPr="005A441A" w:rsidRDefault="00F620D2">
      <w:pPr>
        <w:pStyle w:val="FootnoteText"/>
        <w:rPr>
          <w:lang w:val="en-GB"/>
        </w:rPr>
      </w:pPr>
      <w:r>
        <w:rPr>
          <w:rStyle w:val="FootnoteReference"/>
        </w:rPr>
        <w:footnoteRef/>
      </w:r>
      <w:r>
        <w:t xml:space="preserve"> </w:t>
      </w:r>
      <w:r w:rsidRPr="0098685C">
        <w:t xml:space="preserve">Blancas-Mejia LM , Misra P , Dick CJ , et al. Immunoglobulin light chain amyloid aggregation. </w:t>
      </w:r>
      <w:r w:rsidRPr="005A441A">
        <w:rPr>
          <w:i/>
        </w:rPr>
        <w:t>Chem Commun (Camb)</w:t>
      </w:r>
      <w:r w:rsidRPr="0098685C">
        <w:t>. 2018;54(76):10664-10674.</w:t>
      </w:r>
    </w:p>
  </w:footnote>
  <w:footnote w:id="6">
    <w:p w14:paraId="2C14CF60" w14:textId="20C67490" w:rsidR="00F620D2" w:rsidRPr="005A441A" w:rsidRDefault="00F620D2">
      <w:pPr>
        <w:pStyle w:val="FootnoteText"/>
        <w:rPr>
          <w:lang w:val="en-GB"/>
        </w:rPr>
      </w:pPr>
      <w:r>
        <w:rPr>
          <w:rStyle w:val="FootnoteReference"/>
        </w:rPr>
        <w:footnoteRef/>
      </w:r>
      <w:r>
        <w:t xml:space="preserve"> Merlini G. CyBorD: stellar response rates in AL amyloidosis. </w:t>
      </w:r>
      <w:r w:rsidRPr="005A441A">
        <w:rPr>
          <w:i/>
        </w:rPr>
        <w:t>Blood</w:t>
      </w:r>
      <w:r>
        <w:t xml:space="preserve"> 2012; 119: 4343-45</w:t>
      </w:r>
    </w:p>
  </w:footnote>
  <w:footnote w:id="7">
    <w:p w14:paraId="3B1DAAF0" w14:textId="315A4F84" w:rsidR="00F620D2" w:rsidRPr="005A441A" w:rsidRDefault="00F620D2">
      <w:pPr>
        <w:pStyle w:val="FootnoteText"/>
        <w:rPr>
          <w:lang w:val="en-GB"/>
        </w:rPr>
      </w:pPr>
      <w:r>
        <w:rPr>
          <w:rStyle w:val="FootnoteReference"/>
        </w:rPr>
        <w:footnoteRef/>
      </w:r>
      <w:r>
        <w:t xml:space="preserve"> Gertz M et al. Definition of organ involvement and treatment response in immunoglobulin light chain amyloidosis (AL): a consensus opinion from the 10th International Symposium on Amyloid and Amyloidosis, Tours, France, 18-22 April 2004. </w:t>
      </w:r>
      <w:r w:rsidRPr="005A441A">
        <w:rPr>
          <w:i/>
        </w:rPr>
        <w:t>Am J Hematol</w:t>
      </w:r>
      <w:r>
        <w:t xml:space="preserve"> 2005; 79: 319-28</w:t>
      </w:r>
    </w:p>
  </w:footnote>
  <w:footnote w:id="8">
    <w:p w14:paraId="2DCF538E" w14:textId="31D918FA" w:rsidR="00F620D2" w:rsidRPr="005A441A" w:rsidRDefault="00F620D2">
      <w:pPr>
        <w:pStyle w:val="FootnoteText"/>
        <w:rPr>
          <w:lang w:val="en-GB"/>
        </w:rPr>
      </w:pPr>
      <w:r>
        <w:rPr>
          <w:rStyle w:val="FootnoteReference"/>
        </w:rPr>
        <w:footnoteRef/>
      </w:r>
      <w:r>
        <w:t xml:space="preserve"> Gertz M, Merlini G. Definition of organ involvement and response to treatment in AL amyloidosis: an updated consensus opinion. </w:t>
      </w:r>
      <w:r w:rsidRPr="005A441A">
        <w:rPr>
          <w:i/>
        </w:rPr>
        <w:t>Amyloid</w:t>
      </w:r>
      <w:r>
        <w:t xml:space="preserve"> 2010; 17: 48-49</w:t>
      </w:r>
    </w:p>
  </w:footnote>
  <w:footnote w:id="9">
    <w:p w14:paraId="77ABCAC3" w14:textId="0A23FEF3" w:rsidR="00F620D2" w:rsidRPr="005A441A" w:rsidRDefault="00F620D2">
      <w:pPr>
        <w:pStyle w:val="FootnoteText"/>
        <w:rPr>
          <w:lang w:val="en-GB"/>
        </w:rPr>
      </w:pPr>
      <w:r>
        <w:rPr>
          <w:rStyle w:val="FootnoteReference"/>
        </w:rPr>
        <w:footnoteRef/>
      </w:r>
      <w:r>
        <w:t xml:space="preserve"> AUST R 281843: Darzalex</w:t>
      </w:r>
      <w:r w:rsidRPr="001260D1">
        <w:t xml:space="preserve"> </w:t>
      </w:r>
      <w:r>
        <w:t>(</w:t>
      </w:r>
      <w:r w:rsidRPr="001260D1">
        <w:t>daratumumab</w:t>
      </w:r>
      <w:r>
        <w:t>)</w:t>
      </w:r>
      <w:r w:rsidRPr="001260D1">
        <w:t xml:space="preserve"> 400 mg/20 mL concentrated solution for </w:t>
      </w:r>
      <w:r>
        <w:t xml:space="preserve">(intravenous) </w:t>
      </w:r>
      <w:r w:rsidRPr="001260D1">
        <w:t>infusion</w:t>
      </w:r>
      <w:r>
        <w:t>,</w:t>
      </w:r>
      <w:r w:rsidRPr="001260D1">
        <w:t xml:space="preserve"> via</w:t>
      </w:r>
      <w:r>
        <w:t>l.</w:t>
      </w:r>
    </w:p>
  </w:footnote>
  <w:footnote w:id="10">
    <w:p w14:paraId="0710BE3E" w14:textId="25A46509" w:rsidR="00F620D2" w:rsidRPr="005A441A" w:rsidRDefault="00F620D2">
      <w:pPr>
        <w:pStyle w:val="FootnoteText"/>
        <w:rPr>
          <w:lang w:val="en-GB"/>
        </w:rPr>
      </w:pPr>
      <w:r>
        <w:rPr>
          <w:rStyle w:val="FootnoteReference"/>
        </w:rPr>
        <w:footnoteRef/>
      </w:r>
      <w:r>
        <w:t xml:space="preserve"> AUST R 281842: Darzalex (daratumumab) 100 mg/5 mL concentrated solution for (intravenous) infusion, vial.</w:t>
      </w:r>
    </w:p>
  </w:footnote>
  <w:footnote w:id="11">
    <w:p w14:paraId="305CE3DA" w14:textId="659DEA2F" w:rsidR="00F620D2" w:rsidRPr="005A441A" w:rsidRDefault="00F620D2">
      <w:pPr>
        <w:pStyle w:val="FootnoteText"/>
        <w:rPr>
          <w:lang w:val="en-GB"/>
        </w:rPr>
      </w:pPr>
      <w:r>
        <w:rPr>
          <w:rStyle w:val="FootnoteReference"/>
        </w:rPr>
        <w:footnoteRef/>
      </w:r>
      <w:r>
        <w:t xml:space="preserve"> AUST R 322685: Darzalex SC (daratumumab) 1800 mg/15 mL solution for (subcutaneous) injection, vial.</w:t>
      </w:r>
    </w:p>
  </w:footnote>
  <w:footnote w:id="12">
    <w:p w14:paraId="64869194" w14:textId="77777777" w:rsidR="00F620D2" w:rsidRDefault="00F620D2" w:rsidP="00821EAC">
      <w:pPr>
        <w:pStyle w:val="FootnoteText"/>
        <w:spacing w:before="120" w:after="120"/>
        <w:rPr>
          <w:lang w:eastAsia="ja-JP"/>
        </w:rPr>
      </w:pPr>
      <w:r>
        <w:rPr>
          <w:rStyle w:val="FootnoteReference"/>
        </w:rPr>
        <w:footnoteRef/>
      </w:r>
      <w:r>
        <w:t xml:space="preserve"> </w:t>
      </w:r>
      <w:r>
        <w:rPr>
          <w:b/>
          <w:lang w:eastAsia="ja-JP"/>
        </w:rPr>
        <w:t>ECOG Performance Status:</w:t>
      </w:r>
      <w:r>
        <w:rPr>
          <w:lang w:eastAsia="ja-JP"/>
        </w:rPr>
        <w:t xml:space="preserve"> The Eastern Cooperative Oncology Group (ECOG) has developed criteria used by doctors and researchers to assess how a patient's disease is progressing, assess how the disease affects the daily living abilities of the patient, and determine appropriate treatment and prognosis. The following are used:</w:t>
      </w:r>
    </w:p>
    <w:p w14:paraId="198BBD4D" w14:textId="77777777" w:rsidR="00F620D2" w:rsidRDefault="00F620D2" w:rsidP="00821EAC">
      <w:pPr>
        <w:pStyle w:val="FootnoteText"/>
        <w:spacing w:before="120" w:after="120"/>
        <w:rPr>
          <w:lang w:eastAsia="ja-JP"/>
        </w:rPr>
      </w:pPr>
      <w:r>
        <w:rPr>
          <w:lang w:eastAsia="ja-JP"/>
        </w:rPr>
        <w:t>0 - Fully active, able to carry on all pre-disease performance without restriction</w:t>
      </w:r>
    </w:p>
    <w:p w14:paraId="20E9E0FB" w14:textId="1366B94D" w:rsidR="00F620D2" w:rsidRDefault="00F620D2" w:rsidP="00821EAC">
      <w:pPr>
        <w:pStyle w:val="FootnoteText"/>
        <w:spacing w:before="120" w:after="120"/>
        <w:rPr>
          <w:lang w:eastAsia="ja-JP"/>
        </w:rPr>
      </w:pPr>
      <w:r>
        <w:rPr>
          <w:lang w:eastAsia="ja-JP"/>
        </w:rPr>
        <w:t>1- Restricted in physically strenuous activity but ambulatory and able to carry out work of a light or sedentary nature, for example, light housework, office work</w:t>
      </w:r>
    </w:p>
    <w:p w14:paraId="4768C4E4" w14:textId="77777777" w:rsidR="00F620D2" w:rsidRDefault="00F620D2" w:rsidP="00821EAC">
      <w:pPr>
        <w:pStyle w:val="FootnoteText"/>
        <w:spacing w:before="120" w:after="120"/>
        <w:rPr>
          <w:lang w:eastAsia="ja-JP"/>
        </w:rPr>
      </w:pPr>
      <w:r>
        <w:rPr>
          <w:lang w:eastAsia="ja-JP"/>
        </w:rPr>
        <w:t>2 - Ambulatory and capable of all self-care but unable to carry out any work activities. Up and about more than 50% of waking hours</w:t>
      </w:r>
    </w:p>
    <w:p w14:paraId="19563227" w14:textId="77777777" w:rsidR="00F620D2" w:rsidRDefault="00F620D2" w:rsidP="00821EAC">
      <w:pPr>
        <w:pStyle w:val="FootnoteText"/>
        <w:spacing w:before="120" w:after="120"/>
        <w:rPr>
          <w:lang w:eastAsia="ja-JP"/>
        </w:rPr>
      </w:pPr>
      <w:r>
        <w:rPr>
          <w:lang w:eastAsia="ja-JP"/>
        </w:rPr>
        <w:t>3 - Capable of only limited self-care, confined to bed or chair more than 50% of waking hours</w:t>
      </w:r>
    </w:p>
    <w:p w14:paraId="1ACEB50C" w14:textId="77777777" w:rsidR="00F620D2" w:rsidRDefault="00F620D2" w:rsidP="00821EAC">
      <w:pPr>
        <w:pStyle w:val="FootnoteText"/>
        <w:spacing w:before="120" w:after="120"/>
        <w:rPr>
          <w:lang w:eastAsia="ja-JP"/>
        </w:rPr>
      </w:pPr>
      <w:r>
        <w:rPr>
          <w:lang w:eastAsia="ja-JP"/>
        </w:rPr>
        <w:t>4 - Completely disabled. Cannot carry on any self-care. Totally confined to bed or chair</w:t>
      </w:r>
    </w:p>
    <w:p w14:paraId="1CB02D2A" w14:textId="14133383" w:rsidR="00F620D2" w:rsidRDefault="00F620D2" w:rsidP="00E43A97">
      <w:pPr>
        <w:pStyle w:val="FootnoteText"/>
        <w:spacing w:before="120" w:after="120"/>
        <w:rPr>
          <w:lang w:eastAsia="ja-JP"/>
        </w:rPr>
      </w:pPr>
      <w:r>
        <w:rPr>
          <w:lang w:eastAsia="ja-JP"/>
        </w:rPr>
        <w:t>5 – Dead</w:t>
      </w:r>
    </w:p>
  </w:footnote>
  <w:footnote w:id="13">
    <w:p w14:paraId="66578E1B" w14:textId="2C8FC865" w:rsidR="00F620D2" w:rsidRPr="005A441A" w:rsidRDefault="00F620D2" w:rsidP="00751998">
      <w:pPr>
        <w:pStyle w:val="FootnoteText"/>
        <w:rPr>
          <w:lang w:val="en-GB"/>
        </w:rPr>
      </w:pPr>
      <w:r>
        <w:rPr>
          <w:rStyle w:val="FootnoteReference"/>
        </w:rPr>
        <w:footnoteRef/>
      </w:r>
      <w:r>
        <w:t xml:space="preserve"> </w:t>
      </w:r>
      <w:r w:rsidR="00751998">
        <w:rPr>
          <w:lang w:val="en-GB"/>
        </w:rPr>
        <w:t xml:space="preserve">CyBorD (bortezomib, cyclophosphamide and dexamethasone) multidrug combination therapy is also known as VCd (Velcade (bortezomib), cyclophosphamide and </w:t>
      </w:r>
      <w:r w:rsidR="00751998" w:rsidRPr="00751998">
        <w:rPr>
          <w:lang w:val="en-GB"/>
        </w:rPr>
        <w:t>dexamethasone</w:t>
      </w:r>
      <w:r w:rsidR="00751998">
        <w:rPr>
          <w:lang w:val="en-GB"/>
        </w:rPr>
        <w:t>.</w:t>
      </w:r>
    </w:p>
  </w:footnote>
  <w:footnote w:id="14">
    <w:p w14:paraId="56C6035F" w14:textId="656075F6" w:rsidR="00F620D2" w:rsidRDefault="00F620D2">
      <w:pPr>
        <w:pStyle w:val="FootnoteText"/>
      </w:pPr>
      <w:r>
        <w:rPr>
          <w:rStyle w:val="FootnoteReference"/>
        </w:rPr>
        <w:footnoteRef/>
      </w:r>
      <w:r>
        <w:t xml:space="preserve"> </w:t>
      </w:r>
      <w:r w:rsidRPr="00AE4068">
        <w:t>The European version of the 2004 Mayo system identifies patients with very high NT-proBNP levels as having very poor outcomes and splits stage III into two stages (IIIa and IIIb) based on the 8500 ng/L cut</w:t>
      </w:r>
      <w:r>
        <w:t>-</w:t>
      </w:r>
      <w:r w:rsidRPr="00AE4068">
        <w:t>off for NT-proBNP.</w:t>
      </w:r>
    </w:p>
  </w:footnote>
  <w:footnote w:id="15">
    <w:p w14:paraId="480072F0" w14:textId="77777777" w:rsidR="00F620D2" w:rsidRDefault="00F620D2" w:rsidP="00CB0BE6">
      <w:pPr>
        <w:pStyle w:val="FootnoteText"/>
      </w:pPr>
      <w:r>
        <w:rPr>
          <w:rStyle w:val="FootnoteReference"/>
        </w:rPr>
        <w:footnoteRef/>
      </w:r>
      <w:r>
        <w:t xml:space="preserve"> The New York Heart Association (NYHA) criteria categorise heart failure into four classes based on patient symptoms and function.</w:t>
      </w:r>
    </w:p>
    <w:p w14:paraId="54464C8F" w14:textId="77777777" w:rsidR="00F620D2" w:rsidRDefault="00F620D2" w:rsidP="00CB0BE6">
      <w:pPr>
        <w:pStyle w:val="FootnoteText"/>
      </w:pPr>
      <w:r>
        <w:t>Class I: No limitation of ordinary physical activity.</w:t>
      </w:r>
    </w:p>
    <w:p w14:paraId="27F3EEF4" w14:textId="77777777" w:rsidR="00F620D2" w:rsidRDefault="00F620D2" w:rsidP="00CB0BE6">
      <w:pPr>
        <w:pStyle w:val="FootnoteText"/>
      </w:pPr>
      <w:r>
        <w:t>Class II: Slight limitation of ordinary physical activity. No symptoms at rest.</w:t>
      </w:r>
    </w:p>
    <w:p w14:paraId="5422DAC9" w14:textId="77777777" w:rsidR="00F620D2" w:rsidRDefault="00F620D2" w:rsidP="00CB0BE6">
      <w:pPr>
        <w:pStyle w:val="FootnoteText"/>
      </w:pPr>
      <w:r>
        <w:t>Class III: Marked limitation of ordinary physical activity. No symptoms at rest.</w:t>
      </w:r>
    </w:p>
    <w:p w14:paraId="50AFC105" w14:textId="2EBE3DFD" w:rsidR="00F620D2" w:rsidRDefault="00F620D2">
      <w:pPr>
        <w:pStyle w:val="FootnoteText"/>
      </w:pPr>
      <w:r>
        <w:t>Class IV: Symptoms on any physical activity or at rest.</w:t>
      </w:r>
    </w:p>
  </w:footnote>
  <w:footnote w:id="16">
    <w:p w14:paraId="2A30F617" w14:textId="40DE3B54" w:rsidR="00F620D2" w:rsidRDefault="00F620D2">
      <w:pPr>
        <w:pStyle w:val="FootnoteText"/>
      </w:pPr>
      <w:r>
        <w:rPr>
          <w:rStyle w:val="FootnoteReference"/>
        </w:rPr>
        <w:footnoteRef/>
      </w:r>
      <w:r>
        <w:t xml:space="preserve"> A q</w:t>
      </w:r>
      <w:r w:rsidRPr="00AE4068">
        <w:t>uestionnaire developed to assess the quality of life of cancer patients. It has been translated and validated into over 100 languages and is used in each year in more than 5,000 studies worldwide.</w:t>
      </w:r>
      <w:r>
        <w:t xml:space="preserve"> Further information can be found on </w:t>
      </w:r>
      <w:r w:rsidRPr="00AE4068">
        <w:t>qol.eortc.org</w:t>
      </w:r>
    </w:p>
  </w:footnote>
  <w:footnote w:id="17">
    <w:p w14:paraId="56FFDB24" w14:textId="3888BE46" w:rsidR="00F620D2" w:rsidRDefault="00F620D2">
      <w:pPr>
        <w:pStyle w:val="FootnoteText"/>
      </w:pPr>
      <w:r>
        <w:rPr>
          <w:rStyle w:val="FootnoteReference"/>
        </w:rPr>
        <w:footnoteRef/>
      </w:r>
      <w:r>
        <w:t xml:space="preserve"> Guidelines prepared by the Medical Scientific Advisory Group (MSAG) to provide Australian clinicians with a current, practical and evidence based approach to the management of AL amyloidosis. They can be found on </w:t>
      </w:r>
      <w:r w:rsidRPr="00C71859">
        <w:t>myeloma.org.</w:t>
      </w:r>
      <w:r>
        <w:t>au</w:t>
      </w:r>
    </w:p>
  </w:footnote>
  <w:footnote w:id="18">
    <w:p w14:paraId="18E7B6E1" w14:textId="3F3FC5ED" w:rsidR="00F620D2" w:rsidRDefault="00F620D2">
      <w:pPr>
        <w:pStyle w:val="FootnoteText"/>
      </w:pPr>
      <w:r>
        <w:rPr>
          <w:rStyle w:val="FootnoteReference"/>
        </w:rPr>
        <w:footnoteRef/>
      </w:r>
      <w:r>
        <w:t xml:space="preserve"> Also known as an a</w:t>
      </w:r>
      <w:r w:rsidRPr="00A81ED8">
        <w:t>lpha</w:t>
      </w:r>
      <w:r>
        <w:t xml:space="preserve"> </w:t>
      </w:r>
      <w:r w:rsidRPr="00A81ED8">
        <w:t xml:space="preserve">spending </w:t>
      </w:r>
      <w:r>
        <w:t xml:space="preserve">function, </w:t>
      </w:r>
      <w:r w:rsidRPr="00A81ED8">
        <w:t>an approach of distributing (spending) the type I error (denoted alpha) over the duration of a sequential A/B test. Alpha-spending makes it possible to perform sequential testing while maintaining the overall error probability of the procedure.</w:t>
      </w:r>
    </w:p>
  </w:footnote>
  <w:footnote w:id="19">
    <w:p w14:paraId="03738192" w14:textId="13EA1717" w:rsidR="00F620D2" w:rsidRDefault="00F620D2">
      <w:pPr>
        <w:pStyle w:val="FootnoteText"/>
      </w:pPr>
      <w:r>
        <w:rPr>
          <w:rStyle w:val="FootnoteReference"/>
        </w:rPr>
        <w:footnoteRef/>
      </w:r>
      <w:r>
        <w:t xml:space="preserve"> </w:t>
      </w:r>
      <w:r w:rsidRPr="00726469">
        <w:t>The Inverse Probability of Censoring Weighting (IPCW) is an alternative method, which attempts to reduce the bias caused by treatment change recreating a scenario where any patient switched to the alternative treatment arm.</w:t>
      </w:r>
    </w:p>
  </w:footnote>
  <w:footnote w:id="20">
    <w:p w14:paraId="4BE251F8" w14:textId="20869938" w:rsidR="00F620D2" w:rsidRDefault="00F620D2">
      <w:pPr>
        <w:pStyle w:val="FootnoteText"/>
      </w:pPr>
      <w:r>
        <w:rPr>
          <w:rStyle w:val="FootnoteReference"/>
        </w:rPr>
        <w:footnoteRef/>
      </w:r>
      <w:r>
        <w:t xml:space="preserve"> Robins JM. et al. Correcting for non-compliance and dependent censoring in an AIDS Clinical Trial with inverse probability of censoring weighted (IPCW) log-rank tests. </w:t>
      </w:r>
      <w:r w:rsidRPr="00DC7F79">
        <w:rPr>
          <w:i/>
          <w:iCs/>
        </w:rPr>
        <w:t>Biometrics</w:t>
      </w:r>
      <w:r w:rsidRPr="00DC7F79">
        <w:t>, 2</w:t>
      </w:r>
      <w:r>
        <w:t>000; 56:779-788.</w:t>
      </w:r>
    </w:p>
  </w:footnote>
  <w:footnote w:id="21">
    <w:p w14:paraId="3F5D414E" w14:textId="008D9FCC" w:rsidR="00F620D2" w:rsidRDefault="00F620D2">
      <w:pPr>
        <w:pStyle w:val="FootnoteText"/>
      </w:pPr>
      <w:r w:rsidRPr="002C521F">
        <w:rPr>
          <w:rStyle w:val="FootnoteReference"/>
        </w:rPr>
        <w:footnoteRef/>
      </w:r>
      <w:r w:rsidRPr="002C521F">
        <w:t xml:space="preserve"> </w:t>
      </w:r>
      <w:r w:rsidRPr="00832EFA">
        <w:t>Palladini G, et al. Daratumumab plus CyBorD for patients with newly diagnosed AL amyloidosis : safety run-in results ANROMEDA, Blood, 2020, 136(1): 71-80.</w:t>
      </w:r>
    </w:p>
  </w:footnote>
  <w:footnote w:id="22">
    <w:p w14:paraId="5722A329" w14:textId="66F01AC4" w:rsidR="00F620D2" w:rsidRDefault="00F620D2">
      <w:pPr>
        <w:pStyle w:val="FootnoteText"/>
      </w:pPr>
      <w:r>
        <w:rPr>
          <w:rStyle w:val="FootnoteReference"/>
        </w:rPr>
        <w:footnoteRef/>
      </w:r>
      <w:r>
        <w:t xml:space="preserve"> </w:t>
      </w:r>
      <w:r w:rsidRPr="00711BD7">
        <w:t xml:space="preserve">The Mayo 2004 </w:t>
      </w:r>
      <w:r>
        <w:t>s</w:t>
      </w:r>
      <w:r w:rsidRPr="00711BD7">
        <w:t xml:space="preserve">taging is based on the presence and severity of heart damage, which is assessed by serum levels of cardiac troponin T </w:t>
      </w:r>
      <w:r>
        <w:t>(</w:t>
      </w:r>
      <w:r w:rsidRPr="00711BD7">
        <w:t>TnT</w:t>
      </w:r>
      <w:r>
        <w:t>)</w:t>
      </w:r>
      <w:r w:rsidRPr="00711BD7">
        <w:t xml:space="preserve"> cut</w:t>
      </w:r>
      <w:r>
        <w:t xml:space="preserve"> </w:t>
      </w:r>
      <w:r w:rsidRPr="00711BD7">
        <w:t>off level of 0.035 mcg/L and NT-proBNP level of 332 ng/L to place AL amyloidosis patients into three groups: (1) stage I, normal levels of both, (2) stage II, an elevated level of either but not both, and (3) stage III, elevated levels of both.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62FC35" w14:textId="77777777" w:rsidR="00F620D2" w:rsidRDefault="00F620D2" w:rsidP="00E45619">
    <w:pPr>
      <w:pStyle w:val="Header"/>
    </w:pPr>
    <w:r>
      <w:t>Therapeutic Goods Administration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5CDB87" w14:textId="77777777" w:rsidR="00F620D2" w:rsidRDefault="00F620D2">
    <w:pPr>
      <w:rPr>
        <w:noProof/>
        <w:lang w:eastAsia="en-AU"/>
      </w:rPr>
    </w:pPr>
    <w:r w:rsidRPr="00347824">
      <w:rPr>
        <w:noProof/>
        <w:lang w:val="en-GB" w:eastAsia="en-GB"/>
      </w:rPr>
      <w:drawing>
        <wp:anchor distT="0" distB="0" distL="114300" distR="114300" simplePos="0" relativeHeight="251659264" behindDoc="1" locked="0" layoutInCell="1" allowOverlap="1" wp14:anchorId="06805953" wp14:editId="04EF733D">
          <wp:simplePos x="0" y="0"/>
          <wp:positionH relativeFrom="column">
            <wp:posOffset>-1089660</wp:posOffset>
          </wp:positionH>
          <wp:positionV relativeFrom="paragraph">
            <wp:posOffset>-585470</wp:posOffset>
          </wp:positionV>
          <wp:extent cx="7572375" cy="10706100"/>
          <wp:effectExtent l="19050" t="0" r="0" b="0"/>
          <wp:wrapNone/>
          <wp:docPr id="5" name="Picture 0" descr="Therapeutic Goods Admini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SPAR-BG-HQ03.gif"/>
                  <pic:cNvPicPr/>
                </pic:nvPicPr>
                <pic:blipFill>
                  <a:blip r:embed="rId1"/>
                  <a:stretch>
                    <a:fillRect/>
                  </a:stretch>
                </pic:blipFill>
                <pic:spPr>
                  <a:xfrm>
                    <a:off x="0" y="0"/>
                    <a:ext cx="7568736" cy="1070610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FA297" w14:textId="77777777" w:rsidR="00F620D2" w:rsidRDefault="00F620D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5C31E" w14:textId="77777777" w:rsidR="00F620D2" w:rsidRDefault="00F620D2">
    <w:pPr>
      <w:pStyle w:val="Header"/>
    </w:pPr>
    <w:r>
      <w:t>Therapeutic Goods Administration</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711DC" w14:textId="77777777" w:rsidR="00F620D2" w:rsidRDefault="00F620D2">
    <w:pPr>
      <w:pStyle w:val="Header"/>
    </w:pPr>
    <w:r>
      <w:t>Therapeutic Goods Administration</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78BF40" w14:textId="77777777" w:rsidR="00F620D2" w:rsidRDefault="00F620D2">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F0078" w14:textId="77777777" w:rsidR="00F620D2" w:rsidRDefault="00F620D2" w:rsidP="004C239D">
    <w:pPr>
      <w:pStyle w:val="HeaderNoLine"/>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991D2F" w14:textId="77777777" w:rsidR="00F620D2" w:rsidRDefault="00F620D2" w:rsidP="006E08B3">
    <w:r>
      <w:t>Therapeutic Goods Administration</w:t>
    </w:r>
  </w:p>
  <w:p w14:paraId="700168AA" w14:textId="77777777" w:rsidR="00F620D2" w:rsidRDefault="00F620D2" w:rsidP="006D03E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62CC9C8E"/>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3D84604A"/>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A5922A9"/>
    <w:multiLevelType w:val="hybridMultilevel"/>
    <w:tmpl w:val="BAA000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E9108CD"/>
    <w:multiLevelType w:val="hybridMultilevel"/>
    <w:tmpl w:val="F07C7BCA"/>
    <w:lvl w:ilvl="0" w:tplc="7E7496A6">
      <w:start w:val="1"/>
      <w:numFmt w:val="bullet"/>
      <w:pStyle w:val="Bulletlist"/>
      <w:lvlText w:val=""/>
      <w:lvlJc w:val="left"/>
      <w:pPr>
        <w:ind w:left="1876" w:hanging="360"/>
      </w:pPr>
      <w:rPr>
        <w:rFonts w:ascii="Symbol" w:hAnsi="Symbol" w:hint="default"/>
      </w:rPr>
    </w:lvl>
    <w:lvl w:ilvl="1" w:tplc="0C090003">
      <w:start w:val="1"/>
      <w:numFmt w:val="bullet"/>
      <w:lvlText w:val="o"/>
      <w:lvlJc w:val="left"/>
      <w:pPr>
        <w:ind w:left="2596" w:hanging="360"/>
      </w:pPr>
      <w:rPr>
        <w:rFonts w:ascii="Courier New" w:hAnsi="Courier New" w:cs="Courier New" w:hint="default"/>
      </w:rPr>
    </w:lvl>
    <w:lvl w:ilvl="2" w:tplc="0C090005">
      <w:start w:val="1"/>
      <w:numFmt w:val="bullet"/>
      <w:lvlText w:val=""/>
      <w:lvlJc w:val="left"/>
      <w:pPr>
        <w:ind w:left="3316" w:hanging="360"/>
      </w:pPr>
      <w:rPr>
        <w:rFonts w:ascii="Wingdings" w:hAnsi="Wingdings" w:hint="default"/>
      </w:rPr>
    </w:lvl>
    <w:lvl w:ilvl="3" w:tplc="0C090001">
      <w:start w:val="1"/>
      <w:numFmt w:val="bullet"/>
      <w:lvlText w:val=""/>
      <w:lvlJc w:val="left"/>
      <w:pPr>
        <w:ind w:left="4036" w:hanging="360"/>
      </w:pPr>
      <w:rPr>
        <w:rFonts w:ascii="Symbol" w:hAnsi="Symbol" w:hint="default"/>
      </w:rPr>
    </w:lvl>
    <w:lvl w:ilvl="4" w:tplc="0C090003">
      <w:start w:val="1"/>
      <w:numFmt w:val="bullet"/>
      <w:lvlText w:val="o"/>
      <w:lvlJc w:val="left"/>
      <w:pPr>
        <w:ind w:left="4756" w:hanging="360"/>
      </w:pPr>
      <w:rPr>
        <w:rFonts w:ascii="Courier New" w:hAnsi="Courier New" w:cs="Courier New" w:hint="default"/>
      </w:rPr>
    </w:lvl>
    <w:lvl w:ilvl="5" w:tplc="0C090005">
      <w:start w:val="1"/>
      <w:numFmt w:val="bullet"/>
      <w:lvlText w:val=""/>
      <w:lvlJc w:val="left"/>
      <w:pPr>
        <w:ind w:left="5476" w:hanging="360"/>
      </w:pPr>
      <w:rPr>
        <w:rFonts w:ascii="Wingdings" w:hAnsi="Wingdings" w:hint="default"/>
      </w:rPr>
    </w:lvl>
    <w:lvl w:ilvl="6" w:tplc="0C090001">
      <w:start w:val="1"/>
      <w:numFmt w:val="bullet"/>
      <w:lvlText w:val=""/>
      <w:lvlJc w:val="left"/>
      <w:pPr>
        <w:ind w:left="6196" w:hanging="360"/>
      </w:pPr>
      <w:rPr>
        <w:rFonts w:ascii="Symbol" w:hAnsi="Symbol" w:hint="default"/>
      </w:rPr>
    </w:lvl>
    <w:lvl w:ilvl="7" w:tplc="0C090003">
      <w:start w:val="1"/>
      <w:numFmt w:val="bullet"/>
      <w:lvlText w:val="o"/>
      <w:lvlJc w:val="left"/>
      <w:pPr>
        <w:ind w:left="6916" w:hanging="360"/>
      </w:pPr>
      <w:rPr>
        <w:rFonts w:ascii="Courier New" w:hAnsi="Courier New" w:cs="Courier New" w:hint="default"/>
      </w:rPr>
    </w:lvl>
    <w:lvl w:ilvl="8" w:tplc="0C090005">
      <w:start w:val="1"/>
      <w:numFmt w:val="bullet"/>
      <w:lvlText w:val=""/>
      <w:lvlJc w:val="left"/>
      <w:pPr>
        <w:ind w:left="7636" w:hanging="360"/>
      </w:pPr>
      <w:rPr>
        <w:rFonts w:ascii="Wingdings" w:hAnsi="Wingdings" w:hint="default"/>
      </w:rPr>
    </w:lvl>
  </w:abstractNum>
  <w:abstractNum w:abstractNumId="4" w15:restartNumberingAfterBreak="0">
    <w:nsid w:val="10053F11"/>
    <w:multiLevelType w:val="multilevel"/>
    <w:tmpl w:val="575CEDBE"/>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pStyle w:val="Numberbullet3"/>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5" w15:restartNumberingAfterBreak="0">
    <w:nsid w:val="168F13E9"/>
    <w:multiLevelType w:val="multilevel"/>
    <w:tmpl w:val="DA360B98"/>
    <w:styleLink w:val="ListBullets"/>
    <w:lvl w:ilvl="0">
      <w:start w:val="1"/>
      <w:numFmt w:val="bullet"/>
      <w:pStyle w:val="ListBullet"/>
      <w:lvlText w:val=""/>
      <w:lvlJc w:val="left"/>
      <w:pPr>
        <w:ind w:left="720" w:hanging="360"/>
      </w:pPr>
      <w:rPr>
        <w:rFonts w:ascii="Symbol" w:hAnsi="Symbol" w:hint="default"/>
      </w:rPr>
    </w:lvl>
    <w:lvl w:ilvl="1">
      <w:start w:val="1"/>
      <w:numFmt w:val="bullet"/>
      <w:pStyle w:val="ListBullet2"/>
      <w:lvlText w:val="–"/>
      <w:lvlJc w:val="left"/>
      <w:pPr>
        <w:ind w:left="1080" w:hanging="360"/>
      </w:pPr>
      <w:rPr>
        <w:rFonts w:ascii="Arial" w:hAnsi="Arial" w:hint="default"/>
      </w:rPr>
    </w:lvl>
    <w:lvl w:ilvl="2">
      <w:start w:val="1"/>
      <w:numFmt w:val="bullet"/>
      <w:pStyle w:val="ListBullet3"/>
      <w:lvlText w:val=""/>
      <w:lvlJc w:val="left"/>
      <w:pPr>
        <w:ind w:left="1440" w:hanging="360"/>
      </w:pPr>
      <w:rPr>
        <w:rFonts w:ascii="Wingdings" w:hAnsi="Wingdings" w:hint="default"/>
      </w:rPr>
    </w:lvl>
    <w:lvl w:ilvl="3">
      <w:start w:val="1"/>
      <w:numFmt w:val="none"/>
      <w:lvlText w:val=""/>
      <w:lvlJc w:val="left"/>
      <w:pPr>
        <w:ind w:left="1800" w:hanging="360"/>
      </w:pPr>
      <w:rPr>
        <w:rFonts w:hint="default"/>
      </w:rPr>
    </w:lvl>
    <w:lvl w:ilvl="4">
      <w:start w:val="1"/>
      <w:numFmt w:val="none"/>
      <w:lvlText w:val=""/>
      <w:lvlJc w:val="left"/>
      <w:pPr>
        <w:ind w:left="2160" w:hanging="360"/>
      </w:pPr>
      <w:rPr>
        <w:rFonts w:hint="default"/>
      </w:rPr>
    </w:lvl>
    <w:lvl w:ilvl="5">
      <w:start w:val="1"/>
      <w:numFmt w:val="none"/>
      <w:lvlText w:val=""/>
      <w:lvlJc w:val="left"/>
      <w:pPr>
        <w:ind w:left="2520" w:hanging="360"/>
      </w:pPr>
      <w:rPr>
        <w:rFonts w:hint="default"/>
      </w:rPr>
    </w:lvl>
    <w:lvl w:ilvl="6">
      <w:start w:val="1"/>
      <w:numFmt w:val="none"/>
      <w:lvlText w:val="%7"/>
      <w:lvlJc w:val="left"/>
      <w:pPr>
        <w:ind w:left="2880" w:hanging="360"/>
      </w:pPr>
      <w:rPr>
        <w:rFonts w:hint="default"/>
      </w:rPr>
    </w:lvl>
    <w:lvl w:ilvl="7">
      <w:start w:val="1"/>
      <w:numFmt w:val="none"/>
      <w:lvlText w:val="%8"/>
      <w:lvlJc w:val="left"/>
      <w:pPr>
        <w:ind w:left="3240" w:hanging="360"/>
      </w:pPr>
      <w:rPr>
        <w:rFonts w:hint="default"/>
      </w:rPr>
    </w:lvl>
    <w:lvl w:ilvl="8">
      <w:start w:val="1"/>
      <w:numFmt w:val="none"/>
      <w:lvlText w:val="%9"/>
      <w:lvlJc w:val="left"/>
      <w:pPr>
        <w:ind w:left="3600" w:hanging="360"/>
      </w:pPr>
      <w:rPr>
        <w:rFonts w:hint="default"/>
      </w:rPr>
    </w:lvl>
  </w:abstractNum>
  <w:abstractNum w:abstractNumId="6" w15:restartNumberingAfterBreak="0">
    <w:nsid w:val="22641904"/>
    <w:multiLevelType w:val="hybridMultilevel"/>
    <w:tmpl w:val="CA6640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5560F3F"/>
    <w:multiLevelType w:val="hybridMultilevel"/>
    <w:tmpl w:val="08C83B4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269C6E22"/>
    <w:multiLevelType w:val="hybridMultilevel"/>
    <w:tmpl w:val="A6B63B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EB9215F"/>
    <w:multiLevelType w:val="hybridMultilevel"/>
    <w:tmpl w:val="01EC35F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FFC0A7E"/>
    <w:multiLevelType w:val="hybridMultilevel"/>
    <w:tmpl w:val="5FCA511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3E7A01E3"/>
    <w:multiLevelType w:val="hybridMultilevel"/>
    <w:tmpl w:val="17741FE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447744BB"/>
    <w:multiLevelType w:val="hybridMultilevel"/>
    <w:tmpl w:val="6F381EA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4914314"/>
    <w:multiLevelType w:val="hybridMultilevel"/>
    <w:tmpl w:val="A87626D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89B15D7"/>
    <w:multiLevelType w:val="hybridMultilevel"/>
    <w:tmpl w:val="3D2E60CC"/>
    <w:lvl w:ilvl="0" w:tplc="04CEB5FC">
      <w:start w:val="1"/>
      <w:numFmt w:val="bullet"/>
      <w:pStyle w:val="Bulletpoint"/>
      <w:lvlText w:val=""/>
      <w:lvlJc w:val="left"/>
      <w:pPr>
        <w:tabs>
          <w:tab w:val="num" w:pos="369"/>
        </w:tabs>
        <w:ind w:left="369" w:hanging="227"/>
      </w:pPr>
      <w:rPr>
        <w:rFonts w:ascii="Symbol" w:hAnsi="Symbol" w:hint="default"/>
        <w:position w:val="0"/>
        <w:sz w:val="22"/>
        <w:szCs w:val="22"/>
      </w:rPr>
    </w:lvl>
    <w:lvl w:ilvl="1" w:tplc="0C090003" w:tentative="1">
      <w:start w:val="1"/>
      <w:numFmt w:val="bullet"/>
      <w:lvlText w:val="o"/>
      <w:lvlJc w:val="left"/>
      <w:pPr>
        <w:tabs>
          <w:tab w:val="num" w:pos="1440"/>
        </w:tabs>
        <w:ind w:left="1440" w:hanging="360"/>
      </w:pPr>
      <w:rPr>
        <w:rFonts w:ascii="Courier New" w:hAnsi="Courier New" w:cs="Symbol"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Symbol"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Symbol"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8363B06"/>
    <w:multiLevelType w:val="hybridMultilevel"/>
    <w:tmpl w:val="2FFAE0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93263D4"/>
    <w:multiLevelType w:val="hybridMultilevel"/>
    <w:tmpl w:val="10A6F7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5"/>
  </w:num>
  <w:num w:numId="4">
    <w:abstractNumId w:val="4"/>
  </w:num>
  <w:num w:numId="5">
    <w:abstractNumId w:val="14"/>
  </w:num>
  <w:num w:numId="6">
    <w:abstractNumId w:val="12"/>
  </w:num>
  <w:num w:numId="7">
    <w:abstractNumId w:val="9"/>
  </w:num>
  <w:num w:numId="8">
    <w:abstractNumId w:val="13"/>
  </w:num>
  <w:num w:numId="9">
    <w:abstractNumId w:val="10"/>
  </w:num>
  <w:num w:numId="10">
    <w:abstractNumId w:val="7"/>
  </w:num>
  <w:num w:numId="11">
    <w:abstractNumId w:val="6"/>
  </w:num>
  <w:num w:numId="12">
    <w:abstractNumId w:val="15"/>
  </w:num>
  <w:num w:numId="13">
    <w:abstractNumId w:val="2"/>
  </w:num>
  <w:num w:numId="14">
    <w:abstractNumId w:val="8"/>
  </w:num>
  <w:num w:numId="15">
    <w:abstractNumId w:val="16"/>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num>
  <w:num w:numId="18">
    <w:abstractNumId w:val="11"/>
  </w:num>
  <w:num w:numId="19">
    <w:abstractNumId w:val="0"/>
  </w:num>
  <w:num w:numId="20">
    <w:abstractNumId w:val="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26F5"/>
    <w:rsid w:val="0000146A"/>
    <w:rsid w:val="00002031"/>
    <w:rsid w:val="00004734"/>
    <w:rsid w:val="00006B22"/>
    <w:rsid w:val="00006FAB"/>
    <w:rsid w:val="0001276A"/>
    <w:rsid w:val="000219C9"/>
    <w:rsid w:val="000246AE"/>
    <w:rsid w:val="00025C67"/>
    <w:rsid w:val="0003149E"/>
    <w:rsid w:val="000326F5"/>
    <w:rsid w:val="00044772"/>
    <w:rsid w:val="0004541C"/>
    <w:rsid w:val="00051B1B"/>
    <w:rsid w:val="00054949"/>
    <w:rsid w:val="0005559E"/>
    <w:rsid w:val="000604D6"/>
    <w:rsid w:val="00073395"/>
    <w:rsid w:val="000734D8"/>
    <w:rsid w:val="00075EA7"/>
    <w:rsid w:val="00077775"/>
    <w:rsid w:val="0008724B"/>
    <w:rsid w:val="00090471"/>
    <w:rsid w:val="00093EA4"/>
    <w:rsid w:val="00094291"/>
    <w:rsid w:val="00096AA7"/>
    <w:rsid w:val="000A3AED"/>
    <w:rsid w:val="000A53C3"/>
    <w:rsid w:val="000B3532"/>
    <w:rsid w:val="000B3A75"/>
    <w:rsid w:val="000C00C2"/>
    <w:rsid w:val="000C690F"/>
    <w:rsid w:val="000D1295"/>
    <w:rsid w:val="000D18F5"/>
    <w:rsid w:val="000D391B"/>
    <w:rsid w:val="000D3D6D"/>
    <w:rsid w:val="000D4FC7"/>
    <w:rsid w:val="000E0F0E"/>
    <w:rsid w:val="000E2470"/>
    <w:rsid w:val="000E6196"/>
    <w:rsid w:val="000E71D7"/>
    <w:rsid w:val="000F4869"/>
    <w:rsid w:val="000F5B42"/>
    <w:rsid w:val="000F6E6F"/>
    <w:rsid w:val="0010601F"/>
    <w:rsid w:val="001066A6"/>
    <w:rsid w:val="0010788A"/>
    <w:rsid w:val="00107A31"/>
    <w:rsid w:val="00110EA5"/>
    <w:rsid w:val="00112270"/>
    <w:rsid w:val="00112F56"/>
    <w:rsid w:val="0011684A"/>
    <w:rsid w:val="00117C1F"/>
    <w:rsid w:val="00122C2E"/>
    <w:rsid w:val="00124ACD"/>
    <w:rsid w:val="00125318"/>
    <w:rsid w:val="001260D1"/>
    <w:rsid w:val="001305A2"/>
    <w:rsid w:val="00133238"/>
    <w:rsid w:val="00133A1B"/>
    <w:rsid w:val="001373DB"/>
    <w:rsid w:val="0014197B"/>
    <w:rsid w:val="001447CD"/>
    <w:rsid w:val="00146C53"/>
    <w:rsid w:val="001516B1"/>
    <w:rsid w:val="0015470B"/>
    <w:rsid w:val="00154EBB"/>
    <w:rsid w:val="00156316"/>
    <w:rsid w:val="00160F23"/>
    <w:rsid w:val="00161181"/>
    <w:rsid w:val="00161D56"/>
    <w:rsid w:val="00162B92"/>
    <w:rsid w:val="00162D14"/>
    <w:rsid w:val="00163780"/>
    <w:rsid w:val="00165389"/>
    <w:rsid w:val="00171F46"/>
    <w:rsid w:val="0017693F"/>
    <w:rsid w:val="0018110E"/>
    <w:rsid w:val="00181684"/>
    <w:rsid w:val="001843C6"/>
    <w:rsid w:val="001850E0"/>
    <w:rsid w:val="00185407"/>
    <w:rsid w:val="001A03AF"/>
    <w:rsid w:val="001A2158"/>
    <w:rsid w:val="001A525F"/>
    <w:rsid w:val="001A5A00"/>
    <w:rsid w:val="001A66B8"/>
    <w:rsid w:val="001B09F9"/>
    <w:rsid w:val="001B1DA4"/>
    <w:rsid w:val="001B5C90"/>
    <w:rsid w:val="001B6448"/>
    <w:rsid w:val="001B7ED0"/>
    <w:rsid w:val="001C32CD"/>
    <w:rsid w:val="001D2984"/>
    <w:rsid w:val="001E07CF"/>
    <w:rsid w:val="001E359E"/>
    <w:rsid w:val="001E59F1"/>
    <w:rsid w:val="001E7FEA"/>
    <w:rsid w:val="001F2CEE"/>
    <w:rsid w:val="001F49EB"/>
    <w:rsid w:val="001F6988"/>
    <w:rsid w:val="001F6CBA"/>
    <w:rsid w:val="00201D4E"/>
    <w:rsid w:val="002076C9"/>
    <w:rsid w:val="00210861"/>
    <w:rsid w:val="00220B8A"/>
    <w:rsid w:val="00223DDB"/>
    <w:rsid w:val="002257F3"/>
    <w:rsid w:val="002314EA"/>
    <w:rsid w:val="0023152B"/>
    <w:rsid w:val="00233456"/>
    <w:rsid w:val="00233862"/>
    <w:rsid w:val="002339A5"/>
    <w:rsid w:val="00250271"/>
    <w:rsid w:val="00250F35"/>
    <w:rsid w:val="00257848"/>
    <w:rsid w:val="002578E8"/>
    <w:rsid w:val="0026506C"/>
    <w:rsid w:val="0027084A"/>
    <w:rsid w:val="00271E85"/>
    <w:rsid w:val="00280265"/>
    <w:rsid w:val="002830E1"/>
    <w:rsid w:val="00286434"/>
    <w:rsid w:val="00286C59"/>
    <w:rsid w:val="00291957"/>
    <w:rsid w:val="002942D1"/>
    <w:rsid w:val="00294DE9"/>
    <w:rsid w:val="0029501A"/>
    <w:rsid w:val="002A3721"/>
    <w:rsid w:val="002B1638"/>
    <w:rsid w:val="002B3624"/>
    <w:rsid w:val="002C3139"/>
    <w:rsid w:val="002C521F"/>
    <w:rsid w:val="002D0952"/>
    <w:rsid w:val="002D0FC8"/>
    <w:rsid w:val="002E40B3"/>
    <w:rsid w:val="002E4C9A"/>
    <w:rsid w:val="002E66CB"/>
    <w:rsid w:val="002F11F8"/>
    <w:rsid w:val="002F192A"/>
    <w:rsid w:val="002F3F56"/>
    <w:rsid w:val="002F44B5"/>
    <w:rsid w:val="002F5122"/>
    <w:rsid w:val="00300685"/>
    <w:rsid w:val="00300C9C"/>
    <w:rsid w:val="00306A60"/>
    <w:rsid w:val="00311AC0"/>
    <w:rsid w:val="00314E70"/>
    <w:rsid w:val="003176FC"/>
    <w:rsid w:val="00324E45"/>
    <w:rsid w:val="0032583B"/>
    <w:rsid w:val="003259E6"/>
    <w:rsid w:val="00327883"/>
    <w:rsid w:val="00332715"/>
    <w:rsid w:val="00335504"/>
    <w:rsid w:val="00340C18"/>
    <w:rsid w:val="00341D6A"/>
    <w:rsid w:val="003442FD"/>
    <w:rsid w:val="00345902"/>
    <w:rsid w:val="00347824"/>
    <w:rsid w:val="00350567"/>
    <w:rsid w:val="003521E8"/>
    <w:rsid w:val="003521FC"/>
    <w:rsid w:val="00364DEE"/>
    <w:rsid w:val="00370CE3"/>
    <w:rsid w:val="003728F3"/>
    <w:rsid w:val="003735BC"/>
    <w:rsid w:val="0037496E"/>
    <w:rsid w:val="00383221"/>
    <w:rsid w:val="00386150"/>
    <w:rsid w:val="003874CE"/>
    <w:rsid w:val="00390900"/>
    <w:rsid w:val="003A5D70"/>
    <w:rsid w:val="003A7F6C"/>
    <w:rsid w:val="003B25BF"/>
    <w:rsid w:val="003B4D60"/>
    <w:rsid w:val="003B7E39"/>
    <w:rsid w:val="003C58DC"/>
    <w:rsid w:val="003D1E62"/>
    <w:rsid w:val="003E0220"/>
    <w:rsid w:val="003E0B99"/>
    <w:rsid w:val="003E2486"/>
    <w:rsid w:val="003E3208"/>
    <w:rsid w:val="003F0B04"/>
    <w:rsid w:val="0040134E"/>
    <w:rsid w:val="00416972"/>
    <w:rsid w:val="00416A63"/>
    <w:rsid w:val="004334C7"/>
    <w:rsid w:val="00436416"/>
    <w:rsid w:val="00440A2D"/>
    <w:rsid w:val="00441C3F"/>
    <w:rsid w:val="00444D1A"/>
    <w:rsid w:val="00447D7A"/>
    <w:rsid w:val="0045186A"/>
    <w:rsid w:val="00454BDC"/>
    <w:rsid w:val="00456180"/>
    <w:rsid w:val="004564A7"/>
    <w:rsid w:val="00456765"/>
    <w:rsid w:val="00460036"/>
    <w:rsid w:val="004617BF"/>
    <w:rsid w:val="00463658"/>
    <w:rsid w:val="004637A0"/>
    <w:rsid w:val="004722CC"/>
    <w:rsid w:val="00474053"/>
    <w:rsid w:val="0049047E"/>
    <w:rsid w:val="00490483"/>
    <w:rsid w:val="004936E4"/>
    <w:rsid w:val="00494085"/>
    <w:rsid w:val="00494E60"/>
    <w:rsid w:val="00497487"/>
    <w:rsid w:val="00497989"/>
    <w:rsid w:val="004A0267"/>
    <w:rsid w:val="004A2771"/>
    <w:rsid w:val="004A6189"/>
    <w:rsid w:val="004A7390"/>
    <w:rsid w:val="004B7B76"/>
    <w:rsid w:val="004C239D"/>
    <w:rsid w:val="004C2B1B"/>
    <w:rsid w:val="004C2DCA"/>
    <w:rsid w:val="004C4FBE"/>
    <w:rsid w:val="004C61D2"/>
    <w:rsid w:val="004C7BEF"/>
    <w:rsid w:val="004F0C4A"/>
    <w:rsid w:val="004F0F38"/>
    <w:rsid w:val="004F427B"/>
    <w:rsid w:val="004F47D6"/>
    <w:rsid w:val="00500337"/>
    <w:rsid w:val="00501921"/>
    <w:rsid w:val="00505417"/>
    <w:rsid w:val="0052149B"/>
    <w:rsid w:val="00523A21"/>
    <w:rsid w:val="00524738"/>
    <w:rsid w:val="00530354"/>
    <w:rsid w:val="0053625B"/>
    <w:rsid w:val="005434C6"/>
    <w:rsid w:val="00543B39"/>
    <w:rsid w:val="00545CDB"/>
    <w:rsid w:val="00546154"/>
    <w:rsid w:val="00550096"/>
    <w:rsid w:val="00555280"/>
    <w:rsid w:val="00557EB4"/>
    <w:rsid w:val="00557FF9"/>
    <w:rsid w:val="00562327"/>
    <w:rsid w:val="005711D5"/>
    <w:rsid w:val="00571A18"/>
    <w:rsid w:val="00576378"/>
    <w:rsid w:val="00577130"/>
    <w:rsid w:val="00577945"/>
    <w:rsid w:val="00577E38"/>
    <w:rsid w:val="005827FB"/>
    <w:rsid w:val="00585322"/>
    <w:rsid w:val="005857C6"/>
    <w:rsid w:val="00592F6E"/>
    <w:rsid w:val="00593AD1"/>
    <w:rsid w:val="005A441A"/>
    <w:rsid w:val="005A53B2"/>
    <w:rsid w:val="005A68B6"/>
    <w:rsid w:val="005A79F5"/>
    <w:rsid w:val="005C44DF"/>
    <w:rsid w:val="005C494B"/>
    <w:rsid w:val="005C5570"/>
    <w:rsid w:val="005C5B66"/>
    <w:rsid w:val="005C79A4"/>
    <w:rsid w:val="005D1CF4"/>
    <w:rsid w:val="005D5442"/>
    <w:rsid w:val="005E1958"/>
    <w:rsid w:val="005F09B4"/>
    <w:rsid w:val="005F6161"/>
    <w:rsid w:val="005F6779"/>
    <w:rsid w:val="00603F32"/>
    <w:rsid w:val="00605AD4"/>
    <w:rsid w:val="00611CDA"/>
    <w:rsid w:val="00612CA2"/>
    <w:rsid w:val="006136D7"/>
    <w:rsid w:val="006232AC"/>
    <w:rsid w:val="00625A6E"/>
    <w:rsid w:val="00630C73"/>
    <w:rsid w:val="00632398"/>
    <w:rsid w:val="00640FC3"/>
    <w:rsid w:val="00642020"/>
    <w:rsid w:val="006430EE"/>
    <w:rsid w:val="00643CE5"/>
    <w:rsid w:val="0065129E"/>
    <w:rsid w:val="0065337B"/>
    <w:rsid w:val="0065419D"/>
    <w:rsid w:val="006603BC"/>
    <w:rsid w:val="006604D8"/>
    <w:rsid w:val="00664A5B"/>
    <w:rsid w:val="00665F45"/>
    <w:rsid w:val="0066735C"/>
    <w:rsid w:val="006710F3"/>
    <w:rsid w:val="00675AD5"/>
    <w:rsid w:val="006763D2"/>
    <w:rsid w:val="00680C08"/>
    <w:rsid w:val="00687073"/>
    <w:rsid w:val="006901BA"/>
    <w:rsid w:val="006916A0"/>
    <w:rsid w:val="006931B1"/>
    <w:rsid w:val="006A0281"/>
    <w:rsid w:val="006A15C0"/>
    <w:rsid w:val="006A1A40"/>
    <w:rsid w:val="006A58A8"/>
    <w:rsid w:val="006A73B4"/>
    <w:rsid w:val="006C3E2A"/>
    <w:rsid w:val="006C642F"/>
    <w:rsid w:val="006D03E5"/>
    <w:rsid w:val="006D5D3E"/>
    <w:rsid w:val="006E08B3"/>
    <w:rsid w:val="006E7D4A"/>
    <w:rsid w:val="006F17AC"/>
    <w:rsid w:val="006F25B8"/>
    <w:rsid w:val="006F3B4D"/>
    <w:rsid w:val="006F572E"/>
    <w:rsid w:val="00702BE2"/>
    <w:rsid w:val="007046D6"/>
    <w:rsid w:val="00705DB0"/>
    <w:rsid w:val="00711BD7"/>
    <w:rsid w:val="0072292E"/>
    <w:rsid w:val="00722B57"/>
    <w:rsid w:val="00726469"/>
    <w:rsid w:val="00730F8A"/>
    <w:rsid w:val="00735A8C"/>
    <w:rsid w:val="00736F56"/>
    <w:rsid w:val="0074163C"/>
    <w:rsid w:val="0074253D"/>
    <w:rsid w:val="00744121"/>
    <w:rsid w:val="0074429B"/>
    <w:rsid w:val="00751998"/>
    <w:rsid w:val="00757BBF"/>
    <w:rsid w:val="007615BC"/>
    <w:rsid w:val="00762F05"/>
    <w:rsid w:val="007652FF"/>
    <w:rsid w:val="007703EF"/>
    <w:rsid w:val="00770CAC"/>
    <w:rsid w:val="00770EF1"/>
    <w:rsid w:val="0077131A"/>
    <w:rsid w:val="00773EF7"/>
    <w:rsid w:val="00774E1D"/>
    <w:rsid w:val="007765D8"/>
    <w:rsid w:val="0077675A"/>
    <w:rsid w:val="00780355"/>
    <w:rsid w:val="007804A1"/>
    <w:rsid w:val="007819FD"/>
    <w:rsid w:val="00785717"/>
    <w:rsid w:val="00785721"/>
    <w:rsid w:val="00793A59"/>
    <w:rsid w:val="007A46F5"/>
    <w:rsid w:val="007A6505"/>
    <w:rsid w:val="007B43C2"/>
    <w:rsid w:val="007B6132"/>
    <w:rsid w:val="007B6E9F"/>
    <w:rsid w:val="007C1216"/>
    <w:rsid w:val="007C1AF7"/>
    <w:rsid w:val="007C6B9B"/>
    <w:rsid w:val="007D3905"/>
    <w:rsid w:val="007D3E5A"/>
    <w:rsid w:val="007D53B6"/>
    <w:rsid w:val="007F29A6"/>
    <w:rsid w:val="00804D99"/>
    <w:rsid w:val="00805D27"/>
    <w:rsid w:val="00806C0B"/>
    <w:rsid w:val="00806DCB"/>
    <w:rsid w:val="008110BC"/>
    <w:rsid w:val="00821776"/>
    <w:rsid w:val="00821EAC"/>
    <w:rsid w:val="008303ED"/>
    <w:rsid w:val="008321F5"/>
    <w:rsid w:val="00832369"/>
    <w:rsid w:val="00832EFA"/>
    <w:rsid w:val="0083303E"/>
    <w:rsid w:val="00833ED8"/>
    <w:rsid w:val="00834660"/>
    <w:rsid w:val="00836BC2"/>
    <w:rsid w:val="00837562"/>
    <w:rsid w:val="00842311"/>
    <w:rsid w:val="008424C6"/>
    <w:rsid w:val="00843100"/>
    <w:rsid w:val="0085156D"/>
    <w:rsid w:val="00852B28"/>
    <w:rsid w:val="00855797"/>
    <w:rsid w:val="00855994"/>
    <w:rsid w:val="0085641B"/>
    <w:rsid w:val="00857136"/>
    <w:rsid w:val="00865B03"/>
    <w:rsid w:val="00870FE6"/>
    <w:rsid w:val="008744CD"/>
    <w:rsid w:val="00875A6B"/>
    <w:rsid w:val="00885B11"/>
    <w:rsid w:val="00886D15"/>
    <w:rsid w:val="00887DD8"/>
    <w:rsid w:val="00890762"/>
    <w:rsid w:val="00891BA9"/>
    <w:rsid w:val="00896018"/>
    <w:rsid w:val="008960DD"/>
    <w:rsid w:val="0089635C"/>
    <w:rsid w:val="008A06CE"/>
    <w:rsid w:val="008A2B9D"/>
    <w:rsid w:val="008A3D9F"/>
    <w:rsid w:val="008A5E0B"/>
    <w:rsid w:val="008A6D59"/>
    <w:rsid w:val="008B0AC3"/>
    <w:rsid w:val="008B4B03"/>
    <w:rsid w:val="008B4EA9"/>
    <w:rsid w:val="008B596F"/>
    <w:rsid w:val="008C159F"/>
    <w:rsid w:val="008C1623"/>
    <w:rsid w:val="008C1850"/>
    <w:rsid w:val="008C310C"/>
    <w:rsid w:val="008C51A9"/>
    <w:rsid w:val="008C6DB2"/>
    <w:rsid w:val="008D0BF8"/>
    <w:rsid w:val="008D0C14"/>
    <w:rsid w:val="008E7846"/>
    <w:rsid w:val="008E7BE4"/>
    <w:rsid w:val="008F02E5"/>
    <w:rsid w:val="008F1CCC"/>
    <w:rsid w:val="008F2967"/>
    <w:rsid w:val="008F6943"/>
    <w:rsid w:val="00901C81"/>
    <w:rsid w:val="00902A21"/>
    <w:rsid w:val="00906AB4"/>
    <w:rsid w:val="0091523F"/>
    <w:rsid w:val="0092008E"/>
    <w:rsid w:val="00920330"/>
    <w:rsid w:val="00920C93"/>
    <w:rsid w:val="009219D7"/>
    <w:rsid w:val="00922D53"/>
    <w:rsid w:val="00923B70"/>
    <w:rsid w:val="00924482"/>
    <w:rsid w:val="00930237"/>
    <w:rsid w:val="00930E2D"/>
    <w:rsid w:val="00937C17"/>
    <w:rsid w:val="00940345"/>
    <w:rsid w:val="00940A89"/>
    <w:rsid w:val="00941CB0"/>
    <w:rsid w:val="00941F77"/>
    <w:rsid w:val="00946EA5"/>
    <w:rsid w:val="009556D7"/>
    <w:rsid w:val="00956614"/>
    <w:rsid w:val="00960520"/>
    <w:rsid w:val="00963C08"/>
    <w:rsid w:val="00973B6E"/>
    <w:rsid w:val="0097420E"/>
    <w:rsid w:val="009752A5"/>
    <w:rsid w:val="0098585A"/>
    <w:rsid w:val="0098685C"/>
    <w:rsid w:val="00993E70"/>
    <w:rsid w:val="009A2DD0"/>
    <w:rsid w:val="009A4CED"/>
    <w:rsid w:val="009A690D"/>
    <w:rsid w:val="009B1D12"/>
    <w:rsid w:val="009B416B"/>
    <w:rsid w:val="009C0666"/>
    <w:rsid w:val="009C07FB"/>
    <w:rsid w:val="009C4BD5"/>
    <w:rsid w:val="009D7B77"/>
    <w:rsid w:val="009E0BB0"/>
    <w:rsid w:val="009E165C"/>
    <w:rsid w:val="009E2FC0"/>
    <w:rsid w:val="009E3FBB"/>
    <w:rsid w:val="009E5A87"/>
    <w:rsid w:val="009F0262"/>
    <w:rsid w:val="009F2673"/>
    <w:rsid w:val="009F50D4"/>
    <w:rsid w:val="009F5CFD"/>
    <w:rsid w:val="009F7353"/>
    <w:rsid w:val="00A01B6F"/>
    <w:rsid w:val="00A04F85"/>
    <w:rsid w:val="00A05FA4"/>
    <w:rsid w:val="00A07038"/>
    <w:rsid w:val="00A102E4"/>
    <w:rsid w:val="00A1219C"/>
    <w:rsid w:val="00A12C42"/>
    <w:rsid w:val="00A14DF7"/>
    <w:rsid w:val="00A22D57"/>
    <w:rsid w:val="00A3246D"/>
    <w:rsid w:val="00A36FA7"/>
    <w:rsid w:val="00A44DDB"/>
    <w:rsid w:val="00A475B7"/>
    <w:rsid w:val="00A4792D"/>
    <w:rsid w:val="00A47AF7"/>
    <w:rsid w:val="00A47C3E"/>
    <w:rsid w:val="00A50226"/>
    <w:rsid w:val="00A60BAD"/>
    <w:rsid w:val="00A70A30"/>
    <w:rsid w:val="00A77F87"/>
    <w:rsid w:val="00A80B5B"/>
    <w:rsid w:val="00A81ED8"/>
    <w:rsid w:val="00A84E36"/>
    <w:rsid w:val="00A964D1"/>
    <w:rsid w:val="00AA0ED0"/>
    <w:rsid w:val="00AC11DC"/>
    <w:rsid w:val="00AC2B40"/>
    <w:rsid w:val="00AC2BB2"/>
    <w:rsid w:val="00AC2C3C"/>
    <w:rsid w:val="00AC512D"/>
    <w:rsid w:val="00AC66A4"/>
    <w:rsid w:val="00AD0083"/>
    <w:rsid w:val="00AD3935"/>
    <w:rsid w:val="00AE4068"/>
    <w:rsid w:val="00AE65EB"/>
    <w:rsid w:val="00AE67A7"/>
    <w:rsid w:val="00AF1D94"/>
    <w:rsid w:val="00AF2313"/>
    <w:rsid w:val="00AF60C5"/>
    <w:rsid w:val="00B009C6"/>
    <w:rsid w:val="00B01548"/>
    <w:rsid w:val="00B0343B"/>
    <w:rsid w:val="00B130C5"/>
    <w:rsid w:val="00B13EBD"/>
    <w:rsid w:val="00B1406F"/>
    <w:rsid w:val="00B21D29"/>
    <w:rsid w:val="00B23B43"/>
    <w:rsid w:val="00B25034"/>
    <w:rsid w:val="00B32813"/>
    <w:rsid w:val="00B33588"/>
    <w:rsid w:val="00B33863"/>
    <w:rsid w:val="00B37D17"/>
    <w:rsid w:val="00B4175E"/>
    <w:rsid w:val="00B41C85"/>
    <w:rsid w:val="00B452CE"/>
    <w:rsid w:val="00B4546F"/>
    <w:rsid w:val="00B54C25"/>
    <w:rsid w:val="00B6151B"/>
    <w:rsid w:val="00B62CAC"/>
    <w:rsid w:val="00B76B91"/>
    <w:rsid w:val="00B77EB1"/>
    <w:rsid w:val="00B811C6"/>
    <w:rsid w:val="00B84C76"/>
    <w:rsid w:val="00B855B0"/>
    <w:rsid w:val="00B86532"/>
    <w:rsid w:val="00B92E08"/>
    <w:rsid w:val="00B931AE"/>
    <w:rsid w:val="00BA361E"/>
    <w:rsid w:val="00BA5891"/>
    <w:rsid w:val="00BA7A28"/>
    <w:rsid w:val="00BB089A"/>
    <w:rsid w:val="00BB0B78"/>
    <w:rsid w:val="00BB75D6"/>
    <w:rsid w:val="00BC12D8"/>
    <w:rsid w:val="00BC622A"/>
    <w:rsid w:val="00BD3AA5"/>
    <w:rsid w:val="00BD768B"/>
    <w:rsid w:val="00BE0A78"/>
    <w:rsid w:val="00BE6542"/>
    <w:rsid w:val="00BE79F0"/>
    <w:rsid w:val="00BF046D"/>
    <w:rsid w:val="00BF1190"/>
    <w:rsid w:val="00BF18CA"/>
    <w:rsid w:val="00BF3774"/>
    <w:rsid w:val="00BF5D04"/>
    <w:rsid w:val="00BF5F3D"/>
    <w:rsid w:val="00BF7063"/>
    <w:rsid w:val="00C009AA"/>
    <w:rsid w:val="00C01D64"/>
    <w:rsid w:val="00C1164D"/>
    <w:rsid w:val="00C16861"/>
    <w:rsid w:val="00C20638"/>
    <w:rsid w:val="00C34133"/>
    <w:rsid w:val="00C345E9"/>
    <w:rsid w:val="00C346AB"/>
    <w:rsid w:val="00C404A6"/>
    <w:rsid w:val="00C40A36"/>
    <w:rsid w:val="00C44419"/>
    <w:rsid w:val="00C45E7B"/>
    <w:rsid w:val="00C471B1"/>
    <w:rsid w:val="00C525A2"/>
    <w:rsid w:val="00C52E24"/>
    <w:rsid w:val="00C62260"/>
    <w:rsid w:val="00C6316B"/>
    <w:rsid w:val="00C634A9"/>
    <w:rsid w:val="00C64586"/>
    <w:rsid w:val="00C70A36"/>
    <w:rsid w:val="00C70D53"/>
    <w:rsid w:val="00C71859"/>
    <w:rsid w:val="00C73D0B"/>
    <w:rsid w:val="00C74F5C"/>
    <w:rsid w:val="00C772FF"/>
    <w:rsid w:val="00C80137"/>
    <w:rsid w:val="00C801AF"/>
    <w:rsid w:val="00C80256"/>
    <w:rsid w:val="00C87101"/>
    <w:rsid w:val="00C90103"/>
    <w:rsid w:val="00C94CD4"/>
    <w:rsid w:val="00C9747E"/>
    <w:rsid w:val="00CB0BE6"/>
    <w:rsid w:val="00CB4C33"/>
    <w:rsid w:val="00CB5B86"/>
    <w:rsid w:val="00CB6BC0"/>
    <w:rsid w:val="00CB7B13"/>
    <w:rsid w:val="00CC1B7C"/>
    <w:rsid w:val="00CC5044"/>
    <w:rsid w:val="00CC727F"/>
    <w:rsid w:val="00CD52F0"/>
    <w:rsid w:val="00CF15C3"/>
    <w:rsid w:val="00CF2B6F"/>
    <w:rsid w:val="00CF2F3E"/>
    <w:rsid w:val="00CF4506"/>
    <w:rsid w:val="00CF46AD"/>
    <w:rsid w:val="00CF58B6"/>
    <w:rsid w:val="00CF5DAD"/>
    <w:rsid w:val="00CF75F0"/>
    <w:rsid w:val="00D0062D"/>
    <w:rsid w:val="00D00967"/>
    <w:rsid w:val="00D017ED"/>
    <w:rsid w:val="00D0214E"/>
    <w:rsid w:val="00D040D3"/>
    <w:rsid w:val="00D04C65"/>
    <w:rsid w:val="00D070A2"/>
    <w:rsid w:val="00D153D8"/>
    <w:rsid w:val="00D201D2"/>
    <w:rsid w:val="00D212F3"/>
    <w:rsid w:val="00D224FE"/>
    <w:rsid w:val="00D2295F"/>
    <w:rsid w:val="00D23139"/>
    <w:rsid w:val="00D26D1B"/>
    <w:rsid w:val="00D30DE4"/>
    <w:rsid w:val="00D41009"/>
    <w:rsid w:val="00D4234D"/>
    <w:rsid w:val="00D425BB"/>
    <w:rsid w:val="00D42F9F"/>
    <w:rsid w:val="00D453FA"/>
    <w:rsid w:val="00D56348"/>
    <w:rsid w:val="00D6493E"/>
    <w:rsid w:val="00D7195D"/>
    <w:rsid w:val="00D72CBA"/>
    <w:rsid w:val="00D7301E"/>
    <w:rsid w:val="00D734DF"/>
    <w:rsid w:val="00D81ED0"/>
    <w:rsid w:val="00D83AE1"/>
    <w:rsid w:val="00D84C93"/>
    <w:rsid w:val="00D854AC"/>
    <w:rsid w:val="00D855D4"/>
    <w:rsid w:val="00D902C9"/>
    <w:rsid w:val="00D93466"/>
    <w:rsid w:val="00DA1124"/>
    <w:rsid w:val="00DA1AAE"/>
    <w:rsid w:val="00DA5C13"/>
    <w:rsid w:val="00DA64CB"/>
    <w:rsid w:val="00DB06B8"/>
    <w:rsid w:val="00DB6124"/>
    <w:rsid w:val="00DB750B"/>
    <w:rsid w:val="00DB75B7"/>
    <w:rsid w:val="00DC0A2F"/>
    <w:rsid w:val="00DC1948"/>
    <w:rsid w:val="00DC6E02"/>
    <w:rsid w:val="00DC7F79"/>
    <w:rsid w:val="00DD28CD"/>
    <w:rsid w:val="00DE02AE"/>
    <w:rsid w:val="00DE39D1"/>
    <w:rsid w:val="00DF114B"/>
    <w:rsid w:val="00DF1D7F"/>
    <w:rsid w:val="00DF4BE4"/>
    <w:rsid w:val="00DF7541"/>
    <w:rsid w:val="00DF7C6F"/>
    <w:rsid w:val="00E02382"/>
    <w:rsid w:val="00E02FB4"/>
    <w:rsid w:val="00E13FC7"/>
    <w:rsid w:val="00E20571"/>
    <w:rsid w:val="00E2273A"/>
    <w:rsid w:val="00E235F7"/>
    <w:rsid w:val="00E23659"/>
    <w:rsid w:val="00E239D4"/>
    <w:rsid w:val="00E25051"/>
    <w:rsid w:val="00E26130"/>
    <w:rsid w:val="00E26866"/>
    <w:rsid w:val="00E33D42"/>
    <w:rsid w:val="00E40B22"/>
    <w:rsid w:val="00E43A97"/>
    <w:rsid w:val="00E44ED1"/>
    <w:rsid w:val="00E45619"/>
    <w:rsid w:val="00E4588F"/>
    <w:rsid w:val="00E46DA3"/>
    <w:rsid w:val="00E51BB1"/>
    <w:rsid w:val="00E55CB0"/>
    <w:rsid w:val="00E624A5"/>
    <w:rsid w:val="00E631FA"/>
    <w:rsid w:val="00E64BA4"/>
    <w:rsid w:val="00E65ECC"/>
    <w:rsid w:val="00E674F4"/>
    <w:rsid w:val="00E7344E"/>
    <w:rsid w:val="00E738FE"/>
    <w:rsid w:val="00E82665"/>
    <w:rsid w:val="00E963D9"/>
    <w:rsid w:val="00E97883"/>
    <w:rsid w:val="00EB0798"/>
    <w:rsid w:val="00EB36D6"/>
    <w:rsid w:val="00EB40AD"/>
    <w:rsid w:val="00EB586E"/>
    <w:rsid w:val="00EB5FC8"/>
    <w:rsid w:val="00EC12C4"/>
    <w:rsid w:val="00EC463D"/>
    <w:rsid w:val="00EC7A85"/>
    <w:rsid w:val="00ED1DA4"/>
    <w:rsid w:val="00ED2922"/>
    <w:rsid w:val="00ED3474"/>
    <w:rsid w:val="00ED3CAD"/>
    <w:rsid w:val="00ED5A41"/>
    <w:rsid w:val="00EE1DE8"/>
    <w:rsid w:val="00EE27C2"/>
    <w:rsid w:val="00EE6009"/>
    <w:rsid w:val="00EF0C3E"/>
    <w:rsid w:val="00EF4BAD"/>
    <w:rsid w:val="00EF59DC"/>
    <w:rsid w:val="00F003F7"/>
    <w:rsid w:val="00F01262"/>
    <w:rsid w:val="00F033EC"/>
    <w:rsid w:val="00F04F68"/>
    <w:rsid w:val="00F0623A"/>
    <w:rsid w:val="00F1128B"/>
    <w:rsid w:val="00F12670"/>
    <w:rsid w:val="00F14B27"/>
    <w:rsid w:val="00F20392"/>
    <w:rsid w:val="00F24841"/>
    <w:rsid w:val="00F24B78"/>
    <w:rsid w:val="00F24EF3"/>
    <w:rsid w:val="00F3148D"/>
    <w:rsid w:val="00F325C5"/>
    <w:rsid w:val="00F32FE0"/>
    <w:rsid w:val="00F348A4"/>
    <w:rsid w:val="00F35298"/>
    <w:rsid w:val="00F47333"/>
    <w:rsid w:val="00F47D1F"/>
    <w:rsid w:val="00F47E37"/>
    <w:rsid w:val="00F53C07"/>
    <w:rsid w:val="00F54B65"/>
    <w:rsid w:val="00F620D2"/>
    <w:rsid w:val="00F63629"/>
    <w:rsid w:val="00F63DBF"/>
    <w:rsid w:val="00F640B6"/>
    <w:rsid w:val="00F66DF2"/>
    <w:rsid w:val="00F72495"/>
    <w:rsid w:val="00F80E40"/>
    <w:rsid w:val="00F848D9"/>
    <w:rsid w:val="00F931CE"/>
    <w:rsid w:val="00F97747"/>
    <w:rsid w:val="00FA4BBA"/>
    <w:rsid w:val="00FA5069"/>
    <w:rsid w:val="00FA5B82"/>
    <w:rsid w:val="00FA639E"/>
    <w:rsid w:val="00FB7036"/>
    <w:rsid w:val="00FC1FCA"/>
    <w:rsid w:val="00FC25E4"/>
    <w:rsid w:val="00FC4EF7"/>
    <w:rsid w:val="00FD0824"/>
    <w:rsid w:val="00FD119B"/>
    <w:rsid w:val="00FD1EDC"/>
    <w:rsid w:val="00FE1DEE"/>
    <w:rsid w:val="00FE7A3D"/>
    <w:rsid w:val="00FF2126"/>
    <w:rsid w:val="00FF5755"/>
    <w:rsid w:val="00FF69BE"/>
    <w:rsid w:val="00FF7B93"/>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33A5829"/>
  <w15:docId w15:val="{7B109D9C-3DB8-4C9D-A5F5-7EAC8E3C7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0" w:lineRule="auto"/>
      </w:pPr>
    </w:pPrDefault>
  </w:docDefaults>
  <w:latentStyles w:defLockedState="0" w:defUIPriority="99" w:defSemiHidden="0" w:defUnhideWhenUsed="0" w:defQFormat="0" w:count="376">
    <w:lsdException w:name="Normal" w:uiPriority="1" w:qFormat="1"/>
    <w:lsdException w:name="heading 1" w:uiPriority="0" w:qFormat="1"/>
    <w:lsdException w:name="heading 2" w:uiPriority="0" w:qFormat="1"/>
    <w:lsdException w:name="heading 3" w:uiPriority="0" w:qFormat="1"/>
    <w:lsdException w:name="heading 4" w:uiPriority="0"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uiPriority="0"/>
    <w:lsdException w:name="footer" w:qFormat="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qFormat="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373DB"/>
    <w:pPr>
      <w:spacing w:before="120" w:after="120" w:line="240" w:lineRule="atLeast"/>
    </w:pPr>
    <w:rPr>
      <w:rFonts w:ascii="Cambria" w:eastAsia="Cambria" w:hAnsi="Cambria" w:cs="Times New Roman"/>
    </w:rPr>
  </w:style>
  <w:style w:type="paragraph" w:styleId="Heading1">
    <w:name w:val="heading 1"/>
    <w:basedOn w:val="Heading2"/>
    <w:next w:val="Normal"/>
    <w:link w:val="Heading1Char"/>
    <w:qFormat/>
    <w:rsid w:val="000C690F"/>
    <w:pPr>
      <w:spacing w:before="120" w:after="360"/>
      <w:outlineLvl w:val="0"/>
    </w:pPr>
    <w:rPr>
      <w:rFonts w:asciiTheme="majorHAnsi" w:hAnsiTheme="majorHAnsi" w:cstheme="majorHAnsi"/>
      <w:sz w:val="64"/>
      <w:szCs w:val="64"/>
    </w:rPr>
  </w:style>
  <w:style w:type="paragraph" w:styleId="Heading2">
    <w:name w:val="heading 2"/>
    <w:basedOn w:val="Normal"/>
    <w:next w:val="Normal"/>
    <w:link w:val="Heading2Char"/>
    <w:qFormat/>
    <w:rsid w:val="004722CC"/>
    <w:pPr>
      <w:keepNext/>
      <w:keepLines/>
      <w:spacing w:before="480"/>
      <w:outlineLvl w:val="1"/>
    </w:pPr>
    <w:rPr>
      <w:rFonts w:ascii="Arial" w:eastAsia="Times New Roman" w:hAnsi="Arial"/>
      <w:b/>
      <w:bCs/>
      <w:sz w:val="32"/>
      <w:szCs w:val="26"/>
    </w:rPr>
  </w:style>
  <w:style w:type="paragraph" w:styleId="Heading3">
    <w:name w:val="heading 3"/>
    <w:basedOn w:val="Normal"/>
    <w:next w:val="Normal"/>
    <w:link w:val="Heading3Char"/>
    <w:qFormat/>
    <w:rsid w:val="00EF59DC"/>
    <w:pPr>
      <w:keepNext/>
      <w:keepLines/>
      <w:spacing w:before="480" w:after="0" w:line="220" w:lineRule="atLeast"/>
      <w:outlineLvl w:val="2"/>
    </w:pPr>
    <w:rPr>
      <w:rFonts w:ascii="Arial" w:eastAsia="Times New Roman" w:hAnsi="Arial"/>
      <w:b/>
      <w:bCs/>
      <w:sz w:val="26"/>
      <w:szCs w:val="21"/>
    </w:rPr>
  </w:style>
  <w:style w:type="paragraph" w:styleId="Heading4">
    <w:name w:val="heading 4"/>
    <w:basedOn w:val="Normal"/>
    <w:next w:val="Normal"/>
    <w:link w:val="Heading4Char"/>
    <w:qFormat/>
    <w:rsid w:val="00AD0083"/>
    <w:pPr>
      <w:keepNext/>
      <w:spacing w:before="360" w:after="0" w:line="220" w:lineRule="atLeast"/>
      <w:outlineLvl w:val="3"/>
    </w:pPr>
    <w:rPr>
      <w:b/>
      <w:bCs/>
      <w:szCs w:val="21"/>
    </w:rPr>
  </w:style>
  <w:style w:type="paragraph" w:styleId="Heading5">
    <w:name w:val="heading 5"/>
    <w:basedOn w:val="Normal"/>
    <w:next w:val="Normal"/>
    <w:link w:val="Heading5Char"/>
    <w:uiPriority w:val="9"/>
    <w:qFormat/>
    <w:rsid w:val="004722CC"/>
    <w:pPr>
      <w:keepNext/>
      <w:keepLines/>
      <w:spacing w:line="220" w:lineRule="atLeast"/>
      <w:outlineLvl w:val="4"/>
    </w:pPr>
    <w:rPr>
      <w:rFonts w:eastAsia="Times New Roman"/>
      <w:b/>
      <w:bCs/>
      <w:i/>
      <w:color w:val="001523"/>
      <w:szCs w:val="21"/>
    </w:rPr>
  </w:style>
  <w:style w:type="paragraph" w:styleId="Heading6">
    <w:name w:val="heading 6"/>
    <w:basedOn w:val="Normal"/>
    <w:next w:val="Normal"/>
    <w:link w:val="Heading6Char"/>
    <w:uiPriority w:val="9"/>
    <w:qFormat/>
    <w:rsid w:val="00577130"/>
    <w:pPr>
      <w:keepNext/>
      <w:spacing w:line="220" w:lineRule="atLeast"/>
      <w:outlineLvl w:val="5"/>
    </w:pPr>
    <w:rPr>
      <w:rFonts w:eastAsia="Times New Roman"/>
      <w:bCs/>
      <w:i/>
      <w:szCs w:val="21"/>
    </w:rPr>
  </w:style>
  <w:style w:type="paragraph" w:styleId="Heading7">
    <w:name w:val="heading 7"/>
    <w:basedOn w:val="Normal"/>
    <w:next w:val="Normal"/>
    <w:link w:val="Heading7Char"/>
    <w:uiPriority w:val="9"/>
    <w:qFormat/>
    <w:rsid w:val="00770CAC"/>
    <w:pPr>
      <w:keepNext/>
      <w:spacing w:after="60" w:line="180" w:lineRule="atLeast"/>
      <w:outlineLvl w:val="6"/>
    </w:pPr>
    <w:rPr>
      <w:rFonts w:eastAsia="Times New Roman"/>
      <w:bCs/>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C690F"/>
    <w:rPr>
      <w:rFonts w:asciiTheme="majorHAnsi" w:eastAsia="Times New Roman" w:hAnsiTheme="majorHAnsi" w:cstheme="majorHAnsi"/>
      <w:b/>
      <w:bCs/>
      <w:sz w:val="64"/>
      <w:szCs w:val="64"/>
    </w:rPr>
  </w:style>
  <w:style w:type="character" w:customStyle="1" w:styleId="Heading2Char">
    <w:name w:val="Heading 2 Char"/>
    <w:basedOn w:val="DefaultParagraphFont"/>
    <w:link w:val="Heading2"/>
    <w:rsid w:val="00AD3935"/>
    <w:rPr>
      <w:rFonts w:ascii="Arial" w:eastAsia="Times New Roman" w:hAnsi="Arial" w:cs="Times New Roman"/>
      <w:b/>
      <w:bCs/>
      <w:sz w:val="32"/>
      <w:szCs w:val="26"/>
    </w:rPr>
  </w:style>
  <w:style w:type="character" w:customStyle="1" w:styleId="Heading3Char">
    <w:name w:val="Heading 3 Char"/>
    <w:basedOn w:val="DefaultParagraphFont"/>
    <w:link w:val="Heading3"/>
    <w:rsid w:val="00EF59DC"/>
    <w:rPr>
      <w:rFonts w:ascii="Arial" w:eastAsia="Times New Roman" w:hAnsi="Arial" w:cs="Times New Roman"/>
      <w:b/>
      <w:bCs/>
      <w:sz w:val="26"/>
      <w:szCs w:val="21"/>
    </w:rPr>
  </w:style>
  <w:style w:type="paragraph" w:customStyle="1" w:styleId="Address">
    <w:name w:val="Address"/>
    <w:basedOn w:val="Normal"/>
    <w:rsid w:val="00E45619"/>
    <w:pPr>
      <w:spacing w:before="0" w:after="0" w:line="280" w:lineRule="atLeast"/>
      <w:jc w:val="center"/>
    </w:pPr>
  </w:style>
  <w:style w:type="paragraph" w:customStyle="1" w:styleId="AxisLabel">
    <w:name w:val="Axis Label"/>
    <w:basedOn w:val="Normal"/>
    <w:qFormat/>
    <w:rsid w:val="00F3148D"/>
    <w:pPr>
      <w:spacing w:after="0" w:line="240" w:lineRule="auto"/>
    </w:pPr>
    <w:rPr>
      <w:rFonts w:ascii="Arial" w:hAnsi="Arial"/>
      <w:noProof/>
      <w:sz w:val="14"/>
      <w:lang w:eastAsia="en-AU"/>
    </w:rPr>
  </w:style>
  <w:style w:type="paragraph" w:customStyle="1" w:styleId="AxisTitle">
    <w:name w:val="Axis Title"/>
    <w:basedOn w:val="Normal"/>
    <w:qFormat/>
    <w:rsid w:val="00F3148D"/>
    <w:pPr>
      <w:spacing w:after="0" w:line="240" w:lineRule="auto"/>
    </w:pPr>
    <w:rPr>
      <w:rFonts w:ascii="Arial" w:hAnsi="Arial"/>
      <w:sz w:val="16"/>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styleId="Caption">
    <w:name w:val="caption"/>
    <w:basedOn w:val="Normal"/>
    <w:next w:val="Normal"/>
    <w:uiPriority w:val="35"/>
    <w:rsid w:val="003D1E62"/>
    <w:pPr>
      <w:spacing w:before="0"/>
    </w:pPr>
    <w:rPr>
      <w:sz w:val="19"/>
      <w:szCs w:val="18"/>
    </w:rPr>
  </w:style>
  <w:style w:type="paragraph" w:customStyle="1" w:styleId="Contents">
    <w:name w:val="Contents"/>
    <w:basedOn w:val="Normal"/>
    <w:rsid w:val="003B4D60"/>
    <w:pPr>
      <w:spacing w:before="0" w:after="0"/>
    </w:pPr>
    <w:rPr>
      <w:rFonts w:ascii="Arial" w:hAnsi="Arial"/>
      <w:b/>
      <w:sz w:val="48"/>
    </w:rPr>
  </w:style>
  <w:style w:type="paragraph" w:styleId="Date">
    <w:name w:val="Date"/>
    <w:basedOn w:val="Normal"/>
    <w:next w:val="Normal"/>
    <w:link w:val="DateChar"/>
    <w:uiPriority w:val="99"/>
    <w:rsid w:val="009556D7"/>
    <w:pPr>
      <w:framePr w:hSpace="180" w:wrap="around" w:vAnchor="text" w:hAnchor="margin" w:y="9863"/>
      <w:suppressOverlap/>
    </w:pPr>
    <w:rPr>
      <w:rFonts w:ascii="Arial" w:hAnsi="Arial" w:cs="Arial"/>
      <w:b/>
      <w:color w:val="002C47"/>
      <w:sz w:val="36"/>
      <w:szCs w:val="36"/>
    </w:rPr>
  </w:style>
  <w:style w:type="character" w:customStyle="1" w:styleId="DateChar">
    <w:name w:val="Date Char"/>
    <w:basedOn w:val="DefaultParagraphFont"/>
    <w:link w:val="Date"/>
    <w:uiPriority w:val="99"/>
    <w:rsid w:val="009556D7"/>
    <w:rPr>
      <w:rFonts w:ascii="Arial" w:eastAsia="Cambria" w:hAnsi="Arial" w:cs="Arial"/>
      <w:b/>
      <w:color w:val="002C47"/>
      <w:sz w:val="36"/>
      <w:szCs w:val="36"/>
    </w:rPr>
  </w:style>
  <w:style w:type="paragraph" w:customStyle="1" w:styleId="FigureDescription">
    <w:name w:val="Figure Description"/>
    <w:basedOn w:val="Normal"/>
    <w:rsid w:val="003D1E62"/>
    <w:pPr>
      <w:spacing w:after="0"/>
    </w:pPr>
    <w:rPr>
      <w:sz w:val="19"/>
    </w:rPr>
  </w:style>
  <w:style w:type="paragraph" w:customStyle="1" w:styleId="FigureTitle">
    <w:name w:val="Figure Title"/>
    <w:basedOn w:val="Normal"/>
    <w:qFormat/>
    <w:rsid w:val="001B5C90"/>
    <w:pPr>
      <w:keepNext/>
      <w:spacing w:line="220" w:lineRule="atLeast"/>
    </w:pPr>
    <w:rPr>
      <w:b/>
    </w:rPr>
  </w:style>
  <w:style w:type="character" w:customStyle="1" w:styleId="Heading4Char">
    <w:name w:val="Heading 4 Char"/>
    <w:basedOn w:val="DefaultParagraphFont"/>
    <w:link w:val="Heading4"/>
    <w:rsid w:val="00AD3935"/>
    <w:rPr>
      <w:rFonts w:ascii="Cambria" w:eastAsia="Cambria" w:hAnsi="Cambria" w:cs="Times New Roman"/>
      <w:b/>
      <w:bCs/>
      <w:szCs w:val="21"/>
    </w:rPr>
  </w:style>
  <w:style w:type="character" w:styleId="FollowedHyperlink">
    <w:name w:val="FollowedHyperlink"/>
    <w:basedOn w:val="DefaultParagraphFont"/>
    <w:uiPriority w:val="99"/>
    <w:semiHidden/>
    <w:unhideWhenUsed/>
    <w:rsid w:val="00F3148D"/>
    <w:rPr>
      <w:color w:val="800080"/>
      <w:u w:val="single"/>
    </w:rPr>
  </w:style>
  <w:style w:type="paragraph" w:styleId="Footer">
    <w:name w:val="footer"/>
    <w:basedOn w:val="Normal"/>
    <w:link w:val="FooterChar"/>
    <w:uiPriority w:val="99"/>
    <w:qFormat/>
    <w:rsid w:val="003B4D60"/>
    <w:pPr>
      <w:tabs>
        <w:tab w:val="center" w:pos="4513"/>
        <w:tab w:val="right" w:pos="9026"/>
      </w:tabs>
      <w:spacing w:before="0" w:after="0" w:line="240" w:lineRule="auto"/>
    </w:pPr>
    <w:rPr>
      <w:sz w:val="17"/>
    </w:rPr>
  </w:style>
  <w:style w:type="character" w:customStyle="1" w:styleId="FooterChar">
    <w:name w:val="Footer Char"/>
    <w:basedOn w:val="DefaultParagraphFont"/>
    <w:link w:val="Footer"/>
    <w:uiPriority w:val="99"/>
    <w:rsid w:val="003B4D60"/>
    <w:rPr>
      <w:rFonts w:ascii="Cambria" w:eastAsia="Cambria" w:hAnsi="Cambria" w:cs="Times New Roman"/>
      <w:sz w:val="17"/>
    </w:rPr>
  </w:style>
  <w:style w:type="paragraph" w:styleId="Header">
    <w:name w:val="header"/>
    <w:basedOn w:val="Normal"/>
    <w:link w:val="HeaderChar"/>
    <w:rsid w:val="003B4D60"/>
    <w:pPr>
      <w:pBdr>
        <w:bottom w:val="single" w:sz="4" w:space="3" w:color="auto"/>
      </w:pBdr>
      <w:tabs>
        <w:tab w:val="center" w:pos="4513"/>
        <w:tab w:val="right" w:pos="9026"/>
      </w:tabs>
      <w:spacing w:after="240" w:line="240" w:lineRule="auto"/>
      <w:jc w:val="right"/>
    </w:pPr>
    <w:rPr>
      <w:sz w:val="17"/>
    </w:rPr>
  </w:style>
  <w:style w:type="character" w:customStyle="1" w:styleId="HeaderChar">
    <w:name w:val="Header Char"/>
    <w:basedOn w:val="DefaultParagraphFont"/>
    <w:link w:val="Header"/>
    <w:rsid w:val="003B4D60"/>
    <w:rPr>
      <w:rFonts w:ascii="Cambria" w:eastAsia="Cambria" w:hAnsi="Cambria" w:cs="Times New Roman"/>
      <w:sz w:val="17"/>
    </w:rPr>
  </w:style>
  <w:style w:type="paragraph" w:customStyle="1" w:styleId="HeaderNoLine">
    <w:name w:val="Header No Line"/>
    <w:basedOn w:val="Header"/>
    <w:rsid w:val="00F3148D"/>
    <w:pPr>
      <w:pBdr>
        <w:bottom w:val="none" w:sz="0" w:space="0" w:color="auto"/>
      </w:pBdr>
      <w:jc w:val="left"/>
    </w:pPr>
  </w:style>
  <w:style w:type="character" w:customStyle="1" w:styleId="Heading5Char">
    <w:name w:val="Heading 5 Char"/>
    <w:basedOn w:val="DefaultParagraphFont"/>
    <w:link w:val="Heading5"/>
    <w:uiPriority w:val="9"/>
    <w:rsid w:val="00AD3935"/>
    <w:rPr>
      <w:rFonts w:ascii="Cambria" w:eastAsia="Times New Roman" w:hAnsi="Cambria" w:cs="Times New Roman"/>
      <w:b/>
      <w:bCs/>
      <w:i/>
      <w:color w:val="001523"/>
      <w:szCs w:val="21"/>
    </w:rPr>
  </w:style>
  <w:style w:type="character" w:customStyle="1" w:styleId="Heading6Char">
    <w:name w:val="Heading 6 Char"/>
    <w:basedOn w:val="DefaultParagraphFont"/>
    <w:link w:val="Heading6"/>
    <w:uiPriority w:val="9"/>
    <w:rsid w:val="00577130"/>
    <w:rPr>
      <w:rFonts w:ascii="Cambria" w:eastAsia="Times New Roman" w:hAnsi="Cambria" w:cs="Times New Roman"/>
      <w:bCs/>
      <w:i/>
      <w:szCs w:val="21"/>
    </w:rPr>
  </w:style>
  <w:style w:type="character" w:customStyle="1" w:styleId="Heading7Char">
    <w:name w:val="Heading 7 Char"/>
    <w:basedOn w:val="DefaultParagraphFont"/>
    <w:link w:val="Heading7"/>
    <w:uiPriority w:val="9"/>
    <w:rsid w:val="00770CAC"/>
    <w:rPr>
      <w:rFonts w:ascii="Cambria" w:eastAsia="Times New Roman" w:hAnsi="Cambria" w:cs="Times New Roman"/>
      <w:bCs/>
      <w:sz w:val="20"/>
      <w:szCs w:val="24"/>
    </w:rPr>
  </w:style>
  <w:style w:type="character" w:styleId="Hyperlink">
    <w:name w:val="Hyperlink"/>
    <w:basedOn w:val="DefaultParagraphFont"/>
    <w:uiPriority w:val="99"/>
    <w:unhideWhenUsed/>
    <w:rsid w:val="008960DD"/>
    <w:rPr>
      <w:color w:val="0000FF"/>
      <w:u w:val="single"/>
    </w:rPr>
  </w:style>
  <w:style w:type="paragraph" w:customStyle="1" w:styleId="Key">
    <w:name w:val="Key"/>
    <w:basedOn w:val="Normal"/>
    <w:qFormat/>
    <w:rsid w:val="00F3148D"/>
    <w:rPr>
      <w:sz w:val="14"/>
    </w:rPr>
  </w:style>
  <w:style w:type="paragraph" w:customStyle="1" w:styleId="LegalCopy">
    <w:name w:val="Legal Copy"/>
    <w:basedOn w:val="Footer"/>
    <w:qFormat/>
    <w:rsid w:val="00F3148D"/>
  </w:style>
  <w:style w:type="paragraph" w:customStyle="1" w:styleId="LegalSubheading">
    <w:name w:val="Legal Subheading"/>
    <w:basedOn w:val="Footer"/>
    <w:qFormat/>
    <w:rsid w:val="00C74F5C"/>
    <w:pPr>
      <w:outlineLvl w:val="1"/>
    </w:pPr>
    <w:rPr>
      <w:b/>
    </w:rPr>
  </w:style>
  <w:style w:type="table" w:styleId="LightShading-Accent2">
    <w:name w:val="Light Shading Accent 2"/>
    <w:basedOn w:val="TableNormal"/>
    <w:uiPriority w:val="60"/>
    <w:rsid w:val="00F3148D"/>
    <w:pPr>
      <w:spacing w:after="0" w:line="240" w:lineRule="auto"/>
    </w:pPr>
    <w:rPr>
      <w:rFonts w:ascii="Cambria" w:eastAsia="Calibri" w:hAnsi="Cambria" w:cs="Times New Roman"/>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99"/>
    <w:qFormat/>
    <w:rsid w:val="004C2DCA"/>
    <w:pPr>
      <w:numPr>
        <w:numId w:val="3"/>
      </w:numPr>
    </w:pPr>
  </w:style>
  <w:style w:type="paragraph" w:styleId="ListBullet2">
    <w:name w:val="List Bullet 2"/>
    <w:basedOn w:val="Normal"/>
    <w:uiPriority w:val="99"/>
    <w:qFormat/>
    <w:rsid w:val="004C2DCA"/>
    <w:pPr>
      <w:numPr>
        <w:ilvl w:val="1"/>
        <w:numId w:val="3"/>
      </w:numPr>
    </w:pPr>
  </w:style>
  <w:style w:type="paragraph" w:styleId="ListBullet3">
    <w:name w:val="List Bullet 3"/>
    <w:basedOn w:val="Normal"/>
    <w:uiPriority w:val="99"/>
    <w:qFormat/>
    <w:rsid w:val="004C2DCA"/>
    <w:pPr>
      <w:numPr>
        <w:ilvl w:val="2"/>
        <w:numId w:val="3"/>
      </w:numPr>
    </w:pPr>
  </w:style>
  <w:style w:type="numbering" w:customStyle="1" w:styleId="ListBullets">
    <w:name w:val="ListBullets"/>
    <w:uiPriority w:val="99"/>
    <w:locked/>
    <w:rsid w:val="00F3148D"/>
    <w:pPr>
      <w:numPr>
        <w:numId w:val="1"/>
      </w:numPr>
    </w:pPr>
  </w:style>
  <w:style w:type="table" w:styleId="MediumGrid2-Accent5">
    <w:name w:val="Medium Grid 2 Accent 5"/>
    <w:basedOn w:val="TableNormal"/>
    <w:uiPriority w:val="68"/>
    <w:rsid w:val="00F3148D"/>
    <w:pPr>
      <w:spacing w:after="0" w:line="240" w:lineRule="auto"/>
    </w:pPr>
    <w:rPr>
      <w:rFonts w:ascii="Cambria" w:eastAsia="Times New Roman" w:hAnsi="Cambria" w:cs="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onTOCHeading2">
    <w:name w:val="Non TOC Heading 2"/>
    <w:basedOn w:val="Normal"/>
    <w:rsid w:val="00C74F5C"/>
    <w:pPr>
      <w:spacing w:before="240"/>
      <w:outlineLvl w:val="1"/>
    </w:pPr>
    <w:rPr>
      <w:rFonts w:ascii="Arial" w:hAnsi="Arial"/>
      <w:b/>
      <w:sz w:val="32"/>
    </w:rPr>
  </w:style>
  <w:style w:type="paragraph" w:customStyle="1" w:styleId="Notes">
    <w:name w:val="Notes"/>
    <w:basedOn w:val="Normal"/>
    <w:qFormat/>
    <w:locked/>
    <w:rsid w:val="00F3148D"/>
    <w:pPr>
      <w:spacing w:after="0" w:line="240" w:lineRule="auto"/>
    </w:pPr>
    <w:rPr>
      <w:rFonts w:ascii="Arial" w:hAnsi="Arial"/>
      <w:sz w:val="16"/>
    </w:rPr>
  </w:style>
  <w:style w:type="paragraph" w:customStyle="1" w:styleId="Numberbullet0">
    <w:name w:val="Number bullet"/>
    <w:basedOn w:val="ListBullet"/>
    <w:uiPriority w:val="2"/>
    <w:qFormat/>
    <w:rsid w:val="004C2DCA"/>
    <w:pPr>
      <w:numPr>
        <w:numId w:val="4"/>
      </w:numPr>
    </w:pPr>
  </w:style>
  <w:style w:type="paragraph" w:customStyle="1" w:styleId="Numberbullet2">
    <w:name w:val="Number bullet 2"/>
    <w:basedOn w:val="ListBullet2"/>
    <w:uiPriority w:val="2"/>
    <w:qFormat/>
    <w:rsid w:val="004C2DCA"/>
    <w:pPr>
      <w:numPr>
        <w:numId w:val="4"/>
      </w:numPr>
    </w:pPr>
  </w:style>
  <w:style w:type="paragraph" w:customStyle="1" w:styleId="Numberbullet3">
    <w:name w:val="Number bullet 3"/>
    <w:basedOn w:val="ListBullet3"/>
    <w:uiPriority w:val="2"/>
    <w:qFormat/>
    <w:rsid w:val="004C2DCA"/>
    <w:pPr>
      <w:numPr>
        <w:numId w:val="4"/>
      </w:numPr>
    </w:pPr>
  </w:style>
  <w:style w:type="numbering" w:customStyle="1" w:styleId="NumberBullet">
    <w:name w:val="NumberBullet"/>
    <w:uiPriority w:val="99"/>
    <w:locked/>
    <w:rsid w:val="00F3148D"/>
    <w:pPr>
      <w:numPr>
        <w:numId w:val="2"/>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F3148D"/>
    <w:pPr>
      <w:spacing w:before="40" w:after="0" w:line="180" w:lineRule="atLeast"/>
      <w:ind w:hanging="170"/>
    </w:pPr>
    <w:rPr>
      <w:sz w:val="19"/>
    </w:rPr>
  </w:style>
  <w:style w:type="paragraph" w:styleId="Subtitle">
    <w:name w:val="Subtitle"/>
    <w:basedOn w:val="Normal"/>
    <w:next w:val="Normal"/>
    <w:link w:val="SubtitleChar"/>
    <w:uiPriority w:val="11"/>
    <w:rsid w:val="009556D7"/>
    <w:pPr>
      <w:framePr w:hSpace="180" w:wrap="around" w:vAnchor="page" w:hAnchor="text" w:y="3316"/>
      <w:numPr>
        <w:ilvl w:val="1"/>
      </w:numPr>
      <w:spacing w:after="360"/>
      <w:ind w:left="170"/>
    </w:pPr>
    <w:rPr>
      <w:rFonts w:ascii="Arial" w:eastAsia="Times New Roman" w:hAnsi="Arial"/>
      <w:bCs/>
      <w:iCs/>
      <w:color w:val="FFFFFF" w:themeColor="background1"/>
      <w:sz w:val="40"/>
      <w:szCs w:val="24"/>
    </w:rPr>
  </w:style>
  <w:style w:type="character" w:customStyle="1" w:styleId="SubtitleChar">
    <w:name w:val="Subtitle Char"/>
    <w:basedOn w:val="DefaultParagraphFont"/>
    <w:link w:val="Subtitle"/>
    <w:uiPriority w:val="11"/>
    <w:rsid w:val="009556D7"/>
    <w:rPr>
      <w:rFonts w:ascii="Arial" w:eastAsia="Times New Roman" w:hAnsi="Arial" w:cs="Times New Roman"/>
      <w:bCs/>
      <w:iCs/>
      <w:color w:val="FFFFFF" w:themeColor="background1"/>
      <w:sz w:val="40"/>
      <w:szCs w:val="24"/>
    </w:rPr>
  </w:style>
  <w:style w:type="paragraph" w:customStyle="1" w:styleId="TableDescription">
    <w:name w:val="Table Description"/>
    <w:basedOn w:val="FigureDescription"/>
    <w:rsid w:val="00500337"/>
    <w:pPr>
      <w:spacing w:line="240" w:lineRule="auto"/>
    </w:pPr>
    <w:rPr>
      <w:szCs w:val="19"/>
    </w:rPr>
  </w:style>
  <w:style w:type="table" w:styleId="TableGrid">
    <w:name w:val="Table Grid"/>
    <w:basedOn w:val="TableNormal"/>
    <w:uiPriority w:val="39"/>
    <w:rsid w:val="00F3148D"/>
    <w:pPr>
      <w:spacing w:after="0" w:line="240" w:lineRule="auto"/>
    </w:pPr>
    <w:rPr>
      <w:rFonts w:ascii="Cambria" w:hAnsi="Cambria" w:cs="Times New Roman"/>
      <w:sz w:val="21"/>
      <w:szCs w:val="21"/>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link w:val="TabletextChar"/>
    <w:qFormat/>
    <w:rsid w:val="00F3148D"/>
    <w:rPr>
      <w:sz w:val="19"/>
    </w:rPr>
  </w:style>
  <w:style w:type="table" w:customStyle="1" w:styleId="TableTGAblue">
    <w:name w:val="Table TGA blue"/>
    <w:basedOn w:val="TableNormal"/>
    <w:uiPriority w:val="99"/>
    <w:qFormat/>
    <w:rsid w:val="00FD119B"/>
    <w:pPr>
      <w:spacing w:after="0" w:line="240" w:lineRule="auto"/>
      <w:ind w:left="170" w:right="170"/>
    </w:pPr>
    <w:rPr>
      <w:rFonts w:ascii="Cambria" w:hAnsi="Cambria" w:cs="Times New Roman"/>
      <w:color w:val="000000" w:themeColor="text1"/>
      <w:szCs w:val="21"/>
      <w:lang w:eastAsia="en-AU"/>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auto"/>
    </w:tcPr>
    <w:tblStylePr w:type="firstRow">
      <w:pPr>
        <w:keepNext/>
        <w:wordWrap/>
      </w:pPr>
      <w:rPr>
        <w:rFonts w:ascii="Cambria" w:hAnsi="Cambria"/>
        <w:b/>
        <w:color w:val="FFFFFF" w:themeColor="background1"/>
        <w:sz w:val="22"/>
      </w:rPr>
      <w:tblPr/>
      <w:trPr>
        <w:tblHeader/>
      </w:tr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style>
  <w:style w:type="table" w:customStyle="1" w:styleId="TableTGAblack">
    <w:name w:val="Table TGA black"/>
    <w:basedOn w:val="TableNormal"/>
    <w:uiPriority w:val="99"/>
    <w:rsid w:val="00EE1DE8"/>
    <w:pPr>
      <w:spacing w:before="60" w:after="0" w:line="240" w:lineRule="auto"/>
      <w:ind w:left="170" w:right="170"/>
    </w:pPr>
    <w:rPr>
      <w:rFonts w:ascii="Cambria" w:hAnsi="Cambria" w:cs="Times New Roman"/>
      <w:color w:val="000000"/>
      <w:szCs w:val="21"/>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pPr>
        <w:wordWrap/>
        <w:spacing w:beforeLines="0" w:beforeAutospacing="0" w:afterLines="0" w:afterAutospacing="0"/>
      </w:pPr>
      <w:rPr>
        <w:rFonts w:ascii="Cambria" w:hAnsi="Cambria"/>
        <w:b/>
        <w:color w:val="FFFFFF" w:themeColor="background1"/>
        <w:sz w:val="22"/>
      </w:rPr>
      <w:tblPr/>
      <w:tcPr>
        <w:shd w:val="clear" w:color="auto" w:fill="000000" w:themeFill="text1"/>
      </w:tcPr>
    </w:tblStylePr>
    <w:tblStylePr w:type="lastRow">
      <w:rPr>
        <w:b w:val="0"/>
      </w:rPr>
    </w:tblStylePr>
    <w:tblStylePr w:type="neCell">
      <w:rPr>
        <w:b w:val="0"/>
        <w:i w:val="0"/>
      </w:rPr>
    </w:tblStylePr>
    <w:tblStylePr w:type="nwCell">
      <w:rPr>
        <w:rFonts w:ascii="Cambria" w:hAnsi="Cambria"/>
        <w:b/>
        <w:i w:val="0"/>
        <w:color w:val="FFFFFF"/>
        <w:sz w:val="22"/>
      </w:rPr>
    </w:tblStylePr>
  </w:style>
  <w:style w:type="paragraph" w:customStyle="1" w:styleId="TableTitle">
    <w:name w:val="Table Title"/>
    <w:basedOn w:val="Normal"/>
    <w:qFormat/>
    <w:rsid w:val="002E40B3"/>
    <w:pPr>
      <w:keepNext/>
    </w:pPr>
    <w:rPr>
      <w:b/>
    </w:rPr>
  </w:style>
  <w:style w:type="paragraph" w:customStyle="1" w:styleId="TGASignoff">
    <w:name w:val="TGA Signoff"/>
    <w:basedOn w:val="Normal"/>
    <w:qFormat/>
    <w:rsid w:val="00F3148D"/>
    <w:pPr>
      <w:jc w:val="center"/>
    </w:pPr>
    <w:rPr>
      <w:rFonts w:ascii="Arial" w:hAnsi="Arial"/>
      <w:b/>
      <w:sz w:val="28"/>
    </w:rPr>
  </w:style>
  <w:style w:type="paragraph" w:styleId="Title">
    <w:name w:val="Title"/>
    <w:next w:val="Normal"/>
    <w:link w:val="TitleChar"/>
    <w:uiPriority w:val="10"/>
    <w:rsid w:val="009556D7"/>
    <w:pPr>
      <w:framePr w:hSpace="180" w:wrap="around" w:vAnchor="page" w:hAnchor="text" w:y="3316"/>
      <w:spacing w:after="480" w:line="240" w:lineRule="auto"/>
      <w:contextualSpacing/>
      <w:outlineLvl w:val="0"/>
    </w:pPr>
    <w:rPr>
      <w:rFonts w:ascii="Arial" w:eastAsia="Times New Roman" w:hAnsi="Arial" w:cs="Times New Roman"/>
      <w:color w:val="FFFFFF" w:themeColor="background1"/>
      <w:spacing w:val="5"/>
      <w:kern w:val="28"/>
      <w:sz w:val="52"/>
      <w:szCs w:val="52"/>
    </w:rPr>
  </w:style>
  <w:style w:type="character" w:customStyle="1" w:styleId="TitleChar">
    <w:name w:val="Title Char"/>
    <w:basedOn w:val="DefaultParagraphFont"/>
    <w:link w:val="Title"/>
    <w:uiPriority w:val="10"/>
    <w:rsid w:val="009556D7"/>
    <w:rPr>
      <w:rFonts w:ascii="Arial" w:eastAsia="Times New Roman" w:hAnsi="Arial" w:cs="Times New Roman"/>
      <w:color w:val="FFFFFF" w:themeColor="background1"/>
      <w:spacing w:val="5"/>
      <w:kern w:val="28"/>
      <w:sz w:val="52"/>
      <w:szCs w:val="52"/>
    </w:rPr>
  </w:style>
  <w:style w:type="paragraph" w:styleId="TOC1">
    <w:name w:val="toc 1"/>
    <w:basedOn w:val="Normal"/>
    <w:next w:val="Normal"/>
    <w:uiPriority w:val="39"/>
    <w:rsid w:val="00F3148D"/>
    <w:pPr>
      <w:tabs>
        <w:tab w:val="right" w:pos="8505"/>
      </w:tabs>
      <w:spacing w:after="200"/>
    </w:pPr>
    <w:rPr>
      <w:rFonts w:ascii="Arial" w:hAnsi="Arial"/>
      <w:b/>
      <w:sz w:val="32"/>
    </w:rPr>
  </w:style>
  <w:style w:type="paragraph" w:styleId="TOC2">
    <w:name w:val="toc 2"/>
    <w:basedOn w:val="Normal"/>
    <w:next w:val="Normal"/>
    <w:uiPriority w:val="39"/>
    <w:rsid w:val="00F3148D"/>
    <w:pPr>
      <w:tabs>
        <w:tab w:val="right" w:leader="underscore" w:pos="8505"/>
      </w:tabs>
      <w:spacing w:after="100"/>
      <w:ind w:left="624"/>
    </w:pPr>
    <w:rPr>
      <w:b/>
      <w:sz w:val="25"/>
    </w:rPr>
  </w:style>
  <w:style w:type="paragraph" w:styleId="TOC3">
    <w:name w:val="toc 3"/>
    <w:basedOn w:val="Normal"/>
    <w:next w:val="Normal"/>
    <w:uiPriority w:val="39"/>
    <w:rsid w:val="00F3148D"/>
    <w:pPr>
      <w:tabs>
        <w:tab w:val="right" w:leader="underscore" w:pos="8505"/>
      </w:tabs>
      <w:spacing w:after="100"/>
      <w:ind w:left="1021"/>
    </w:pPr>
  </w:style>
  <w:style w:type="paragraph" w:styleId="TOCHeading">
    <w:name w:val="TOC Heading"/>
    <w:basedOn w:val="Heading1"/>
    <w:next w:val="Normal"/>
    <w:uiPriority w:val="39"/>
    <w:semiHidden/>
    <w:unhideWhenUsed/>
    <w:qFormat/>
    <w:rsid w:val="00F3148D"/>
    <w:pPr>
      <w:framePr w:wrap="around" w:hAnchor="text"/>
      <w:spacing w:before="480" w:after="0" w:line="276" w:lineRule="auto"/>
      <w:outlineLvl w:val="9"/>
    </w:pPr>
    <w:rPr>
      <w:rFonts w:cstheme="minorBidi"/>
      <w:color w:val="002035"/>
      <w:sz w:val="28"/>
      <w:lang w:val="en-US"/>
    </w:rPr>
  </w:style>
  <w:style w:type="paragraph" w:styleId="FootnoteText">
    <w:name w:val="footnote text"/>
    <w:basedOn w:val="Normal"/>
    <w:link w:val="FootnoteTextChar"/>
    <w:unhideWhenUsed/>
    <w:rsid w:val="001B5C90"/>
    <w:pPr>
      <w:spacing w:before="0" w:after="0" w:line="240" w:lineRule="auto"/>
    </w:pPr>
    <w:rPr>
      <w:sz w:val="18"/>
      <w:szCs w:val="20"/>
    </w:rPr>
  </w:style>
  <w:style w:type="character" w:customStyle="1" w:styleId="FootnoteTextChar">
    <w:name w:val="Footnote Text Char"/>
    <w:basedOn w:val="DefaultParagraphFont"/>
    <w:link w:val="FootnoteText"/>
    <w:rsid w:val="001B5C90"/>
    <w:rPr>
      <w:rFonts w:ascii="Cambria" w:eastAsia="Cambria" w:hAnsi="Cambria" w:cs="Times New Roman"/>
      <w:sz w:val="18"/>
      <w:szCs w:val="20"/>
    </w:rPr>
  </w:style>
  <w:style w:type="character" w:styleId="FootnoteReference">
    <w:name w:val="footnote reference"/>
    <w:basedOn w:val="DefaultParagraphFont"/>
    <w:uiPriority w:val="99"/>
    <w:unhideWhenUsed/>
    <w:rsid w:val="001B5C90"/>
    <w:rPr>
      <w:vertAlign w:val="superscript"/>
    </w:rPr>
  </w:style>
  <w:style w:type="paragraph" w:customStyle="1" w:styleId="Quotation">
    <w:name w:val="Quotation"/>
    <w:basedOn w:val="Normal"/>
    <w:next w:val="Normal"/>
    <w:uiPriority w:val="4"/>
    <w:qFormat/>
    <w:rsid w:val="00E13FC7"/>
    <w:pPr>
      <w:spacing w:after="180"/>
      <w:ind w:left="425"/>
    </w:pPr>
    <w:rPr>
      <w:rFonts w:eastAsiaTheme="minorEastAsia" w:cstheme="minorBidi"/>
      <w:sz w:val="20"/>
      <w:lang w:eastAsia="zh-TW"/>
    </w:rPr>
  </w:style>
  <w:style w:type="paragraph" w:customStyle="1" w:styleId="Comment">
    <w:name w:val="Comment"/>
    <w:basedOn w:val="Normal"/>
    <w:next w:val="Normal"/>
    <w:uiPriority w:val="1"/>
    <w:qFormat/>
    <w:rsid w:val="00DD28CD"/>
    <w:pPr>
      <w:ind w:left="992" w:hanging="992"/>
    </w:pPr>
  </w:style>
  <w:style w:type="paragraph" w:styleId="EndnoteText">
    <w:name w:val="endnote text"/>
    <w:basedOn w:val="Normal"/>
    <w:link w:val="EndnoteTextChar"/>
    <w:uiPriority w:val="99"/>
    <w:semiHidden/>
    <w:unhideWhenUsed/>
    <w:rsid w:val="000E6196"/>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0E6196"/>
    <w:rPr>
      <w:rFonts w:ascii="Cambria" w:eastAsia="Cambria" w:hAnsi="Cambria" w:cs="Times New Roman"/>
      <w:sz w:val="20"/>
      <w:szCs w:val="20"/>
    </w:rPr>
  </w:style>
  <w:style w:type="character" w:styleId="EndnoteReference">
    <w:name w:val="endnote reference"/>
    <w:basedOn w:val="DefaultParagraphFont"/>
    <w:uiPriority w:val="99"/>
    <w:semiHidden/>
    <w:unhideWhenUsed/>
    <w:rsid w:val="000E6196"/>
    <w:rPr>
      <w:vertAlign w:val="superscript"/>
    </w:rPr>
  </w:style>
  <w:style w:type="character" w:styleId="CommentReference">
    <w:name w:val="annotation reference"/>
    <w:basedOn w:val="DefaultParagraphFont"/>
    <w:unhideWhenUsed/>
    <w:rsid w:val="00EC463D"/>
    <w:rPr>
      <w:sz w:val="16"/>
      <w:szCs w:val="16"/>
    </w:rPr>
  </w:style>
  <w:style w:type="paragraph" w:styleId="CommentText">
    <w:name w:val="annotation text"/>
    <w:basedOn w:val="Normal"/>
    <w:link w:val="CommentTextChar"/>
    <w:unhideWhenUsed/>
    <w:rsid w:val="00EC463D"/>
    <w:pPr>
      <w:spacing w:line="240" w:lineRule="auto"/>
    </w:pPr>
    <w:rPr>
      <w:sz w:val="20"/>
      <w:szCs w:val="20"/>
    </w:rPr>
  </w:style>
  <w:style w:type="character" w:customStyle="1" w:styleId="CommentTextChar">
    <w:name w:val="Comment Text Char"/>
    <w:basedOn w:val="DefaultParagraphFont"/>
    <w:link w:val="CommentText"/>
    <w:rsid w:val="00EC463D"/>
    <w:rPr>
      <w:rFonts w:ascii="Cambria" w:eastAsia="Cambria" w:hAnsi="Cambria" w:cs="Times New Roman"/>
      <w:sz w:val="20"/>
      <w:szCs w:val="20"/>
    </w:rPr>
  </w:style>
  <w:style w:type="paragraph" w:styleId="CommentSubject">
    <w:name w:val="annotation subject"/>
    <w:basedOn w:val="CommentText"/>
    <w:next w:val="CommentText"/>
    <w:link w:val="CommentSubjectChar"/>
    <w:uiPriority w:val="99"/>
    <w:semiHidden/>
    <w:unhideWhenUsed/>
    <w:rsid w:val="00EC463D"/>
    <w:rPr>
      <w:b/>
      <w:bCs/>
    </w:rPr>
  </w:style>
  <w:style w:type="character" w:customStyle="1" w:styleId="CommentSubjectChar">
    <w:name w:val="Comment Subject Char"/>
    <w:basedOn w:val="CommentTextChar"/>
    <w:link w:val="CommentSubject"/>
    <w:uiPriority w:val="99"/>
    <w:semiHidden/>
    <w:rsid w:val="00EC463D"/>
    <w:rPr>
      <w:rFonts w:ascii="Cambria" w:eastAsia="Cambria" w:hAnsi="Cambria" w:cs="Times New Roman"/>
      <w:b/>
      <w:bCs/>
      <w:sz w:val="20"/>
      <w:szCs w:val="20"/>
    </w:rPr>
  </w:style>
  <w:style w:type="paragraph" w:styleId="Revision">
    <w:name w:val="Revision"/>
    <w:hidden/>
    <w:uiPriority w:val="99"/>
    <w:semiHidden/>
    <w:rsid w:val="003442FD"/>
    <w:pPr>
      <w:spacing w:after="0" w:line="240" w:lineRule="auto"/>
    </w:pPr>
    <w:rPr>
      <w:rFonts w:ascii="Cambria" w:eastAsia="Cambria" w:hAnsi="Cambria" w:cs="Times New Roman"/>
    </w:rPr>
  </w:style>
  <w:style w:type="paragraph" w:customStyle="1" w:styleId="Instructions">
    <w:name w:val="Instructions"/>
    <w:basedOn w:val="Normal"/>
    <w:next w:val="Normal"/>
    <w:uiPriority w:val="1"/>
    <w:qFormat/>
    <w:rsid w:val="00EE27C2"/>
    <w:rPr>
      <w:i/>
      <w:color w:val="007099"/>
    </w:rPr>
  </w:style>
  <w:style w:type="paragraph" w:customStyle="1" w:styleId="Tabletitle0">
    <w:name w:val="Table title"/>
    <w:basedOn w:val="Normal"/>
    <w:next w:val="Normal"/>
    <w:rsid w:val="009F2673"/>
    <w:pPr>
      <w:keepNext/>
      <w:spacing w:after="180"/>
    </w:pPr>
    <w:rPr>
      <w:b/>
      <w:szCs w:val="20"/>
    </w:rPr>
  </w:style>
  <w:style w:type="character" w:customStyle="1" w:styleId="UnresolvedMention1">
    <w:name w:val="Unresolved Mention1"/>
    <w:basedOn w:val="DefaultParagraphFont"/>
    <w:uiPriority w:val="99"/>
    <w:semiHidden/>
    <w:unhideWhenUsed/>
    <w:rsid w:val="009F2673"/>
    <w:rPr>
      <w:color w:val="605E5C"/>
      <w:shd w:val="clear" w:color="auto" w:fill="E1DFDD"/>
    </w:rPr>
  </w:style>
  <w:style w:type="paragraph" w:styleId="ListParagraph">
    <w:name w:val="List Paragraph"/>
    <w:basedOn w:val="Normal"/>
    <w:link w:val="ListParagraphChar"/>
    <w:uiPriority w:val="34"/>
    <w:qFormat/>
    <w:rsid w:val="00DA5C13"/>
    <w:pPr>
      <w:adjustRightInd w:val="0"/>
      <w:snapToGrid w:val="0"/>
      <w:spacing w:before="180" w:after="180"/>
      <w:ind w:left="720"/>
      <w:contextualSpacing/>
    </w:pPr>
    <w:rPr>
      <w:rFonts w:eastAsia="MS Mincho"/>
      <w:szCs w:val="20"/>
      <w:lang w:eastAsia="ja-JP"/>
    </w:rPr>
  </w:style>
  <w:style w:type="character" w:customStyle="1" w:styleId="ListParagraphChar">
    <w:name w:val="List Paragraph Char"/>
    <w:basedOn w:val="DefaultParagraphFont"/>
    <w:link w:val="ListParagraph"/>
    <w:uiPriority w:val="34"/>
    <w:rsid w:val="00DA5C13"/>
    <w:rPr>
      <w:rFonts w:ascii="Cambria" w:eastAsia="MS Mincho" w:hAnsi="Cambria" w:cs="Times New Roman"/>
      <w:szCs w:val="20"/>
      <w:lang w:eastAsia="ja-JP"/>
    </w:rPr>
  </w:style>
  <w:style w:type="paragraph" w:customStyle="1" w:styleId="FigureCaption">
    <w:name w:val="Figure Caption"/>
    <w:basedOn w:val="Normal"/>
    <w:qFormat/>
    <w:rsid w:val="00F20392"/>
    <w:pPr>
      <w:adjustRightInd w:val="0"/>
      <w:snapToGrid w:val="0"/>
      <w:spacing w:before="180" w:after="180"/>
    </w:pPr>
    <w:rPr>
      <w:rFonts w:eastAsia="MS Mincho"/>
      <w:szCs w:val="20"/>
      <w:lang w:eastAsia="ja-JP"/>
    </w:rPr>
  </w:style>
  <w:style w:type="paragraph" w:customStyle="1" w:styleId="TableCaption">
    <w:name w:val="Table Caption"/>
    <w:basedOn w:val="FigureCaption"/>
    <w:qFormat/>
    <w:rsid w:val="00F20392"/>
    <w:pPr>
      <w:spacing w:after="240"/>
    </w:pPr>
    <w:rPr>
      <w:sz w:val="17"/>
    </w:rPr>
  </w:style>
  <w:style w:type="table" w:customStyle="1" w:styleId="TableTGA2">
    <w:name w:val="Table TGA 2"/>
    <w:basedOn w:val="TableNormal"/>
    <w:uiPriority w:val="99"/>
    <w:rsid w:val="00F20392"/>
    <w:pPr>
      <w:spacing w:before="60" w:after="0" w:line="240" w:lineRule="auto"/>
    </w:pPr>
    <w:rPr>
      <w:rFonts w:ascii="Cambria" w:hAnsi="Cambria" w:cs="Times New Roman"/>
      <w:color w:val="000000"/>
      <w:szCs w:val="21"/>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cantSplit/>
    </w:trPr>
    <w:tcPr>
      <w:shd w:val="clear" w:color="auto" w:fill="auto"/>
    </w:tcPr>
    <w:tblStylePr w:type="firstRow">
      <w:pPr>
        <w:wordWrap/>
        <w:spacing w:beforeLines="0" w:beforeAutospacing="0" w:afterLines="0" w:afterAutospacing="0"/>
      </w:pPr>
      <w:rPr>
        <w:rFonts w:ascii="Cambria" w:hAnsi="Cambria"/>
        <w:b/>
        <w:color w:val="FFFFFF"/>
        <w:sz w:val="22"/>
      </w:rPr>
      <w:tblPr/>
      <w:trPr>
        <w:tblHeader/>
      </w:trPr>
      <w:tcPr>
        <w:shd w:val="clear" w:color="auto" w:fill="000000"/>
      </w:tcPr>
    </w:tblStylePr>
    <w:tblStylePr w:type="lastRow">
      <w:rPr>
        <w:b w:val="0"/>
      </w:rPr>
    </w:tblStylePr>
    <w:tblStylePr w:type="neCell">
      <w:rPr>
        <w:b w:val="0"/>
        <w:i w:val="0"/>
      </w:rPr>
    </w:tblStylePr>
    <w:tblStylePr w:type="nwCell">
      <w:rPr>
        <w:rFonts w:ascii="Cambria" w:hAnsi="Cambria"/>
        <w:b/>
        <w:i w:val="0"/>
        <w:color w:val="FFFFFF"/>
        <w:sz w:val="22"/>
      </w:rPr>
    </w:tblStylePr>
  </w:style>
  <w:style w:type="paragraph" w:customStyle="1" w:styleId="Subject">
    <w:name w:val="Subject"/>
    <w:basedOn w:val="Normal"/>
    <w:qFormat/>
    <w:rsid w:val="00F20392"/>
    <w:pPr>
      <w:adjustRightInd w:val="0"/>
      <w:snapToGrid w:val="0"/>
      <w:spacing w:before="180" w:after="180"/>
    </w:pPr>
    <w:rPr>
      <w:rFonts w:eastAsia="MS Mincho"/>
      <w:b/>
      <w:szCs w:val="20"/>
      <w:lang w:eastAsia="ja-JP"/>
    </w:rPr>
  </w:style>
  <w:style w:type="paragraph" w:customStyle="1" w:styleId="Addressee">
    <w:name w:val="Addressee"/>
    <w:basedOn w:val="Normal"/>
    <w:qFormat/>
    <w:rsid w:val="00F20392"/>
    <w:pPr>
      <w:adjustRightInd w:val="0"/>
      <w:snapToGrid w:val="0"/>
      <w:spacing w:before="180" w:after="180"/>
    </w:pPr>
    <w:rPr>
      <w:rFonts w:eastAsia="MS Mincho"/>
      <w:szCs w:val="20"/>
      <w:lang w:eastAsia="ja-JP"/>
    </w:rPr>
  </w:style>
  <w:style w:type="character" w:customStyle="1" w:styleId="ABN">
    <w:name w:val="ABN"/>
    <w:basedOn w:val="DefaultParagraphFont"/>
    <w:uiPriority w:val="1"/>
    <w:qFormat/>
    <w:rsid w:val="00F20392"/>
    <w:rPr>
      <w:rFonts w:ascii="Arial" w:hAnsi="Arial"/>
      <w:color w:val="002C47"/>
      <w:sz w:val="14"/>
    </w:rPr>
  </w:style>
  <w:style w:type="paragraph" w:customStyle="1" w:styleId="BodyCopy">
    <w:name w:val="Body Copy"/>
    <w:basedOn w:val="Normal"/>
    <w:qFormat/>
    <w:rsid w:val="00F20392"/>
    <w:pPr>
      <w:adjustRightInd w:val="0"/>
      <w:snapToGrid w:val="0"/>
      <w:spacing w:before="180" w:after="180"/>
    </w:pPr>
    <w:rPr>
      <w:rFonts w:eastAsia="MS Mincho"/>
      <w:szCs w:val="20"/>
      <w:lang w:eastAsia="ja-JP"/>
    </w:rPr>
  </w:style>
  <w:style w:type="paragraph" w:customStyle="1" w:styleId="Standard">
    <w:name w:val="Standard"/>
    <w:basedOn w:val="Normal"/>
    <w:link w:val="StandardChar"/>
    <w:qFormat/>
    <w:rsid w:val="00F20392"/>
    <w:pPr>
      <w:spacing w:before="0" w:after="220" w:line="252" w:lineRule="auto"/>
    </w:pPr>
    <w:rPr>
      <w:rFonts w:eastAsia="Times New Roman"/>
      <w:snapToGrid w:val="0"/>
      <w:kern w:val="16"/>
      <w:sz w:val="23"/>
      <w:szCs w:val="24"/>
    </w:rPr>
  </w:style>
  <w:style w:type="character" w:customStyle="1" w:styleId="StandardChar">
    <w:name w:val="Standard Char"/>
    <w:basedOn w:val="DefaultParagraphFont"/>
    <w:link w:val="Standard"/>
    <w:rsid w:val="00F20392"/>
    <w:rPr>
      <w:rFonts w:ascii="Cambria" w:eastAsia="Times New Roman" w:hAnsi="Cambria" w:cs="Times New Roman"/>
      <w:snapToGrid w:val="0"/>
      <w:kern w:val="16"/>
      <w:sz w:val="23"/>
      <w:szCs w:val="24"/>
    </w:rPr>
  </w:style>
  <w:style w:type="paragraph" w:customStyle="1" w:styleId="Bulletpoint">
    <w:name w:val="Bullet point"/>
    <w:basedOn w:val="Standard"/>
    <w:rsid w:val="00F20392"/>
    <w:pPr>
      <w:numPr>
        <w:numId w:val="5"/>
      </w:numPr>
      <w:tabs>
        <w:tab w:val="clear" w:pos="369"/>
        <w:tab w:val="left" w:pos="397"/>
        <w:tab w:val="num" w:pos="511"/>
        <w:tab w:val="num" w:pos="926"/>
      </w:tabs>
      <w:spacing w:after="180"/>
      <w:ind w:left="0" w:firstLine="0"/>
    </w:pPr>
    <w:rPr>
      <w:sz w:val="22"/>
    </w:rPr>
  </w:style>
  <w:style w:type="paragraph" w:customStyle="1" w:styleId="PISubsection">
    <w:name w:val="PI Subsection"/>
    <w:basedOn w:val="Standard"/>
    <w:next w:val="Standard"/>
    <w:rsid w:val="00F20392"/>
    <w:pPr>
      <w:keepNext/>
      <w:spacing w:after="120"/>
    </w:pPr>
    <w:rPr>
      <w:b/>
      <w:i/>
      <w:kern w:val="2"/>
      <w:sz w:val="22"/>
    </w:rPr>
  </w:style>
  <w:style w:type="character" w:customStyle="1" w:styleId="TabletextChar">
    <w:name w:val="Table text Char"/>
    <w:basedOn w:val="DefaultParagraphFont"/>
    <w:link w:val="Tabletext"/>
    <w:rsid w:val="00F20392"/>
    <w:rPr>
      <w:rFonts w:ascii="Cambria" w:eastAsia="Cambria" w:hAnsi="Cambria" w:cs="Times New Roman"/>
      <w:sz w:val="19"/>
    </w:rPr>
  </w:style>
  <w:style w:type="table" w:customStyle="1" w:styleId="TableTGAblue1">
    <w:name w:val="Table TGA blue1"/>
    <w:basedOn w:val="TableNormal"/>
    <w:uiPriority w:val="99"/>
    <w:qFormat/>
    <w:rsid w:val="00F20392"/>
    <w:pPr>
      <w:spacing w:after="0" w:line="240" w:lineRule="auto"/>
      <w:ind w:left="170" w:right="170"/>
    </w:pPr>
    <w:rPr>
      <w:rFonts w:ascii="Cambria" w:hAnsi="Cambria" w:cs="Times New Roman"/>
      <w:color w:val="000000" w:themeColor="text1"/>
      <w:szCs w:val="21"/>
      <w:lang w:eastAsia="en-AU"/>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auto"/>
    </w:tcPr>
    <w:tblStylePr w:type="firstRow">
      <w:pPr>
        <w:keepNext/>
        <w:wordWrap/>
      </w:pPr>
      <w:rPr>
        <w:rFonts w:ascii="Cambria" w:hAnsi="Cambria"/>
        <w:b/>
        <w:color w:val="FFFFFF" w:themeColor="background1"/>
        <w:sz w:val="22"/>
      </w:rPr>
      <w:tblPr/>
      <w:trPr>
        <w:tblHeader/>
      </w:tr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style>
  <w:style w:type="paragraph" w:customStyle="1" w:styleId="TableParagraph">
    <w:name w:val="Table Paragraph"/>
    <w:basedOn w:val="Normal"/>
    <w:uiPriority w:val="1"/>
    <w:qFormat/>
    <w:rsid w:val="00F20392"/>
    <w:pPr>
      <w:widowControl w:val="0"/>
      <w:autoSpaceDE w:val="0"/>
      <w:autoSpaceDN w:val="0"/>
      <w:spacing w:before="11" w:after="0" w:line="148" w:lineRule="exact"/>
    </w:pPr>
    <w:rPr>
      <w:rFonts w:ascii="Calibri" w:eastAsia="Calibri" w:hAnsi="Calibri" w:cs="Calibri"/>
      <w:lang w:val="en-US"/>
    </w:rPr>
  </w:style>
  <w:style w:type="table" w:customStyle="1" w:styleId="TableTGAblue2">
    <w:name w:val="Table TGA blue2"/>
    <w:basedOn w:val="TableNormal"/>
    <w:uiPriority w:val="99"/>
    <w:qFormat/>
    <w:rsid w:val="00F20392"/>
    <w:pPr>
      <w:spacing w:after="0" w:line="240" w:lineRule="auto"/>
      <w:ind w:left="170" w:right="170"/>
    </w:pPr>
    <w:rPr>
      <w:rFonts w:ascii="Cambria" w:hAnsi="Cambria" w:cs="Times New Roman"/>
      <w:color w:val="000000" w:themeColor="text1"/>
      <w:szCs w:val="21"/>
      <w:lang w:eastAsia="en-AU"/>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auto"/>
    </w:tcPr>
    <w:tblStylePr w:type="firstRow">
      <w:pPr>
        <w:keepNext/>
        <w:wordWrap/>
      </w:pPr>
      <w:rPr>
        <w:rFonts w:ascii="Cambria" w:hAnsi="Cambria"/>
        <w:b/>
        <w:color w:val="FFFFFF" w:themeColor="background1"/>
        <w:sz w:val="22"/>
      </w:rPr>
      <w:tblPr/>
      <w:trPr>
        <w:tblHeader/>
      </w:tr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style>
  <w:style w:type="character" w:customStyle="1" w:styleId="field-content">
    <w:name w:val="field-content"/>
    <w:basedOn w:val="DefaultParagraphFont"/>
    <w:rsid w:val="00F20392"/>
  </w:style>
  <w:style w:type="character" w:customStyle="1" w:styleId="element-invisible">
    <w:name w:val="element-invisible"/>
    <w:basedOn w:val="DefaultParagraphFont"/>
    <w:rsid w:val="00F20392"/>
  </w:style>
  <w:style w:type="paragraph" w:customStyle="1" w:styleId="views-field">
    <w:name w:val="views-field"/>
    <w:basedOn w:val="Normal"/>
    <w:rsid w:val="00F20392"/>
    <w:pPr>
      <w:spacing w:before="100" w:beforeAutospacing="1" w:after="100" w:afterAutospacing="1" w:line="240" w:lineRule="auto"/>
    </w:pPr>
    <w:rPr>
      <w:rFonts w:ascii="Times New Roman" w:eastAsia="Times New Roman" w:hAnsi="Times New Roman"/>
      <w:sz w:val="24"/>
      <w:szCs w:val="24"/>
      <w:lang w:eastAsia="en-AU"/>
    </w:rPr>
  </w:style>
  <w:style w:type="character" w:styleId="Strong">
    <w:name w:val="Strong"/>
    <w:basedOn w:val="DefaultParagraphFont"/>
    <w:uiPriority w:val="22"/>
    <w:qFormat/>
    <w:rsid w:val="00F20392"/>
    <w:rPr>
      <w:b/>
      <w:bCs/>
    </w:rPr>
  </w:style>
  <w:style w:type="paragraph" w:customStyle="1" w:styleId="paragraph">
    <w:name w:val="paragraph"/>
    <w:aliases w:val="a"/>
    <w:rsid w:val="00702BE2"/>
    <w:pPr>
      <w:tabs>
        <w:tab w:val="right" w:pos="1531"/>
      </w:tabs>
      <w:spacing w:before="40" w:after="0" w:line="240" w:lineRule="auto"/>
      <w:ind w:left="1644" w:hanging="1644"/>
    </w:pPr>
    <w:rPr>
      <w:rFonts w:ascii="Times New Roman" w:eastAsia="Times New Roman" w:hAnsi="Times New Roman" w:cs="Times New Roman"/>
      <w:szCs w:val="24"/>
      <w:lang w:eastAsia="en-AU"/>
    </w:rPr>
  </w:style>
  <w:style w:type="paragraph" w:customStyle="1" w:styleId="Default">
    <w:name w:val="Default"/>
    <w:rsid w:val="00702BE2"/>
    <w:pPr>
      <w:autoSpaceDE w:val="0"/>
      <w:autoSpaceDN w:val="0"/>
      <w:adjustRightInd w:val="0"/>
      <w:spacing w:after="0" w:line="240" w:lineRule="auto"/>
    </w:pPr>
    <w:rPr>
      <w:rFonts w:ascii="Cambria" w:hAnsi="Cambria" w:cs="Cambria"/>
      <w:color w:val="000000"/>
      <w:sz w:val="24"/>
      <w:szCs w:val="24"/>
    </w:rPr>
  </w:style>
  <w:style w:type="character" w:customStyle="1" w:styleId="BulletlistChar">
    <w:name w:val="Bullet list Char"/>
    <w:basedOn w:val="DefaultParagraphFont"/>
    <w:link w:val="Bulletlist"/>
    <w:locked/>
    <w:rsid w:val="00093EA4"/>
    <w:rPr>
      <w:rFonts w:ascii="Cambria" w:eastAsia="Times New Roman" w:hAnsi="Cambria" w:cs="Times New Roman"/>
      <w:kern w:val="2"/>
      <w:sz w:val="23"/>
    </w:rPr>
  </w:style>
  <w:style w:type="paragraph" w:customStyle="1" w:styleId="Bulletlist">
    <w:name w:val="Bullet list"/>
    <w:basedOn w:val="Normal"/>
    <w:link w:val="BulletlistChar"/>
    <w:qFormat/>
    <w:rsid w:val="00093EA4"/>
    <w:pPr>
      <w:numPr>
        <w:numId w:val="17"/>
      </w:numPr>
      <w:snapToGrid w:val="0"/>
      <w:spacing w:before="0" w:after="180" w:line="252" w:lineRule="auto"/>
      <w:ind w:left="426" w:hanging="284"/>
    </w:pPr>
    <w:rPr>
      <w:rFonts w:eastAsia="Times New Roman"/>
      <w:kern w:val="2"/>
      <w:sz w:val="23"/>
    </w:rPr>
  </w:style>
  <w:style w:type="paragraph" w:styleId="NormalWeb">
    <w:name w:val="Normal (Web)"/>
    <w:basedOn w:val="Normal"/>
    <w:uiPriority w:val="99"/>
    <w:semiHidden/>
    <w:unhideWhenUsed/>
    <w:rsid w:val="00AC66A4"/>
    <w:pPr>
      <w:spacing w:before="100" w:beforeAutospacing="1" w:after="100" w:afterAutospacing="1" w:line="240" w:lineRule="auto"/>
    </w:pPr>
    <w:rPr>
      <w:rFonts w:ascii="Times New Roman" w:eastAsia="Times New Roman" w:hAnsi="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831170">
      <w:bodyDiv w:val="1"/>
      <w:marLeft w:val="0"/>
      <w:marRight w:val="0"/>
      <w:marTop w:val="0"/>
      <w:marBottom w:val="0"/>
      <w:divBdr>
        <w:top w:val="none" w:sz="0" w:space="0" w:color="auto"/>
        <w:left w:val="none" w:sz="0" w:space="0" w:color="auto"/>
        <w:bottom w:val="none" w:sz="0" w:space="0" w:color="auto"/>
        <w:right w:val="none" w:sz="0" w:space="0" w:color="auto"/>
      </w:divBdr>
    </w:div>
    <w:div w:id="204829798">
      <w:bodyDiv w:val="1"/>
      <w:marLeft w:val="0"/>
      <w:marRight w:val="0"/>
      <w:marTop w:val="0"/>
      <w:marBottom w:val="0"/>
      <w:divBdr>
        <w:top w:val="none" w:sz="0" w:space="0" w:color="auto"/>
        <w:left w:val="none" w:sz="0" w:space="0" w:color="auto"/>
        <w:bottom w:val="none" w:sz="0" w:space="0" w:color="auto"/>
        <w:right w:val="none" w:sz="0" w:space="0" w:color="auto"/>
      </w:divBdr>
    </w:div>
    <w:div w:id="274289732">
      <w:bodyDiv w:val="1"/>
      <w:marLeft w:val="0"/>
      <w:marRight w:val="0"/>
      <w:marTop w:val="0"/>
      <w:marBottom w:val="0"/>
      <w:divBdr>
        <w:top w:val="none" w:sz="0" w:space="0" w:color="auto"/>
        <w:left w:val="none" w:sz="0" w:space="0" w:color="auto"/>
        <w:bottom w:val="none" w:sz="0" w:space="0" w:color="auto"/>
        <w:right w:val="none" w:sz="0" w:space="0" w:color="auto"/>
      </w:divBdr>
    </w:div>
    <w:div w:id="369190421">
      <w:bodyDiv w:val="1"/>
      <w:marLeft w:val="0"/>
      <w:marRight w:val="0"/>
      <w:marTop w:val="0"/>
      <w:marBottom w:val="0"/>
      <w:divBdr>
        <w:top w:val="none" w:sz="0" w:space="0" w:color="auto"/>
        <w:left w:val="none" w:sz="0" w:space="0" w:color="auto"/>
        <w:bottom w:val="none" w:sz="0" w:space="0" w:color="auto"/>
        <w:right w:val="none" w:sz="0" w:space="0" w:color="auto"/>
      </w:divBdr>
    </w:div>
    <w:div w:id="652567884">
      <w:bodyDiv w:val="1"/>
      <w:marLeft w:val="0"/>
      <w:marRight w:val="0"/>
      <w:marTop w:val="0"/>
      <w:marBottom w:val="0"/>
      <w:divBdr>
        <w:top w:val="none" w:sz="0" w:space="0" w:color="auto"/>
        <w:left w:val="none" w:sz="0" w:space="0" w:color="auto"/>
        <w:bottom w:val="none" w:sz="0" w:space="0" w:color="auto"/>
        <w:right w:val="none" w:sz="0" w:space="0" w:color="auto"/>
      </w:divBdr>
    </w:div>
    <w:div w:id="704257822">
      <w:bodyDiv w:val="1"/>
      <w:marLeft w:val="0"/>
      <w:marRight w:val="0"/>
      <w:marTop w:val="0"/>
      <w:marBottom w:val="0"/>
      <w:divBdr>
        <w:top w:val="none" w:sz="0" w:space="0" w:color="auto"/>
        <w:left w:val="none" w:sz="0" w:space="0" w:color="auto"/>
        <w:bottom w:val="none" w:sz="0" w:space="0" w:color="auto"/>
        <w:right w:val="none" w:sz="0" w:space="0" w:color="auto"/>
      </w:divBdr>
    </w:div>
    <w:div w:id="813105367">
      <w:bodyDiv w:val="1"/>
      <w:marLeft w:val="0"/>
      <w:marRight w:val="0"/>
      <w:marTop w:val="0"/>
      <w:marBottom w:val="0"/>
      <w:divBdr>
        <w:top w:val="none" w:sz="0" w:space="0" w:color="auto"/>
        <w:left w:val="none" w:sz="0" w:space="0" w:color="auto"/>
        <w:bottom w:val="none" w:sz="0" w:space="0" w:color="auto"/>
        <w:right w:val="none" w:sz="0" w:space="0" w:color="auto"/>
      </w:divBdr>
    </w:div>
    <w:div w:id="1016929719">
      <w:bodyDiv w:val="1"/>
      <w:marLeft w:val="0"/>
      <w:marRight w:val="0"/>
      <w:marTop w:val="0"/>
      <w:marBottom w:val="0"/>
      <w:divBdr>
        <w:top w:val="none" w:sz="0" w:space="0" w:color="auto"/>
        <w:left w:val="none" w:sz="0" w:space="0" w:color="auto"/>
        <w:bottom w:val="none" w:sz="0" w:space="0" w:color="auto"/>
        <w:right w:val="none" w:sz="0" w:space="0" w:color="auto"/>
      </w:divBdr>
    </w:div>
    <w:div w:id="1173296005">
      <w:bodyDiv w:val="1"/>
      <w:marLeft w:val="0"/>
      <w:marRight w:val="0"/>
      <w:marTop w:val="0"/>
      <w:marBottom w:val="0"/>
      <w:divBdr>
        <w:top w:val="none" w:sz="0" w:space="0" w:color="auto"/>
        <w:left w:val="none" w:sz="0" w:space="0" w:color="auto"/>
        <w:bottom w:val="none" w:sz="0" w:space="0" w:color="auto"/>
        <w:right w:val="none" w:sz="0" w:space="0" w:color="auto"/>
      </w:divBdr>
    </w:div>
    <w:div w:id="1517428001">
      <w:bodyDiv w:val="1"/>
      <w:marLeft w:val="0"/>
      <w:marRight w:val="0"/>
      <w:marTop w:val="0"/>
      <w:marBottom w:val="0"/>
      <w:divBdr>
        <w:top w:val="none" w:sz="0" w:space="0" w:color="auto"/>
        <w:left w:val="none" w:sz="0" w:space="0" w:color="auto"/>
        <w:bottom w:val="none" w:sz="0" w:space="0" w:color="auto"/>
        <w:right w:val="none" w:sz="0" w:space="0" w:color="auto"/>
      </w:divBdr>
    </w:div>
    <w:div w:id="1607034287">
      <w:bodyDiv w:val="1"/>
      <w:marLeft w:val="0"/>
      <w:marRight w:val="0"/>
      <w:marTop w:val="0"/>
      <w:marBottom w:val="0"/>
      <w:divBdr>
        <w:top w:val="none" w:sz="0" w:space="0" w:color="auto"/>
        <w:left w:val="none" w:sz="0" w:space="0" w:color="auto"/>
        <w:bottom w:val="none" w:sz="0" w:space="0" w:color="auto"/>
        <w:right w:val="none" w:sz="0" w:space="0" w:color="auto"/>
      </w:divBdr>
      <w:divsChild>
        <w:div w:id="1944654074">
          <w:marLeft w:val="0"/>
          <w:marRight w:val="0"/>
          <w:marTop w:val="0"/>
          <w:marBottom w:val="0"/>
          <w:divBdr>
            <w:top w:val="none" w:sz="0" w:space="0" w:color="auto"/>
            <w:left w:val="none" w:sz="0" w:space="0" w:color="auto"/>
            <w:bottom w:val="none" w:sz="0" w:space="0" w:color="auto"/>
            <w:right w:val="none" w:sz="0" w:space="0" w:color="auto"/>
          </w:divBdr>
        </w:div>
      </w:divsChild>
    </w:div>
    <w:div w:id="1878739786">
      <w:bodyDiv w:val="1"/>
      <w:marLeft w:val="0"/>
      <w:marRight w:val="0"/>
      <w:marTop w:val="0"/>
      <w:marBottom w:val="0"/>
      <w:divBdr>
        <w:top w:val="none" w:sz="0" w:space="0" w:color="auto"/>
        <w:left w:val="none" w:sz="0" w:space="0" w:color="auto"/>
        <w:bottom w:val="none" w:sz="0" w:space="0" w:color="auto"/>
        <w:right w:val="none" w:sz="0" w:space="0" w:color="auto"/>
      </w:divBdr>
    </w:div>
    <w:div w:id="1916819823">
      <w:bodyDiv w:val="1"/>
      <w:marLeft w:val="0"/>
      <w:marRight w:val="0"/>
      <w:marTop w:val="0"/>
      <w:marBottom w:val="0"/>
      <w:divBdr>
        <w:top w:val="none" w:sz="0" w:space="0" w:color="auto"/>
        <w:left w:val="none" w:sz="0" w:space="0" w:color="auto"/>
        <w:bottom w:val="none" w:sz="0" w:space="0" w:color="auto"/>
        <w:right w:val="none" w:sz="0" w:space="0" w:color="auto"/>
      </w:divBdr>
    </w:div>
    <w:div w:id="2059670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tga.gov.au" TargetMode="External"/><Relationship Id="rId13" Type="http://schemas.openxmlformats.org/officeDocument/2006/relationships/header" Target="header2.xml"/><Relationship Id="rId18" Type="http://schemas.openxmlformats.org/officeDocument/2006/relationships/image" Target="media/image3.emf"/><Relationship Id="rId26" Type="http://schemas.openxmlformats.org/officeDocument/2006/relationships/header" Target="header5.xml"/><Relationship Id="rId3" Type="http://schemas.openxmlformats.org/officeDocument/2006/relationships/styles" Target="styles.xml"/><Relationship Id="rId21" Type="http://schemas.openxmlformats.org/officeDocument/2006/relationships/hyperlink" Target="https://www.tga.gov.au/tgas-risk-management-approach" TargetMode="External"/><Relationship Id="rId34"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2.emf"/><Relationship Id="rId25" Type="http://schemas.openxmlformats.org/officeDocument/2006/relationships/header" Target="header4.xml"/><Relationship Id="rId33"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hyperlink" Target="https://www.tga.gov.au/picmi-search-facility" TargetMode="External"/><Relationship Id="rId20" Type="http://schemas.openxmlformats.org/officeDocument/2006/relationships/hyperlink" Target="https://www.tga.gov.au/publication/risk-management-plans-medicines-and-biologicals" TargetMode="External"/><Relationship Id="rId29" Type="http://schemas.openxmlformats.org/officeDocument/2006/relationships/hyperlink" Target="https://www.tga.gov.a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eader" Target="header3.xml"/><Relationship Id="rId32"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www.tga.gov.au/project-orbis" TargetMode="External"/><Relationship Id="rId23" Type="http://schemas.openxmlformats.org/officeDocument/2006/relationships/hyperlink" Target="https://www.tga.gov.au/picmi-search-facility" TargetMode="External"/><Relationship Id="rId28" Type="http://schemas.openxmlformats.org/officeDocument/2006/relationships/hyperlink" Target="mailto:info@tga.gov.au" TargetMode="External"/><Relationship Id="rId36" Type="http://schemas.openxmlformats.org/officeDocument/2006/relationships/theme" Target="theme/theme1.xml"/><Relationship Id="rId10" Type="http://schemas.openxmlformats.org/officeDocument/2006/relationships/hyperlink" Target="mailto:tga.copyright@tga.gov.au" TargetMode="External"/><Relationship Id="rId19" Type="http://schemas.openxmlformats.org/officeDocument/2006/relationships/image" Target="media/image4.emf"/><Relationship Id="rId31"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yperlink" Target="https://www.tga.gov.au/australian-public-assessment-report-auspar-guidance" TargetMode="External"/><Relationship Id="rId14" Type="http://schemas.openxmlformats.org/officeDocument/2006/relationships/hyperlink" Target="https://www.tga.gov.au/black-triangle-scheme" TargetMode="External"/><Relationship Id="rId22" Type="http://schemas.openxmlformats.org/officeDocument/2006/relationships/hyperlink" Target="https://www.tga.gov.au/committee/advisory-committee-medicines-acm" TargetMode="External"/><Relationship Id="rId27" Type="http://schemas.openxmlformats.org/officeDocument/2006/relationships/footer" Target="footer2.xml"/><Relationship Id="rId30" Type="http://schemas.openxmlformats.org/officeDocument/2006/relationships/header" Target="header6.xml"/><Relationship Id="rId35"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myeloma.org.au/wp-content/uploads/2021/11/MSAG-Clinical-Practice-Guidelines_Managemen-of-Systemic-Amyloidosis-Oct19.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GA">
  <a:themeElements>
    <a:clrScheme name="TGA_Colours">
      <a:dk1>
        <a:sysClr val="windowText" lastClr="000000"/>
      </a:dk1>
      <a:lt1>
        <a:sysClr val="window" lastClr="FFFFFF"/>
      </a:lt1>
      <a:dk2>
        <a:srgbClr val="002C47"/>
      </a:dk2>
      <a:lt2>
        <a:srgbClr val="50555C"/>
      </a:lt2>
      <a:accent1>
        <a:srgbClr val="002C47"/>
      </a:accent1>
      <a:accent2>
        <a:srgbClr val="B3C960"/>
      </a:accent2>
      <a:accent3>
        <a:srgbClr val="006DA7"/>
      </a:accent3>
      <a:accent4>
        <a:srgbClr val="006664"/>
      </a:accent4>
      <a:accent5>
        <a:srgbClr val="4D2779"/>
      </a:accent5>
      <a:accent6>
        <a:srgbClr val="25451C"/>
      </a:accent6>
      <a:hlink>
        <a:srgbClr val="50555C"/>
      </a:hlink>
      <a:folHlink>
        <a:srgbClr val="365171"/>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6D6BE8-7667-470C-ACF8-9383DF5C6B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585</TotalTime>
  <Pages>38</Pages>
  <Words>11125</Words>
  <Characters>62749</Characters>
  <Application>Microsoft Office Word</Application>
  <DocSecurity>0</DocSecurity>
  <Lines>1960</Lines>
  <Paragraphs>1420</Paragraphs>
  <ScaleCrop>false</ScaleCrop>
  <HeadingPairs>
    <vt:vector size="2" baseType="variant">
      <vt:variant>
        <vt:lpstr>Title</vt:lpstr>
      </vt:variant>
      <vt:variant>
        <vt:i4>1</vt:i4>
      </vt:variant>
    </vt:vector>
  </HeadingPairs>
  <TitlesOfParts>
    <vt:vector size="1" baseType="lpstr">
      <vt:lpstr>Australian public assessment report for Darzalex SC</vt:lpstr>
    </vt:vector>
  </TitlesOfParts>
  <Company>Department of Health and Aged Care</Company>
  <LinksUpToDate>false</LinksUpToDate>
  <CharactersWithSpaces>72454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public assessment report for Darzalex SC</dc:title>
  <dc:subject>prescription medicine regulation</dc:subject>
  <dc:creator>Therapeutic Goods Administration</dc:creator>
  <cp:keywords>AusPARs</cp:keywords>
  <cp:lastModifiedBy>PITKIN, Brendan</cp:lastModifiedBy>
  <cp:revision>18</cp:revision>
  <cp:lastPrinted>2019-08-14T04:30:00Z</cp:lastPrinted>
  <dcterms:created xsi:type="dcterms:W3CDTF">2022-10-18T19:55:00Z</dcterms:created>
  <dcterms:modified xsi:type="dcterms:W3CDTF">2022-10-27T04:25:00Z</dcterms:modified>
  <cp:category/>
</cp:coreProperties>
</file>