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CF0E09" w:rsidRPr="00215D48" w14:paraId="4518EED6" w14:textId="77777777" w:rsidTr="00063D93">
        <w:tc>
          <w:tcPr>
            <w:tcW w:w="8720" w:type="dxa"/>
          </w:tcPr>
          <w:p w14:paraId="788FF0E1" w14:textId="17517C14" w:rsidR="00CF0E09" w:rsidRPr="00215D48" w:rsidRDefault="00CF0E09" w:rsidP="00EE7C7F">
            <w:pPr>
              <w:pStyle w:val="Title"/>
            </w:pPr>
            <w:r>
              <w:t xml:space="preserve">Recalls </w:t>
            </w:r>
            <w:r w:rsidR="00EE7C7F">
              <w:t>a</w:t>
            </w:r>
            <w:r>
              <w:t xml:space="preserve">nnual </w:t>
            </w:r>
            <w:r w:rsidR="00EE7C7F">
              <w:t>r</w:t>
            </w:r>
            <w:r>
              <w:t>eport</w:t>
            </w:r>
            <w:r w:rsidR="00EE7C7F">
              <w:t xml:space="preserve"> 2019-20</w:t>
            </w:r>
          </w:p>
        </w:tc>
      </w:tr>
      <w:tr w:rsidR="00CF0E09" w:rsidRPr="00215D48" w14:paraId="5CBF83E8" w14:textId="77777777" w:rsidTr="00063D93">
        <w:trPr>
          <w:trHeight w:val="1916"/>
        </w:trPr>
        <w:tc>
          <w:tcPr>
            <w:tcW w:w="8720" w:type="dxa"/>
          </w:tcPr>
          <w:p w14:paraId="688F4E66" w14:textId="71E74A6D" w:rsidR="00CF0E09" w:rsidRPr="00215D48" w:rsidRDefault="00CF0E09" w:rsidP="00063D93">
            <w:pPr>
              <w:pStyle w:val="Subtitle"/>
              <w:ind w:left="0"/>
            </w:pPr>
          </w:p>
        </w:tc>
      </w:tr>
      <w:tr w:rsidR="00CF0E09" w:rsidRPr="00215D48" w14:paraId="02B5579B" w14:textId="77777777" w:rsidTr="00063D93">
        <w:tc>
          <w:tcPr>
            <w:tcW w:w="8720" w:type="dxa"/>
          </w:tcPr>
          <w:p w14:paraId="3A3447DA" w14:textId="22ABB521" w:rsidR="00CF0E09" w:rsidRPr="00215D48" w:rsidRDefault="00CF0E09" w:rsidP="00EE7C7F">
            <w:pPr>
              <w:pStyle w:val="Date"/>
            </w:pPr>
            <w:r>
              <w:t xml:space="preserve">Version </w:t>
            </w:r>
            <w:r w:rsidR="00606F55">
              <w:t>1.0</w:t>
            </w:r>
            <w:r w:rsidRPr="00215D48">
              <w:t xml:space="preserve">, </w:t>
            </w:r>
            <w:r w:rsidR="00EE7C7F">
              <w:t>Novem</w:t>
            </w:r>
            <w:r w:rsidR="00EE40D9">
              <w:t xml:space="preserve">ber </w:t>
            </w:r>
            <w:r>
              <w:t>2020</w:t>
            </w:r>
          </w:p>
        </w:tc>
      </w:tr>
    </w:tbl>
    <w:p w14:paraId="01EE8DE2" w14:textId="77777777" w:rsidR="00B24FF5" w:rsidRPr="00215D48" w:rsidRDefault="00B24FF5" w:rsidP="00B24FF5">
      <w:pPr>
        <w:pStyle w:val="ListBullet"/>
        <w:numPr>
          <w:ilvl w:val="0"/>
          <w:numId w:val="0"/>
        </w:numPr>
        <w:sectPr w:rsidR="00B24FF5" w:rsidRPr="00215D48" w:rsidSect="00F401EF">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37C5CFE6" w14:textId="77777777" w:rsidR="005D1689" w:rsidRPr="00E1198B" w:rsidRDefault="005D1689" w:rsidP="00BA0DFC">
      <w:pPr>
        <w:pStyle w:val="LegalSubheading"/>
      </w:pPr>
      <w:r w:rsidRPr="00BA0DFC">
        <w:lastRenderedPageBreak/>
        <w:t>Copyright</w:t>
      </w:r>
    </w:p>
    <w:p w14:paraId="3AC58F41" w14:textId="77777777" w:rsidR="00F274A2" w:rsidRDefault="005D1689" w:rsidP="0029069E">
      <w:pPr>
        <w:pStyle w:val="LegalCopy"/>
        <w:rPr>
          <w:rFonts w:cs="Arial"/>
        </w:rPr>
      </w:pPr>
      <w:r w:rsidRPr="00215D48">
        <w:rPr>
          <w:rFonts w:cs="Arial"/>
        </w:rPr>
        <w:t>© Commonwealth of Australia 20</w:t>
      </w:r>
      <w:r w:rsidR="009074DB">
        <w:rPr>
          <w:rFonts w:cs="Arial"/>
        </w:rPr>
        <w:t>20</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EndPr/>
      <w:sdtContent>
        <w:p w14:paraId="4815879B" w14:textId="77777777" w:rsidR="00F401EF" w:rsidRPr="00215D48" w:rsidRDefault="00F401EF" w:rsidP="00063D93">
          <w:pPr>
            <w:pStyle w:val="NonTOCheading2"/>
          </w:pPr>
          <w:r w:rsidRPr="00215D48">
            <w:t>Contents</w:t>
          </w:r>
        </w:p>
        <w:p w14:paraId="4536BD6F" w14:textId="2E7C12BF" w:rsidR="00A056AB"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55819535" w:history="1">
            <w:r w:rsidR="00A056AB" w:rsidRPr="008E0925">
              <w:rPr>
                <w:rStyle w:val="Hyperlink"/>
                <w:noProof/>
              </w:rPr>
              <w:t>What we do</w:t>
            </w:r>
            <w:r w:rsidR="00A056AB">
              <w:rPr>
                <w:noProof/>
                <w:webHidden/>
              </w:rPr>
              <w:tab/>
            </w:r>
            <w:r w:rsidR="00A056AB">
              <w:rPr>
                <w:noProof/>
                <w:webHidden/>
              </w:rPr>
              <w:fldChar w:fldCharType="begin"/>
            </w:r>
            <w:r w:rsidR="00A056AB">
              <w:rPr>
                <w:noProof/>
                <w:webHidden/>
              </w:rPr>
              <w:instrText xml:space="preserve"> PAGEREF _Toc55819535 \h </w:instrText>
            </w:r>
            <w:r w:rsidR="00A056AB">
              <w:rPr>
                <w:noProof/>
                <w:webHidden/>
              </w:rPr>
            </w:r>
            <w:r w:rsidR="00A056AB">
              <w:rPr>
                <w:noProof/>
                <w:webHidden/>
              </w:rPr>
              <w:fldChar w:fldCharType="separate"/>
            </w:r>
            <w:r w:rsidR="008B5489">
              <w:rPr>
                <w:noProof/>
                <w:webHidden/>
              </w:rPr>
              <w:t>4</w:t>
            </w:r>
            <w:r w:rsidR="00A056AB">
              <w:rPr>
                <w:noProof/>
                <w:webHidden/>
              </w:rPr>
              <w:fldChar w:fldCharType="end"/>
            </w:r>
          </w:hyperlink>
        </w:p>
        <w:p w14:paraId="600E1A5F" w14:textId="10FD2650" w:rsidR="00A056AB" w:rsidRDefault="00BC3C86">
          <w:pPr>
            <w:pStyle w:val="TOC1"/>
            <w:rPr>
              <w:rFonts w:asciiTheme="minorHAnsi" w:eastAsiaTheme="minorEastAsia" w:hAnsiTheme="minorHAnsi" w:cstheme="minorBidi"/>
              <w:b w:val="0"/>
              <w:noProof/>
              <w:sz w:val="22"/>
              <w:szCs w:val="22"/>
              <w:lang w:eastAsia="en-AU"/>
            </w:rPr>
          </w:pPr>
          <w:hyperlink w:anchor="_Toc55819536" w:history="1">
            <w:r w:rsidR="00A056AB" w:rsidRPr="008E0925">
              <w:rPr>
                <w:rStyle w:val="Hyperlink"/>
                <w:noProof/>
              </w:rPr>
              <w:t>Recalls</w:t>
            </w:r>
            <w:r w:rsidR="00A056AB">
              <w:rPr>
                <w:noProof/>
                <w:webHidden/>
              </w:rPr>
              <w:tab/>
            </w:r>
            <w:r w:rsidR="00A056AB">
              <w:rPr>
                <w:noProof/>
                <w:webHidden/>
              </w:rPr>
              <w:fldChar w:fldCharType="begin"/>
            </w:r>
            <w:r w:rsidR="00A056AB">
              <w:rPr>
                <w:noProof/>
                <w:webHidden/>
              </w:rPr>
              <w:instrText xml:space="preserve"> PAGEREF _Toc55819536 \h </w:instrText>
            </w:r>
            <w:r w:rsidR="00A056AB">
              <w:rPr>
                <w:noProof/>
                <w:webHidden/>
              </w:rPr>
            </w:r>
            <w:r w:rsidR="00A056AB">
              <w:rPr>
                <w:noProof/>
                <w:webHidden/>
              </w:rPr>
              <w:fldChar w:fldCharType="separate"/>
            </w:r>
            <w:r w:rsidR="008B5489">
              <w:rPr>
                <w:noProof/>
                <w:webHidden/>
              </w:rPr>
              <w:t>4</w:t>
            </w:r>
            <w:r w:rsidR="00A056AB">
              <w:rPr>
                <w:noProof/>
                <w:webHidden/>
              </w:rPr>
              <w:fldChar w:fldCharType="end"/>
            </w:r>
          </w:hyperlink>
        </w:p>
        <w:p w14:paraId="1816A08E" w14:textId="37AD3EB7" w:rsidR="00A056AB" w:rsidRDefault="00BC3C86">
          <w:pPr>
            <w:pStyle w:val="TOC1"/>
            <w:rPr>
              <w:rFonts w:asciiTheme="minorHAnsi" w:eastAsiaTheme="minorEastAsia" w:hAnsiTheme="minorHAnsi" w:cstheme="minorBidi"/>
              <w:b w:val="0"/>
              <w:noProof/>
              <w:sz w:val="22"/>
              <w:szCs w:val="22"/>
              <w:lang w:eastAsia="en-AU"/>
            </w:rPr>
          </w:pPr>
          <w:hyperlink w:anchor="_Toc55819537" w:history="1">
            <w:r w:rsidR="00A056AB" w:rsidRPr="008E0925">
              <w:rPr>
                <w:rStyle w:val="Hyperlink"/>
                <w:noProof/>
              </w:rPr>
              <w:t>Ensuring the safety of therapeutic goods</w:t>
            </w:r>
            <w:r w:rsidR="00A056AB">
              <w:rPr>
                <w:noProof/>
                <w:webHidden/>
              </w:rPr>
              <w:tab/>
            </w:r>
            <w:r w:rsidR="00A056AB">
              <w:rPr>
                <w:noProof/>
                <w:webHidden/>
              </w:rPr>
              <w:fldChar w:fldCharType="begin"/>
            </w:r>
            <w:r w:rsidR="00A056AB">
              <w:rPr>
                <w:noProof/>
                <w:webHidden/>
              </w:rPr>
              <w:instrText xml:space="preserve"> PAGEREF _Toc55819537 \h </w:instrText>
            </w:r>
            <w:r w:rsidR="00A056AB">
              <w:rPr>
                <w:noProof/>
                <w:webHidden/>
              </w:rPr>
            </w:r>
            <w:r w:rsidR="00A056AB">
              <w:rPr>
                <w:noProof/>
                <w:webHidden/>
              </w:rPr>
              <w:fldChar w:fldCharType="separate"/>
            </w:r>
            <w:r w:rsidR="008B5489">
              <w:rPr>
                <w:noProof/>
                <w:webHidden/>
              </w:rPr>
              <w:t>4</w:t>
            </w:r>
            <w:r w:rsidR="00A056AB">
              <w:rPr>
                <w:noProof/>
                <w:webHidden/>
              </w:rPr>
              <w:fldChar w:fldCharType="end"/>
            </w:r>
          </w:hyperlink>
        </w:p>
        <w:p w14:paraId="371A2C99" w14:textId="6692E9A2" w:rsidR="00A056AB" w:rsidRDefault="00BC3C86">
          <w:pPr>
            <w:pStyle w:val="TOC1"/>
            <w:rPr>
              <w:rFonts w:asciiTheme="minorHAnsi" w:eastAsiaTheme="minorEastAsia" w:hAnsiTheme="minorHAnsi" w:cstheme="minorBidi"/>
              <w:b w:val="0"/>
              <w:noProof/>
              <w:sz w:val="22"/>
              <w:szCs w:val="22"/>
              <w:lang w:eastAsia="en-AU"/>
            </w:rPr>
          </w:pPr>
          <w:hyperlink w:anchor="_Toc55819538" w:history="1">
            <w:r w:rsidR="00A056AB" w:rsidRPr="008E0925">
              <w:rPr>
                <w:rStyle w:val="Hyperlink"/>
                <w:noProof/>
              </w:rPr>
              <w:t>Key statistics</w:t>
            </w:r>
            <w:r w:rsidR="00A056AB">
              <w:rPr>
                <w:noProof/>
                <w:webHidden/>
              </w:rPr>
              <w:tab/>
            </w:r>
            <w:r w:rsidR="00A056AB">
              <w:rPr>
                <w:noProof/>
                <w:webHidden/>
              </w:rPr>
              <w:fldChar w:fldCharType="begin"/>
            </w:r>
            <w:r w:rsidR="00A056AB">
              <w:rPr>
                <w:noProof/>
                <w:webHidden/>
              </w:rPr>
              <w:instrText xml:space="preserve"> PAGEREF _Toc55819538 \h </w:instrText>
            </w:r>
            <w:r w:rsidR="00A056AB">
              <w:rPr>
                <w:noProof/>
                <w:webHidden/>
              </w:rPr>
            </w:r>
            <w:r w:rsidR="00A056AB">
              <w:rPr>
                <w:noProof/>
                <w:webHidden/>
              </w:rPr>
              <w:fldChar w:fldCharType="separate"/>
            </w:r>
            <w:r w:rsidR="008B5489">
              <w:rPr>
                <w:noProof/>
                <w:webHidden/>
              </w:rPr>
              <w:t>5</w:t>
            </w:r>
            <w:r w:rsidR="00A056AB">
              <w:rPr>
                <w:noProof/>
                <w:webHidden/>
              </w:rPr>
              <w:fldChar w:fldCharType="end"/>
            </w:r>
          </w:hyperlink>
        </w:p>
        <w:p w14:paraId="022DA83A" w14:textId="7E7754AF" w:rsidR="00A056AB" w:rsidRDefault="00BC3C86">
          <w:pPr>
            <w:pStyle w:val="TOC1"/>
            <w:rPr>
              <w:rFonts w:asciiTheme="minorHAnsi" w:eastAsiaTheme="minorEastAsia" w:hAnsiTheme="minorHAnsi" w:cstheme="minorBidi"/>
              <w:b w:val="0"/>
              <w:noProof/>
              <w:sz w:val="22"/>
              <w:szCs w:val="22"/>
              <w:lang w:eastAsia="en-AU"/>
            </w:rPr>
          </w:pPr>
          <w:hyperlink w:anchor="_Toc55819539" w:history="1">
            <w:r w:rsidR="00A056AB" w:rsidRPr="008E0925">
              <w:rPr>
                <w:rStyle w:val="Hyperlink"/>
                <w:noProof/>
              </w:rPr>
              <w:t>Impact of COVID-19 on product recalls</w:t>
            </w:r>
            <w:r w:rsidR="00A056AB">
              <w:rPr>
                <w:noProof/>
                <w:webHidden/>
              </w:rPr>
              <w:tab/>
            </w:r>
            <w:r w:rsidR="00A056AB">
              <w:rPr>
                <w:noProof/>
                <w:webHidden/>
              </w:rPr>
              <w:fldChar w:fldCharType="begin"/>
            </w:r>
            <w:r w:rsidR="00A056AB">
              <w:rPr>
                <w:noProof/>
                <w:webHidden/>
              </w:rPr>
              <w:instrText xml:space="preserve"> PAGEREF _Toc55819539 \h </w:instrText>
            </w:r>
            <w:r w:rsidR="00A056AB">
              <w:rPr>
                <w:noProof/>
                <w:webHidden/>
              </w:rPr>
            </w:r>
            <w:r w:rsidR="00A056AB">
              <w:rPr>
                <w:noProof/>
                <w:webHidden/>
              </w:rPr>
              <w:fldChar w:fldCharType="separate"/>
            </w:r>
            <w:r w:rsidR="008B5489">
              <w:rPr>
                <w:noProof/>
                <w:webHidden/>
              </w:rPr>
              <w:t>8</w:t>
            </w:r>
            <w:r w:rsidR="00A056AB">
              <w:rPr>
                <w:noProof/>
                <w:webHidden/>
              </w:rPr>
              <w:fldChar w:fldCharType="end"/>
            </w:r>
          </w:hyperlink>
        </w:p>
        <w:p w14:paraId="2C9B66DA" w14:textId="748F5212" w:rsidR="00A056AB" w:rsidRDefault="00BC3C86">
          <w:pPr>
            <w:pStyle w:val="TOC1"/>
            <w:rPr>
              <w:rFonts w:asciiTheme="minorHAnsi" w:eastAsiaTheme="minorEastAsia" w:hAnsiTheme="minorHAnsi" w:cstheme="minorBidi"/>
              <w:b w:val="0"/>
              <w:noProof/>
              <w:sz w:val="22"/>
              <w:szCs w:val="22"/>
              <w:lang w:eastAsia="en-AU"/>
            </w:rPr>
          </w:pPr>
          <w:hyperlink w:anchor="_Toc55819540" w:history="1">
            <w:r w:rsidR="00A056AB" w:rsidRPr="008E0925">
              <w:rPr>
                <w:rStyle w:val="Hyperlink"/>
                <w:noProof/>
              </w:rPr>
              <w:t>Uniform Recall Procedure for Therapeutic Goods</w:t>
            </w:r>
            <w:r w:rsidR="00A056AB">
              <w:rPr>
                <w:noProof/>
                <w:webHidden/>
              </w:rPr>
              <w:tab/>
            </w:r>
            <w:r w:rsidR="00A056AB">
              <w:rPr>
                <w:noProof/>
                <w:webHidden/>
              </w:rPr>
              <w:fldChar w:fldCharType="begin"/>
            </w:r>
            <w:r w:rsidR="00A056AB">
              <w:rPr>
                <w:noProof/>
                <w:webHidden/>
              </w:rPr>
              <w:instrText xml:space="preserve"> PAGEREF _Toc55819540 \h </w:instrText>
            </w:r>
            <w:r w:rsidR="00A056AB">
              <w:rPr>
                <w:noProof/>
                <w:webHidden/>
              </w:rPr>
            </w:r>
            <w:r w:rsidR="00A056AB">
              <w:rPr>
                <w:noProof/>
                <w:webHidden/>
              </w:rPr>
              <w:fldChar w:fldCharType="separate"/>
            </w:r>
            <w:r w:rsidR="008B5489">
              <w:rPr>
                <w:noProof/>
                <w:webHidden/>
              </w:rPr>
              <w:t>9</w:t>
            </w:r>
            <w:r w:rsidR="00A056AB">
              <w:rPr>
                <w:noProof/>
                <w:webHidden/>
              </w:rPr>
              <w:fldChar w:fldCharType="end"/>
            </w:r>
          </w:hyperlink>
        </w:p>
        <w:p w14:paraId="60C5925C" w14:textId="59A5FC5C" w:rsidR="00A056AB" w:rsidRDefault="00BC3C86">
          <w:pPr>
            <w:pStyle w:val="TOC1"/>
            <w:rPr>
              <w:rFonts w:asciiTheme="minorHAnsi" w:eastAsiaTheme="minorEastAsia" w:hAnsiTheme="minorHAnsi" w:cstheme="minorBidi"/>
              <w:b w:val="0"/>
              <w:noProof/>
              <w:sz w:val="22"/>
              <w:szCs w:val="22"/>
              <w:lang w:eastAsia="en-AU"/>
            </w:rPr>
          </w:pPr>
          <w:hyperlink w:anchor="_Toc55819541" w:history="1">
            <w:r w:rsidR="00A056AB" w:rsidRPr="008E0925">
              <w:rPr>
                <w:rStyle w:val="Hyperlink"/>
                <w:noProof/>
              </w:rPr>
              <w:t>System for Australian Recall Actions (SARA)</w:t>
            </w:r>
            <w:r w:rsidR="00A056AB">
              <w:rPr>
                <w:noProof/>
                <w:webHidden/>
              </w:rPr>
              <w:tab/>
            </w:r>
            <w:r w:rsidR="00A056AB">
              <w:rPr>
                <w:noProof/>
                <w:webHidden/>
              </w:rPr>
              <w:fldChar w:fldCharType="begin"/>
            </w:r>
            <w:r w:rsidR="00A056AB">
              <w:rPr>
                <w:noProof/>
                <w:webHidden/>
              </w:rPr>
              <w:instrText xml:space="preserve"> PAGEREF _Toc55819541 \h </w:instrText>
            </w:r>
            <w:r w:rsidR="00A056AB">
              <w:rPr>
                <w:noProof/>
                <w:webHidden/>
              </w:rPr>
            </w:r>
            <w:r w:rsidR="00A056AB">
              <w:rPr>
                <w:noProof/>
                <w:webHidden/>
              </w:rPr>
              <w:fldChar w:fldCharType="separate"/>
            </w:r>
            <w:r w:rsidR="008B5489">
              <w:rPr>
                <w:noProof/>
                <w:webHidden/>
              </w:rPr>
              <w:t>10</w:t>
            </w:r>
            <w:r w:rsidR="00A056AB">
              <w:rPr>
                <w:noProof/>
                <w:webHidden/>
              </w:rPr>
              <w:fldChar w:fldCharType="end"/>
            </w:r>
          </w:hyperlink>
        </w:p>
        <w:p w14:paraId="168CCA1C" w14:textId="00F2C4A7" w:rsidR="00A056AB" w:rsidRDefault="00BC3C86">
          <w:pPr>
            <w:pStyle w:val="TOC1"/>
            <w:rPr>
              <w:rFonts w:asciiTheme="minorHAnsi" w:eastAsiaTheme="minorEastAsia" w:hAnsiTheme="minorHAnsi" w:cstheme="minorBidi"/>
              <w:b w:val="0"/>
              <w:noProof/>
              <w:sz w:val="22"/>
              <w:szCs w:val="22"/>
              <w:lang w:eastAsia="en-AU"/>
            </w:rPr>
          </w:pPr>
          <w:hyperlink w:anchor="_Toc55819542" w:history="1">
            <w:r w:rsidR="00A056AB" w:rsidRPr="008E0925">
              <w:rPr>
                <w:rStyle w:val="Hyperlink"/>
                <w:noProof/>
              </w:rPr>
              <w:t>Online recall notification form</w:t>
            </w:r>
            <w:r w:rsidR="00A056AB">
              <w:rPr>
                <w:noProof/>
                <w:webHidden/>
              </w:rPr>
              <w:tab/>
            </w:r>
            <w:r w:rsidR="00A056AB">
              <w:rPr>
                <w:noProof/>
                <w:webHidden/>
              </w:rPr>
              <w:fldChar w:fldCharType="begin"/>
            </w:r>
            <w:r w:rsidR="00A056AB">
              <w:rPr>
                <w:noProof/>
                <w:webHidden/>
              </w:rPr>
              <w:instrText xml:space="preserve"> PAGEREF _Toc55819542 \h </w:instrText>
            </w:r>
            <w:r w:rsidR="00A056AB">
              <w:rPr>
                <w:noProof/>
                <w:webHidden/>
              </w:rPr>
            </w:r>
            <w:r w:rsidR="00A056AB">
              <w:rPr>
                <w:noProof/>
                <w:webHidden/>
              </w:rPr>
              <w:fldChar w:fldCharType="separate"/>
            </w:r>
            <w:r w:rsidR="008B5489">
              <w:rPr>
                <w:noProof/>
                <w:webHidden/>
              </w:rPr>
              <w:t>10</w:t>
            </w:r>
            <w:r w:rsidR="00A056AB">
              <w:rPr>
                <w:noProof/>
                <w:webHidden/>
              </w:rPr>
              <w:fldChar w:fldCharType="end"/>
            </w:r>
          </w:hyperlink>
        </w:p>
        <w:p w14:paraId="32326339" w14:textId="4A0FA943" w:rsidR="00A056AB" w:rsidRDefault="00BC3C86">
          <w:pPr>
            <w:pStyle w:val="TOC1"/>
            <w:rPr>
              <w:rFonts w:asciiTheme="minorHAnsi" w:eastAsiaTheme="minorEastAsia" w:hAnsiTheme="minorHAnsi" w:cstheme="minorBidi"/>
              <w:b w:val="0"/>
              <w:noProof/>
              <w:sz w:val="22"/>
              <w:szCs w:val="22"/>
              <w:lang w:eastAsia="en-AU"/>
            </w:rPr>
          </w:pPr>
          <w:hyperlink w:anchor="_Toc55819543" w:history="1">
            <w:r w:rsidR="00A056AB" w:rsidRPr="008E0925">
              <w:rPr>
                <w:rStyle w:val="Hyperlink"/>
                <w:noProof/>
              </w:rPr>
              <w:t>Confirmation of sponsor contact details</w:t>
            </w:r>
            <w:r w:rsidR="00A056AB">
              <w:rPr>
                <w:noProof/>
                <w:webHidden/>
              </w:rPr>
              <w:tab/>
            </w:r>
            <w:r w:rsidR="00A056AB">
              <w:rPr>
                <w:noProof/>
                <w:webHidden/>
              </w:rPr>
              <w:fldChar w:fldCharType="begin"/>
            </w:r>
            <w:r w:rsidR="00A056AB">
              <w:rPr>
                <w:noProof/>
                <w:webHidden/>
              </w:rPr>
              <w:instrText xml:space="preserve"> PAGEREF _Toc55819543 \h </w:instrText>
            </w:r>
            <w:r w:rsidR="00A056AB">
              <w:rPr>
                <w:noProof/>
                <w:webHidden/>
              </w:rPr>
            </w:r>
            <w:r w:rsidR="00A056AB">
              <w:rPr>
                <w:noProof/>
                <w:webHidden/>
              </w:rPr>
              <w:fldChar w:fldCharType="separate"/>
            </w:r>
            <w:r w:rsidR="008B5489">
              <w:rPr>
                <w:noProof/>
                <w:webHidden/>
              </w:rPr>
              <w:t>10</w:t>
            </w:r>
            <w:r w:rsidR="00A056AB">
              <w:rPr>
                <w:noProof/>
                <w:webHidden/>
              </w:rPr>
              <w:fldChar w:fldCharType="end"/>
            </w:r>
          </w:hyperlink>
        </w:p>
        <w:p w14:paraId="52154D62" w14:textId="500CB7FA" w:rsidR="00A056AB" w:rsidRDefault="00BC3C86">
          <w:pPr>
            <w:pStyle w:val="TOC1"/>
            <w:rPr>
              <w:rFonts w:asciiTheme="minorHAnsi" w:eastAsiaTheme="minorEastAsia" w:hAnsiTheme="minorHAnsi" w:cstheme="minorBidi"/>
              <w:b w:val="0"/>
              <w:noProof/>
              <w:sz w:val="22"/>
              <w:szCs w:val="22"/>
              <w:lang w:eastAsia="en-AU"/>
            </w:rPr>
          </w:pPr>
          <w:hyperlink w:anchor="_Toc55819544" w:history="1">
            <w:r w:rsidR="00A056AB" w:rsidRPr="008E0925">
              <w:rPr>
                <w:rStyle w:val="Hyperlink"/>
                <w:noProof/>
              </w:rPr>
              <w:t>Stakeholder engagement</w:t>
            </w:r>
            <w:r w:rsidR="00A056AB">
              <w:rPr>
                <w:noProof/>
                <w:webHidden/>
              </w:rPr>
              <w:tab/>
            </w:r>
            <w:r w:rsidR="00A056AB">
              <w:rPr>
                <w:noProof/>
                <w:webHidden/>
              </w:rPr>
              <w:fldChar w:fldCharType="begin"/>
            </w:r>
            <w:r w:rsidR="00A056AB">
              <w:rPr>
                <w:noProof/>
                <w:webHidden/>
              </w:rPr>
              <w:instrText xml:space="preserve"> PAGEREF _Toc55819544 \h </w:instrText>
            </w:r>
            <w:r w:rsidR="00A056AB">
              <w:rPr>
                <w:noProof/>
                <w:webHidden/>
              </w:rPr>
            </w:r>
            <w:r w:rsidR="00A056AB">
              <w:rPr>
                <w:noProof/>
                <w:webHidden/>
              </w:rPr>
              <w:fldChar w:fldCharType="separate"/>
            </w:r>
            <w:r w:rsidR="008B5489">
              <w:rPr>
                <w:noProof/>
                <w:webHidden/>
              </w:rPr>
              <w:t>11</w:t>
            </w:r>
            <w:r w:rsidR="00A056AB">
              <w:rPr>
                <w:noProof/>
                <w:webHidden/>
              </w:rPr>
              <w:fldChar w:fldCharType="end"/>
            </w:r>
          </w:hyperlink>
        </w:p>
        <w:p w14:paraId="164693FA" w14:textId="5632DC72" w:rsidR="00A056AB" w:rsidRDefault="00BC3C86">
          <w:pPr>
            <w:pStyle w:val="TOC1"/>
            <w:rPr>
              <w:rFonts w:asciiTheme="minorHAnsi" w:eastAsiaTheme="minorEastAsia" w:hAnsiTheme="minorHAnsi" w:cstheme="minorBidi"/>
              <w:b w:val="0"/>
              <w:noProof/>
              <w:sz w:val="22"/>
              <w:szCs w:val="22"/>
              <w:lang w:eastAsia="en-AU"/>
            </w:rPr>
          </w:pPr>
          <w:hyperlink w:anchor="_Toc55819545" w:history="1">
            <w:r w:rsidR="00A056AB" w:rsidRPr="008E0925">
              <w:rPr>
                <w:rStyle w:val="Hyperlink"/>
                <w:noProof/>
              </w:rPr>
              <w:t>Some notable recall actions in 2019-20</w:t>
            </w:r>
            <w:r w:rsidR="00A056AB">
              <w:rPr>
                <w:noProof/>
                <w:webHidden/>
              </w:rPr>
              <w:tab/>
            </w:r>
            <w:r w:rsidR="00A056AB">
              <w:rPr>
                <w:noProof/>
                <w:webHidden/>
              </w:rPr>
              <w:fldChar w:fldCharType="begin"/>
            </w:r>
            <w:r w:rsidR="00A056AB">
              <w:rPr>
                <w:noProof/>
                <w:webHidden/>
              </w:rPr>
              <w:instrText xml:space="preserve"> PAGEREF _Toc55819545 \h </w:instrText>
            </w:r>
            <w:r w:rsidR="00A056AB">
              <w:rPr>
                <w:noProof/>
                <w:webHidden/>
              </w:rPr>
            </w:r>
            <w:r w:rsidR="00A056AB">
              <w:rPr>
                <w:noProof/>
                <w:webHidden/>
              </w:rPr>
              <w:fldChar w:fldCharType="separate"/>
            </w:r>
            <w:r w:rsidR="008B5489">
              <w:rPr>
                <w:noProof/>
                <w:webHidden/>
              </w:rPr>
              <w:t>12</w:t>
            </w:r>
            <w:r w:rsidR="00A056AB">
              <w:rPr>
                <w:noProof/>
                <w:webHidden/>
              </w:rPr>
              <w:fldChar w:fldCharType="end"/>
            </w:r>
          </w:hyperlink>
        </w:p>
        <w:p w14:paraId="2CA79C76" w14:textId="62E7F94F" w:rsidR="00A056AB" w:rsidRDefault="00BC3C86">
          <w:pPr>
            <w:pStyle w:val="TOC1"/>
            <w:rPr>
              <w:rFonts w:asciiTheme="minorHAnsi" w:eastAsiaTheme="minorEastAsia" w:hAnsiTheme="minorHAnsi" w:cstheme="minorBidi"/>
              <w:b w:val="0"/>
              <w:noProof/>
              <w:sz w:val="22"/>
              <w:szCs w:val="22"/>
              <w:lang w:eastAsia="en-AU"/>
            </w:rPr>
          </w:pPr>
          <w:hyperlink w:anchor="_Toc55819546" w:history="1">
            <w:r w:rsidR="00A056AB" w:rsidRPr="008E0925">
              <w:rPr>
                <w:rStyle w:val="Hyperlink"/>
                <w:noProof/>
              </w:rPr>
              <w:t>Further information</w:t>
            </w:r>
            <w:r w:rsidR="00A056AB">
              <w:rPr>
                <w:noProof/>
                <w:webHidden/>
              </w:rPr>
              <w:tab/>
            </w:r>
            <w:r w:rsidR="00A056AB">
              <w:rPr>
                <w:noProof/>
                <w:webHidden/>
              </w:rPr>
              <w:fldChar w:fldCharType="begin"/>
            </w:r>
            <w:r w:rsidR="00A056AB">
              <w:rPr>
                <w:noProof/>
                <w:webHidden/>
              </w:rPr>
              <w:instrText xml:space="preserve"> PAGEREF _Toc55819546 \h </w:instrText>
            </w:r>
            <w:r w:rsidR="00A056AB">
              <w:rPr>
                <w:noProof/>
                <w:webHidden/>
              </w:rPr>
            </w:r>
            <w:r w:rsidR="00A056AB">
              <w:rPr>
                <w:noProof/>
                <w:webHidden/>
              </w:rPr>
              <w:fldChar w:fldCharType="separate"/>
            </w:r>
            <w:r w:rsidR="008B5489">
              <w:rPr>
                <w:noProof/>
                <w:webHidden/>
              </w:rPr>
              <w:t>15</w:t>
            </w:r>
            <w:r w:rsidR="00A056AB">
              <w:rPr>
                <w:noProof/>
                <w:webHidden/>
              </w:rPr>
              <w:fldChar w:fldCharType="end"/>
            </w:r>
          </w:hyperlink>
        </w:p>
        <w:p w14:paraId="52E797E8" w14:textId="056D17CD" w:rsidR="00F401EF" w:rsidRPr="00215D48" w:rsidRDefault="00F859D2" w:rsidP="00F401EF">
          <w:r w:rsidRPr="00215D48">
            <w:fldChar w:fldCharType="end"/>
          </w:r>
        </w:p>
      </w:sdtContent>
    </w:sdt>
    <w:p w14:paraId="4958DDF7" w14:textId="6D57E26B" w:rsidR="00D54DC1" w:rsidRPr="004F6E59" w:rsidRDefault="00D54DC1" w:rsidP="00A056AB">
      <w:pPr>
        <w:pStyle w:val="Heading2"/>
        <w:pageBreakBefore/>
        <w:spacing w:before="0"/>
      </w:pPr>
      <w:bookmarkStart w:id="0" w:name="_Toc46938467"/>
      <w:bookmarkStart w:id="1" w:name="_Toc55819535"/>
      <w:bookmarkStart w:id="2" w:name="_Toc323739589"/>
      <w:bookmarkStart w:id="3" w:name="_Toc356305216"/>
      <w:r w:rsidRPr="004F6E59">
        <w:lastRenderedPageBreak/>
        <w:t>What we do</w:t>
      </w:r>
      <w:bookmarkEnd w:id="0"/>
      <w:bookmarkEnd w:id="1"/>
    </w:p>
    <w:p w14:paraId="71483567" w14:textId="77777777" w:rsidR="00D54DC1" w:rsidRDefault="00D54DC1" w:rsidP="00D54DC1">
      <w:pPr>
        <w:spacing w:line="252" w:lineRule="auto"/>
      </w:pPr>
      <w:r w:rsidRPr="00EB0611">
        <w:rPr>
          <w:szCs w:val="22"/>
          <w:lang w:val="en"/>
        </w:rPr>
        <w:t xml:space="preserve">The Therapeutic Goods Administration (TGA) safeguards and enhances the health of the Australian community through effective and timely regulation of therapeutic goods. </w:t>
      </w:r>
      <w:r w:rsidRPr="002E4612">
        <w:t>The Manufacturing Quality Branch (MQB) works to ensure manufacturers of medicines, as well as blood and blood components, human tissue and cellular therapy products, meet appropriate Good Manufacturing Pr</w:t>
      </w:r>
      <w:r>
        <w:t>actice (GMP) quality standards.</w:t>
      </w:r>
    </w:p>
    <w:p w14:paraId="7A35A71A" w14:textId="050DF6AD" w:rsidR="00D54DC1" w:rsidRDefault="00D54DC1" w:rsidP="00D54DC1">
      <w:pPr>
        <w:spacing w:line="252" w:lineRule="auto"/>
      </w:pPr>
      <w:r w:rsidRPr="002E4612">
        <w:t xml:space="preserve">This involves both the physical inspection of manufacturing facilities in Australia and abroad as well as </w:t>
      </w:r>
      <w:r w:rsidR="00271192">
        <w:t>the desktop assessment of</w:t>
      </w:r>
      <w:r w:rsidR="00271192" w:rsidRPr="002E4612">
        <w:t xml:space="preserve"> facilities </w:t>
      </w:r>
      <w:r w:rsidRPr="002E4612">
        <w:t>facilities where suitable inspections have been carried out by comparable overseas regulators and where necessary, initiation of appropriate regulatory action to ensure compliance with the quality standards.</w:t>
      </w:r>
    </w:p>
    <w:p w14:paraId="775885DB" w14:textId="77777777" w:rsidR="00D54DC1" w:rsidRDefault="00D54DC1" w:rsidP="00D54DC1">
      <w:pPr>
        <w:spacing w:line="252" w:lineRule="auto"/>
        <w:rPr>
          <w:szCs w:val="22"/>
        </w:rPr>
      </w:pPr>
      <w:r>
        <w:rPr>
          <w:szCs w:val="22"/>
        </w:rPr>
        <w:t xml:space="preserve">A critical component of this work is also the management of recall </w:t>
      </w:r>
      <w:r w:rsidRPr="005B2922">
        <w:rPr>
          <w:szCs w:val="22"/>
        </w:rPr>
        <w:t>actions for</w:t>
      </w:r>
      <w:r>
        <w:rPr>
          <w:szCs w:val="22"/>
        </w:rPr>
        <w:t xml:space="preserve"> therapeutic goods in Australia. This report focusses </w:t>
      </w:r>
      <w:r w:rsidRPr="00E86B5F">
        <w:rPr>
          <w:szCs w:val="22"/>
        </w:rPr>
        <w:t xml:space="preserve">on that body of work while a </w:t>
      </w:r>
      <w:r w:rsidRPr="00E86B5F">
        <w:t>separate report has been produced covering other aspects of the work of the MQB</w:t>
      </w:r>
      <w:r>
        <w:t>.</w:t>
      </w:r>
    </w:p>
    <w:p w14:paraId="1A1414AD" w14:textId="77777777" w:rsidR="00D54DC1" w:rsidRPr="005B2922" w:rsidRDefault="00D54DC1" w:rsidP="00E12AA6">
      <w:pPr>
        <w:pStyle w:val="Heading2"/>
      </w:pPr>
      <w:bookmarkStart w:id="4" w:name="_Toc17722018"/>
      <w:bookmarkStart w:id="5" w:name="_Toc55819536"/>
      <w:r w:rsidRPr="005B2922">
        <w:t>Recalls</w:t>
      </w:r>
      <w:bookmarkEnd w:id="4"/>
      <w:bookmarkEnd w:id="5"/>
    </w:p>
    <w:p w14:paraId="0F69FCE7" w14:textId="77777777" w:rsidR="00D54DC1" w:rsidRPr="005B2922" w:rsidRDefault="00D54DC1" w:rsidP="00D54DC1">
      <w:pPr>
        <w:rPr>
          <w:szCs w:val="22"/>
        </w:rPr>
      </w:pPr>
      <w:r w:rsidRPr="005B2922">
        <w:rPr>
          <w:szCs w:val="22"/>
        </w:rPr>
        <w:t>The coordination and management of recall and non-recall actions of therapeutic goods in Australia involves liaison with the sponsor/supplier of the therapeutic good and the relevant regulatory area/s within the TGA. The outcomes of these interactions may also result in the treatment of the matter as a non-recall action or its referral to another stakeholder, internal or external to the TGA.</w:t>
      </w:r>
    </w:p>
    <w:p w14:paraId="7017EB67" w14:textId="77777777" w:rsidR="00D54DC1" w:rsidRDefault="00D54DC1" w:rsidP="00D54DC1">
      <w:pPr>
        <w:rPr>
          <w:szCs w:val="22"/>
        </w:rPr>
      </w:pPr>
      <w:r w:rsidRPr="005B2922">
        <w:rPr>
          <w:szCs w:val="22"/>
        </w:rPr>
        <w:t>Recall is an action taken to resolve a problem with therapeutic goods already supplied to the market for which there are established deficiencies in quality, efficacy, safety, presentation or performance. A therapeutic goods recall might be initiated following notification by the sponsor, a request by the TGA or as a result of reports referred from a variety of sources.</w:t>
      </w:r>
    </w:p>
    <w:p w14:paraId="60AEC52D" w14:textId="0C1410A2" w:rsidR="00D54DC1" w:rsidRDefault="00D54DC1" w:rsidP="00D54DC1">
      <w:pPr>
        <w:rPr>
          <w:szCs w:val="22"/>
        </w:rPr>
      </w:pPr>
      <w:r w:rsidRPr="009D03B0">
        <w:rPr>
          <w:szCs w:val="22"/>
        </w:rPr>
        <w:t>All notifications are typically finalised within 7 clear working days, with the day of notification being day zero, and these are completed according to the priority of the issue at hand, based on the risk to public health and safety.</w:t>
      </w:r>
    </w:p>
    <w:p w14:paraId="192C7867" w14:textId="41C0793B" w:rsidR="003C033D" w:rsidRPr="00343548" w:rsidRDefault="00127D17" w:rsidP="003C033D">
      <w:pPr>
        <w:pStyle w:val="Heading2"/>
      </w:pPr>
      <w:bookmarkStart w:id="6" w:name="_Toc55819537"/>
      <w:r>
        <w:t>E</w:t>
      </w:r>
      <w:r w:rsidR="003C033D">
        <w:t>nsur</w:t>
      </w:r>
      <w:r>
        <w:t>ing</w:t>
      </w:r>
      <w:r w:rsidR="003C033D">
        <w:t xml:space="preserve"> the safety of therapeutic goods</w:t>
      </w:r>
      <w:bookmarkEnd w:id="6"/>
    </w:p>
    <w:p w14:paraId="411F5053" w14:textId="2F011A3D" w:rsidR="003D5718" w:rsidRDefault="003D5718" w:rsidP="003D5718">
      <w:pPr>
        <w:spacing w:line="252" w:lineRule="auto"/>
        <w:rPr>
          <w:szCs w:val="22"/>
        </w:rPr>
      </w:pPr>
      <w:r w:rsidRPr="006B0214">
        <w:rPr>
          <w:szCs w:val="22"/>
        </w:rPr>
        <w:t xml:space="preserve">The information in this report provides insights into </w:t>
      </w:r>
      <w:r>
        <w:rPr>
          <w:szCs w:val="22"/>
        </w:rPr>
        <w:t>therapeutic goods safety</w:t>
      </w:r>
      <w:r w:rsidRPr="006B0214">
        <w:rPr>
          <w:szCs w:val="22"/>
        </w:rPr>
        <w:t xml:space="preserve"> regulatory activity</w:t>
      </w:r>
      <w:r w:rsidR="00C91DEC">
        <w:rPr>
          <w:szCs w:val="22"/>
        </w:rPr>
        <w:t xml:space="preserve"> for our recalls program</w:t>
      </w:r>
      <w:r w:rsidR="00495859">
        <w:rPr>
          <w:szCs w:val="22"/>
        </w:rPr>
        <w:t xml:space="preserve">. This program </w:t>
      </w:r>
      <w:r w:rsidR="00C91DEC">
        <w:rPr>
          <w:szCs w:val="22"/>
        </w:rPr>
        <w:t>makes a key contribution</w:t>
      </w:r>
      <w:r w:rsidRPr="006B0214">
        <w:rPr>
          <w:szCs w:val="22"/>
        </w:rPr>
        <w:t xml:space="preserve"> to </w:t>
      </w:r>
      <w:r w:rsidR="00495859">
        <w:rPr>
          <w:szCs w:val="22"/>
        </w:rPr>
        <w:t>O</w:t>
      </w:r>
      <w:r w:rsidR="00495859" w:rsidRPr="006B0214">
        <w:rPr>
          <w:szCs w:val="22"/>
        </w:rPr>
        <w:t>utcome</w:t>
      </w:r>
      <w:r w:rsidR="00495859">
        <w:rPr>
          <w:szCs w:val="22"/>
        </w:rPr>
        <w:t xml:space="preserve"> 5: Regulation, Safety and Protection</w:t>
      </w:r>
      <w:r w:rsidR="00495859" w:rsidRPr="006B0214">
        <w:rPr>
          <w:szCs w:val="22"/>
        </w:rPr>
        <w:t xml:space="preserve"> </w:t>
      </w:r>
      <w:r w:rsidRPr="006B0214">
        <w:rPr>
          <w:szCs w:val="22"/>
        </w:rPr>
        <w:t xml:space="preserve">in the </w:t>
      </w:r>
      <w:hyperlink r:id="rId13" w:history="1">
        <w:r w:rsidRPr="006B0214">
          <w:rPr>
            <w:rStyle w:val="Hyperlink"/>
            <w:szCs w:val="22"/>
          </w:rPr>
          <w:t>Health Portfolio Budget Statements 2019-20</w:t>
        </w:r>
      </w:hyperlink>
      <w:r w:rsidR="00495859">
        <w:rPr>
          <w:szCs w:val="22"/>
        </w:rPr>
        <w:t>,</w:t>
      </w:r>
      <w:r w:rsidRPr="006B0214">
        <w:rPr>
          <w:szCs w:val="22"/>
        </w:rPr>
        <w:t xml:space="preserve"> and </w:t>
      </w:r>
      <w:hyperlink r:id="rId14" w:history="1">
        <w:r w:rsidRPr="006B0214">
          <w:rPr>
            <w:rStyle w:val="Hyperlink"/>
          </w:rPr>
          <w:t>TGA business plan 2019-20</w:t>
        </w:r>
      </w:hyperlink>
      <w:r w:rsidRPr="006B0214">
        <w:t xml:space="preserve"> objective</w:t>
      </w:r>
      <w:r>
        <w:t xml:space="preserve">s, particularly in </w:t>
      </w:r>
      <w:r w:rsidRPr="006B0214">
        <w:t>regard</w:t>
      </w:r>
      <w:r>
        <w:t xml:space="preserve"> to</w:t>
      </w:r>
      <w:r w:rsidRPr="006B0214">
        <w:t xml:space="preserve"> </w:t>
      </w:r>
      <w:r>
        <w:t>the removal of products from the market which pose an unacceptable risk to consumers</w:t>
      </w:r>
      <w:r>
        <w:rPr>
          <w:szCs w:val="22"/>
        </w:rPr>
        <w:t>.</w:t>
      </w:r>
    </w:p>
    <w:p w14:paraId="6ECE741E" w14:textId="77777777" w:rsidR="00B46000" w:rsidRPr="009B04B7" w:rsidRDefault="00B46000" w:rsidP="007868BD">
      <w:pPr>
        <w:pStyle w:val="Heading2"/>
        <w:pageBreakBefore/>
        <w:spacing w:before="0"/>
      </w:pPr>
      <w:bookmarkStart w:id="7" w:name="_Toc55819538"/>
      <w:bookmarkStart w:id="8" w:name="_Toc46938468"/>
      <w:r>
        <w:lastRenderedPageBreak/>
        <w:t>Key s</w:t>
      </w:r>
      <w:r w:rsidRPr="009B04B7">
        <w:t>tatistics</w:t>
      </w:r>
      <w:bookmarkEnd w:id="7"/>
    </w:p>
    <w:p w14:paraId="014989B4" w14:textId="77777777" w:rsidR="00B46000" w:rsidRDefault="00B46000" w:rsidP="00B46000">
      <w:r>
        <w:t>We</w:t>
      </w:r>
      <w:r w:rsidRPr="009B04B7">
        <w:t xml:space="preserve"> coordinated 790</w:t>
      </w:r>
      <w:r>
        <w:t xml:space="preserve"> recall actions during the 2019-</w:t>
      </w:r>
      <w:r w:rsidRPr="009B04B7">
        <w:t>20 financial year</w:t>
      </w:r>
      <w:r>
        <w:t>, up from 768 in 2018-19</w:t>
      </w:r>
      <w:r w:rsidRPr="009B04B7">
        <w:t>.</w:t>
      </w:r>
    </w:p>
    <w:p w14:paraId="29E347B4" w14:textId="585CE9C3" w:rsidR="00B4584D" w:rsidRDefault="00B4584D" w:rsidP="00B4584D">
      <w:pPr>
        <w:pStyle w:val="Tabletitle"/>
      </w:pPr>
      <w:r>
        <w:t>Table 1: All recalls by product type</w:t>
      </w:r>
    </w:p>
    <w:tbl>
      <w:tblPr>
        <w:tblStyle w:val="TableTGAblue"/>
        <w:tblW w:w="0" w:type="auto"/>
        <w:tblLook w:val="04A0" w:firstRow="1" w:lastRow="0" w:firstColumn="1" w:lastColumn="0" w:noHBand="0" w:noVBand="1"/>
      </w:tblPr>
      <w:tblGrid>
        <w:gridCol w:w="5802"/>
        <w:gridCol w:w="1701"/>
        <w:gridCol w:w="1547"/>
      </w:tblGrid>
      <w:tr w:rsidR="00B4584D" w:rsidRPr="00215D48" w14:paraId="5C1932D8" w14:textId="77777777" w:rsidTr="00B458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Pr>
          <w:p w14:paraId="0F429B50" w14:textId="26B0FDD8" w:rsidR="00B4584D" w:rsidRPr="00215D48" w:rsidRDefault="007868BD" w:rsidP="00B4584D">
            <w:bookmarkStart w:id="9" w:name="ColumnTitle_3"/>
            <w:r>
              <w:t>Product t</w:t>
            </w:r>
            <w:r w:rsidR="00B4584D">
              <w:t>ype</w:t>
            </w:r>
          </w:p>
        </w:tc>
        <w:tc>
          <w:tcPr>
            <w:tcW w:w="1701" w:type="dxa"/>
          </w:tcPr>
          <w:p w14:paraId="094CF427" w14:textId="21B4C478" w:rsidR="00B4584D" w:rsidRPr="00215D48" w:rsidRDefault="00B4584D" w:rsidP="00B4584D">
            <w:pPr>
              <w:cnfStyle w:val="100000000000" w:firstRow="1" w:lastRow="0" w:firstColumn="0" w:lastColumn="0" w:oddVBand="0" w:evenVBand="0" w:oddHBand="0" w:evenHBand="0" w:firstRowFirstColumn="0" w:firstRowLastColumn="0" w:lastRowFirstColumn="0" w:lastRowLastColumn="0"/>
            </w:pPr>
            <w:r>
              <w:t>2018</w:t>
            </w:r>
            <w:r>
              <w:noBreakHyphen/>
              <w:t>19</w:t>
            </w:r>
          </w:p>
        </w:tc>
        <w:tc>
          <w:tcPr>
            <w:tcW w:w="1547" w:type="dxa"/>
          </w:tcPr>
          <w:p w14:paraId="683F3676" w14:textId="6A68F2C4" w:rsidR="00B4584D" w:rsidRPr="00215D48" w:rsidRDefault="00B4584D" w:rsidP="00B4584D">
            <w:pPr>
              <w:cnfStyle w:val="100000000000" w:firstRow="1" w:lastRow="0" w:firstColumn="0" w:lastColumn="0" w:oddVBand="0" w:evenVBand="0" w:oddHBand="0" w:evenHBand="0" w:firstRowFirstColumn="0" w:firstRowLastColumn="0" w:lastRowFirstColumn="0" w:lastRowLastColumn="0"/>
            </w:pPr>
            <w:r>
              <w:t>2019</w:t>
            </w:r>
            <w:r>
              <w:noBreakHyphen/>
              <w:t>20</w:t>
            </w:r>
          </w:p>
        </w:tc>
      </w:tr>
      <w:bookmarkEnd w:id="9"/>
      <w:tr w:rsidR="00B4584D" w:rsidRPr="00215D48" w14:paraId="4A58053F" w14:textId="77777777" w:rsidTr="00B4584D">
        <w:tc>
          <w:tcPr>
            <w:cnfStyle w:val="001000000000" w:firstRow="0" w:lastRow="0" w:firstColumn="1" w:lastColumn="0" w:oddVBand="0" w:evenVBand="0" w:oddHBand="0" w:evenHBand="0" w:firstRowFirstColumn="0" w:firstRowLastColumn="0" w:lastRowFirstColumn="0" w:lastRowLastColumn="0"/>
            <w:tcW w:w="5802" w:type="dxa"/>
          </w:tcPr>
          <w:p w14:paraId="4DC06A79" w14:textId="090A94FB" w:rsidR="00B4584D" w:rsidRPr="00215D48" w:rsidRDefault="00B4584D" w:rsidP="00B4584D">
            <w:r w:rsidRPr="00F828A0">
              <w:t>Medicine recalls</w:t>
            </w:r>
          </w:p>
        </w:tc>
        <w:tc>
          <w:tcPr>
            <w:tcW w:w="1701" w:type="dxa"/>
          </w:tcPr>
          <w:p w14:paraId="69C19446" w14:textId="76021448" w:rsidR="00B4584D" w:rsidRPr="00215D48" w:rsidRDefault="00B4584D" w:rsidP="00B4584D">
            <w:pPr>
              <w:cnfStyle w:val="000000000000" w:firstRow="0" w:lastRow="0" w:firstColumn="0" w:lastColumn="0" w:oddVBand="0" w:evenVBand="0" w:oddHBand="0" w:evenHBand="0" w:firstRowFirstColumn="0" w:firstRowLastColumn="0" w:lastRowFirstColumn="0" w:lastRowLastColumn="0"/>
            </w:pPr>
            <w:r w:rsidRPr="00F828A0">
              <w:t xml:space="preserve">41 </w:t>
            </w:r>
          </w:p>
        </w:tc>
        <w:tc>
          <w:tcPr>
            <w:tcW w:w="1547" w:type="dxa"/>
          </w:tcPr>
          <w:p w14:paraId="426225FC" w14:textId="48D109B6" w:rsidR="00B4584D" w:rsidRPr="00215D48" w:rsidRDefault="00B4584D" w:rsidP="00B4584D">
            <w:pPr>
              <w:cnfStyle w:val="000000000000" w:firstRow="0" w:lastRow="0" w:firstColumn="0" w:lastColumn="0" w:oddVBand="0" w:evenVBand="0" w:oddHBand="0" w:evenHBand="0" w:firstRowFirstColumn="0" w:firstRowLastColumn="0" w:lastRowFirstColumn="0" w:lastRowLastColumn="0"/>
            </w:pPr>
            <w:r w:rsidRPr="00F828A0">
              <w:t xml:space="preserve">60 </w:t>
            </w:r>
          </w:p>
        </w:tc>
      </w:tr>
      <w:tr w:rsidR="00B4584D" w:rsidRPr="00215D48" w14:paraId="5D3B3F81" w14:textId="77777777" w:rsidTr="00B4584D">
        <w:tc>
          <w:tcPr>
            <w:cnfStyle w:val="001000000000" w:firstRow="0" w:lastRow="0" w:firstColumn="1" w:lastColumn="0" w:oddVBand="0" w:evenVBand="0" w:oddHBand="0" w:evenHBand="0" w:firstRowFirstColumn="0" w:firstRowLastColumn="0" w:lastRowFirstColumn="0" w:lastRowLastColumn="0"/>
            <w:tcW w:w="5802" w:type="dxa"/>
          </w:tcPr>
          <w:p w14:paraId="2DCE0D6A" w14:textId="166E7931" w:rsidR="00B4584D" w:rsidRPr="00215D48" w:rsidRDefault="00B4584D" w:rsidP="00B4584D">
            <w:r w:rsidRPr="00F828A0">
              <w:t>Medical device (including IVDs) recalls</w:t>
            </w:r>
          </w:p>
        </w:tc>
        <w:tc>
          <w:tcPr>
            <w:tcW w:w="1701" w:type="dxa"/>
          </w:tcPr>
          <w:p w14:paraId="54E578F1" w14:textId="272BF9C2" w:rsidR="00B4584D" w:rsidRPr="00215D48" w:rsidRDefault="00B4584D" w:rsidP="00B4584D">
            <w:pPr>
              <w:cnfStyle w:val="000000000000" w:firstRow="0" w:lastRow="0" w:firstColumn="0" w:lastColumn="0" w:oddVBand="0" w:evenVBand="0" w:oddHBand="0" w:evenHBand="0" w:firstRowFirstColumn="0" w:firstRowLastColumn="0" w:lastRowFirstColumn="0" w:lastRowLastColumn="0"/>
            </w:pPr>
            <w:r w:rsidRPr="00F828A0">
              <w:t>596</w:t>
            </w:r>
          </w:p>
        </w:tc>
        <w:tc>
          <w:tcPr>
            <w:tcW w:w="1547" w:type="dxa"/>
          </w:tcPr>
          <w:p w14:paraId="025DA2CD" w14:textId="5D1960B7" w:rsidR="00B4584D" w:rsidRPr="00215D48" w:rsidRDefault="00B4584D" w:rsidP="00B4584D">
            <w:pPr>
              <w:cnfStyle w:val="000000000000" w:firstRow="0" w:lastRow="0" w:firstColumn="0" w:lastColumn="0" w:oddVBand="0" w:evenVBand="0" w:oddHBand="0" w:evenHBand="0" w:firstRowFirstColumn="0" w:firstRowLastColumn="0" w:lastRowFirstColumn="0" w:lastRowLastColumn="0"/>
            </w:pPr>
            <w:r w:rsidRPr="00F828A0">
              <w:t>614</w:t>
            </w:r>
          </w:p>
        </w:tc>
      </w:tr>
      <w:tr w:rsidR="00B4584D" w:rsidRPr="00215D48" w14:paraId="1FCD928B" w14:textId="77777777" w:rsidTr="00B4584D">
        <w:tc>
          <w:tcPr>
            <w:cnfStyle w:val="001000000000" w:firstRow="0" w:lastRow="0" w:firstColumn="1" w:lastColumn="0" w:oddVBand="0" w:evenVBand="0" w:oddHBand="0" w:evenHBand="0" w:firstRowFirstColumn="0" w:firstRowLastColumn="0" w:lastRowFirstColumn="0" w:lastRowLastColumn="0"/>
            <w:tcW w:w="5802" w:type="dxa"/>
          </w:tcPr>
          <w:p w14:paraId="2C1CF824" w14:textId="31A03322" w:rsidR="00B4584D" w:rsidRPr="00215D48" w:rsidRDefault="00B4584D" w:rsidP="00B4584D">
            <w:r w:rsidRPr="00F828A0">
              <w:t>Blood product recalls</w:t>
            </w:r>
          </w:p>
        </w:tc>
        <w:tc>
          <w:tcPr>
            <w:tcW w:w="1701" w:type="dxa"/>
          </w:tcPr>
          <w:p w14:paraId="6E685411" w14:textId="69D67358" w:rsidR="00B4584D" w:rsidRPr="00215D48" w:rsidRDefault="00B4584D" w:rsidP="00B4584D">
            <w:pPr>
              <w:cnfStyle w:val="000000000000" w:firstRow="0" w:lastRow="0" w:firstColumn="0" w:lastColumn="0" w:oddVBand="0" w:evenVBand="0" w:oddHBand="0" w:evenHBand="0" w:firstRowFirstColumn="0" w:firstRowLastColumn="0" w:lastRowFirstColumn="0" w:lastRowLastColumn="0"/>
            </w:pPr>
            <w:r w:rsidRPr="00F828A0">
              <w:t>102</w:t>
            </w:r>
          </w:p>
        </w:tc>
        <w:tc>
          <w:tcPr>
            <w:tcW w:w="1547" w:type="dxa"/>
          </w:tcPr>
          <w:p w14:paraId="336E0BF5" w14:textId="6313E88F" w:rsidR="00B4584D" w:rsidRPr="00215D48" w:rsidRDefault="00B4584D" w:rsidP="00B4584D">
            <w:pPr>
              <w:cnfStyle w:val="000000000000" w:firstRow="0" w:lastRow="0" w:firstColumn="0" w:lastColumn="0" w:oddVBand="0" w:evenVBand="0" w:oddHBand="0" w:evenHBand="0" w:firstRowFirstColumn="0" w:firstRowLastColumn="0" w:lastRowFirstColumn="0" w:lastRowLastColumn="0"/>
            </w:pPr>
            <w:r w:rsidRPr="00F828A0">
              <w:t>100</w:t>
            </w:r>
          </w:p>
        </w:tc>
      </w:tr>
      <w:tr w:rsidR="00B4584D" w:rsidRPr="00215D48" w14:paraId="17A7236A" w14:textId="77777777" w:rsidTr="00B4584D">
        <w:tc>
          <w:tcPr>
            <w:cnfStyle w:val="001000000000" w:firstRow="0" w:lastRow="0" w:firstColumn="1" w:lastColumn="0" w:oddVBand="0" w:evenVBand="0" w:oddHBand="0" w:evenHBand="0" w:firstRowFirstColumn="0" w:firstRowLastColumn="0" w:lastRowFirstColumn="0" w:lastRowLastColumn="0"/>
            <w:tcW w:w="5802" w:type="dxa"/>
          </w:tcPr>
          <w:p w14:paraId="66F2F016" w14:textId="0DCD9DE1" w:rsidR="00B4584D" w:rsidRPr="00215D48" w:rsidRDefault="00B4584D" w:rsidP="00B4584D">
            <w:r w:rsidRPr="00F828A0">
              <w:t>Biological product recalls</w:t>
            </w:r>
          </w:p>
        </w:tc>
        <w:tc>
          <w:tcPr>
            <w:tcW w:w="1701" w:type="dxa"/>
          </w:tcPr>
          <w:p w14:paraId="10F15AA2" w14:textId="242E71BE" w:rsidR="00B4584D" w:rsidRPr="00215D48" w:rsidRDefault="00B4584D" w:rsidP="00B4584D">
            <w:pPr>
              <w:cnfStyle w:val="000000000000" w:firstRow="0" w:lastRow="0" w:firstColumn="0" w:lastColumn="0" w:oddVBand="0" w:evenVBand="0" w:oddHBand="0" w:evenHBand="0" w:firstRowFirstColumn="0" w:firstRowLastColumn="0" w:lastRowFirstColumn="0" w:lastRowLastColumn="0"/>
            </w:pPr>
            <w:r w:rsidRPr="00F828A0">
              <w:t>29</w:t>
            </w:r>
          </w:p>
        </w:tc>
        <w:tc>
          <w:tcPr>
            <w:tcW w:w="1547" w:type="dxa"/>
          </w:tcPr>
          <w:p w14:paraId="162EACC8" w14:textId="24CE57EC" w:rsidR="00B4584D" w:rsidRPr="00215D48" w:rsidRDefault="00B4584D" w:rsidP="00B4584D">
            <w:pPr>
              <w:cnfStyle w:val="000000000000" w:firstRow="0" w:lastRow="0" w:firstColumn="0" w:lastColumn="0" w:oddVBand="0" w:evenVBand="0" w:oddHBand="0" w:evenHBand="0" w:firstRowFirstColumn="0" w:firstRowLastColumn="0" w:lastRowFirstColumn="0" w:lastRowLastColumn="0"/>
            </w:pPr>
            <w:r w:rsidRPr="00F828A0">
              <w:t>16</w:t>
            </w:r>
          </w:p>
        </w:tc>
      </w:tr>
      <w:tr w:rsidR="00B4584D" w:rsidRPr="00215D48" w14:paraId="73C79D42" w14:textId="77777777" w:rsidTr="00B4584D">
        <w:tc>
          <w:tcPr>
            <w:cnfStyle w:val="001000000000" w:firstRow="0" w:lastRow="0" w:firstColumn="1" w:lastColumn="0" w:oddVBand="0" w:evenVBand="0" w:oddHBand="0" w:evenHBand="0" w:firstRowFirstColumn="0" w:firstRowLastColumn="0" w:lastRowFirstColumn="0" w:lastRowLastColumn="0"/>
            <w:tcW w:w="5802" w:type="dxa"/>
          </w:tcPr>
          <w:p w14:paraId="46AAE476" w14:textId="1B0FC0AB" w:rsidR="00B4584D" w:rsidRPr="00B4584D" w:rsidRDefault="00B4584D" w:rsidP="00B4584D">
            <w:pPr>
              <w:rPr>
                <w:b/>
              </w:rPr>
            </w:pPr>
            <w:r w:rsidRPr="00B4584D">
              <w:rPr>
                <w:b/>
              </w:rPr>
              <w:t>Total</w:t>
            </w:r>
          </w:p>
        </w:tc>
        <w:tc>
          <w:tcPr>
            <w:tcW w:w="1701" w:type="dxa"/>
          </w:tcPr>
          <w:p w14:paraId="250B50DF" w14:textId="465F21FC" w:rsidR="00B4584D" w:rsidRPr="00B4584D" w:rsidRDefault="00B4584D" w:rsidP="00B4584D">
            <w:pPr>
              <w:cnfStyle w:val="000000000000" w:firstRow="0" w:lastRow="0" w:firstColumn="0" w:lastColumn="0" w:oddVBand="0" w:evenVBand="0" w:oddHBand="0" w:evenHBand="0" w:firstRowFirstColumn="0" w:firstRowLastColumn="0" w:lastRowFirstColumn="0" w:lastRowLastColumn="0"/>
              <w:rPr>
                <w:b/>
              </w:rPr>
            </w:pPr>
            <w:r w:rsidRPr="00B4584D">
              <w:rPr>
                <w:b/>
              </w:rPr>
              <w:t>768</w:t>
            </w:r>
          </w:p>
        </w:tc>
        <w:tc>
          <w:tcPr>
            <w:tcW w:w="1547" w:type="dxa"/>
          </w:tcPr>
          <w:p w14:paraId="3E2A31DC" w14:textId="4AA78D6C" w:rsidR="00B4584D" w:rsidRPr="00B4584D" w:rsidRDefault="00B4584D" w:rsidP="00B4584D">
            <w:pPr>
              <w:cnfStyle w:val="000000000000" w:firstRow="0" w:lastRow="0" w:firstColumn="0" w:lastColumn="0" w:oddVBand="0" w:evenVBand="0" w:oddHBand="0" w:evenHBand="0" w:firstRowFirstColumn="0" w:firstRowLastColumn="0" w:lastRowFirstColumn="0" w:lastRowLastColumn="0"/>
              <w:rPr>
                <w:b/>
              </w:rPr>
            </w:pPr>
            <w:r w:rsidRPr="00B4584D">
              <w:rPr>
                <w:b/>
              </w:rPr>
              <w:t>790</w:t>
            </w:r>
          </w:p>
        </w:tc>
      </w:tr>
    </w:tbl>
    <w:p w14:paraId="31931A18" w14:textId="77777777" w:rsidR="00E841B0" w:rsidRDefault="00B46000" w:rsidP="00B46000">
      <w:r w:rsidRPr="009B04B7">
        <w:t xml:space="preserve">Overall, the total number of recall actions </w:t>
      </w:r>
      <w:r w:rsidR="004E6F96">
        <w:t xml:space="preserve">rose by </w:t>
      </w:r>
      <w:r w:rsidR="00BF7F4E">
        <w:t>almost 3</w:t>
      </w:r>
      <w:r w:rsidR="004E6F96">
        <w:t xml:space="preserve"> per cent in 2019-20</w:t>
      </w:r>
      <w:r w:rsidRPr="009B04B7">
        <w:t xml:space="preserve">. </w:t>
      </w:r>
      <w:r w:rsidR="004E6F96">
        <w:t>However, t</w:t>
      </w:r>
      <w:r w:rsidRPr="009B04B7">
        <w:t>here was a significant increase (</w:t>
      </w:r>
      <w:r w:rsidR="004E6F96">
        <w:t>46 per cent</w:t>
      </w:r>
      <w:r w:rsidR="004E6F96" w:rsidRPr="009B04B7">
        <w:t xml:space="preserve">) </w:t>
      </w:r>
      <w:r w:rsidRPr="009B04B7">
        <w:t>of recall actions performed for medicines. This</w:t>
      </w:r>
      <w:r w:rsidR="00217AB6">
        <w:t xml:space="preserve"> was mainly</w:t>
      </w:r>
      <w:r w:rsidRPr="009B04B7">
        <w:t xml:space="preserve"> due to a </w:t>
      </w:r>
      <w:r w:rsidR="00217AB6">
        <w:t>high</w:t>
      </w:r>
      <w:r w:rsidR="00217AB6" w:rsidRPr="009B04B7">
        <w:t xml:space="preserve"> </w:t>
      </w:r>
      <w:r w:rsidRPr="009B04B7">
        <w:t>number of recalls performed for ranitidine products in September - October 2019, regarding trace amounts of N-nitrosodimethylamine (N</w:t>
      </w:r>
      <w:r w:rsidR="00E841B0">
        <w:t>DMA) impurities in the tablets.</w:t>
      </w:r>
    </w:p>
    <w:p w14:paraId="4F59B395" w14:textId="1E5FCE38" w:rsidR="00B46000" w:rsidRDefault="00217AB6" w:rsidP="00B46000">
      <w:r>
        <w:t>In contrast, r</w:t>
      </w:r>
      <w:r w:rsidR="00B46000" w:rsidRPr="009B04B7">
        <w:t xml:space="preserve">ecall actions for </w:t>
      </w:r>
      <w:r w:rsidR="002E7208">
        <w:t>b</w:t>
      </w:r>
      <w:r w:rsidR="00B46000" w:rsidRPr="009B04B7">
        <w:t>iological</w:t>
      </w:r>
      <w:r>
        <w:t xml:space="preserve"> product</w:t>
      </w:r>
      <w:r w:rsidR="00B46000" w:rsidRPr="009B04B7">
        <w:t>s decreased this financial year, from 29 to 16.</w:t>
      </w:r>
      <w:r w:rsidR="00E841B0">
        <w:t xml:space="preserve"> Of these, 15 were Implant Hazard Alerts, 13 of which were for femoral head allografts. The remaining action was for a Class III (non-safety related) Product Defect Correction for a f</w:t>
      </w:r>
      <w:r w:rsidR="002E448A">
        <w:t>reeze-</w:t>
      </w:r>
      <w:r w:rsidR="00E841B0" w:rsidRPr="00E841B0">
        <w:t>dried musculoskeletal allograft</w:t>
      </w:r>
      <w:r w:rsidR="00E841B0">
        <w:t>.</w:t>
      </w:r>
    </w:p>
    <w:p w14:paraId="3F4B3B7D" w14:textId="482300DA" w:rsidR="00B46000" w:rsidRDefault="00B46000" w:rsidP="00B46000">
      <w:r>
        <w:t xml:space="preserve">The </w:t>
      </w:r>
      <w:r w:rsidR="00217AB6">
        <w:t xml:space="preserve">following tables provide further detail on the recall actions for each of the product types in </w:t>
      </w:r>
      <w:r w:rsidR="002E23D7">
        <w:t>2019-20.</w:t>
      </w:r>
    </w:p>
    <w:p w14:paraId="71E40884" w14:textId="4C766EEB" w:rsidR="00B46000" w:rsidRPr="00B4584D" w:rsidRDefault="00B4584D" w:rsidP="00B4584D">
      <w:pPr>
        <w:pStyle w:val="Tabletitle"/>
      </w:pPr>
      <w:r w:rsidRPr="00B4584D">
        <w:t>Table</w:t>
      </w:r>
      <w:r>
        <w:t xml:space="preserve"> </w:t>
      </w:r>
      <w:r w:rsidRPr="00B4584D">
        <w:t xml:space="preserve">2: </w:t>
      </w:r>
      <w:r w:rsidR="00B46000" w:rsidRPr="00625FAE">
        <w:t>Medicine recalls by reason for recall</w:t>
      </w:r>
    </w:p>
    <w:tbl>
      <w:tblPr>
        <w:tblStyle w:val="TableTGAblue"/>
        <w:tblW w:w="0" w:type="auto"/>
        <w:tblLook w:val="04A0" w:firstRow="1" w:lastRow="0" w:firstColumn="1" w:lastColumn="0" w:noHBand="0" w:noVBand="1"/>
      </w:tblPr>
      <w:tblGrid>
        <w:gridCol w:w="5802"/>
        <w:gridCol w:w="1701"/>
        <w:gridCol w:w="1547"/>
      </w:tblGrid>
      <w:tr w:rsidR="00B4584D" w:rsidRPr="00215D48" w14:paraId="24C9D8A8" w14:textId="77777777" w:rsidTr="00B458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Pr>
          <w:p w14:paraId="4066C726" w14:textId="1BAD2F36" w:rsidR="00B4584D" w:rsidRPr="00215D48" w:rsidRDefault="00B4584D" w:rsidP="00B4584D">
            <w:r>
              <w:t>Reason for recall</w:t>
            </w:r>
          </w:p>
        </w:tc>
        <w:tc>
          <w:tcPr>
            <w:tcW w:w="1701" w:type="dxa"/>
          </w:tcPr>
          <w:p w14:paraId="41F2CD94" w14:textId="77777777" w:rsidR="00B4584D" w:rsidRPr="00215D48" w:rsidRDefault="00B4584D" w:rsidP="00B4584D">
            <w:pPr>
              <w:cnfStyle w:val="100000000000" w:firstRow="1" w:lastRow="0" w:firstColumn="0" w:lastColumn="0" w:oddVBand="0" w:evenVBand="0" w:oddHBand="0" w:evenHBand="0" w:firstRowFirstColumn="0" w:firstRowLastColumn="0" w:lastRowFirstColumn="0" w:lastRowLastColumn="0"/>
            </w:pPr>
            <w:r>
              <w:t>2018</w:t>
            </w:r>
            <w:r>
              <w:noBreakHyphen/>
              <w:t>19</w:t>
            </w:r>
          </w:p>
        </w:tc>
        <w:tc>
          <w:tcPr>
            <w:tcW w:w="1547" w:type="dxa"/>
          </w:tcPr>
          <w:p w14:paraId="1AC57944" w14:textId="77777777" w:rsidR="00B4584D" w:rsidRPr="00215D48" w:rsidRDefault="00B4584D" w:rsidP="00B4584D">
            <w:pPr>
              <w:cnfStyle w:val="100000000000" w:firstRow="1" w:lastRow="0" w:firstColumn="0" w:lastColumn="0" w:oddVBand="0" w:evenVBand="0" w:oddHBand="0" w:evenHBand="0" w:firstRowFirstColumn="0" w:firstRowLastColumn="0" w:lastRowFirstColumn="0" w:lastRowLastColumn="0"/>
            </w:pPr>
            <w:r>
              <w:t>2019</w:t>
            </w:r>
            <w:r>
              <w:noBreakHyphen/>
              <w:t>20</w:t>
            </w:r>
          </w:p>
        </w:tc>
      </w:tr>
      <w:tr w:rsidR="00B4584D" w:rsidRPr="00215D48" w14:paraId="3DDFFB69" w14:textId="77777777" w:rsidTr="00B4584D">
        <w:tc>
          <w:tcPr>
            <w:cnfStyle w:val="001000000000" w:firstRow="0" w:lastRow="0" w:firstColumn="1" w:lastColumn="0" w:oddVBand="0" w:evenVBand="0" w:oddHBand="0" w:evenHBand="0" w:firstRowFirstColumn="0" w:firstRowLastColumn="0" w:lastRowFirstColumn="0" w:lastRowLastColumn="0"/>
            <w:tcW w:w="5802" w:type="dxa"/>
          </w:tcPr>
          <w:p w14:paraId="6E896C49" w14:textId="34DEFBC9" w:rsidR="00B4584D" w:rsidRPr="00B4584D" w:rsidRDefault="00B4584D" w:rsidP="00B4584D">
            <w:r w:rsidRPr="00D60764">
              <w:t>Adverse reactions</w:t>
            </w:r>
          </w:p>
        </w:tc>
        <w:tc>
          <w:tcPr>
            <w:tcW w:w="1701" w:type="dxa"/>
          </w:tcPr>
          <w:p w14:paraId="290C22C2" w14:textId="696E16D9" w:rsidR="00B4584D" w:rsidRPr="00B4584D" w:rsidRDefault="00B4584D" w:rsidP="00B4584D">
            <w:pPr>
              <w:cnfStyle w:val="000000000000" w:firstRow="0" w:lastRow="0" w:firstColumn="0" w:lastColumn="0" w:oddVBand="0" w:evenVBand="0" w:oddHBand="0" w:evenHBand="0" w:firstRowFirstColumn="0" w:firstRowLastColumn="0" w:lastRowFirstColumn="0" w:lastRowLastColumn="0"/>
            </w:pPr>
            <w:r w:rsidRPr="00D60764">
              <w:t>2 (5%)</w:t>
            </w:r>
          </w:p>
        </w:tc>
        <w:tc>
          <w:tcPr>
            <w:tcW w:w="1547" w:type="dxa"/>
          </w:tcPr>
          <w:p w14:paraId="519E383A" w14:textId="3F6F71F3" w:rsidR="00B4584D" w:rsidRPr="00B4584D" w:rsidRDefault="00B4584D" w:rsidP="00B4584D">
            <w:pPr>
              <w:cnfStyle w:val="000000000000" w:firstRow="0" w:lastRow="0" w:firstColumn="0" w:lastColumn="0" w:oddVBand="0" w:evenVBand="0" w:oddHBand="0" w:evenHBand="0" w:firstRowFirstColumn="0" w:firstRowLastColumn="0" w:lastRowFirstColumn="0" w:lastRowLastColumn="0"/>
            </w:pPr>
            <w:r w:rsidRPr="00D60764">
              <w:t>1 (2%)</w:t>
            </w:r>
          </w:p>
        </w:tc>
      </w:tr>
      <w:tr w:rsidR="00B4584D" w:rsidRPr="00215D48" w14:paraId="597B6795" w14:textId="77777777" w:rsidTr="00B4584D">
        <w:tc>
          <w:tcPr>
            <w:cnfStyle w:val="001000000000" w:firstRow="0" w:lastRow="0" w:firstColumn="1" w:lastColumn="0" w:oddVBand="0" w:evenVBand="0" w:oddHBand="0" w:evenHBand="0" w:firstRowFirstColumn="0" w:firstRowLastColumn="0" w:lastRowFirstColumn="0" w:lastRowLastColumn="0"/>
            <w:tcW w:w="5802" w:type="dxa"/>
          </w:tcPr>
          <w:p w14:paraId="54BCCC07" w14:textId="31735F6E" w:rsidR="00B4584D" w:rsidRPr="00B4584D" w:rsidRDefault="00B4584D" w:rsidP="00B4584D">
            <w:r w:rsidRPr="00D60764">
              <w:t>Foreign matter</w:t>
            </w:r>
          </w:p>
        </w:tc>
        <w:tc>
          <w:tcPr>
            <w:tcW w:w="1701" w:type="dxa"/>
          </w:tcPr>
          <w:p w14:paraId="69EBFD0F" w14:textId="3220C4DF" w:rsidR="00B4584D" w:rsidRPr="00B4584D" w:rsidRDefault="00B4584D" w:rsidP="00B4584D">
            <w:pPr>
              <w:cnfStyle w:val="000000000000" w:firstRow="0" w:lastRow="0" w:firstColumn="0" w:lastColumn="0" w:oddVBand="0" w:evenVBand="0" w:oddHBand="0" w:evenHBand="0" w:firstRowFirstColumn="0" w:firstRowLastColumn="0" w:lastRowFirstColumn="0" w:lastRowLastColumn="0"/>
            </w:pPr>
            <w:r w:rsidRPr="00D60764">
              <w:t>5 (12%)</w:t>
            </w:r>
          </w:p>
        </w:tc>
        <w:tc>
          <w:tcPr>
            <w:tcW w:w="1547" w:type="dxa"/>
          </w:tcPr>
          <w:p w14:paraId="1D582475" w14:textId="2E2D648C" w:rsidR="00B4584D" w:rsidRPr="00B4584D" w:rsidRDefault="00B4584D" w:rsidP="00B4584D">
            <w:pPr>
              <w:cnfStyle w:val="000000000000" w:firstRow="0" w:lastRow="0" w:firstColumn="0" w:lastColumn="0" w:oddVBand="0" w:evenVBand="0" w:oddHBand="0" w:evenHBand="0" w:firstRowFirstColumn="0" w:firstRowLastColumn="0" w:lastRowFirstColumn="0" w:lastRowLastColumn="0"/>
            </w:pPr>
            <w:r w:rsidRPr="00D60764">
              <w:t>0</w:t>
            </w:r>
          </w:p>
        </w:tc>
      </w:tr>
      <w:tr w:rsidR="00B4584D" w:rsidRPr="00215D48" w14:paraId="77F798D9" w14:textId="77777777" w:rsidTr="00B4584D">
        <w:tc>
          <w:tcPr>
            <w:cnfStyle w:val="001000000000" w:firstRow="0" w:lastRow="0" w:firstColumn="1" w:lastColumn="0" w:oddVBand="0" w:evenVBand="0" w:oddHBand="0" w:evenHBand="0" w:firstRowFirstColumn="0" w:firstRowLastColumn="0" w:lastRowFirstColumn="0" w:lastRowLastColumn="0"/>
            <w:tcW w:w="5802" w:type="dxa"/>
          </w:tcPr>
          <w:p w14:paraId="6E41991E" w14:textId="1E7717EB" w:rsidR="00B4584D" w:rsidRPr="00B4584D" w:rsidRDefault="00B4584D" w:rsidP="00B4584D">
            <w:r w:rsidRPr="00D60764">
              <w:t>Illegal supply</w:t>
            </w:r>
          </w:p>
        </w:tc>
        <w:tc>
          <w:tcPr>
            <w:tcW w:w="1701" w:type="dxa"/>
          </w:tcPr>
          <w:p w14:paraId="659BF381" w14:textId="59DD49AB" w:rsidR="00B4584D" w:rsidRPr="00B4584D" w:rsidRDefault="00B4584D" w:rsidP="00B4584D">
            <w:pPr>
              <w:cnfStyle w:val="000000000000" w:firstRow="0" w:lastRow="0" w:firstColumn="0" w:lastColumn="0" w:oddVBand="0" w:evenVBand="0" w:oddHBand="0" w:evenHBand="0" w:firstRowFirstColumn="0" w:firstRowLastColumn="0" w:lastRowFirstColumn="0" w:lastRowLastColumn="0"/>
            </w:pPr>
            <w:r w:rsidRPr="00D60764">
              <w:t>2 (5%)</w:t>
            </w:r>
          </w:p>
        </w:tc>
        <w:tc>
          <w:tcPr>
            <w:tcW w:w="1547" w:type="dxa"/>
          </w:tcPr>
          <w:p w14:paraId="2AD99360" w14:textId="196000E9" w:rsidR="00B4584D" w:rsidRPr="00B4584D" w:rsidRDefault="00B4584D" w:rsidP="00B4584D">
            <w:pPr>
              <w:cnfStyle w:val="000000000000" w:firstRow="0" w:lastRow="0" w:firstColumn="0" w:lastColumn="0" w:oddVBand="0" w:evenVBand="0" w:oddHBand="0" w:evenHBand="0" w:firstRowFirstColumn="0" w:firstRowLastColumn="0" w:lastRowFirstColumn="0" w:lastRowLastColumn="0"/>
            </w:pPr>
            <w:r w:rsidRPr="00D60764">
              <w:t>2 (3%)</w:t>
            </w:r>
          </w:p>
        </w:tc>
      </w:tr>
      <w:tr w:rsidR="00B4584D" w:rsidRPr="00215D48" w14:paraId="5BEEE55B" w14:textId="77777777" w:rsidTr="00B4584D">
        <w:tc>
          <w:tcPr>
            <w:cnfStyle w:val="001000000000" w:firstRow="0" w:lastRow="0" w:firstColumn="1" w:lastColumn="0" w:oddVBand="0" w:evenVBand="0" w:oddHBand="0" w:evenHBand="0" w:firstRowFirstColumn="0" w:firstRowLastColumn="0" w:lastRowFirstColumn="0" w:lastRowLastColumn="0"/>
            <w:tcW w:w="5802" w:type="dxa"/>
          </w:tcPr>
          <w:p w14:paraId="70AFA7E7" w14:textId="130FB1AE" w:rsidR="00B4584D" w:rsidRPr="00B4584D" w:rsidRDefault="00B4584D" w:rsidP="00B4584D">
            <w:r w:rsidRPr="00D60764">
              <w:t>Impurity and degradation</w:t>
            </w:r>
          </w:p>
        </w:tc>
        <w:tc>
          <w:tcPr>
            <w:tcW w:w="1701" w:type="dxa"/>
          </w:tcPr>
          <w:p w14:paraId="1DC9387D" w14:textId="5C201B2E" w:rsidR="00B4584D" w:rsidRPr="00B4584D" w:rsidRDefault="00B4584D" w:rsidP="00B4584D">
            <w:pPr>
              <w:cnfStyle w:val="000000000000" w:firstRow="0" w:lastRow="0" w:firstColumn="0" w:lastColumn="0" w:oddVBand="0" w:evenVBand="0" w:oddHBand="0" w:evenHBand="0" w:firstRowFirstColumn="0" w:firstRowLastColumn="0" w:lastRowFirstColumn="0" w:lastRowLastColumn="0"/>
            </w:pPr>
            <w:r w:rsidRPr="00D60764">
              <w:t>4 (10%)</w:t>
            </w:r>
          </w:p>
        </w:tc>
        <w:tc>
          <w:tcPr>
            <w:tcW w:w="1547" w:type="dxa"/>
          </w:tcPr>
          <w:p w14:paraId="4B88D8B8" w14:textId="56BF8BAD" w:rsidR="00B4584D" w:rsidRPr="00B4584D" w:rsidRDefault="00B4584D" w:rsidP="00B4584D">
            <w:pPr>
              <w:cnfStyle w:val="000000000000" w:firstRow="0" w:lastRow="0" w:firstColumn="0" w:lastColumn="0" w:oddVBand="0" w:evenVBand="0" w:oddHBand="0" w:evenHBand="0" w:firstRowFirstColumn="0" w:firstRowLastColumn="0" w:lastRowFirstColumn="0" w:lastRowLastColumn="0"/>
            </w:pPr>
            <w:r w:rsidRPr="00D60764">
              <w:t>13 (22%)</w:t>
            </w:r>
          </w:p>
        </w:tc>
      </w:tr>
      <w:tr w:rsidR="00B4584D" w:rsidRPr="00215D48" w14:paraId="5D6CBCA1" w14:textId="77777777" w:rsidTr="00B4584D">
        <w:tc>
          <w:tcPr>
            <w:cnfStyle w:val="001000000000" w:firstRow="0" w:lastRow="0" w:firstColumn="1" w:lastColumn="0" w:oddVBand="0" w:evenVBand="0" w:oddHBand="0" w:evenHBand="0" w:firstRowFirstColumn="0" w:firstRowLastColumn="0" w:lastRowFirstColumn="0" w:lastRowLastColumn="0"/>
            <w:tcW w:w="5802" w:type="dxa"/>
          </w:tcPr>
          <w:p w14:paraId="76E1BE14" w14:textId="0D5E4F22" w:rsidR="00B4584D" w:rsidRPr="00B4584D" w:rsidRDefault="00B4584D" w:rsidP="00B4584D">
            <w:r w:rsidRPr="00D60764">
              <w:t>Labelling and packaging</w:t>
            </w:r>
          </w:p>
        </w:tc>
        <w:tc>
          <w:tcPr>
            <w:tcW w:w="1701" w:type="dxa"/>
          </w:tcPr>
          <w:p w14:paraId="4D46064B" w14:textId="760E7250" w:rsidR="00B4584D" w:rsidRPr="00B4584D" w:rsidRDefault="00B4584D" w:rsidP="00B4584D">
            <w:pPr>
              <w:cnfStyle w:val="000000000000" w:firstRow="0" w:lastRow="0" w:firstColumn="0" w:lastColumn="0" w:oddVBand="0" w:evenVBand="0" w:oddHBand="0" w:evenHBand="0" w:firstRowFirstColumn="0" w:firstRowLastColumn="0" w:lastRowFirstColumn="0" w:lastRowLastColumn="0"/>
            </w:pPr>
            <w:r w:rsidRPr="00D60764">
              <w:t>14 (34%)</w:t>
            </w:r>
          </w:p>
        </w:tc>
        <w:tc>
          <w:tcPr>
            <w:tcW w:w="1547" w:type="dxa"/>
          </w:tcPr>
          <w:p w14:paraId="126C3CFF" w14:textId="23445249" w:rsidR="00B4584D" w:rsidRPr="00B4584D" w:rsidRDefault="00B4584D" w:rsidP="00B4584D">
            <w:pPr>
              <w:cnfStyle w:val="000000000000" w:firstRow="0" w:lastRow="0" w:firstColumn="0" w:lastColumn="0" w:oddVBand="0" w:evenVBand="0" w:oddHBand="0" w:evenHBand="0" w:firstRowFirstColumn="0" w:firstRowLastColumn="0" w:lastRowFirstColumn="0" w:lastRowLastColumn="0"/>
            </w:pPr>
            <w:r w:rsidRPr="00D60764">
              <w:t>18 (30%)</w:t>
            </w:r>
          </w:p>
        </w:tc>
      </w:tr>
      <w:tr w:rsidR="00B4584D" w:rsidRPr="00215D48" w14:paraId="1F4BD83E" w14:textId="77777777" w:rsidTr="00B4584D">
        <w:tc>
          <w:tcPr>
            <w:cnfStyle w:val="001000000000" w:firstRow="0" w:lastRow="0" w:firstColumn="1" w:lastColumn="0" w:oddVBand="0" w:evenVBand="0" w:oddHBand="0" w:evenHBand="0" w:firstRowFirstColumn="0" w:firstRowLastColumn="0" w:lastRowFirstColumn="0" w:lastRowLastColumn="0"/>
            <w:tcW w:w="5802" w:type="dxa"/>
          </w:tcPr>
          <w:p w14:paraId="0A039A30" w14:textId="0F1591AA" w:rsidR="00B4584D" w:rsidRPr="00B4584D" w:rsidRDefault="00B4584D" w:rsidP="00B4584D">
            <w:r w:rsidRPr="00D60764">
              <w:t>Micro-organisms</w:t>
            </w:r>
          </w:p>
        </w:tc>
        <w:tc>
          <w:tcPr>
            <w:tcW w:w="1701" w:type="dxa"/>
          </w:tcPr>
          <w:p w14:paraId="473ED5CA" w14:textId="4981E3C0" w:rsidR="00B4584D" w:rsidRPr="00B4584D" w:rsidRDefault="00B4584D" w:rsidP="00B4584D">
            <w:pPr>
              <w:cnfStyle w:val="000000000000" w:firstRow="0" w:lastRow="0" w:firstColumn="0" w:lastColumn="0" w:oddVBand="0" w:evenVBand="0" w:oddHBand="0" w:evenHBand="0" w:firstRowFirstColumn="0" w:firstRowLastColumn="0" w:lastRowFirstColumn="0" w:lastRowLastColumn="0"/>
            </w:pPr>
            <w:r w:rsidRPr="00D60764">
              <w:t>2 (5%)</w:t>
            </w:r>
          </w:p>
        </w:tc>
        <w:tc>
          <w:tcPr>
            <w:tcW w:w="1547" w:type="dxa"/>
          </w:tcPr>
          <w:p w14:paraId="509C829E" w14:textId="170B110C" w:rsidR="00B4584D" w:rsidRPr="00B4584D" w:rsidRDefault="00B4584D" w:rsidP="00B4584D">
            <w:pPr>
              <w:cnfStyle w:val="000000000000" w:firstRow="0" w:lastRow="0" w:firstColumn="0" w:lastColumn="0" w:oddVBand="0" w:evenVBand="0" w:oddHBand="0" w:evenHBand="0" w:firstRowFirstColumn="0" w:firstRowLastColumn="0" w:lastRowFirstColumn="0" w:lastRowLastColumn="0"/>
            </w:pPr>
            <w:r w:rsidRPr="00D60764">
              <w:t>4 (7%)</w:t>
            </w:r>
          </w:p>
        </w:tc>
      </w:tr>
      <w:tr w:rsidR="00B4584D" w:rsidRPr="00215D48" w14:paraId="614E7AE7" w14:textId="77777777" w:rsidTr="00B4584D">
        <w:tc>
          <w:tcPr>
            <w:cnfStyle w:val="001000000000" w:firstRow="0" w:lastRow="0" w:firstColumn="1" w:lastColumn="0" w:oddVBand="0" w:evenVBand="0" w:oddHBand="0" w:evenHBand="0" w:firstRowFirstColumn="0" w:firstRowLastColumn="0" w:lastRowFirstColumn="0" w:lastRowLastColumn="0"/>
            <w:tcW w:w="5802" w:type="dxa"/>
          </w:tcPr>
          <w:p w14:paraId="4CAC6197" w14:textId="1E99BA1A" w:rsidR="00B4584D" w:rsidRPr="00B4584D" w:rsidRDefault="00B4584D" w:rsidP="00B4584D">
            <w:r w:rsidRPr="00D60764">
              <w:t>pH</w:t>
            </w:r>
          </w:p>
        </w:tc>
        <w:tc>
          <w:tcPr>
            <w:tcW w:w="1701" w:type="dxa"/>
          </w:tcPr>
          <w:p w14:paraId="0C28C329" w14:textId="0A852887" w:rsidR="00B4584D" w:rsidRPr="00B4584D" w:rsidRDefault="00B4584D" w:rsidP="00B4584D">
            <w:pPr>
              <w:cnfStyle w:val="000000000000" w:firstRow="0" w:lastRow="0" w:firstColumn="0" w:lastColumn="0" w:oddVBand="0" w:evenVBand="0" w:oddHBand="0" w:evenHBand="0" w:firstRowFirstColumn="0" w:firstRowLastColumn="0" w:lastRowFirstColumn="0" w:lastRowLastColumn="0"/>
            </w:pPr>
            <w:r w:rsidRPr="00D60764">
              <w:t>0</w:t>
            </w:r>
          </w:p>
        </w:tc>
        <w:tc>
          <w:tcPr>
            <w:tcW w:w="1547" w:type="dxa"/>
          </w:tcPr>
          <w:p w14:paraId="12D3C58D" w14:textId="3170758C" w:rsidR="00B4584D" w:rsidRPr="00B4584D" w:rsidRDefault="00B4584D" w:rsidP="00B4584D">
            <w:pPr>
              <w:cnfStyle w:val="000000000000" w:firstRow="0" w:lastRow="0" w:firstColumn="0" w:lastColumn="0" w:oddVBand="0" w:evenVBand="0" w:oddHBand="0" w:evenHBand="0" w:firstRowFirstColumn="0" w:firstRowLastColumn="0" w:lastRowFirstColumn="0" w:lastRowLastColumn="0"/>
            </w:pPr>
            <w:r w:rsidRPr="00D60764">
              <w:t>0</w:t>
            </w:r>
          </w:p>
        </w:tc>
      </w:tr>
      <w:tr w:rsidR="00B4584D" w:rsidRPr="00215D48" w14:paraId="58725844" w14:textId="77777777" w:rsidTr="00B4584D">
        <w:tc>
          <w:tcPr>
            <w:cnfStyle w:val="001000000000" w:firstRow="0" w:lastRow="0" w:firstColumn="1" w:lastColumn="0" w:oddVBand="0" w:evenVBand="0" w:oddHBand="0" w:evenHBand="0" w:firstRowFirstColumn="0" w:firstRowLastColumn="0" w:lastRowFirstColumn="0" w:lastRowLastColumn="0"/>
            <w:tcW w:w="5802" w:type="dxa"/>
          </w:tcPr>
          <w:p w14:paraId="5D71BA45" w14:textId="425A3FAB" w:rsidR="00B4584D" w:rsidRPr="00B4584D" w:rsidRDefault="00B4584D" w:rsidP="00B4584D">
            <w:r w:rsidRPr="00D60764">
              <w:t>Potency</w:t>
            </w:r>
          </w:p>
        </w:tc>
        <w:tc>
          <w:tcPr>
            <w:tcW w:w="1701" w:type="dxa"/>
          </w:tcPr>
          <w:p w14:paraId="6F03E452" w14:textId="1B496BB9" w:rsidR="00B4584D" w:rsidRPr="00B4584D" w:rsidRDefault="00B4584D" w:rsidP="00B4584D">
            <w:pPr>
              <w:cnfStyle w:val="000000000000" w:firstRow="0" w:lastRow="0" w:firstColumn="0" w:lastColumn="0" w:oddVBand="0" w:evenVBand="0" w:oddHBand="0" w:evenHBand="0" w:firstRowFirstColumn="0" w:firstRowLastColumn="0" w:lastRowFirstColumn="0" w:lastRowLastColumn="0"/>
            </w:pPr>
            <w:r w:rsidRPr="00D60764">
              <w:t>1 (2%)</w:t>
            </w:r>
          </w:p>
        </w:tc>
        <w:tc>
          <w:tcPr>
            <w:tcW w:w="1547" w:type="dxa"/>
          </w:tcPr>
          <w:p w14:paraId="035B1647" w14:textId="6AB6618F" w:rsidR="00B4584D" w:rsidRPr="00B4584D" w:rsidRDefault="00B4584D" w:rsidP="00B4584D">
            <w:pPr>
              <w:cnfStyle w:val="000000000000" w:firstRow="0" w:lastRow="0" w:firstColumn="0" w:lastColumn="0" w:oddVBand="0" w:evenVBand="0" w:oddHBand="0" w:evenHBand="0" w:firstRowFirstColumn="0" w:firstRowLastColumn="0" w:lastRowFirstColumn="0" w:lastRowLastColumn="0"/>
            </w:pPr>
            <w:r w:rsidRPr="00D60764">
              <w:t>4 (7%)</w:t>
            </w:r>
          </w:p>
        </w:tc>
      </w:tr>
      <w:tr w:rsidR="00B4584D" w:rsidRPr="00215D48" w14:paraId="071AFDD2" w14:textId="77777777" w:rsidTr="00B4584D">
        <w:tc>
          <w:tcPr>
            <w:cnfStyle w:val="001000000000" w:firstRow="0" w:lastRow="0" w:firstColumn="1" w:lastColumn="0" w:oddVBand="0" w:evenVBand="0" w:oddHBand="0" w:evenHBand="0" w:firstRowFirstColumn="0" w:firstRowLastColumn="0" w:lastRowFirstColumn="0" w:lastRowLastColumn="0"/>
            <w:tcW w:w="5802" w:type="dxa"/>
          </w:tcPr>
          <w:p w14:paraId="6A335CE1" w14:textId="71C9A47B" w:rsidR="00B4584D" w:rsidRPr="00B4584D" w:rsidRDefault="00B4584D" w:rsidP="00B4584D">
            <w:r w:rsidRPr="00D60764">
              <w:lastRenderedPageBreak/>
              <w:t>Sterility</w:t>
            </w:r>
          </w:p>
        </w:tc>
        <w:tc>
          <w:tcPr>
            <w:tcW w:w="1701" w:type="dxa"/>
          </w:tcPr>
          <w:p w14:paraId="4F7F0A17" w14:textId="5FB7F459" w:rsidR="00B4584D" w:rsidRPr="00B4584D" w:rsidRDefault="00B4584D" w:rsidP="00B4584D">
            <w:pPr>
              <w:cnfStyle w:val="000000000000" w:firstRow="0" w:lastRow="0" w:firstColumn="0" w:lastColumn="0" w:oddVBand="0" w:evenVBand="0" w:oddHBand="0" w:evenHBand="0" w:firstRowFirstColumn="0" w:firstRowLastColumn="0" w:lastRowFirstColumn="0" w:lastRowLastColumn="0"/>
            </w:pPr>
            <w:r w:rsidRPr="00D60764">
              <w:t>0</w:t>
            </w:r>
          </w:p>
        </w:tc>
        <w:tc>
          <w:tcPr>
            <w:tcW w:w="1547" w:type="dxa"/>
          </w:tcPr>
          <w:p w14:paraId="57B2F2D7" w14:textId="2F25E94D" w:rsidR="00B4584D" w:rsidRPr="00B4584D" w:rsidRDefault="00B4584D" w:rsidP="00B4584D">
            <w:pPr>
              <w:cnfStyle w:val="000000000000" w:firstRow="0" w:lastRow="0" w:firstColumn="0" w:lastColumn="0" w:oddVBand="0" w:evenVBand="0" w:oddHBand="0" w:evenHBand="0" w:firstRowFirstColumn="0" w:firstRowLastColumn="0" w:lastRowFirstColumn="0" w:lastRowLastColumn="0"/>
            </w:pPr>
            <w:r w:rsidRPr="00D60764">
              <w:t>7 (12%)</w:t>
            </w:r>
          </w:p>
        </w:tc>
      </w:tr>
      <w:tr w:rsidR="00B4584D" w:rsidRPr="00215D48" w14:paraId="53BAB0AA" w14:textId="77777777" w:rsidTr="00B4584D">
        <w:tc>
          <w:tcPr>
            <w:cnfStyle w:val="001000000000" w:firstRow="0" w:lastRow="0" w:firstColumn="1" w:lastColumn="0" w:oddVBand="0" w:evenVBand="0" w:oddHBand="0" w:evenHBand="0" w:firstRowFirstColumn="0" w:firstRowLastColumn="0" w:lastRowFirstColumn="0" w:lastRowLastColumn="0"/>
            <w:tcW w:w="5802" w:type="dxa"/>
          </w:tcPr>
          <w:p w14:paraId="2F8502CB" w14:textId="5C74092F" w:rsidR="00B4584D" w:rsidRPr="00B4584D" w:rsidRDefault="00B4584D" w:rsidP="00B4584D">
            <w:r w:rsidRPr="00D60764">
              <w:t>Other</w:t>
            </w:r>
            <w:r w:rsidRPr="00B4584D">
              <w:rPr>
                <w:vertAlign w:val="superscript"/>
              </w:rPr>
              <w:t>a</w:t>
            </w:r>
            <w:r w:rsidRPr="00D60764">
              <w:t xml:space="preserve"> </w:t>
            </w:r>
          </w:p>
        </w:tc>
        <w:tc>
          <w:tcPr>
            <w:tcW w:w="1701" w:type="dxa"/>
          </w:tcPr>
          <w:p w14:paraId="1CC90043" w14:textId="6A914496" w:rsidR="00B4584D" w:rsidRPr="00B4584D" w:rsidRDefault="00B4584D" w:rsidP="00B4584D">
            <w:pPr>
              <w:cnfStyle w:val="000000000000" w:firstRow="0" w:lastRow="0" w:firstColumn="0" w:lastColumn="0" w:oddVBand="0" w:evenVBand="0" w:oddHBand="0" w:evenHBand="0" w:firstRowFirstColumn="0" w:firstRowLastColumn="0" w:lastRowFirstColumn="0" w:lastRowLastColumn="0"/>
            </w:pPr>
            <w:r w:rsidRPr="00D60764">
              <w:t>11 (27%)</w:t>
            </w:r>
          </w:p>
        </w:tc>
        <w:tc>
          <w:tcPr>
            <w:tcW w:w="1547" w:type="dxa"/>
          </w:tcPr>
          <w:p w14:paraId="661BCE00" w14:textId="620119A3" w:rsidR="00B4584D" w:rsidRPr="00B4584D" w:rsidRDefault="00B4584D" w:rsidP="00B4584D">
            <w:pPr>
              <w:cnfStyle w:val="000000000000" w:firstRow="0" w:lastRow="0" w:firstColumn="0" w:lastColumn="0" w:oddVBand="0" w:evenVBand="0" w:oddHBand="0" w:evenHBand="0" w:firstRowFirstColumn="0" w:firstRowLastColumn="0" w:lastRowFirstColumn="0" w:lastRowLastColumn="0"/>
            </w:pPr>
            <w:r w:rsidRPr="00D60764">
              <w:t>11 (18%)</w:t>
            </w:r>
          </w:p>
        </w:tc>
      </w:tr>
      <w:tr w:rsidR="002E23D7" w:rsidRPr="00215D48" w14:paraId="4655E5BB" w14:textId="77777777" w:rsidTr="00B4584D">
        <w:tc>
          <w:tcPr>
            <w:cnfStyle w:val="001000000000" w:firstRow="0" w:lastRow="0" w:firstColumn="1" w:lastColumn="0" w:oddVBand="0" w:evenVBand="0" w:oddHBand="0" w:evenHBand="0" w:firstRowFirstColumn="0" w:firstRowLastColumn="0" w:lastRowFirstColumn="0" w:lastRowLastColumn="0"/>
            <w:tcW w:w="5802" w:type="dxa"/>
          </w:tcPr>
          <w:p w14:paraId="431A5AF5" w14:textId="3B627179" w:rsidR="002E23D7" w:rsidRPr="002E23D7" w:rsidRDefault="002E23D7" w:rsidP="002E23D7">
            <w:pPr>
              <w:rPr>
                <w:b/>
              </w:rPr>
            </w:pPr>
            <w:r w:rsidRPr="002E23D7">
              <w:rPr>
                <w:b/>
              </w:rPr>
              <w:t>Total</w:t>
            </w:r>
          </w:p>
        </w:tc>
        <w:tc>
          <w:tcPr>
            <w:tcW w:w="1701" w:type="dxa"/>
          </w:tcPr>
          <w:p w14:paraId="65203B20" w14:textId="4AA7F4B7" w:rsidR="002E23D7" w:rsidRPr="002E23D7" w:rsidRDefault="002E23D7" w:rsidP="002E23D7">
            <w:pPr>
              <w:cnfStyle w:val="000000000000" w:firstRow="0" w:lastRow="0" w:firstColumn="0" w:lastColumn="0" w:oddVBand="0" w:evenVBand="0" w:oddHBand="0" w:evenHBand="0" w:firstRowFirstColumn="0" w:firstRowLastColumn="0" w:lastRowFirstColumn="0" w:lastRowLastColumn="0"/>
              <w:rPr>
                <w:b/>
              </w:rPr>
            </w:pPr>
            <w:r w:rsidRPr="002E23D7">
              <w:rPr>
                <w:b/>
              </w:rPr>
              <w:t>41 (100%)</w:t>
            </w:r>
          </w:p>
        </w:tc>
        <w:tc>
          <w:tcPr>
            <w:tcW w:w="1547" w:type="dxa"/>
          </w:tcPr>
          <w:p w14:paraId="20891777" w14:textId="2863EE71" w:rsidR="002E23D7" w:rsidRPr="002E23D7" w:rsidRDefault="002E23D7" w:rsidP="002E23D7">
            <w:pPr>
              <w:cnfStyle w:val="000000000000" w:firstRow="0" w:lastRow="0" w:firstColumn="0" w:lastColumn="0" w:oddVBand="0" w:evenVBand="0" w:oddHBand="0" w:evenHBand="0" w:firstRowFirstColumn="0" w:firstRowLastColumn="0" w:lastRowFirstColumn="0" w:lastRowLastColumn="0"/>
              <w:rPr>
                <w:b/>
              </w:rPr>
            </w:pPr>
            <w:r w:rsidRPr="002E23D7">
              <w:rPr>
                <w:b/>
              </w:rPr>
              <w:t>60 (100%)</w:t>
            </w:r>
          </w:p>
        </w:tc>
      </w:tr>
    </w:tbl>
    <w:p w14:paraId="44FB1E6B" w14:textId="73CDCD1F" w:rsidR="00B46000" w:rsidRDefault="00B46000" w:rsidP="00B46000">
      <w:pPr>
        <w:pStyle w:val="Tabledescription"/>
        <w:widowControl w:val="0"/>
        <w:spacing w:after="60"/>
        <w:ind w:left="284" w:hanging="284"/>
      </w:pPr>
      <w:r w:rsidRPr="002A4BDA">
        <w:rPr>
          <w:vertAlign w:val="superscript"/>
        </w:rPr>
        <w:t xml:space="preserve">a </w:t>
      </w:r>
      <w:r w:rsidRPr="002A4BDA">
        <w:rPr>
          <w:vertAlign w:val="superscript"/>
        </w:rPr>
        <w:tab/>
      </w:r>
      <w:r w:rsidRPr="002A4BDA">
        <w:t>‘Other’ includes dissolution, physical defects, observed differences, variable content, diagnostic inaccuracy and wrong product, disintegration/dissolution, GMP non-compliance</w:t>
      </w:r>
      <w:r>
        <w:t>,</w:t>
      </w:r>
      <w:r w:rsidRPr="002A4BDA">
        <w:t xml:space="preserve"> transport/storage</w:t>
      </w:r>
      <w:r>
        <w:t>, bioavailability, preservative efficacy and therapeutic inefficiency</w:t>
      </w:r>
      <w:r w:rsidRPr="002A4BDA">
        <w:t>.</w:t>
      </w:r>
    </w:p>
    <w:p w14:paraId="09F66E8B" w14:textId="507E75E6" w:rsidR="00236133" w:rsidRDefault="00236133" w:rsidP="007868BD">
      <w:pPr>
        <w:pStyle w:val="Tabletitle"/>
        <w:spacing w:before="480"/>
      </w:pPr>
      <w:r>
        <w:t xml:space="preserve">Table 3: </w:t>
      </w:r>
      <w:r w:rsidRPr="002A4BDA">
        <w:t>Medical device (including IVDs) recalls by reason for recall</w:t>
      </w:r>
    </w:p>
    <w:tbl>
      <w:tblPr>
        <w:tblStyle w:val="TableTGAblue"/>
        <w:tblW w:w="0" w:type="auto"/>
        <w:tblLook w:val="04A0" w:firstRow="1" w:lastRow="0" w:firstColumn="1" w:lastColumn="0" w:noHBand="0" w:noVBand="1"/>
      </w:tblPr>
      <w:tblGrid>
        <w:gridCol w:w="5802"/>
        <w:gridCol w:w="1701"/>
        <w:gridCol w:w="1547"/>
      </w:tblGrid>
      <w:tr w:rsidR="00236133" w:rsidRPr="00215D48" w14:paraId="5D29A134" w14:textId="77777777" w:rsidTr="00091A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Pr>
          <w:p w14:paraId="4DFB8CA8" w14:textId="6F69D3BE" w:rsidR="00236133" w:rsidRPr="00215D48" w:rsidRDefault="00236133" w:rsidP="00091ABF">
            <w:r>
              <w:t>Reason for recall</w:t>
            </w:r>
          </w:p>
        </w:tc>
        <w:tc>
          <w:tcPr>
            <w:tcW w:w="1701" w:type="dxa"/>
          </w:tcPr>
          <w:p w14:paraId="464FF1C8" w14:textId="77777777" w:rsidR="00236133" w:rsidRPr="00215D48" w:rsidRDefault="00236133" w:rsidP="00091ABF">
            <w:pPr>
              <w:cnfStyle w:val="100000000000" w:firstRow="1" w:lastRow="0" w:firstColumn="0" w:lastColumn="0" w:oddVBand="0" w:evenVBand="0" w:oddHBand="0" w:evenHBand="0" w:firstRowFirstColumn="0" w:firstRowLastColumn="0" w:lastRowFirstColumn="0" w:lastRowLastColumn="0"/>
            </w:pPr>
            <w:r>
              <w:t>2018</w:t>
            </w:r>
            <w:r>
              <w:noBreakHyphen/>
              <w:t>19</w:t>
            </w:r>
          </w:p>
        </w:tc>
        <w:tc>
          <w:tcPr>
            <w:tcW w:w="1547" w:type="dxa"/>
          </w:tcPr>
          <w:p w14:paraId="03FB5CF4" w14:textId="77777777" w:rsidR="00236133" w:rsidRPr="00215D48" w:rsidRDefault="00236133" w:rsidP="00091ABF">
            <w:pPr>
              <w:cnfStyle w:val="100000000000" w:firstRow="1" w:lastRow="0" w:firstColumn="0" w:lastColumn="0" w:oddVBand="0" w:evenVBand="0" w:oddHBand="0" w:evenHBand="0" w:firstRowFirstColumn="0" w:firstRowLastColumn="0" w:lastRowFirstColumn="0" w:lastRowLastColumn="0"/>
            </w:pPr>
            <w:r>
              <w:t>2019</w:t>
            </w:r>
            <w:r>
              <w:noBreakHyphen/>
              <w:t>20</w:t>
            </w:r>
          </w:p>
        </w:tc>
      </w:tr>
      <w:tr w:rsidR="00236133" w:rsidRPr="00215D48" w14:paraId="30F1BEC3" w14:textId="77777777" w:rsidTr="00091ABF">
        <w:tc>
          <w:tcPr>
            <w:cnfStyle w:val="001000000000" w:firstRow="0" w:lastRow="0" w:firstColumn="1" w:lastColumn="0" w:oddVBand="0" w:evenVBand="0" w:oddHBand="0" w:evenHBand="0" w:firstRowFirstColumn="0" w:firstRowLastColumn="0" w:lastRowFirstColumn="0" w:lastRowLastColumn="0"/>
            <w:tcW w:w="5802" w:type="dxa"/>
          </w:tcPr>
          <w:p w14:paraId="211A3A4F" w14:textId="4C9C9DB7" w:rsidR="00236133" w:rsidRPr="00215D48" w:rsidRDefault="00236133" w:rsidP="00236133">
            <w:r w:rsidRPr="00450109">
              <w:t>Adverse incidents</w:t>
            </w:r>
          </w:p>
        </w:tc>
        <w:tc>
          <w:tcPr>
            <w:tcW w:w="1701" w:type="dxa"/>
          </w:tcPr>
          <w:p w14:paraId="063BAA31" w14:textId="2F5B5D68" w:rsidR="00236133" w:rsidRPr="00215D48" w:rsidRDefault="00236133" w:rsidP="00236133">
            <w:pPr>
              <w:cnfStyle w:val="000000000000" w:firstRow="0" w:lastRow="0" w:firstColumn="0" w:lastColumn="0" w:oddVBand="0" w:evenVBand="0" w:oddHBand="0" w:evenHBand="0" w:firstRowFirstColumn="0" w:firstRowLastColumn="0" w:lastRowFirstColumn="0" w:lastRowLastColumn="0"/>
            </w:pPr>
            <w:r w:rsidRPr="00450109">
              <w:t>5 (0.8%)</w:t>
            </w:r>
          </w:p>
        </w:tc>
        <w:tc>
          <w:tcPr>
            <w:tcW w:w="1547" w:type="dxa"/>
          </w:tcPr>
          <w:p w14:paraId="39FCC3D6" w14:textId="5F1B3625" w:rsidR="00236133" w:rsidRPr="00215D48" w:rsidRDefault="00236133" w:rsidP="00236133">
            <w:pPr>
              <w:cnfStyle w:val="000000000000" w:firstRow="0" w:lastRow="0" w:firstColumn="0" w:lastColumn="0" w:oddVBand="0" w:evenVBand="0" w:oddHBand="0" w:evenHBand="0" w:firstRowFirstColumn="0" w:firstRowLastColumn="0" w:lastRowFirstColumn="0" w:lastRowLastColumn="0"/>
            </w:pPr>
            <w:r w:rsidRPr="00450109">
              <w:t>6 (1%)</w:t>
            </w:r>
          </w:p>
        </w:tc>
      </w:tr>
      <w:tr w:rsidR="00236133" w:rsidRPr="00215D48" w14:paraId="1E133587" w14:textId="77777777" w:rsidTr="00091ABF">
        <w:tc>
          <w:tcPr>
            <w:cnfStyle w:val="001000000000" w:firstRow="0" w:lastRow="0" w:firstColumn="1" w:lastColumn="0" w:oddVBand="0" w:evenVBand="0" w:oddHBand="0" w:evenHBand="0" w:firstRowFirstColumn="0" w:firstRowLastColumn="0" w:lastRowFirstColumn="0" w:lastRowLastColumn="0"/>
            <w:tcW w:w="5802" w:type="dxa"/>
          </w:tcPr>
          <w:p w14:paraId="45300665" w14:textId="31F921B4" w:rsidR="00236133" w:rsidRPr="00215D48" w:rsidRDefault="00236133" w:rsidP="00236133">
            <w:r w:rsidRPr="00450109">
              <w:t>Diagnostic inaccuracy</w:t>
            </w:r>
          </w:p>
        </w:tc>
        <w:tc>
          <w:tcPr>
            <w:tcW w:w="1701" w:type="dxa"/>
          </w:tcPr>
          <w:p w14:paraId="5E723C70" w14:textId="3D8EBE52" w:rsidR="00236133" w:rsidRPr="00215D48" w:rsidRDefault="00236133" w:rsidP="00236133">
            <w:pPr>
              <w:cnfStyle w:val="000000000000" w:firstRow="0" w:lastRow="0" w:firstColumn="0" w:lastColumn="0" w:oddVBand="0" w:evenVBand="0" w:oddHBand="0" w:evenHBand="0" w:firstRowFirstColumn="0" w:firstRowLastColumn="0" w:lastRowFirstColumn="0" w:lastRowLastColumn="0"/>
            </w:pPr>
            <w:r w:rsidRPr="00450109">
              <w:t>66 (11%)</w:t>
            </w:r>
          </w:p>
        </w:tc>
        <w:tc>
          <w:tcPr>
            <w:tcW w:w="1547" w:type="dxa"/>
          </w:tcPr>
          <w:p w14:paraId="5F85762B" w14:textId="28283804" w:rsidR="00236133" w:rsidRPr="00215D48" w:rsidRDefault="00236133" w:rsidP="00236133">
            <w:pPr>
              <w:cnfStyle w:val="000000000000" w:firstRow="0" w:lastRow="0" w:firstColumn="0" w:lastColumn="0" w:oddVBand="0" w:evenVBand="0" w:oddHBand="0" w:evenHBand="0" w:firstRowFirstColumn="0" w:firstRowLastColumn="0" w:lastRowFirstColumn="0" w:lastRowLastColumn="0"/>
            </w:pPr>
            <w:r w:rsidRPr="00450109">
              <w:t>70 (11%)</w:t>
            </w:r>
          </w:p>
        </w:tc>
      </w:tr>
      <w:tr w:rsidR="00236133" w:rsidRPr="00215D48" w14:paraId="088F1472" w14:textId="77777777" w:rsidTr="00091ABF">
        <w:tc>
          <w:tcPr>
            <w:cnfStyle w:val="001000000000" w:firstRow="0" w:lastRow="0" w:firstColumn="1" w:lastColumn="0" w:oddVBand="0" w:evenVBand="0" w:oddHBand="0" w:evenHBand="0" w:firstRowFirstColumn="0" w:firstRowLastColumn="0" w:lastRowFirstColumn="0" w:lastRowLastColumn="0"/>
            <w:tcW w:w="5802" w:type="dxa"/>
          </w:tcPr>
          <w:p w14:paraId="61F930B7" w14:textId="29F9BE55" w:rsidR="00236133" w:rsidRPr="00215D48" w:rsidRDefault="00236133" w:rsidP="00236133">
            <w:r w:rsidRPr="00450109">
              <w:t>Electrical defect</w:t>
            </w:r>
          </w:p>
        </w:tc>
        <w:tc>
          <w:tcPr>
            <w:tcW w:w="1701" w:type="dxa"/>
          </w:tcPr>
          <w:p w14:paraId="2FCED0EC" w14:textId="6D07844A" w:rsidR="00236133" w:rsidRPr="00215D48" w:rsidRDefault="00236133" w:rsidP="00236133">
            <w:pPr>
              <w:cnfStyle w:val="000000000000" w:firstRow="0" w:lastRow="0" w:firstColumn="0" w:lastColumn="0" w:oddVBand="0" w:evenVBand="0" w:oddHBand="0" w:evenHBand="0" w:firstRowFirstColumn="0" w:firstRowLastColumn="0" w:lastRowFirstColumn="0" w:lastRowLastColumn="0"/>
            </w:pPr>
            <w:r w:rsidRPr="00450109">
              <w:t>23 (4%)</w:t>
            </w:r>
          </w:p>
        </w:tc>
        <w:tc>
          <w:tcPr>
            <w:tcW w:w="1547" w:type="dxa"/>
          </w:tcPr>
          <w:p w14:paraId="2C31AB8D" w14:textId="546AFAAD" w:rsidR="00236133" w:rsidRPr="00215D48" w:rsidRDefault="00236133" w:rsidP="00236133">
            <w:pPr>
              <w:cnfStyle w:val="000000000000" w:firstRow="0" w:lastRow="0" w:firstColumn="0" w:lastColumn="0" w:oddVBand="0" w:evenVBand="0" w:oddHBand="0" w:evenHBand="0" w:firstRowFirstColumn="0" w:firstRowLastColumn="0" w:lastRowFirstColumn="0" w:lastRowLastColumn="0"/>
            </w:pPr>
            <w:r w:rsidRPr="00450109">
              <w:t>28 (5%)</w:t>
            </w:r>
          </w:p>
        </w:tc>
      </w:tr>
      <w:tr w:rsidR="00236133" w:rsidRPr="00215D48" w14:paraId="098BACD5" w14:textId="77777777" w:rsidTr="00091ABF">
        <w:tc>
          <w:tcPr>
            <w:cnfStyle w:val="001000000000" w:firstRow="0" w:lastRow="0" w:firstColumn="1" w:lastColumn="0" w:oddVBand="0" w:evenVBand="0" w:oddHBand="0" w:evenHBand="0" w:firstRowFirstColumn="0" w:firstRowLastColumn="0" w:lastRowFirstColumn="0" w:lastRowLastColumn="0"/>
            <w:tcW w:w="5802" w:type="dxa"/>
          </w:tcPr>
          <w:p w14:paraId="7410132E" w14:textId="271F98FD" w:rsidR="00236133" w:rsidRPr="00215D48" w:rsidRDefault="00236133" w:rsidP="00236133">
            <w:r w:rsidRPr="00450109">
              <w:t>Illegal supply</w:t>
            </w:r>
          </w:p>
        </w:tc>
        <w:tc>
          <w:tcPr>
            <w:tcW w:w="1701" w:type="dxa"/>
          </w:tcPr>
          <w:p w14:paraId="27BCCDA3" w14:textId="023CE919" w:rsidR="00236133" w:rsidRPr="00215D48" w:rsidRDefault="00236133" w:rsidP="00236133">
            <w:pPr>
              <w:cnfStyle w:val="000000000000" w:firstRow="0" w:lastRow="0" w:firstColumn="0" w:lastColumn="0" w:oddVBand="0" w:evenVBand="0" w:oddHBand="0" w:evenHBand="0" w:firstRowFirstColumn="0" w:firstRowLastColumn="0" w:lastRowFirstColumn="0" w:lastRowLastColumn="0"/>
            </w:pPr>
            <w:r w:rsidRPr="00450109">
              <w:t>1 (0.2%)</w:t>
            </w:r>
          </w:p>
        </w:tc>
        <w:tc>
          <w:tcPr>
            <w:tcW w:w="1547" w:type="dxa"/>
          </w:tcPr>
          <w:p w14:paraId="1129BEDC" w14:textId="75C7069F" w:rsidR="00236133" w:rsidRPr="00215D48" w:rsidRDefault="00236133" w:rsidP="00236133">
            <w:pPr>
              <w:cnfStyle w:val="000000000000" w:firstRow="0" w:lastRow="0" w:firstColumn="0" w:lastColumn="0" w:oddVBand="0" w:evenVBand="0" w:oddHBand="0" w:evenHBand="0" w:firstRowFirstColumn="0" w:firstRowLastColumn="0" w:lastRowFirstColumn="0" w:lastRowLastColumn="0"/>
            </w:pPr>
            <w:r w:rsidRPr="00450109">
              <w:t>2 (&lt;1%)</w:t>
            </w:r>
          </w:p>
        </w:tc>
      </w:tr>
      <w:tr w:rsidR="00236133" w:rsidRPr="00215D48" w14:paraId="1BE40ABB" w14:textId="77777777" w:rsidTr="00091ABF">
        <w:tc>
          <w:tcPr>
            <w:cnfStyle w:val="001000000000" w:firstRow="0" w:lastRow="0" w:firstColumn="1" w:lastColumn="0" w:oddVBand="0" w:evenVBand="0" w:oddHBand="0" w:evenHBand="0" w:firstRowFirstColumn="0" w:firstRowLastColumn="0" w:lastRowFirstColumn="0" w:lastRowLastColumn="0"/>
            <w:tcW w:w="5802" w:type="dxa"/>
          </w:tcPr>
          <w:p w14:paraId="3300C5D9" w14:textId="6F55F7D9" w:rsidR="00236133" w:rsidRPr="00215D48" w:rsidRDefault="00236133" w:rsidP="00236133">
            <w:r w:rsidRPr="00450109">
              <w:t>Labelling and packaging</w:t>
            </w:r>
          </w:p>
        </w:tc>
        <w:tc>
          <w:tcPr>
            <w:tcW w:w="1701" w:type="dxa"/>
          </w:tcPr>
          <w:p w14:paraId="3FB2E794" w14:textId="50123AF0" w:rsidR="00236133" w:rsidRPr="00215D48" w:rsidRDefault="00236133" w:rsidP="00236133">
            <w:pPr>
              <w:cnfStyle w:val="000000000000" w:firstRow="0" w:lastRow="0" w:firstColumn="0" w:lastColumn="0" w:oddVBand="0" w:evenVBand="0" w:oddHBand="0" w:evenHBand="0" w:firstRowFirstColumn="0" w:firstRowLastColumn="0" w:lastRowFirstColumn="0" w:lastRowLastColumn="0"/>
            </w:pPr>
            <w:r w:rsidRPr="00450109">
              <w:t>131 (22%)</w:t>
            </w:r>
          </w:p>
        </w:tc>
        <w:tc>
          <w:tcPr>
            <w:tcW w:w="1547" w:type="dxa"/>
          </w:tcPr>
          <w:p w14:paraId="4D6AF91F" w14:textId="666BF3CF" w:rsidR="00236133" w:rsidRPr="00215D48" w:rsidRDefault="00236133" w:rsidP="00236133">
            <w:pPr>
              <w:cnfStyle w:val="000000000000" w:firstRow="0" w:lastRow="0" w:firstColumn="0" w:lastColumn="0" w:oddVBand="0" w:evenVBand="0" w:oddHBand="0" w:evenHBand="0" w:firstRowFirstColumn="0" w:firstRowLastColumn="0" w:lastRowFirstColumn="0" w:lastRowLastColumn="0"/>
            </w:pPr>
            <w:r w:rsidRPr="00450109">
              <w:t>136 (22%)</w:t>
            </w:r>
          </w:p>
        </w:tc>
      </w:tr>
      <w:tr w:rsidR="00236133" w:rsidRPr="00215D48" w14:paraId="557C7DC4" w14:textId="77777777" w:rsidTr="00091ABF">
        <w:tc>
          <w:tcPr>
            <w:cnfStyle w:val="001000000000" w:firstRow="0" w:lastRow="0" w:firstColumn="1" w:lastColumn="0" w:oddVBand="0" w:evenVBand="0" w:oddHBand="0" w:evenHBand="0" w:firstRowFirstColumn="0" w:firstRowLastColumn="0" w:lastRowFirstColumn="0" w:lastRowLastColumn="0"/>
            <w:tcW w:w="5802" w:type="dxa"/>
          </w:tcPr>
          <w:p w14:paraId="5D266FC2" w14:textId="5675383F" w:rsidR="00236133" w:rsidRPr="00215D48" w:rsidRDefault="00236133" w:rsidP="00236133">
            <w:r w:rsidRPr="00450109">
              <w:t>Mechanical and physical defects</w:t>
            </w:r>
          </w:p>
        </w:tc>
        <w:tc>
          <w:tcPr>
            <w:tcW w:w="1701" w:type="dxa"/>
          </w:tcPr>
          <w:p w14:paraId="269A59D8" w14:textId="69FB9FE0" w:rsidR="00236133" w:rsidRPr="00215D48" w:rsidRDefault="00236133" w:rsidP="00236133">
            <w:pPr>
              <w:cnfStyle w:val="000000000000" w:firstRow="0" w:lastRow="0" w:firstColumn="0" w:lastColumn="0" w:oddVBand="0" w:evenVBand="0" w:oddHBand="0" w:evenHBand="0" w:firstRowFirstColumn="0" w:firstRowLastColumn="0" w:lastRowFirstColumn="0" w:lastRowLastColumn="0"/>
            </w:pPr>
            <w:r w:rsidRPr="00450109">
              <w:t>203 (34%)</w:t>
            </w:r>
          </w:p>
        </w:tc>
        <w:tc>
          <w:tcPr>
            <w:tcW w:w="1547" w:type="dxa"/>
          </w:tcPr>
          <w:p w14:paraId="0A756A52" w14:textId="75315027" w:rsidR="00236133" w:rsidRPr="00215D48" w:rsidRDefault="00236133" w:rsidP="00236133">
            <w:pPr>
              <w:cnfStyle w:val="000000000000" w:firstRow="0" w:lastRow="0" w:firstColumn="0" w:lastColumn="0" w:oddVBand="0" w:evenVBand="0" w:oddHBand="0" w:evenHBand="0" w:firstRowFirstColumn="0" w:firstRowLastColumn="0" w:lastRowFirstColumn="0" w:lastRowLastColumn="0"/>
            </w:pPr>
            <w:r w:rsidRPr="00450109">
              <w:t>182 (30%)</w:t>
            </w:r>
          </w:p>
        </w:tc>
      </w:tr>
      <w:tr w:rsidR="00236133" w:rsidRPr="00215D48" w14:paraId="08657B92" w14:textId="77777777" w:rsidTr="00091ABF">
        <w:tc>
          <w:tcPr>
            <w:cnfStyle w:val="001000000000" w:firstRow="0" w:lastRow="0" w:firstColumn="1" w:lastColumn="0" w:oddVBand="0" w:evenVBand="0" w:oddHBand="0" w:evenHBand="0" w:firstRowFirstColumn="0" w:firstRowLastColumn="0" w:lastRowFirstColumn="0" w:lastRowLastColumn="0"/>
            <w:tcW w:w="5802" w:type="dxa"/>
          </w:tcPr>
          <w:p w14:paraId="486B301E" w14:textId="7FDCEB10" w:rsidR="00236133" w:rsidRPr="00215D48" w:rsidRDefault="00236133" w:rsidP="00236133">
            <w:r w:rsidRPr="00450109">
              <w:t>Software defects</w:t>
            </w:r>
          </w:p>
        </w:tc>
        <w:tc>
          <w:tcPr>
            <w:tcW w:w="1701" w:type="dxa"/>
          </w:tcPr>
          <w:p w14:paraId="5321CBF5" w14:textId="5932D19A" w:rsidR="00236133" w:rsidRPr="00215D48" w:rsidRDefault="00236133" w:rsidP="00236133">
            <w:pPr>
              <w:cnfStyle w:val="000000000000" w:firstRow="0" w:lastRow="0" w:firstColumn="0" w:lastColumn="0" w:oddVBand="0" w:evenVBand="0" w:oddHBand="0" w:evenHBand="0" w:firstRowFirstColumn="0" w:firstRowLastColumn="0" w:lastRowFirstColumn="0" w:lastRowLastColumn="0"/>
            </w:pPr>
            <w:r w:rsidRPr="00450109">
              <w:t>130 (22%)</w:t>
            </w:r>
          </w:p>
        </w:tc>
        <w:tc>
          <w:tcPr>
            <w:tcW w:w="1547" w:type="dxa"/>
          </w:tcPr>
          <w:p w14:paraId="529A66C5" w14:textId="0D9FE67A" w:rsidR="00236133" w:rsidRPr="00215D48" w:rsidRDefault="00236133" w:rsidP="00236133">
            <w:pPr>
              <w:cnfStyle w:val="000000000000" w:firstRow="0" w:lastRow="0" w:firstColumn="0" w:lastColumn="0" w:oddVBand="0" w:evenVBand="0" w:oddHBand="0" w:evenHBand="0" w:firstRowFirstColumn="0" w:firstRowLastColumn="0" w:lastRowFirstColumn="0" w:lastRowLastColumn="0"/>
            </w:pPr>
            <w:r w:rsidRPr="00450109">
              <w:t>151 (25%)</w:t>
            </w:r>
          </w:p>
        </w:tc>
      </w:tr>
      <w:tr w:rsidR="00236133" w:rsidRPr="00215D48" w14:paraId="6391AE73" w14:textId="77777777" w:rsidTr="00091ABF">
        <w:tc>
          <w:tcPr>
            <w:cnfStyle w:val="001000000000" w:firstRow="0" w:lastRow="0" w:firstColumn="1" w:lastColumn="0" w:oddVBand="0" w:evenVBand="0" w:oddHBand="0" w:evenHBand="0" w:firstRowFirstColumn="0" w:firstRowLastColumn="0" w:lastRowFirstColumn="0" w:lastRowLastColumn="0"/>
            <w:tcW w:w="5802" w:type="dxa"/>
          </w:tcPr>
          <w:p w14:paraId="61250F35" w14:textId="4A598E84" w:rsidR="00236133" w:rsidRPr="00215D48" w:rsidRDefault="00236133" w:rsidP="00236133">
            <w:r w:rsidRPr="00450109">
              <w:t>Sterility</w:t>
            </w:r>
          </w:p>
        </w:tc>
        <w:tc>
          <w:tcPr>
            <w:tcW w:w="1701" w:type="dxa"/>
          </w:tcPr>
          <w:p w14:paraId="65C53C38" w14:textId="68BD40A2" w:rsidR="00236133" w:rsidRPr="00215D48" w:rsidRDefault="00236133" w:rsidP="00236133">
            <w:pPr>
              <w:cnfStyle w:val="000000000000" w:firstRow="0" w:lastRow="0" w:firstColumn="0" w:lastColumn="0" w:oddVBand="0" w:evenVBand="0" w:oddHBand="0" w:evenHBand="0" w:firstRowFirstColumn="0" w:firstRowLastColumn="0" w:lastRowFirstColumn="0" w:lastRowLastColumn="0"/>
            </w:pPr>
            <w:r w:rsidRPr="00450109">
              <w:t>3 (0.5%)</w:t>
            </w:r>
          </w:p>
        </w:tc>
        <w:tc>
          <w:tcPr>
            <w:tcW w:w="1547" w:type="dxa"/>
          </w:tcPr>
          <w:p w14:paraId="5AA4139F" w14:textId="3F656928" w:rsidR="00236133" w:rsidRPr="00215D48" w:rsidRDefault="00236133" w:rsidP="00236133">
            <w:pPr>
              <w:cnfStyle w:val="000000000000" w:firstRow="0" w:lastRow="0" w:firstColumn="0" w:lastColumn="0" w:oddVBand="0" w:evenVBand="0" w:oddHBand="0" w:evenHBand="0" w:firstRowFirstColumn="0" w:firstRowLastColumn="0" w:lastRowFirstColumn="0" w:lastRowLastColumn="0"/>
            </w:pPr>
            <w:r w:rsidRPr="00450109">
              <w:t>3 (&lt;1%)</w:t>
            </w:r>
          </w:p>
        </w:tc>
      </w:tr>
      <w:tr w:rsidR="00236133" w:rsidRPr="00215D48" w14:paraId="2B6E49A5" w14:textId="77777777" w:rsidTr="00091ABF">
        <w:tc>
          <w:tcPr>
            <w:cnfStyle w:val="001000000000" w:firstRow="0" w:lastRow="0" w:firstColumn="1" w:lastColumn="0" w:oddVBand="0" w:evenVBand="0" w:oddHBand="0" w:evenHBand="0" w:firstRowFirstColumn="0" w:firstRowLastColumn="0" w:lastRowFirstColumn="0" w:lastRowLastColumn="0"/>
            <w:tcW w:w="5802" w:type="dxa"/>
          </w:tcPr>
          <w:p w14:paraId="64E4E0EA" w14:textId="3080095C" w:rsidR="00236133" w:rsidRPr="00215D48" w:rsidRDefault="00236133" w:rsidP="00236133">
            <w:r w:rsidRPr="00450109">
              <w:t>Other</w:t>
            </w:r>
            <w:r w:rsidRPr="00236133">
              <w:rPr>
                <w:vertAlign w:val="superscript"/>
              </w:rPr>
              <w:t>a</w:t>
            </w:r>
            <w:r w:rsidRPr="00450109">
              <w:t xml:space="preserve"> </w:t>
            </w:r>
          </w:p>
        </w:tc>
        <w:tc>
          <w:tcPr>
            <w:tcW w:w="1701" w:type="dxa"/>
          </w:tcPr>
          <w:p w14:paraId="3B95696B" w14:textId="3AF3E27E" w:rsidR="00236133" w:rsidRPr="00215D48" w:rsidRDefault="00236133" w:rsidP="00236133">
            <w:pPr>
              <w:cnfStyle w:val="000000000000" w:firstRow="0" w:lastRow="0" w:firstColumn="0" w:lastColumn="0" w:oddVBand="0" w:evenVBand="0" w:oddHBand="0" w:evenHBand="0" w:firstRowFirstColumn="0" w:firstRowLastColumn="0" w:lastRowFirstColumn="0" w:lastRowLastColumn="0"/>
            </w:pPr>
            <w:r w:rsidRPr="00450109">
              <w:t>34 (6%)</w:t>
            </w:r>
          </w:p>
        </w:tc>
        <w:tc>
          <w:tcPr>
            <w:tcW w:w="1547" w:type="dxa"/>
          </w:tcPr>
          <w:p w14:paraId="6DFA03BD" w14:textId="3944CDF8" w:rsidR="00236133" w:rsidRPr="00215D48" w:rsidRDefault="00236133" w:rsidP="00236133">
            <w:pPr>
              <w:cnfStyle w:val="000000000000" w:firstRow="0" w:lastRow="0" w:firstColumn="0" w:lastColumn="0" w:oddVBand="0" w:evenVBand="0" w:oddHBand="0" w:evenHBand="0" w:firstRowFirstColumn="0" w:firstRowLastColumn="0" w:lastRowFirstColumn="0" w:lastRowLastColumn="0"/>
            </w:pPr>
            <w:r w:rsidRPr="00450109">
              <w:t>36 (6%)</w:t>
            </w:r>
          </w:p>
        </w:tc>
      </w:tr>
      <w:tr w:rsidR="00236133" w:rsidRPr="00215D48" w14:paraId="7B2CDB76" w14:textId="77777777" w:rsidTr="00091ABF">
        <w:tc>
          <w:tcPr>
            <w:cnfStyle w:val="001000000000" w:firstRow="0" w:lastRow="0" w:firstColumn="1" w:lastColumn="0" w:oddVBand="0" w:evenVBand="0" w:oddHBand="0" w:evenHBand="0" w:firstRowFirstColumn="0" w:firstRowLastColumn="0" w:lastRowFirstColumn="0" w:lastRowLastColumn="0"/>
            <w:tcW w:w="5802" w:type="dxa"/>
          </w:tcPr>
          <w:p w14:paraId="4E720F9D" w14:textId="048F2DA2" w:rsidR="00236133" w:rsidRPr="00B4584D" w:rsidRDefault="00236133" w:rsidP="00236133">
            <w:pPr>
              <w:rPr>
                <w:b/>
              </w:rPr>
            </w:pPr>
            <w:r w:rsidRPr="00B4584D">
              <w:rPr>
                <w:b/>
              </w:rPr>
              <w:t>Total</w:t>
            </w:r>
          </w:p>
        </w:tc>
        <w:tc>
          <w:tcPr>
            <w:tcW w:w="1701" w:type="dxa"/>
          </w:tcPr>
          <w:p w14:paraId="08CDE8A2" w14:textId="02D8C2A8" w:rsidR="00236133" w:rsidRPr="00B4584D" w:rsidRDefault="00236133" w:rsidP="00236133">
            <w:pPr>
              <w:cnfStyle w:val="000000000000" w:firstRow="0" w:lastRow="0" w:firstColumn="0" w:lastColumn="0" w:oddVBand="0" w:evenVBand="0" w:oddHBand="0" w:evenHBand="0" w:firstRowFirstColumn="0" w:firstRowLastColumn="0" w:lastRowFirstColumn="0" w:lastRowLastColumn="0"/>
              <w:rPr>
                <w:b/>
              </w:rPr>
            </w:pPr>
            <w:r w:rsidRPr="00837BDB">
              <w:t>596 (100%)</w:t>
            </w:r>
          </w:p>
        </w:tc>
        <w:tc>
          <w:tcPr>
            <w:tcW w:w="1547" w:type="dxa"/>
          </w:tcPr>
          <w:p w14:paraId="5E624639" w14:textId="50B06260" w:rsidR="00236133" w:rsidRPr="00B4584D" w:rsidRDefault="00236133" w:rsidP="00236133">
            <w:pPr>
              <w:cnfStyle w:val="000000000000" w:firstRow="0" w:lastRow="0" w:firstColumn="0" w:lastColumn="0" w:oddVBand="0" w:evenVBand="0" w:oddHBand="0" w:evenHBand="0" w:firstRowFirstColumn="0" w:firstRowLastColumn="0" w:lastRowFirstColumn="0" w:lastRowLastColumn="0"/>
              <w:rPr>
                <w:b/>
              </w:rPr>
            </w:pPr>
            <w:r w:rsidRPr="00837BDB">
              <w:t>614 (100%)</w:t>
            </w:r>
          </w:p>
        </w:tc>
      </w:tr>
    </w:tbl>
    <w:p w14:paraId="6C97AF4D" w14:textId="45F1931F" w:rsidR="00B46000" w:rsidRPr="002A4BDA" w:rsidRDefault="00B46000" w:rsidP="00B46000">
      <w:pPr>
        <w:pStyle w:val="Tabledescription"/>
        <w:widowControl w:val="0"/>
        <w:spacing w:after="60"/>
        <w:ind w:left="284" w:hanging="284"/>
        <w:rPr>
          <w:vertAlign w:val="superscript"/>
        </w:rPr>
      </w:pPr>
      <w:r w:rsidRPr="002A4BDA">
        <w:rPr>
          <w:vertAlign w:val="superscript"/>
        </w:rPr>
        <w:t>a.</w:t>
      </w:r>
      <w:r w:rsidRPr="002A4BDA">
        <w:rPr>
          <w:vertAlign w:val="superscript"/>
        </w:rPr>
        <w:tab/>
        <w:t>‘</w:t>
      </w:r>
      <w:r w:rsidRPr="002A4BDA">
        <w:t>Other’ includes bioavailability, disintegration/dissolution, microbial contamination, variable content, foreign matter, impurity, wrong product, therapeutic inefficiency</w:t>
      </w:r>
      <w:r>
        <w:t>,</w:t>
      </w:r>
      <w:r w:rsidR="001063C1">
        <w:t xml:space="preserve"> </w:t>
      </w:r>
      <w:r w:rsidRPr="002A4BDA">
        <w:t>observed differences</w:t>
      </w:r>
      <w:r>
        <w:t>, GMP non-compliance, transport/storage, and potency</w:t>
      </w:r>
      <w:r w:rsidRPr="002A4BDA">
        <w:t>.</w:t>
      </w:r>
    </w:p>
    <w:p w14:paraId="21EB8FAA" w14:textId="071393F1" w:rsidR="002D5ED3" w:rsidRPr="002D5ED3" w:rsidRDefault="002D5ED3" w:rsidP="007868BD">
      <w:pPr>
        <w:keepNext/>
        <w:rPr>
          <w:b/>
        </w:rPr>
      </w:pPr>
      <w:r w:rsidRPr="002D5ED3">
        <w:rPr>
          <w:b/>
        </w:rPr>
        <w:lastRenderedPageBreak/>
        <w:t xml:space="preserve">Table </w:t>
      </w:r>
      <w:r>
        <w:rPr>
          <w:b/>
        </w:rPr>
        <w:t>4</w:t>
      </w:r>
      <w:r w:rsidRPr="002D5ED3">
        <w:rPr>
          <w:b/>
        </w:rPr>
        <w:t>: All recalls by hazard classification</w:t>
      </w:r>
    </w:p>
    <w:tbl>
      <w:tblPr>
        <w:tblStyle w:val="TableTGAblue"/>
        <w:tblW w:w="0" w:type="auto"/>
        <w:tblLook w:val="04A0" w:firstRow="1" w:lastRow="0" w:firstColumn="1" w:lastColumn="0" w:noHBand="0" w:noVBand="1"/>
      </w:tblPr>
      <w:tblGrid>
        <w:gridCol w:w="5802"/>
        <w:gridCol w:w="1701"/>
        <w:gridCol w:w="1547"/>
      </w:tblGrid>
      <w:tr w:rsidR="002D5ED3" w:rsidRPr="00215D48" w14:paraId="756F4347" w14:textId="77777777" w:rsidTr="00091A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Pr>
          <w:p w14:paraId="6A5D8994" w14:textId="7E2C834C" w:rsidR="002D5ED3" w:rsidRPr="00215D48" w:rsidRDefault="007868BD" w:rsidP="007868BD">
            <w:r>
              <w:t>Hazard c</w:t>
            </w:r>
            <w:r w:rsidR="002D5ED3">
              <w:t>lassification</w:t>
            </w:r>
          </w:p>
        </w:tc>
        <w:tc>
          <w:tcPr>
            <w:tcW w:w="1701" w:type="dxa"/>
          </w:tcPr>
          <w:p w14:paraId="2173D7C5" w14:textId="77777777" w:rsidR="002D5ED3" w:rsidRPr="00215D48" w:rsidRDefault="002D5ED3" w:rsidP="007868BD">
            <w:pPr>
              <w:cnfStyle w:val="100000000000" w:firstRow="1" w:lastRow="0" w:firstColumn="0" w:lastColumn="0" w:oddVBand="0" w:evenVBand="0" w:oddHBand="0" w:evenHBand="0" w:firstRowFirstColumn="0" w:firstRowLastColumn="0" w:lastRowFirstColumn="0" w:lastRowLastColumn="0"/>
            </w:pPr>
            <w:r>
              <w:t>2018</w:t>
            </w:r>
            <w:r>
              <w:noBreakHyphen/>
              <w:t>19</w:t>
            </w:r>
          </w:p>
        </w:tc>
        <w:tc>
          <w:tcPr>
            <w:tcW w:w="1547" w:type="dxa"/>
          </w:tcPr>
          <w:p w14:paraId="742974B5" w14:textId="77777777" w:rsidR="002D5ED3" w:rsidRPr="00215D48" w:rsidRDefault="002D5ED3" w:rsidP="007868BD">
            <w:pPr>
              <w:cnfStyle w:val="100000000000" w:firstRow="1" w:lastRow="0" w:firstColumn="0" w:lastColumn="0" w:oddVBand="0" w:evenVBand="0" w:oddHBand="0" w:evenHBand="0" w:firstRowFirstColumn="0" w:firstRowLastColumn="0" w:lastRowFirstColumn="0" w:lastRowLastColumn="0"/>
            </w:pPr>
            <w:r>
              <w:t>2019</w:t>
            </w:r>
            <w:r>
              <w:noBreakHyphen/>
              <w:t>20</w:t>
            </w:r>
          </w:p>
        </w:tc>
      </w:tr>
      <w:tr w:rsidR="002D5ED3" w:rsidRPr="00215D48" w14:paraId="6ED9D4B1" w14:textId="77777777" w:rsidTr="00091ABF">
        <w:tc>
          <w:tcPr>
            <w:cnfStyle w:val="001000000000" w:firstRow="0" w:lastRow="0" w:firstColumn="1" w:lastColumn="0" w:oddVBand="0" w:evenVBand="0" w:oddHBand="0" w:evenHBand="0" w:firstRowFirstColumn="0" w:firstRowLastColumn="0" w:lastRowFirstColumn="0" w:lastRowLastColumn="0"/>
            <w:tcW w:w="5802" w:type="dxa"/>
          </w:tcPr>
          <w:p w14:paraId="487500FD" w14:textId="1A3119DD" w:rsidR="002D5ED3" w:rsidRPr="00215D48" w:rsidRDefault="002D5ED3" w:rsidP="007868BD">
            <w:pPr>
              <w:keepNext/>
            </w:pPr>
            <w:r w:rsidRPr="004C5418">
              <w:t>Class I</w:t>
            </w:r>
          </w:p>
        </w:tc>
        <w:tc>
          <w:tcPr>
            <w:tcW w:w="1701" w:type="dxa"/>
          </w:tcPr>
          <w:p w14:paraId="4BB3D009" w14:textId="68B9F692" w:rsidR="002D5ED3" w:rsidRPr="00215D48" w:rsidRDefault="002D5ED3" w:rsidP="007868BD">
            <w:pPr>
              <w:keepNext/>
              <w:cnfStyle w:val="000000000000" w:firstRow="0" w:lastRow="0" w:firstColumn="0" w:lastColumn="0" w:oddVBand="0" w:evenVBand="0" w:oddHBand="0" w:evenHBand="0" w:firstRowFirstColumn="0" w:firstRowLastColumn="0" w:lastRowFirstColumn="0" w:lastRowLastColumn="0"/>
            </w:pPr>
            <w:r w:rsidRPr="004C5418">
              <w:t>91 (11.8%)</w:t>
            </w:r>
          </w:p>
        </w:tc>
        <w:tc>
          <w:tcPr>
            <w:tcW w:w="1547" w:type="dxa"/>
          </w:tcPr>
          <w:p w14:paraId="4C40D936" w14:textId="41351D39" w:rsidR="002D5ED3" w:rsidRPr="00215D48" w:rsidRDefault="002D5ED3" w:rsidP="007868BD">
            <w:pPr>
              <w:keepNext/>
              <w:cnfStyle w:val="000000000000" w:firstRow="0" w:lastRow="0" w:firstColumn="0" w:lastColumn="0" w:oddVBand="0" w:evenVBand="0" w:oddHBand="0" w:evenHBand="0" w:firstRowFirstColumn="0" w:firstRowLastColumn="0" w:lastRowFirstColumn="0" w:lastRowLastColumn="0"/>
            </w:pPr>
            <w:r w:rsidRPr="004C5418">
              <w:t>96 (12.2%)</w:t>
            </w:r>
          </w:p>
        </w:tc>
      </w:tr>
      <w:tr w:rsidR="002D5ED3" w:rsidRPr="00215D48" w14:paraId="2B783F54" w14:textId="77777777" w:rsidTr="00091ABF">
        <w:tc>
          <w:tcPr>
            <w:cnfStyle w:val="001000000000" w:firstRow="0" w:lastRow="0" w:firstColumn="1" w:lastColumn="0" w:oddVBand="0" w:evenVBand="0" w:oddHBand="0" w:evenHBand="0" w:firstRowFirstColumn="0" w:firstRowLastColumn="0" w:lastRowFirstColumn="0" w:lastRowLastColumn="0"/>
            <w:tcW w:w="5802" w:type="dxa"/>
          </w:tcPr>
          <w:p w14:paraId="35C16F9B" w14:textId="2DAEF9E9" w:rsidR="002D5ED3" w:rsidRPr="00215D48" w:rsidRDefault="002D5ED3" w:rsidP="007868BD">
            <w:pPr>
              <w:keepNext/>
            </w:pPr>
            <w:r w:rsidRPr="004C5418">
              <w:t>Class II</w:t>
            </w:r>
          </w:p>
        </w:tc>
        <w:tc>
          <w:tcPr>
            <w:tcW w:w="1701" w:type="dxa"/>
          </w:tcPr>
          <w:p w14:paraId="58E356F6" w14:textId="2CB63032" w:rsidR="002D5ED3" w:rsidRPr="00215D48" w:rsidRDefault="002D5ED3" w:rsidP="007868BD">
            <w:pPr>
              <w:keepNext/>
              <w:cnfStyle w:val="000000000000" w:firstRow="0" w:lastRow="0" w:firstColumn="0" w:lastColumn="0" w:oddVBand="0" w:evenVBand="0" w:oddHBand="0" w:evenHBand="0" w:firstRowFirstColumn="0" w:firstRowLastColumn="0" w:lastRowFirstColumn="0" w:lastRowLastColumn="0"/>
            </w:pPr>
            <w:r w:rsidRPr="004C5418">
              <w:t>579 (75.4%)</w:t>
            </w:r>
          </w:p>
        </w:tc>
        <w:tc>
          <w:tcPr>
            <w:tcW w:w="1547" w:type="dxa"/>
          </w:tcPr>
          <w:p w14:paraId="248C0A6A" w14:textId="6463ABC1" w:rsidR="002D5ED3" w:rsidRPr="00215D48" w:rsidRDefault="002D5ED3" w:rsidP="007868BD">
            <w:pPr>
              <w:keepNext/>
              <w:cnfStyle w:val="000000000000" w:firstRow="0" w:lastRow="0" w:firstColumn="0" w:lastColumn="0" w:oddVBand="0" w:evenVBand="0" w:oddHBand="0" w:evenHBand="0" w:firstRowFirstColumn="0" w:firstRowLastColumn="0" w:lastRowFirstColumn="0" w:lastRowLastColumn="0"/>
            </w:pPr>
            <w:r w:rsidRPr="004C5418">
              <w:t>606 (76.7%)</w:t>
            </w:r>
          </w:p>
        </w:tc>
      </w:tr>
      <w:tr w:rsidR="002D5ED3" w:rsidRPr="00215D48" w14:paraId="2312D999" w14:textId="77777777" w:rsidTr="00091ABF">
        <w:tc>
          <w:tcPr>
            <w:cnfStyle w:val="001000000000" w:firstRow="0" w:lastRow="0" w:firstColumn="1" w:lastColumn="0" w:oddVBand="0" w:evenVBand="0" w:oddHBand="0" w:evenHBand="0" w:firstRowFirstColumn="0" w:firstRowLastColumn="0" w:lastRowFirstColumn="0" w:lastRowLastColumn="0"/>
            <w:tcW w:w="5802" w:type="dxa"/>
          </w:tcPr>
          <w:p w14:paraId="3F22438C" w14:textId="5EC0F0CA" w:rsidR="002D5ED3" w:rsidRPr="00215D48" w:rsidRDefault="002D5ED3" w:rsidP="007868BD">
            <w:pPr>
              <w:keepNext/>
            </w:pPr>
            <w:r w:rsidRPr="004C5418">
              <w:t>Class III</w:t>
            </w:r>
          </w:p>
        </w:tc>
        <w:tc>
          <w:tcPr>
            <w:tcW w:w="1701" w:type="dxa"/>
          </w:tcPr>
          <w:p w14:paraId="20861705" w14:textId="2AE261E1" w:rsidR="002D5ED3" w:rsidRPr="00215D48" w:rsidRDefault="002D5ED3" w:rsidP="007868BD">
            <w:pPr>
              <w:keepNext/>
              <w:cnfStyle w:val="000000000000" w:firstRow="0" w:lastRow="0" w:firstColumn="0" w:lastColumn="0" w:oddVBand="0" w:evenVBand="0" w:oddHBand="0" w:evenHBand="0" w:firstRowFirstColumn="0" w:firstRowLastColumn="0" w:lastRowFirstColumn="0" w:lastRowLastColumn="0"/>
            </w:pPr>
            <w:r w:rsidRPr="004C5418">
              <w:t>98 (12.8%)</w:t>
            </w:r>
          </w:p>
        </w:tc>
        <w:tc>
          <w:tcPr>
            <w:tcW w:w="1547" w:type="dxa"/>
          </w:tcPr>
          <w:p w14:paraId="532DE764" w14:textId="49D1CF2D" w:rsidR="002D5ED3" w:rsidRPr="00215D48" w:rsidRDefault="002D5ED3" w:rsidP="007868BD">
            <w:pPr>
              <w:keepNext/>
              <w:cnfStyle w:val="000000000000" w:firstRow="0" w:lastRow="0" w:firstColumn="0" w:lastColumn="0" w:oddVBand="0" w:evenVBand="0" w:oddHBand="0" w:evenHBand="0" w:firstRowFirstColumn="0" w:firstRowLastColumn="0" w:lastRowFirstColumn="0" w:lastRowLastColumn="0"/>
            </w:pPr>
            <w:r w:rsidRPr="004C5418">
              <w:t>88 (11.1%)</w:t>
            </w:r>
          </w:p>
        </w:tc>
      </w:tr>
      <w:tr w:rsidR="002D5ED3" w:rsidRPr="00215D48" w14:paraId="368446E2" w14:textId="77777777" w:rsidTr="00091ABF">
        <w:tc>
          <w:tcPr>
            <w:cnfStyle w:val="001000000000" w:firstRow="0" w:lastRow="0" w:firstColumn="1" w:lastColumn="0" w:oddVBand="0" w:evenVBand="0" w:oddHBand="0" w:evenHBand="0" w:firstRowFirstColumn="0" w:firstRowLastColumn="0" w:lastRowFirstColumn="0" w:lastRowLastColumn="0"/>
            <w:tcW w:w="5802" w:type="dxa"/>
          </w:tcPr>
          <w:p w14:paraId="04079151" w14:textId="1105D468" w:rsidR="002D5ED3" w:rsidRPr="002D5ED3" w:rsidRDefault="002D5ED3" w:rsidP="002D5ED3">
            <w:pPr>
              <w:rPr>
                <w:b/>
              </w:rPr>
            </w:pPr>
            <w:r w:rsidRPr="002D5ED3">
              <w:rPr>
                <w:b/>
              </w:rPr>
              <w:t>Total</w:t>
            </w:r>
          </w:p>
        </w:tc>
        <w:tc>
          <w:tcPr>
            <w:tcW w:w="1701" w:type="dxa"/>
          </w:tcPr>
          <w:p w14:paraId="315E87CD" w14:textId="27B25234" w:rsidR="002D5ED3" w:rsidRPr="002D5ED3" w:rsidRDefault="002D5ED3" w:rsidP="002D5ED3">
            <w:pPr>
              <w:cnfStyle w:val="000000000000" w:firstRow="0" w:lastRow="0" w:firstColumn="0" w:lastColumn="0" w:oddVBand="0" w:evenVBand="0" w:oddHBand="0" w:evenHBand="0" w:firstRowFirstColumn="0" w:firstRowLastColumn="0" w:lastRowFirstColumn="0" w:lastRowLastColumn="0"/>
              <w:rPr>
                <w:b/>
              </w:rPr>
            </w:pPr>
            <w:r w:rsidRPr="002D5ED3">
              <w:rPr>
                <w:b/>
              </w:rPr>
              <w:t>768 (100%)</w:t>
            </w:r>
          </w:p>
        </w:tc>
        <w:tc>
          <w:tcPr>
            <w:tcW w:w="1547" w:type="dxa"/>
          </w:tcPr>
          <w:p w14:paraId="128C96DD" w14:textId="7F08661C" w:rsidR="002D5ED3" w:rsidRPr="002D5ED3" w:rsidRDefault="002D5ED3" w:rsidP="002D5ED3">
            <w:pPr>
              <w:cnfStyle w:val="000000000000" w:firstRow="0" w:lastRow="0" w:firstColumn="0" w:lastColumn="0" w:oddVBand="0" w:evenVBand="0" w:oddHBand="0" w:evenHBand="0" w:firstRowFirstColumn="0" w:firstRowLastColumn="0" w:lastRowFirstColumn="0" w:lastRowLastColumn="0"/>
              <w:rPr>
                <w:b/>
              </w:rPr>
            </w:pPr>
            <w:r w:rsidRPr="002D5ED3">
              <w:rPr>
                <w:b/>
              </w:rPr>
              <w:t>790 (100%)</w:t>
            </w:r>
          </w:p>
        </w:tc>
      </w:tr>
    </w:tbl>
    <w:p w14:paraId="1B2FACE5" w14:textId="77777777" w:rsidR="00B46000" w:rsidRDefault="00B46000" w:rsidP="00F540F9">
      <w:pPr>
        <w:pStyle w:val="Tabledescription"/>
        <w:widowControl w:val="0"/>
        <w:spacing w:after="60"/>
      </w:pPr>
      <w:r>
        <w:t>Class I recalls are the most serious safety-related, a</w:t>
      </w:r>
      <w:r w:rsidRPr="00E912B1">
        <w:t xml:space="preserve"> situation in which there is a reasonable probability that the use of, or exposure to, the deficient therapeutic good(s) will cause serious adverse health consequences or death.</w:t>
      </w:r>
    </w:p>
    <w:p w14:paraId="0F08955A" w14:textId="77777777" w:rsidR="00B46000" w:rsidRDefault="00B46000" w:rsidP="00F540F9">
      <w:pPr>
        <w:pStyle w:val="Tabledescription"/>
        <w:widowControl w:val="0"/>
        <w:spacing w:after="60"/>
      </w:pPr>
      <w:r>
        <w:t xml:space="preserve">Class II recalls are urgent safety-related, a </w:t>
      </w:r>
      <w:r w:rsidRPr="00E912B1">
        <w:t>situation in which use of, or exposure to, the deficient therapeutic good(s) may cause temporary or medically reversible adverse health consequences, or where the probability of serious adverse health consequences is remote.</w:t>
      </w:r>
    </w:p>
    <w:p w14:paraId="57564E19" w14:textId="77777777" w:rsidR="00B46000" w:rsidRDefault="00B46000" w:rsidP="00F540F9">
      <w:pPr>
        <w:pStyle w:val="Tabledescription"/>
        <w:widowControl w:val="0"/>
        <w:spacing w:after="60"/>
      </w:pPr>
      <w:r>
        <w:t>Class III recalls are the lowest risk actions, a</w:t>
      </w:r>
      <w:r w:rsidRPr="00E912B1">
        <w:t xml:space="preserve"> situation in which use of, or exposure to, the deficient therapeutic good(s) is not likely to cause adverse health consequences.</w:t>
      </w:r>
    </w:p>
    <w:p w14:paraId="24FEFBF6" w14:textId="55F2CBE5" w:rsidR="00B46000" w:rsidRDefault="00B46000" w:rsidP="00F540F9">
      <w:pPr>
        <w:pStyle w:val="Tabledescription"/>
        <w:widowControl w:val="0"/>
        <w:spacing w:after="60"/>
      </w:pPr>
      <w:r>
        <w:t xml:space="preserve">For more information on Recall hazard classification please see the </w:t>
      </w:r>
      <w:hyperlink r:id="rId15" w:history="1">
        <w:r w:rsidRPr="007868BD">
          <w:rPr>
            <w:rStyle w:val="Hyperlink"/>
          </w:rPr>
          <w:t>Uniform Recall Procedure for Therapeutic Goods (URPTG)</w:t>
        </w:r>
      </w:hyperlink>
      <w:r w:rsidR="005D350D">
        <w:t>.</w:t>
      </w:r>
    </w:p>
    <w:p w14:paraId="6A525925" w14:textId="3B3688A0" w:rsidR="00B46000" w:rsidRDefault="00B46000" w:rsidP="007868BD">
      <w:pPr>
        <w:spacing w:before="360"/>
      </w:pPr>
      <w:r w:rsidRPr="009B04B7">
        <w:t xml:space="preserve">Overall, </w:t>
      </w:r>
      <w:r>
        <w:t>the majority (</w:t>
      </w:r>
      <w:r w:rsidR="00F540F9">
        <w:t xml:space="preserve">over </w:t>
      </w:r>
      <w:r>
        <w:t>75</w:t>
      </w:r>
      <w:r w:rsidR="00F540F9">
        <w:t xml:space="preserve"> per cent) </w:t>
      </w:r>
      <w:r>
        <w:t xml:space="preserve">of recalls performed </w:t>
      </w:r>
      <w:r w:rsidR="00F540F9">
        <w:t>in 2019-20 were</w:t>
      </w:r>
      <w:r>
        <w:t xml:space="preserve"> </w:t>
      </w:r>
      <w:r w:rsidR="005D350D">
        <w:t>classified as “</w:t>
      </w:r>
      <w:r>
        <w:t>Class II</w:t>
      </w:r>
      <w:r w:rsidR="005D350D">
        <w:t>”</w:t>
      </w:r>
      <w:r>
        <w:t>, which are urgent</w:t>
      </w:r>
      <w:r w:rsidR="005D350D">
        <w:t>,</w:t>
      </w:r>
      <w:r>
        <w:t xml:space="preserve"> safety related</w:t>
      </w:r>
      <w:r w:rsidR="005D350D">
        <w:t xml:space="preserve"> actions</w:t>
      </w:r>
      <w:r>
        <w:t xml:space="preserve">. The remaining actions </w:t>
      </w:r>
      <w:r w:rsidR="00F540F9">
        <w:t xml:space="preserve">were </w:t>
      </w:r>
      <w:r>
        <w:t xml:space="preserve">split </w:t>
      </w:r>
      <w:r w:rsidR="00F540F9">
        <w:t xml:space="preserve">fairly evenly </w:t>
      </w:r>
      <w:r>
        <w:t xml:space="preserve">between Class I (most serious) and </w:t>
      </w:r>
      <w:r w:rsidR="005D350D">
        <w:t xml:space="preserve">Class </w:t>
      </w:r>
      <w:r>
        <w:t>III (lowest risk). The spread of recalls by hazard classification remained consistent</w:t>
      </w:r>
      <w:r w:rsidR="00F540F9">
        <w:t xml:space="preserve"> in 2019-20</w:t>
      </w:r>
      <w:r>
        <w:t xml:space="preserve"> </w:t>
      </w:r>
      <w:r w:rsidR="00F540F9">
        <w:t>compared with 2018-19</w:t>
      </w:r>
      <w:r w:rsidR="007868BD">
        <w:t>.</w:t>
      </w:r>
    </w:p>
    <w:p w14:paraId="78931D7E" w14:textId="15DCBCE2" w:rsidR="00C74335" w:rsidRDefault="00C74335" w:rsidP="00C74335">
      <w:pPr>
        <w:pStyle w:val="Tabletitle"/>
      </w:pPr>
      <w:r>
        <w:t>Table 5: All recalls by action level</w:t>
      </w:r>
    </w:p>
    <w:tbl>
      <w:tblPr>
        <w:tblStyle w:val="TableTGAblue"/>
        <w:tblW w:w="0" w:type="auto"/>
        <w:tblLook w:val="04A0" w:firstRow="1" w:lastRow="0" w:firstColumn="1" w:lastColumn="0" w:noHBand="0" w:noVBand="1"/>
      </w:tblPr>
      <w:tblGrid>
        <w:gridCol w:w="5802"/>
        <w:gridCol w:w="1701"/>
        <w:gridCol w:w="1547"/>
      </w:tblGrid>
      <w:tr w:rsidR="00C74335" w:rsidRPr="00215D48" w14:paraId="6E767717" w14:textId="77777777" w:rsidTr="00091A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Pr>
          <w:p w14:paraId="3EDF7132" w14:textId="63D7D261" w:rsidR="00C74335" w:rsidRPr="00215D48" w:rsidRDefault="007868BD" w:rsidP="00091ABF">
            <w:r>
              <w:t>Action l</w:t>
            </w:r>
            <w:r w:rsidR="003F3AE9">
              <w:t>evel</w:t>
            </w:r>
          </w:p>
        </w:tc>
        <w:tc>
          <w:tcPr>
            <w:tcW w:w="1701" w:type="dxa"/>
          </w:tcPr>
          <w:p w14:paraId="1D065FE9" w14:textId="77777777" w:rsidR="00C74335" w:rsidRPr="00215D48" w:rsidRDefault="00C74335" w:rsidP="00091ABF">
            <w:pPr>
              <w:cnfStyle w:val="100000000000" w:firstRow="1" w:lastRow="0" w:firstColumn="0" w:lastColumn="0" w:oddVBand="0" w:evenVBand="0" w:oddHBand="0" w:evenHBand="0" w:firstRowFirstColumn="0" w:firstRowLastColumn="0" w:lastRowFirstColumn="0" w:lastRowLastColumn="0"/>
            </w:pPr>
            <w:r>
              <w:t>2018</w:t>
            </w:r>
            <w:r>
              <w:noBreakHyphen/>
              <w:t>19</w:t>
            </w:r>
          </w:p>
        </w:tc>
        <w:tc>
          <w:tcPr>
            <w:tcW w:w="1547" w:type="dxa"/>
          </w:tcPr>
          <w:p w14:paraId="189A31D5" w14:textId="77777777" w:rsidR="00C74335" w:rsidRPr="00215D48" w:rsidRDefault="00C74335" w:rsidP="00091ABF">
            <w:pPr>
              <w:cnfStyle w:val="100000000000" w:firstRow="1" w:lastRow="0" w:firstColumn="0" w:lastColumn="0" w:oddVBand="0" w:evenVBand="0" w:oddHBand="0" w:evenHBand="0" w:firstRowFirstColumn="0" w:firstRowLastColumn="0" w:lastRowFirstColumn="0" w:lastRowLastColumn="0"/>
            </w:pPr>
            <w:r>
              <w:t>2019</w:t>
            </w:r>
            <w:r>
              <w:noBreakHyphen/>
              <w:t>20</w:t>
            </w:r>
          </w:p>
        </w:tc>
      </w:tr>
      <w:tr w:rsidR="00C74335" w:rsidRPr="00215D48" w14:paraId="4785AAD7" w14:textId="77777777" w:rsidTr="00091ABF">
        <w:tc>
          <w:tcPr>
            <w:cnfStyle w:val="001000000000" w:firstRow="0" w:lastRow="0" w:firstColumn="1" w:lastColumn="0" w:oddVBand="0" w:evenVBand="0" w:oddHBand="0" w:evenHBand="0" w:firstRowFirstColumn="0" w:firstRowLastColumn="0" w:lastRowFirstColumn="0" w:lastRowLastColumn="0"/>
            <w:tcW w:w="5802" w:type="dxa"/>
          </w:tcPr>
          <w:p w14:paraId="51C3AED5" w14:textId="76D8AB0C" w:rsidR="00C74335" w:rsidRPr="00215D48" w:rsidRDefault="00C74335" w:rsidP="00C74335">
            <w:r w:rsidRPr="009672B8">
              <w:t>Wholesale</w:t>
            </w:r>
          </w:p>
        </w:tc>
        <w:tc>
          <w:tcPr>
            <w:tcW w:w="1701" w:type="dxa"/>
          </w:tcPr>
          <w:p w14:paraId="5B16F66C" w14:textId="7126DC93" w:rsidR="00C74335" w:rsidRPr="00215D48" w:rsidRDefault="00C74335" w:rsidP="00C74335">
            <w:pPr>
              <w:cnfStyle w:val="000000000000" w:firstRow="0" w:lastRow="0" w:firstColumn="0" w:lastColumn="0" w:oddVBand="0" w:evenVBand="0" w:oddHBand="0" w:evenHBand="0" w:firstRowFirstColumn="0" w:firstRowLastColumn="0" w:lastRowFirstColumn="0" w:lastRowLastColumn="0"/>
            </w:pPr>
            <w:r w:rsidRPr="009672B8">
              <w:t>5 (0.7%)</w:t>
            </w:r>
          </w:p>
        </w:tc>
        <w:tc>
          <w:tcPr>
            <w:tcW w:w="1547" w:type="dxa"/>
          </w:tcPr>
          <w:p w14:paraId="1AF86D4C" w14:textId="7AE8DEEC" w:rsidR="00C74335" w:rsidRPr="00215D48" w:rsidRDefault="00C74335" w:rsidP="00C74335">
            <w:pPr>
              <w:cnfStyle w:val="000000000000" w:firstRow="0" w:lastRow="0" w:firstColumn="0" w:lastColumn="0" w:oddVBand="0" w:evenVBand="0" w:oddHBand="0" w:evenHBand="0" w:firstRowFirstColumn="0" w:firstRowLastColumn="0" w:lastRowFirstColumn="0" w:lastRowLastColumn="0"/>
            </w:pPr>
            <w:r w:rsidRPr="009672B8">
              <w:t>4 (0.5%)</w:t>
            </w:r>
          </w:p>
        </w:tc>
      </w:tr>
      <w:tr w:rsidR="00C74335" w:rsidRPr="00215D48" w14:paraId="1C19E6B4" w14:textId="77777777" w:rsidTr="00091ABF">
        <w:tc>
          <w:tcPr>
            <w:cnfStyle w:val="001000000000" w:firstRow="0" w:lastRow="0" w:firstColumn="1" w:lastColumn="0" w:oddVBand="0" w:evenVBand="0" w:oddHBand="0" w:evenHBand="0" w:firstRowFirstColumn="0" w:firstRowLastColumn="0" w:lastRowFirstColumn="0" w:lastRowLastColumn="0"/>
            <w:tcW w:w="5802" w:type="dxa"/>
          </w:tcPr>
          <w:p w14:paraId="6DF7D6B7" w14:textId="52BCF6C0" w:rsidR="00C74335" w:rsidRPr="00215D48" w:rsidRDefault="00C74335" w:rsidP="00C74335">
            <w:r w:rsidRPr="009672B8">
              <w:t>Hospital</w:t>
            </w:r>
          </w:p>
        </w:tc>
        <w:tc>
          <w:tcPr>
            <w:tcW w:w="1701" w:type="dxa"/>
          </w:tcPr>
          <w:p w14:paraId="57F517CD" w14:textId="3652F6B2" w:rsidR="00C74335" w:rsidRPr="00215D48" w:rsidRDefault="00C74335" w:rsidP="00C74335">
            <w:pPr>
              <w:cnfStyle w:val="000000000000" w:firstRow="0" w:lastRow="0" w:firstColumn="0" w:lastColumn="0" w:oddVBand="0" w:evenVBand="0" w:oddHBand="0" w:evenHBand="0" w:firstRowFirstColumn="0" w:firstRowLastColumn="0" w:lastRowFirstColumn="0" w:lastRowLastColumn="0"/>
            </w:pPr>
            <w:r w:rsidRPr="009672B8">
              <w:t>686 (89.3%)</w:t>
            </w:r>
          </w:p>
        </w:tc>
        <w:tc>
          <w:tcPr>
            <w:tcW w:w="1547" w:type="dxa"/>
          </w:tcPr>
          <w:p w14:paraId="709EEDE9" w14:textId="27CEE76D" w:rsidR="00C74335" w:rsidRPr="00215D48" w:rsidRDefault="00C74335" w:rsidP="00C74335">
            <w:pPr>
              <w:cnfStyle w:val="000000000000" w:firstRow="0" w:lastRow="0" w:firstColumn="0" w:lastColumn="0" w:oddVBand="0" w:evenVBand="0" w:oddHBand="0" w:evenHBand="0" w:firstRowFirstColumn="0" w:firstRowLastColumn="0" w:lastRowFirstColumn="0" w:lastRowLastColumn="0"/>
            </w:pPr>
            <w:r w:rsidRPr="009672B8">
              <w:t>711 (90.0%)</w:t>
            </w:r>
          </w:p>
        </w:tc>
      </w:tr>
      <w:tr w:rsidR="00C74335" w:rsidRPr="00215D48" w14:paraId="3CEF1FBA" w14:textId="77777777" w:rsidTr="00091ABF">
        <w:tc>
          <w:tcPr>
            <w:cnfStyle w:val="001000000000" w:firstRow="0" w:lastRow="0" w:firstColumn="1" w:lastColumn="0" w:oddVBand="0" w:evenVBand="0" w:oddHBand="0" w:evenHBand="0" w:firstRowFirstColumn="0" w:firstRowLastColumn="0" w:lastRowFirstColumn="0" w:lastRowLastColumn="0"/>
            <w:tcW w:w="5802" w:type="dxa"/>
          </w:tcPr>
          <w:p w14:paraId="28B43FF7" w14:textId="4791157E" w:rsidR="00C74335" w:rsidRPr="00215D48" w:rsidRDefault="00C74335" w:rsidP="00C74335">
            <w:r w:rsidRPr="009672B8">
              <w:t>Retail</w:t>
            </w:r>
          </w:p>
        </w:tc>
        <w:tc>
          <w:tcPr>
            <w:tcW w:w="1701" w:type="dxa"/>
          </w:tcPr>
          <w:p w14:paraId="26069F87" w14:textId="23F254E6" w:rsidR="00C74335" w:rsidRPr="00215D48" w:rsidRDefault="00C74335" w:rsidP="00C74335">
            <w:pPr>
              <w:cnfStyle w:val="000000000000" w:firstRow="0" w:lastRow="0" w:firstColumn="0" w:lastColumn="0" w:oddVBand="0" w:evenVBand="0" w:oddHBand="0" w:evenHBand="0" w:firstRowFirstColumn="0" w:firstRowLastColumn="0" w:lastRowFirstColumn="0" w:lastRowLastColumn="0"/>
            </w:pPr>
            <w:r w:rsidRPr="009672B8">
              <w:t>50 (6.5%)</w:t>
            </w:r>
          </w:p>
        </w:tc>
        <w:tc>
          <w:tcPr>
            <w:tcW w:w="1547" w:type="dxa"/>
          </w:tcPr>
          <w:p w14:paraId="6722CBBE" w14:textId="22AFB208" w:rsidR="00C74335" w:rsidRPr="00215D48" w:rsidRDefault="00C74335" w:rsidP="00C74335">
            <w:pPr>
              <w:cnfStyle w:val="000000000000" w:firstRow="0" w:lastRow="0" w:firstColumn="0" w:lastColumn="0" w:oddVBand="0" w:evenVBand="0" w:oddHBand="0" w:evenHBand="0" w:firstRowFirstColumn="0" w:firstRowLastColumn="0" w:lastRowFirstColumn="0" w:lastRowLastColumn="0"/>
            </w:pPr>
            <w:r w:rsidRPr="009672B8">
              <w:t>43 (5.4%)</w:t>
            </w:r>
          </w:p>
        </w:tc>
      </w:tr>
      <w:tr w:rsidR="00C74335" w:rsidRPr="00215D48" w14:paraId="3C0D7263" w14:textId="77777777" w:rsidTr="00091ABF">
        <w:tc>
          <w:tcPr>
            <w:cnfStyle w:val="001000000000" w:firstRow="0" w:lastRow="0" w:firstColumn="1" w:lastColumn="0" w:oddVBand="0" w:evenVBand="0" w:oddHBand="0" w:evenHBand="0" w:firstRowFirstColumn="0" w:firstRowLastColumn="0" w:lastRowFirstColumn="0" w:lastRowLastColumn="0"/>
            <w:tcW w:w="5802" w:type="dxa"/>
          </w:tcPr>
          <w:p w14:paraId="3CA0E508" w14:textId="494D9268" w:rsidR="00C74335" w:rsidRPr="00215D48" w:rsidRDefault="00C74335" w:rsidP="00C74335">
            <w:r w:rsidRPr="009672B8">
              <w:t>Consumer</w:t>
            </w:r>
          </w:p>
        </w:tc>
        <w:tc>
          <w:tcPr>
            <w:tcW w:w="1701" w:type="dxa"/>
          </w:tcPr>
          <w:p w14:paraId="037F422C" w14:textId="3FF66DC8" w:rsidR="00C74335" w:rsidRPr="00215D48" w:rsidRDefault="00C74335" w:rsidP="00C74335">
            <w:pPr>
              <w:cnfStyle w:val="000000000000" w:firstRow="0" w:lastRow="0" w:firstColumn="0" w:lastColumn="0" w:oddVBand="0" w:evenVBand="0" w:oddHBand="0" w:evenHBand="0" w:firstRowFirstColumn="0" w:firstRowLastColumn="0" w:lastRowFirstColumn="0" w:lastRowLastColumn="0"/>
            </w:pPr>
            <w:r w:rsidRPr="009672B8">
              <w:t>27 (3.5%)</w:t>
            </w:r>
          </w:p>
        </w:tc>
        <w:tc>
          <w:tcPr>
            <w:tcW w:w="1547" w:type="dxa"/>
          </w:tcPr>
          <w:p w14:paraId="441A326E" w14:textId="6BDE6EDD" w:rsidR="00C74335" w:rsidRPr="00215D48" w:rsidRDefault="00C74335" w:rsidP="00C74335">
            <w:pPr>
              <w:cnfStyle w:val="000000000000" w:firstRow="0" w:lastRow="0" w:firstColumn="0" w:lastColumn="0" w:oddVBand="0" w:evenVBand="0" w:oddHBand="0" w:evenHBand="0" w:firstRowFirstColumn="0" w:firstRowLastColumn="0" w:lastRowFirstColumn="0" w:lastRowLastColumn="0"/>
            </w:pPr>
            <w:r w:rsidRPr="009672B8">
              <w:t>32 (4.1%)</w:t>
            </w:r>
          </w:p>
        </w:tc>
      </w:tr>
      <w:tr w:rsidR="00C74335" w:rsidRPr="00215D48" w14:paraId="0B7448C1" w14:textId="77777777" w:rsidTr="00091ABF">
        <w:tc>
          <w:tcPr>
            <w:cnfStyle w:val="001000000000" w:firstRow="0" w:lastRow="0" w:firstColumn="1" w:lastColumn="0" w:oddVBand="0" w:evenVBand="0" w:oddHBand="0" w:evenHBand="0" w:firstRowFirstColumn="0" w:firstRowLastColumn="0" w:lastRowFirstColumn="0" w:lastRowLastColumn="0"/>
            <w:tcW w:w="5802" w:type="dxa"/>
          </w:tcPr>
          <w:p w14:paraId="6AEA244B" w14:textId="4F5012FD" w:rsidR="00C74335" w:rsidRPr="003F3AE9" w:rsidRDefault="00C74335" w:rsidP="00C74335">
            <w:pPr>
              <w:rPr>
                <w:b/>
              </w:rPr>
            </w:pPr>
            <w:r w:rsidRPr="003F3AE9">
              <w:rPr>
                <w:b/>
              </w:rPr>
              <w:t>Total</w:t>
            </w:r>
          </w:p>
        </w:tc>
        <w:tc>
          <w:tcPr>
            <w:tcW w:w="1701" w:type="dxa"/>
          </w:tcPr>
          <w:p w14:paraId="337F3367" w14:textId="4DF553BE" w:rsidR="00C74335" w:rsidRPr="003F3AE9" w:rsidRDefault="00C74335" w:rsidP="00C74335">
            <w:pPr>
              <w:cnfStyle w:val="000000000000" w:firstRow="0" w:lastRow="0" w:firstColumn="0" w:lastColumn="0" w:oddVBand="0" w:evenVBand="0" w:oddHBand="0" w:evenHBand="0" w:firstRowFirstColumn="0" w:firstRowLastColumn="0" w:lastRowFirstColumn="0" w:lastRowLastColumn="0"/>
              <w:rPr>
                <w:b/>
              </w:rPr>
            </w:pPr>
            <w:r w:rsidRPr="003F3AE9">
              <w:rPr>
                <w:b/>
              </w:rPr>
              <w:t>768 (100%)</w:t>
            </w:r>
          </w:p>
        </w:tc>
        <w:tc>
          <w:tcPr>
            <w:tcW w:w="1547" w:type="dxa"/>
          </w:tcPr>
          <w:p w14:paraId="31E3CE76" w14:textId="579A8613" w:rsidR="00C74335" w:rsidRPr="003F3AE9" w:rsidRDefault="00C74335" w:rsidP="00C74335">
            <w:pPr>
              <w:cnfStyle w:val="000000000000" w:firstRow="0" w:lastRow="0" w:firstColumn="0" w:lastColumn="0" w:oddVBand="0" w:evenVBand="0" w:oddHBand="0" w:evenHBand="0" w:firstRowFirstColumn="0" w:firstRowLastColumn="0" w:lastRowFirstColumn="0" w:lastRowLastColumn="0"/>
              <w:rPr>
                <w:b/>
              </w:rPr>
            </w:pPr>
            <w:r w:rsidRPr="003F3AE9">
              <w:rPr>
                <w:b/>
              </w:rPr>
              <w:t>790 (100%)</w:t>
            </w:r>
          </w:p>
        </w:tc>
      </w:tr>
    </w:tbl>
    <w:p w14:paraId="3D1C6977" w14:textId="77777777" w:rsidR="00B46000" w:rsidRDefault="00B46000" w:rsidP="00F540F9">
      <w:pPr>
        <w:pStyle w:val="Tabledescription"/>
        <w:widowControl w:val="0"/>
        <w:spacing w:after="60"/>
      </w:pPr>
      <w:r w:rsidRPr="009B04B7">
        <w:t>The action level (or depth) of a recall describes who will be notified of the recall action.</w:t>
      </w:r>
    </w:p>
    <w:p w14:paraId="0606D7BF" w14:textId="77777777" w:rsidR="00B46000" w:rsidRDefault="00B46000" w:rsidP="00F540F9">
      <w:pPr>
        <w:pStyle w:val="Tabledescription"/>
        <w:widowControl w:val="0"/>
        <w:spacing w:after="60"/>
      </w:pPr>
      <w:r>
        <w:t>The TGA will endeavour to recall therapeutic goods to the depth of supply and as such, only affected parties need to be notified of an action as detailed in the customer or distribution list.</w:t>
      </w:r>
    </w:p>
    <w:p w14:paraId="4F8F61E0" w14:textId="46471ABD" w:rsidR="00B46000" w:rsidRDefault="00B46000" w:rsidP="00F540F9">
      <w:pPr>
        <w:pStyle w:val="Tabledescription"/>
        <w:widowControl w:val="0"/>
        <w:spacing w:after="60"/>
      </w:pPr>
      <w:r>
        <w:t xml:space="preserve">For more information on Recall </w:t>
      </w:r>
      <w:r w:rsidR="007D3F2B">
        <w:t>a</w:t>
      </w:r>
      <w:r>
        <w:t xml:space="preserve">ction </w:t>
      </w:r>
      <w:r w:rsidR="007D3F2B">
        <w:t>l</w:t>
      </w:r>
      <w:r>
        <w:t xml:space="preserve">evel please see the </w:t>
      </w:r>
      <w:hyperlink r:id="rId16" w:history="1">
        <w:r w:rsidRPr="00F37B17">
          <w:rPr>
            <w:rStyle w:val="Hyperlink"/>
          </w:rPr>
          <w:t>Uniform Recall Procedure for Therapeutic Goods</w:t>
        </w:r>
        <w:r w:rsidR="007D3F2B" w:rsidRPr="00F37B17">
          <w:rPr>
            <w:rStyle w:val="Hyperlink"/>
          </w:rPr>
          <w:t xml:space="preserve"> (URPTG)</w:t>
        </w:r>
      </w:hyperlink>
      <w:r w:rsidR="00F37B17">
        <w:t>.</w:t>
      </w:r>
    </w:p>
    <w:p w14:paraId="088D4A59" w14:textId="4CF4022E" w:rsidR="00F540F9" w:rsidRDefault="00B46000" w:rsidP="00F37B17">
      <w:r w:rsidRPr="009B04B7">
        <w:t xml:space="preserve">Overall, </w:t>
      </w:r>
      <w:r>
        <w:t>the vast majority (90</w:t>
      </w:r>
      <w:r w:rsidR="00F540F9">
        <w:t xml:space="preserve"> per cent) </w:t>
      </w:r>
      <w:r>
        <w:t xml:space="preserve">of recalls performed </w:t>
      </w:r>
      <w:r w:rsidR="00F540F9">
        <w:t>in 2019-20 were</w:t>
      </w:r>
      <w:r>
        <w:t xml:space="preserve"> Hospital level actions, which </w:t>
      </w:r>
      <w:r w:rsidRPr="00C52E4C">
        <w:t>includes public and pri</w:t>
      </w:r>
      <w:r>
        <w:t xml:space="preserve">vate hospitals, nursing homes, </w:t>
      </w:r>
      <w:r w:rsidR="001063C1">
        <w:t xml:space="preserve">and </w:t>
      </w:r>
      <w:r w:rsidR="00BF7F4E">
        <w:t>other healthcare institutions</w:t>
      </w:r>
      <w:r>
        <w:t>.</w:t>
      </w:r>
    </w:p>
    <w:p w14:paraId="0E6EC9E4" w14:textId="47072B71" w:rsidR="00B46000" w:rsidRPr="00B52863" w:rsidRDefault="00B46000" w:rsidP="007868BD">
      <w:pPr>
        <w:keepLines/>
      </w:pPr>
      <w:r>
        <w:lastRenderedPageBreak/>
        <w:t xml:space="preserve">Recall levels are performed in a cascading order, for example, </w:t>
      </w:r>
      <w:r w:rsidR="00F540F9">
        <w:t xml:space="preserve">for </w:t>
      </w:r>
      <w:r>
        <w:t>Retail level action</w:t>
      </w:r>
      <w:r w:rsidR="00F540F9">
        <w:t>s</w:t>
      </w:r>
      <w:r>
        <w:t xml:space="preserve">, </w:t>
      </w:r>
      <w:r w:rsidR="00C2730F">
        <w:t xml:space="preserve">customer </w:t>
      </w:r>
      <w:r>
        <w:t xml:space="preserve">letters are also sent by the sponsor to affected wholesalers and hospitals by default. Consumer level actions, which are frequently wide reaching and/or high profile, </w:t>
      </w:r>
      <w:r w:rsidR="00F540F9">
        <w:t>accounted for 4</w:t>
      </w:r>
      <w:r w:rsidR="00C2730F">
        <w:t>.1</w:t>
      </w:r>
      <w:r w:rsidR="00F540F9">
        <w:t xml:space="preserve"> per cent</w:t>
      </w:r>
      <w:r>
        <w:t xml:space="preserve"> of the recalls we process</w:t>
      </w:r>
      <w:r w:rsidR="00F540F9">
        <w:t>ed in 2019-20</w:t>
      </w:r>
      <w:r>
        <w:t xml:space="preserve">. The spread of recalls by action level </w:t>
      </w:r>
      <w:r w:rsidR="00F540F9">
        <w:t xml:space="preserve">in 2019-20 </w:t>
      </w:r>
      <w:r>
        <w:t xml:space="preserve">remained fairly consistent </w:t>
      </w:r>
      <w:r w:rsidR="00F540F9">
        <w:t>compared with 2018-19</w:t>
      </w:r>
      <w:r>
        <w:t>.</w:t>
      </w:r>
    </w:p>
    <w:p w14:paraId="67060C10" w14:textId="0B8D9469" w:rsidR="003F3AE9" w:rsidRDefault="003F3AE9" w:rsidP="003F3AE9">
      <w:pPr>
        <w:pStyle w:val="Tabletitle"/>
      </w:pPr>
      <w:r>
        <w:t>Table 5: All recalls by action category</w:t>
      </w:r>
    </w:p>
    <w:tbl>
      <w:tblPr>
        <w:tblStyle w:val="TableTGAblue"/>
        <w:tblW w:w="0" w:type="auto"/>
        <w:tblLook w:val="04A0" w:firstRow="1" w:lastRow="0" w:firstColumn="1" w:lastColumn="0" w:noHBand="0" w:noVBand="1"/>
      </w:tblPr>
      <w:tblGrid>
        <w:gridCol w:w="5802"/>
        <w:gridCol w:w="1701"/>
        <w:gridCol w:w="1547"/>
      </w:tblGrid>
      <w:tr w:rsidR="003F3AE9" w:rsidRPr="00215D48" w14:paraId="2B0E6E7E" w14:textId="77777777" w:rsidTr="00091A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Pr>
          <w:p w14:paraId="6E09A1CB" w14:textId="49C5C475" w:rsidR="003F3AE9" w:rsidRPr="00215D48" w:rsidRDefault="003F3AE9" w:rsidP="007868BD">
            <w:r>
              <w:t xml:space="preserve">Action </w:t>
            </w:r>
            <w:r w:rsidR="007868BD">
              <w:t>c</w:t>
            </w:r>
            <w:r>
              <w:t>ategory</w:t>
            </w:r>
          </w:p>
        </w:tc>
        <w:tc>
          <w:tcPr>
            <w:tcW w:w="1701" w:type="dxa"/>
          </w:tcPr>
          <w:p w14:paraId="0290DCBD" w14:textId="77777777" w:rsidR="003F3AE9" w:rsidRPr="00215D48" w:rsidRDefault="003F3AE9" w:rsidP="00091ABF">
            <w:pPr>
              <w:cnfStyle w:val="100000000000" w:firstRow="1" w:lastRow="0" w:firstColumn="0" w:lastColumn="0" w:oddVBand="0" w:evenVBand="0" w:oddHBand="0" w:evenHBand="0" w:firstRowFirstColumn="0" w:firstRowLastColumn="0" w:lastRowFirstColumn="0" w:lastRowLastColumn="0"/>
            </w:pPr>
            <w:r>
              <w:t>2018</w:t>
            </w:r>
            <w:r>
              <w:noBreakHyphen/>
              <w:t>19</w:t>
            </w:r>
          </w:p>
        </w:tc>
        <w:tc>
          <w:tcPr>
            <w:tcW w:w="1547" w:type="dxa"/>
          </w:tcPr>
          <w:p w14:paraId="0A70F908" w14:textId="77777777" w:rsidR="003F3AE9" w:rsidRPr="00215D48" w:rsidRDefault="003F3AE9" w:rsidP="00091ABF">
            <w:pPr>
              <w:cnfStyle w:val="100000000000" w:firstRow="1" w:lastRow="0" w:firstColumn="0" w:lastColumn="0" w:oddVBand="0" w:evenVBand="0" w:oddHBand="0" w:evenHBand="0" w:firstRowFirstColumn="0" w:firstRowLastColumn="0" w:lastRowFirstColumn="0" w:lastRowLastColumn="0"/>
            </w:pPr>
            <w:r>
              <w:t>2019</w:t>
            </w:r>
            <w:r>
              <w:noBreakHyphen/>
              <w:t>20</w:t>
            </w:r>
          </w:p>
        </w:tc>
      </w:tr>
      <w:tr w:rsidR="003F3AE9" w:rsidRPr="00215D48" w14:paraId="2729E054" w14:textId="77777777" w:rsidTr="00091ABF">
        <w:tc>
          <w:tcPr>
            <w:cnfStyle w:val="001000000000" w:firstRow="0" w:lastRow="0" w:firstColumn="1" w:lastColumn="0" w:oddVBand="0" w:evenVBand="0" w:oddHBand="0" w:evenHBand="0" w:firstRowFirstColumn="0" w:firstRowLastColumn="0" w:lastRowFirstColumn="0" w:lastRowLastColumn="0"/>
            <w:tcW w:w="5802" w:type="dxa"/>
          </w:tcPr>
          <w:p w14:paraId="63B1A649" w14:textId="19B63F0A" w:rsidR="003F3AE9" w:rsidRPr="00215D48" w:rsidRDefault="003F3AE9" w:rsidP="003F3AE9">
            <w:r w:rsidRPr="003B69CE">
              <w:t>Recall</w:t>
            </w:r>
          </w:p>
        </w:tc>
        <w:tc>
          <w:tcPr>
            <w:tcW w:w="1701" w:type="dxa"/>
          </w:tcPr>
          <w:p w14:paraId="31453D43" w14:textId="7F9D32CD" w:rsidR="003F3AE9" w:rsidRPr="00215D48" w:rsidRDefault="003F3AE9" w:rsidP="003F3AE9">
            <w:pPr>
              <w:cnfStyle w:val="000000000000" w:firstRow="0" w:lastRow="0" w:firstColumn="0" w:lastColumn="0" w:oddVBand="0" w:evenVBand="0" w:oddHBand="0" w:evenHBand="0" w:firstRowFirstColumn="0" w:firstRowLastColumn="0" w:lastRowFirstColumn="0" w:lastRowLastColumn="0"/>
            </w:pPr>
            <w:r w:rsidRPr="003B69CE">
              <w:t>307 (40.0%)</w:t>
            </w:r>
          </w:p>
        </w:tc>
        <w:tc>
          <w:tcPr>
            <w:tcW w:w="1547" w:type="dxa"/>
          </w:tcPr>
          <w:p w14:paraId="484C035D" w14:textId="4CB2F050" w:rsidR="003F3AE9" w:rsidRPr="00215D48" w:rsidRDefault="003F3AE9" w:rsidP="003F3AE9">
            <w:pPr>
              <w:cnfStyle w:val="000000000000" w:firstRow="0" w:lastRow="0" w:firstColumn="0" w:lastColumn="0" w:oddVBand="0" w:evenVBand="0" w:oddHBand="0" w:evenHBand="0" w:firstRowFirstColumn="0" w:firstRowLastColumn="0" w:lastRowFirstColumn="0" w:lastRowLastColumn="0"/>
            </w:pPr>
            <w:r w:rsidRPr="003B69CE">
              <w:t>323 (40.8%)</w:t>
            </w:r>
          </w:p>
        </w:tc>
      </w:tr>
      <w:tr w:rsidR="003F3AE9" w:rsidRPr="00215D48" w14:paraId="3C61B3D9" w14:textId="77777777" w:rsidTr="00091ABF">
        <w:tc>
          <w:tcPr>
            <w:cnfStyle w:val="001000000000" w:firstRow="0" w:lastRow="0" w:firstColumn="1" w:lastColumn="0" w:oddVBand="0" w:evenVBand="0" w:oddHBand="0" w:evenHBand="0" w:firstRowFirstColumn="0" w:firstRowLastColumn="0" w:lastRowFirstColumn="0" w:lastRowLastColumn="0"/>
            <w:tcW w:w="5802" w:type="dxa"/>
          </w:tcPr>
          <w:p w14:paraId="0C8FAC51" w14:textId="07BA0110" w:rsidR="003F3AE9" w:rsidRPr="00215D48" w:rsidRDefault="003F3AE9" w:rsidP="003F3AE9">
            <w:r w:rsidRPr="003B69CE">
              <w:t>Product Defect Correction</w:t>
            </w:r>
          </w:p>
        </w:tc>
        <w:tc>
          <w:tcPr>
            <w:tcW w:w="1701" w:type="dxa"/>
          </w:tcPr>
          <w:p w14:paraId="7ED262EF" w14:textId="05C767AE" w:rsidR="003F3AE9" w:rsidRPr="00215D48" w:rsidRDefault="003F3AE9" w:rsidP="003F3AE9">
            <w:pPr>
              <w:cnfStyle w:val="000000000000" w:firstRow="0" w:lastRow="0" w:firstColumn="0" w:lastColumn="0" w:oddVBand="0" w:evenVBand="0" w:oddHBand="0" w:evenHBand="0" w:firstRowFirstColumn="0" w:firstRowLastColumn="0" w:lastRowFirstColumn="0" w:lastRowLastColumn="0"/>
            </w:pPr>
            <w:r w:rsidRPr="003B69CE">
              <w:t>406 (52.9%)</w:t>
            </w:r>
          </w:p>
        </w:tc>
        <w:tc>
          <w:tcPr>
            <w:tcW w:w="1547" w:type="dxa"/>
          </w:tcPr>
          <w:p w14:paraId="682A5DE9" w14:textId="4DE13FC6" w:rsidR="003F3AE9" w:rsidRPr="00215D48" w:rsidRDefault="003F3AE9" w:rsidP="003F3AE9">
            <w:pPr>
              <w:cnfStyle w:val="000000000000" w:firstRow="0" w:lastRow="0" w:firstColumn="0" w:lastColumn="0" w:oddVBand="0" w:evenVBand="0" w:oddHBand="0" w:evenHBand="0" w:firstRowFirstColumn="0" w:firstRowLastColumn="0" w:lastRowFirstColumn="0" w:lastRowLastColumn="0"/>
            </w:pPr>
            <w:r w:rsidRPr="003B69CE">
              <w:t>419 (53.0%)</w:t>
            </w:r>
          </w:p>
        </w:tc>
      </w:tr>
      <w:tr w:rsidR="003F3AE9" w:rsidRPr="00215D48" w14:paraId="7B1471DB" w14:textId="77777777" w:rsidTr="00091ABF">
        <w:tc>
          <w:tcPr>
            <w:cnfStyle w:val="001000000000" w:firstRow="0" w:lastRow="0" w:firstColumn="1" w:lastColumn="0" w:oddVBand="0" w:evenVBand="0" w:oddHBand="0" w:evenHBand="0" w:firstRowFirstColumn="0" w:firstRowLastColumn="0" w:lastRowFirstColumn="0" w:lastRowLastColumn="0"/>
            <w:tcW w:w="5802" w:type="dxa"/>
          </w:tcPr>
          <w:p w14:paraId="0B3D5D82" w14:textId="5558664C" w:rsidR="003F3AE9" w:rsidRPr="00215D48" w:rsidRDefault="003F3AE9" w:rsidP="003F3AE9">
            <w:r w:rsidRPr="003B69CE">
              <w:t>Hazard Alert</w:t>
            </w:r>
          </w:p>
        </w:tc>
        <w:tc>
          <w:tcPr>
            <w:tcW w:w="1701" w:type="dxa"/>
          </w:tcPr>
          <w:p w14:paraId="4C38F741" w14:textId="3B594382" w:rsidR="003F3AE9" w:rsidRPr="00215D48" w:rsidRDefault="003F3AE9" w:rsidP="003F3AE9">
            <w:pPr>
              <w:cnfStyle w:val="000000000000" w:firstRow="0" w:lastRow="0" w:firstColumn="0" w:lastColumn="0" w:oddVBand="0" w:evenVBand="0" w:oddHBand="0" w:evenHBand="0" w:firstRowFirstColumn="0" w:firstRowLastColumn="0" w:lastRowFirstColumn="0" w:lastRowLastColumn="0"/>
            </w:pPr>
            <w:r w:rsidRPr="003B69CE">
              <w:t>46 (6.0%)</w:t>
            </w:r>
          </w:p>
        </w:tc>
        <w:tc>
          <w:tcPr>
            <w:tcW w:w="1547" w:type="dxa"/>
          </w:tcPr>
          <w:p w14:paraId="407246D7" w14:textId="6A7F9A28" w:rsidR="003F3AE9" w:rsidRPr="00215D48" w:rsidRDefault="003F3AE9" w:rsidP="003F3AE9">
            <w:pPr>
              <w:cnfStyle w:val="000000000000" w:firstRow="0" w:lastRow="0" w:firstColumn="0" w:lastColumn="0" w:oddVBand="0" w:evenVBand="0" w:oddHBand="0" w:evenHBand="0" w:firstRowFirstColumn="0" w:firstRowLastColumn="0" w:lastRowFirstColumn="0" w:lastRowLastColumn="0"/>
            </w:pPr>
            <w:r w:rsidRPr="003B69CE">
              <w:t>42 (5.3%)</w:t>
            </w:r>
          </w:p>
        </w:tc>
      </w:tr>
      <w:tr w:rsidR="003F3AE9" w:rsidRPr="00215D48" w14:paraId="0139CBAF" w14:textId="77777777" w:rsidTr="00091ABF">
        <w:tc>
          <w:tcPr>
            <w:cnfStyle w:val="001000000000" w:firstRow="0" w:lastRow="0" w:firstColumn="1" w:lastColumn="0" w:oddVBand="0" w:evenVBand="0" w:oddHBand="0" w:evenHBand="0" w:firstRowFirstColumn="0" w:firstRowLastColumn="0" w:lastRowFirstColumn="0" w:lastRowLastColumn="0"/>
            <w:tcW w:w="5802" w:type="dxa"/>
          </w:tcPr>
          <w:p w14:paraId="5A60D0E6" w14:textId="3C49D8C2" w:rsidR="003F3AE9" w:rsidRPr="00215D48" w:rsidRDefault="003F3AE9" w:rsidP="003F3AE9">
            <w:r w:rsidRPr="003B69CE">
              <w:t>Product Defect Alert</w:t>
            </w:r>
          </w:p>
        </w:tc>
        <w:tc>
          <w:tcPr>
            <w:tcW w:w="1701" w:type="dxa"/>
          </w:tcPr>
          <w:p w14:paraId="4F3AE896" w14:textId="780D575A" w:rsidR="003F3AE9" w:rsidRPr="00215D48" w:rsidRDefault="003F3AE9" w:rsidP="003F3AE9">
            <w:pPr>
              <w:cnfStyle w:val="000000000000" w:firstRow="0" w:lastRow="0" w:firstColumn="0" w:lastColumn="0" w:oddVBand="0" w:evenVBand="0" w:oddHBand="0" w:evenHBand="0" w:firstRowFirstColumn="0" w:firstRowLastColumn="0" w:lastRowFirstColumn="0" w:lastRowLastColumn="0"/>
            </w:pPr>
            <w:r w:rsidRPr="003B69CE">
              <w:t>9 (1.2%)</w:t>
            </w:r>
          </w:p>
        </w:tc>
        <w:tc>
          <w:tcPr>
            <w:tcW w:w="1547" w:type="dxa"/>
          </w:tcPr>
          <w:p w14:paraId="21F9A4F3" w14:textId="32DCFF79" w:rsidR="003F3AE9" w:rsidRPr="00215D48" w:rsidRDefault="003F3AE9" w:rsidP="003F3AE9">
            <w:pPr>
              <w:cnfStyle w:val="000000000000" w:firstRow="0" w:lastRow="0" w:firstColumn="0" w:lastColumn="0" w:oddVBand="0" w:evenVBand="0" w:oddHBand="0" w:evenHBand="0" w:firstRowFirstColumn="0" w:firstRowLastColumn="0" w:lastRowFirstColumn="0" w:lastRowLastColumn="0"/>
            </w:pPr>
            <w:r w:rsidRPr="003B69CE">
              <w:t>6 (0.8%)</w:t>
            </w:r>
          </w:p>
        </w:tc>
      </w:tr>
      <w:tr w:rsidR="003F3AE9" w:rsidRPr="003F3AE9" w14:paraId="7EAF660B" w14:textId="77777777" w:rsidTr="00091ABF">
        <w:tc>
          <w:tcPr>
            <w:cnfStyle w:val="001000000000" w:firstRow="0" w:lastRow="0" w:firstColumn="1" w:lastColumn="0" w:oddVBand="0" w:evenVBand="0" w:oddHBand="0" w:evenHBand="0" w:firstRowFirstColumn="0" w:firstRowLastColumn="0" w:lastRowFirstColumn="0" w:lastRowLastColumn="0"/>
            <w:tcW w:w="5802" w:type="dxa"/>
          </w:tcPr>
          <w:p w14:paraId="21479E0A" w14:textId="63418E76" w:rsidR="003F3AE9" w:rsidRPr="003F3AE9" w:rsidRDefault="003F3AE9" w:rsidP="003F3AE9">
            <w:pPr>
              <w:rPr>
                <w:b/>
              </w:rPr>
            </w:pPr>
            <w:r w:rsidRPr="003F3AE9">
              <w:rPr>
                <w:b/>
              </w:rPr>
              <w:t>Total</w:t>
            </w:r>
          </w:p>
        </w:tc>
        <w:tc>
          <w:tcPr>
            <w:tcW w:w="1701" w:type="dxa"/>
          </w:tcPr>
          <w:p w14:paraId="5386B894" w14:textId="650325F9" w:rsidR="003F3AE9" w:rsidRPr="003F3AE9" w:rsidRDefault="003F3AE9" w:rsidP="003F3AE9">
            <w:pPr>
              <w:cnfStyle w:val="000000000000" w:firstRow="0" w:lastRow="0" w:firstColumn="0" w:lastColumn="0" w:oddVBand="0" w:evenVBand="0" w:oddHBand="0" w:evenHBand="0" w:firstRowFirstColumn="0" w:firstRowLastColumn="0" w:lastRowFirstColumn="0" w:lastRowLastColumn="0"/>
              <w:rPr>
                <w:b/>
              </w:rPr>
            </w:pPr>
            <w:r w:rsidRPr="003F3AE9">
              <w:rPr>
                <w:b/>
              </w:rPr>
              <w:t>768 (100%)</w:t>
            </w:r>
          </w:p>
        </w:tc>
        <w:tc>
          <w:tcPr>
            <w:tcW w:w="1547" w:type="dxa"/>
          </w:tcPr>
          <w:p w14:paraId="7263EE07" w14:textId="44D4AAE2" w:rsidR="003F3AE9" w:rsidRPr="003F3AE9" w:rsidRDefault="003F3AE9" w:rsidP="003F3AE9">
            <w:pPr>
              <w:cnfStyle w:val="000000000000" w:firstRow="0" w:lastRow="0" w:firstColumn="0" w:lastColumn="0" w:oddVBand="0" w:evenVBand="0" w:oddHBand="0" w:evenHBand="0" w:firstRowFirstColumn="0" w:firstRowLastColumn="0" w:lastRowFirstColumn="0" w:lastRowLastColumn="0"/>
              <w:rPr>
                <w:b/>
              </w:rPr>
            </w:pPr>
            <w:r w:rsidRPr="003F3AE9">
              <w:rPr>
                <w:b/>
              </w:rPr>
              <w:t>790 (100%)</w:t>
            </w:r>
          </w:p>
        </w:tc>
      </w:tr>
    </w:tbl>
    <w:p w14:paraId="0AB6DC55" w14:textId="70CB532D" w:rsidR="00B46000" w:rsidRDefault="00B46000" w:rsidP="00F540F9">
      <w:pPr>
        <w:pStyle w:val="Tabledescription"/>
        <w:widowControl w:val="0"/>
        <w:spacing w:after="60"/>
      </w:pPr>
      <w:r>
        <w:t xml:space="preserve">There are four main types of recall action category. For more information on Recall </w:t>
      </w:r>
      <w:r w:rsidR="00C2730F">
        <w:t>a</w:t>
      </w:r>
      <w:r>
        <w:t xml:space="preserve">ction </w:t>
      </w:r>
      <w:r w:rsidR="00C2730F">
        <w:t>l</w:t>
      </w:r>
      <w:r>
        <w:t xml:space="preserve">evel please see the </w:t>
      </w:r>
      <w:hyperlink r:id="rId17" w:history="1">
        <w:r w:rsidRPr="007868BD">
          <w:rPr>
            <w:rStyle w:val="Hyperlink"/>
          </w:rPr>
          <w:t>Uniform Recall Procedure for Therapeutic Goods</w:t>
        </w:r>
        <w:r w:rsidR="00C2730F" w:rsidRPr="007868BD">
          <w:rPr>
            <w:rStyle w:val="Hyperlink"/>
          </w:rPr>
          <w:t xml:space="preserve"> (URPTG)</w:t>
        </w:r>
      </w:hyperlink>
      <w:r w:rsidR="00C2730F">
        <w:t>.</w:t>
      </w:r>
    </w:p>
    <w:p w14:paraId="6F4040F7" w14:textId="77777777" w:rsidR="00F94F51" w:rsidRDefault="00F540F9" w:rsidP="007868BD">
      <w:pPr>
        <w:spacing w:before="360"/>
      </w:pPr>
      <w:r>
        <w:t>Product Defect Corrections are t</w:t>
      </w:r>
      <w:r w:rsidR="00B46000">
        <w:t xml:space="preserve">he most </w:t>
      </w:r>
      <w:r>
        <w:t xml:space="preserve">common type of recall </w:t>
      </w:r>
      <w:r w:rsidR="00B46000">
        <w:t>action</w:t>
      </w:r>
      <w:r>
        <w:t xml:space="preserve">, accounting </w:t>
      </w:r>
      <w:r w:rsidR="00F94F51">
        <w:t>for</w:t>
      </w:r>
      <w:r w:rsidR="00FB14FD">
        <w:t xml:space="preserve"> </w:t>
      </w:r>
      <w:r w:rsidR="00B46000">
        <w:t>53%</w:t>
      </w:r>
      <w:r w:rsidR="00FB14FD">
        <w:t xml:space="preserve"> of all </w:t>
      </w:r>
      <w:r w:rsidR="00B46000">
        <w:t xml:space="preserve">recall actions </w:t>
      </w:r>
      <w:r w:rsidR="00FB14FD">
        <w:t>in 2019-20</w:t>
      </w:r>
      <w:r w:rsidR="00B46000">
        <w:t>. This type of action is often utilised for medical devices (which account for around 80</w:t>
      </w:r>
      <w:r w:rsidR="00FB14FD">
        <w:t xml:space="preserve"> per cent </w:t>
      </w:r>
      <w:r w:rsidR="00B46000">
        <w:t xml:space="preserve">of all actions) where the </w:t>
      </w:r>
      <w:r w:rsidR="00B46000">
        <w:rPr>
          <w:szCs w:val="22"/>
        </w:rPr>
        <w:t xml:space="preserve">product can continue to be used if there is </w:t>
      </w:r>
      <w:r w:rsidR="00C2730F">
        <w:rPr>
          <w:szCs w:val="22"/>
        </w:rPr>
        <w:t xml:space="preserve">a </w:t>
      </w:r>
      <w:r w:rsidR="00B46000">
        <w:rPr>
          <w:szCs w:val="22"/>
        </w:rPr>
        <w:t xml:space="preserve">robust </w:t>
      </w:r>
      <w:r w:rsidR="00C2730F">
        <w:rPr>
          <w:szCs w:val="22"/>
        </w:rPr>
        <w:t xml:space="preserve">risk </w:t>
      </w:r>
      <w:r w:rsidR="00B46000">
        <w:rPr>
          <w:szCs w:val="22"/>
        </w:rPr>
        <w:t xml:space="preserve">mitigation </w:t>
      </w:r>
      <w:r w:rsidR="00C2730F">
        <w:rPr>
          <w:szCs w:val="22"/>
        </w:rPr>
        <w:t xml:space="preserve">procedure put </w:t>
      </w:r>
      <w:r w:rsidR="00B46000">
        <w:rPr>
          <w:szCs w:val="22"/>
        </w:rPr>
        <w:t>in place until a permanent correction can be performed</w:t>
      </w:r>
      <w:r w:rsidR="00F94F51">
        <w:t>.</w:t>
      </w:r>
    </w:p>
    <w:p w14:paraId="48F6B538" w14:textId="2249409B" w:rsidR="00B46000" w:rsidRDefault="00B46000" w:rsidP="00B46000">
      <w:r>
        <w:t xml:space="preserve">A </w:t>
      </w:r>
      <w:r>
        <w:rPr>
          <w:szCs w:val="22"/>
        </w:rPr>
        <w:t>straight recall (</w:t>
      </w:r>
      <w:r w:rsidR="00FB14FD">
        <w:rPr>
          <w:szCs w:val="22"/>
        </w:rPr>
        <w:t xml:space="preserve">accounting for </w:t>
      </w:r>
      <w:r>
        <w:rPr>
          <w:szCs w:val="22"/>
        </w:rPr>
        <w:t>41</w:t>
      </w:r>
      <w:r w:rsidR="00FB14FD">
        <w:rPr>
          <w:szCs w:val="22"/>
        </w:rPr>
        <w:t xml:space="preserve"> per cent of all recall actions in 2019-20</w:t>
      </w:r>
      <w:r>
        <w:rPr>
          <w:szCs w:val="22"/>
        </w:rPr>
        <w:t>) is conducted to remove therapeutic goods permanently from the market or from use, and is performed for all types of products.</w:t>
      </w:r>
      <w:r>
        <w:t xml:space="preserve"> Hazard Alerts and Product Defect Alerts make up the small remainder of actions</w:t>
      </w:r>
      <w:r w:rsidR="00FB14FD">
        <w:t xml:space="preserve"> (around 6 per cent in 2019-20)</w:t>
      </w:r>
      <w:r>
        <w:t>.</w:t>
      </w:r>
    </w:p>
    <w:p w14:paraId="3B930F98" w14:textId="6CE92445" w:rsidR="00B46000" w:rsidRDefault="00B46000" w:rsidP="00B46000">
      <w:r>
        <w:t>T</w:t>
      </w:r>
      <w:r w:rsidRPr="009B04B7">
        <w:t xml:space="preserve">he above data does not include the assessment of non-recall actions, ‘no action’ assessments, assessment of overseas recall notifications </w:t>
      </w:r>
      <w:r w:rsidR="00FB14FD">
        <w:t>or</w:t>
      </w:r>
      <w:r w:rsidR="00FB14FD" w:rsidRPr="009B04B7">
        <w:t xml:space="preserve"> </w:t>
      </w:r>
      <w:r w:rsidRPr="009B04B7">
        <w:t>recall close-out activity.</w:t>
      </w:r>
    </w:p>
    <w:p w14:paraId="633E1495" w14:textId="77777777" w:rsidR="00D54DC1" w:rsidRPr="009B04B7" w:rsidRDefault="00D54DC1" w:rsidP="002D448D">
      <w:pPr>
        <w:pStyle w:val="Heading2"/>
      </w:pPr>
      <w:bookmarkStart w:id="10" w:name="_Toc46938469"/>
      <w:bookmarkStart w:id="11" w:name="_Toc55819539"/>
      <w:bookmarkEnd w:id="8"/>
      <w:r w:rsidRPr="009B04B7">
        <w:t>Impact of COVID-19 on product recalls</w:t>
      </w:r>
      <w:bookmarkEnd w:id="10"/>
      <w:bookmarkEnd w:id="11"/>
    </w:p>
    <w:p w14:paraId="5FA87EEE" w14:textId="2EA4392E" w:rsidR="00D54DC1" w:rsidRPr="009B04B7" w:rsidRDefault="00D54DC1" w:rsidP="00D54DC1">
      <w:r w:rsidRPr="009B04B7">
        <w:t>During the initial months of the COVID-19 pandemic</w:t>
      </w:r>
      <w:r w:rsidR="006C677A">
        <w:t xml:space="preserve"> in early 2020</w:t>
      </w:r>
      <w:r w:rsidRPr="009B04B7">
        <w:t xml:space="preserve">, the number of sponsor recall notifications remained consistent with </w:t>
      </w:r>
      <w:r w:rsidR="006C677A">
        <w:t>the number</w:t>
      </w:r>
      <w:r w:rsidR="006C677A" w:rsidRPr="009B04B7">
        <w:t xml:space="preserve"> </w:t>
      </w:r>
      <w:r w:rsidRPr="009B04B7">
        <w:t xml:space="preserve">received during other periods. </w:t>
      </w:r>
      <w:r w:rsidR="00C2730F">
        <w:t xml:space="preserve">Some </w:t>
      </w:r>
      <w:r w:rsidRPr="009B04B7">
        <w:t>recall actions involved products</w:t>
      </w:r>
      <w:r w:rsidR="006C677A">
        <w:rPr>
          <w:rStyle w:val="FootnoteReference"/>
        </w:rPr>
        <w:footnoteReference w:id="1"/>
      </w:r>
      <w:r w:rsidRPr="009B04B7">
        <w:t xml:space="preserve"> used for the treatment of COVID-19 patients</w:t>
      </w:r>
      <w:r w:rsidR="000C771E">
        <w:t xml:space="preserve"> and /or the protection of health care professionals and other members of the community</w:t>
      </w:r>
      <w:r w:rsidR="00C2730F">
        <w:t>.</w:t>
      </w:r>
      <w:r w:rsidRPr="009B04B7">
        <w:t xml:space="preserve"> </w:t>
      </w:r>
      <w:r w:rsidR="00C2730F">
        <w:t>In these cases,</w:t>
      </w:r>
      <w:r w:rsidR="003438F0">
        <w:t xml:space="preserve"> as with all recall actions, </w:t>
      </w:r>
      <w:r w:rsidRPr="009B04B7">
        <w:t xml:space="preserve">risk-benefit considerations </w:t>
      </w:r>
      <w:r w:rsidR="006C677A">
        <w:t>were</w:t>
      </w:r>
      <w:r w:rsidRPr="009B04B7">
        <w:t xml:space="preserve"> taken into account to balance the risk posed by the product defect relative to the risk of the product not being available for treatment </w:t>
      </w:r>
      <w:r w:rsidR="000C771E">
        <w:t xml:space="preserve">or use </w:t>
      </w:r>
      <w:r w:rsidRPr="009B04B7">
        <w:t>at all and/or a sh</w:t>
      </w:r>
      <w:r w:rsidR="007868BD">
        <w:t>ortage situation being created.</w:t>
      </w:r>
    </w:p>
    <w:p w14:paraId="08413FC4" w14:textId="19E646B1" w:rsidR="004053DB" w:rsidRPr="009B04B7" w:rsidRDefault="004053DB" w:rsidP="004053DB">
      <w:pPr>
        <w:pStyle w:val="Heading2"/>
      </w:pPr>
      <w:bookmarkStart w:id="12" w:name="_Toc46938470"/>
      <w:bookmarkStart w:id="13" w:name="_Toc55819540"/>
      <w:r w:rsidRPr="009B04B7">
        <w:lastRenderedPageBreak/>
        <w:t>Uniform Recall Procedure for Therapeutic Goods</w:t>
      </w:r>
      <w:bookmarkEnd w:id="12"/>
      <w:bookmarkEnd w:id="13"/>
    </w:p>
    <w:p w14:paraId="4A3803EA" w14:textId="2036A2A8" w:rsidR="004053DB" w:rsidRPr="009B04B7" w:rsidRDefault="004053DB" w:rsidP="004053DB">
      <w:pPr>
        <w:rPr>
          <w:lang w:val="en"/>
        </w:rPr>
      </w:pPr>
      <w:r w:rsidRPr="009B04B7">
        <w:rPr>
          <w:lang w:val="en"/>
        </w:rPr>
        <w:t xml:space="preserve">The </w:t>
      </w:r>
      <w:hyperlink r:id="rId18" w:history="1">
        <w:r w:rsidRPr="007868BD">
          <w:rPr>
            <w:rStyle w:val="Hyperlink"/>
            <w:lang w:val="en"/>
          </w:rPr>
          <w:t>Uniform Recall Procedure for Therapeutic Goods (URPTG)</w:t>
        </w:r>
      </w:hyperlink>
      <w:r w:rsidRPr="009B04B7">
        <w:rPr>
          <w:lang w:val="en"/>
        </w:rPr>
        <w:t xml:space="preserve"> assists sponsors to conduct recall and non-recall actions using a standardized process. It enables sponsors to respond efficiently and effectively to issues with a therapeutic good that has, or may pose a risk to public health and safety.</w:t>
      </w:r>
    </w:p>
    <w:p w14:paraId="61FB0D4F" w14:textId="103F4336" w:rsidR="004053DB" w:rsidRPr="009B04B7" w:rsidRDefault="006C3814" w:rsidP="004053DB">
      <w:r>
        <w:t xml:space="preserve">As part of our commitment to review and improve our guidance material, as referred to in the </w:t>
      </w:r>
      <w:hyperlink r:id="rId19" w:history="1">
        <w:r w:rsidRPr="00066497">
          <w:rPr>
            <w:rStyle w:val="Hyperlink"/>
          </w:rPr>
          <w:t>TGA Business Plan 2019-20</w:t>
        </w:r>
      </w:hyperlink>
      <w:r>
        <w:t xml:space="preserve">, </w:t>
      </w:r>
      <w:bookmarkStart w:id="14" w:name="_GoBack"/>
      <w:bookmarkEnd w:id="14"/>
      <w:r w:rsidR="004053DB" w:rsidRPr="009B04B7">
        <w:t xml:space="preserve">the TGA </w:t>
      </w:r>
      <w:r>
        <w:t>i</w:t>
      </w:r>
      <w:r w:rsidRPr="009B04B7">
        <w:t>n December 2019</w:t>
      </w:r>
      <w:r>
        <w:t xml:space="preserve"> </w:t>
      </w:r>
      <w:r w:rsidR="004053DB" w:rsidRPr="009B04B7">
        <w:t>published the latest version (V2.2) of the URPTG on its website. The main updates in this version included:</w:t>
      </w:r>
    </w:p>
    <w:p w14:paraId="773A7FB7" w14:textId="175AD5C8" w:rsidR="004053DB" w:rsidRPr="009B04B7" w:rsidRDefault="004053DB" w:rsidP="004053DB">
      <w:pPr>
        <w:numPr>
          <w:ilvl w:val="0"/>
          <w:numId w:val="20"/>
        </w:numPr>
      </w:pPr>
      <w:r w:rsidRPr="009B04B7">
        <w:t xml:space="preserve">additional clarity on the provision of surgeon contact details </w:t>
      </w:r>
      <w:r w:rsidR="008F223F">
        <w:t>for implanted therapeutic goods</w:t>
      </w:r>
    </w:p>
    <w:p w14:paraId="1A427E87" w14:textId="4FAC8394" w:rsidR="004053DB" w:rsidRPr="009B04B7" w:rsidRDefault="004053DB" w:rsidP="004053DB">
      <w:pPr>
        <w:numPr>
          <w:ilvl w:val="0"/>
          <w:numId w:val="20"/>
        </w:numPr>
      </w:pPr>
      <w:r w:rsidRPr="009B04B7">
        <w:t>amendments related to the online notification of recall and non-recall actions (including the use of GS1 Au</w:t>
      </w:r>
      <w:r w:rsidR="008F223F">
        <w:t>stralia’s Recall Health portal)</w:t>
      </w:r>
    </w:p>
    <w:p w14:paraId="03FCBC04" w14:textId="1899AA63" w:rsidR="004053DB" w:rsidRPr="009B04B7" w:rsidRDefault="004053DB" w:rsidP="004053DB">
      <w:pPr>
        <w:numPr>
          <w:ilvl w:val="0"/>
          <w:numId w:val="20"/>
        </w:numPr>
      </w:pPr>
      <w:r w:rsidRPr="009B04B7">
        <w:t>removal of the placeholder referring to the “National Patient Contact Principles for Patients with Implanted Medical Device</w:t>
      </w:r>
      <w:r w:rsidR="008F223F">
        <w:t>s subject to Hazard Alerts”</w:t>
      </w:r>
    </w:p>
    <w:p w14:paraId="11C5970F" w14:textId="2A748F13" w:rsidR="004053DB" w:rsidRDefault="004053DB" w:rsidP="007868BD">
      <w:pPr>
        <w:numPr>
          <w:ilvl w:val="0"/>
          <w:numId w:val="20"/>
        </w:numPr>
        <w:spacing w:after="360"/>
      </w:pPr>
      <w:r w:rsidRPr="009B04B7">
        <w:t>a second example template for the sponsor’s customer letter.</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4053DB" w:rsidRPr="00215D48" w14:paraId="15828731" w14:textId="77777777" w:rsidTr="00063D93">
        <w:tc>
          <w:tcPr>
            <w:tcW w:w="1276" w:type="dxa"/>
            <w:vAlign w:val="center"/>
          </w:tcPr>
          <w:p w14:paraId="6440D75D" w14:textId="288FAB13" w:rsidR="004053DB" w:rsidRPr="00215D48" w:rsidRDefault="004053DB" w:rsidP="00063D93">
            <w:pPr>
              <w:spacing w:before="0"/>
              <w:rPr>
                <w:sz w:val="20"/>
              </w:rPr>
            </w:pPr>
            <w:r w:rsidRPr="00215D48">
              <w:rPr>
                <w:noProof/>
                <w:sz w:val="20"/>
                <w:lang w:eastAsia="en-AU"/>
              </w:rPr>
              <w:drawing>
                <wp:inline distT="0" distB="0" distL="0" distR="0" wp14:anchorId="15F6BA29" wp14:editId="355082B9">
                  <wp:extent cx="487681" cy="487681"/>
                  <wp:effectExtent l="19050" t="0" r="7619" b="0"/>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0"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692FE7A" w14:textId="77777777" w:rsidR="004053DB" w:rsidRDefault="004053DB" w:rsidP="00063D93">
            <w:r>
              <w:t xml:space="preserve">There are four distinct </w:t>
            </w:r>
            <w:r w:rsidRPr="00E12AA6">
              <w:rPr>
                <w:b/>
              </w:rPr>
              <w:t>recall actions</w:t>
            </w:r>
            <w:r>
              <w:t xml:space="preserve"> available to sponsors - recall, product defect correction, hazard alert and product defect alert.</w:t>
            </w:r>
          </w:p>
          <w:p w14:paraId="7039532D" w14:textId="77777777" w:rsidR="004053DB" w:rsidRDefault="004053DB" w:rsidP="00063D93">
            <w:r w:rsidRPr="00E12AA6">
              <w:rPr>
                <w:b/>
              </w:rPr>
              <w:t>Recall</w:t>
            </w:r>
            <w:r>
              <w:t xml:space="preserve"> - a recall is conducted to remove therapeutic goods permanently from the market or from use when there are deficiencies or potential deficiencies in safety, quality, efficacy, performance or presentation.</w:t>
            </w:r>
          </w:p>
          <w:p w14:paraId="6238E2C7" w14:textId="77777777" w:rsidR="004053DB" w:rsidRDefault="004053DB" w:rsidP="00063D93">
            <w:r w:rsidRPr="00E12AA6">
              <w:rPr>
                <w:b/>
              </w:rPr>
              <w:t>Product defect correction</w:t>
            </w:r>
            <w:r>
              <w:t xml:space="preserve"> - undertaken to correct a specific or potential deficiency and includes repair, modification, adjustment or re-labelling of a therapeutic good. </w:t>
            </w:r>
          </w:p>
          <w:p w14:paraId="3B60C8D4" w14:textId="77777777" w:rsidR="004053DB" w:rsidRDefault="004053DB" w:rsidP="00063D93">
            <w:r w:rsidRPr="00E12AA6">
              <w:rPr>
                <w:b/>
              </w:rPr>
              <w:t>Hazard alert</w:t>
            </w:r>
            <w:r>
              <w:t xml:space="preserve"> - a hazard alert is issued for an implanted therapeutic good with a deficiency or potential deficiency relating to its safety, quality, performance or efficacy because implanted goods (medical devices or biologicals or medicines) cannot be recalled. </w:t>
            </w:r>
          </w:p>
          <w:p w14:paraId="6FD9E712" w14:textId="16CA61E6" w:rsidR="004053DB" w:rsidRPr="00215D48" w:rsidRDefault="004053DB" w:rsidP="000E302B">
            <w:r w:rsidRPr="00E12AA6">
              <w:rPr>
                <w:b/>
              </w:rPr>
              <w:t>Product defect alert</w:t>
            </w:r>
            <w:r>
              <w:t xml:space="preserve"> - allows for the informed, continued use of defective but critical therapeutic goods, raises awareness of the issue and describes the precautionary actions that clinicians or patients may take t</w:t>
            </w:r>
            <w:r w:rsidR="000E302B">
              <w:t>o mitigate any associated risk.</w:t>
            </w:r>
          </w:p>
        </w:tc>
      </w:tr>
    </w:tbl>
    <w:p w14:paraId="5FA9ECBB" w14:textId="79271052" w:rsidR="000E302B" w:rsidRDefault="000E302B">
      <w:pPr>
        <w:spacing w:before="0" w:after="0" w:line="240" w:lineRule="auto"/>
      </w:pPr>
      <w:bookmarkStart w:id="15" w:name="_Toc46938471"/>
    </w:p>
    <w:tbl>
      <w:tblPr>
        <w:tblW w:w="9038" w:type="dxa"/>
        <w:tblLayout w:type="fixed"/>
        <w:tblCellMar>
          <w:left w:w="0" w:type="dxa"/>
          <w:right w:w="0" w:type="dxa"/>
        </w:tblCellMar>
        <w:tblLook w:val="04A0" w:firstRow="1" w:lastRow="0" w:firstColumn="1" w:lastColumn="0" w:noHBand="0" w:noVBand="1"/>
      </w:tblPr>
      <w:tblGrid>
        <w:gridCol w:w="1276"/>
        <w:gridCol w:w="7762"/>
      </w:tblGrid>
      <w:tr w:rsidR="000E302B" w:rsidRPr="00215D48" w14:paraId="4523A1ED" w14:textId="77777777" w:rsidTr="00962120">
        <w:tc>
          <w:tcPr>
            <w:tcW w:w="1276" w:type="dxa"/>
            <w:vAlign w:val="center"/>
          </w:tcPr>
          <w:p w14:paraId="6BD7E7FF" w14:textId="77777777" w:rsidR="000E302B" w:rsidRPr="00215D48" w:rsidRDefault="000E302B" w:rsidP="00091ABF">
            <w:pPr>
              <w:spacing w:before="0"/>
              <w:rPr>
                <w:sz w:val="20"/>
              </w:rPr>
            </w:pPr>
            <w:r w:rsidRPr="00215D48">
              <w:rPr>
                <w:noProof/>
                <w:sz w:val="20"/>
                <w:lang w:eastAsia="en-AU"/>
              </w:rPr>
              <w:drawing>
                <wp:inline distT="0" distB="0" distL="0" distR="0" wp14:anchorId="0307E056" wp14:editId="6035F18C">
                  <wp:extent cx="487681" cy="487681"/>
                  <wp:effectExtent l="19050" t="0" r="7619" b="0"/>
                  <wp:docPr id="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0"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3CACB142" w14:textId="77777777" w:rsidR="000E302B" w:rsidRPr="000E302B" w:rsidRDefault="000E302B" w:rsidP="000E302B">
            <w:r w:rsidRPr="000E302B">
              <w:t xml:space="preserve">The URPTG also defines and provides guidance on four types of </w:t>
            </w:r>
            <w:r w:rsidRPr="000E302B">
              <w:rPr>
                <w:b/>
              </w:rPr>
              <w:t>non-recall actions</w:t>
            </w:r>
            <w:r w:rsidRPr="000E302B">
              <w:t>:</w:t>
            </w:r>
          </w:p>
          <w:p w14:paraId="481909BB" w14:textId="77777777" w:rsidR="000E302B" w:rsidRPr="000E302B" w:rsidRDefault="000E302B" w:rsidP="000E302B">
            <w:r w:rsidRPr="000E302B">
              <w:rPr>
                <w:b/>
              </w:rPr>
              <w:t>Safety alert</w:t>
            </w:r>
            <w:r w:rsidRPr="000E302B">
              <w:t xml:space="preserve"> – provides information on the safe use of therapeutic goods in certain situations where, although meeting all specifications and therapeutic indications, its use could present an unreasonable risk of harm if certain specified precautions are not followed. A safety alert is generally used for reiterating specific precautions or instructions regarding use of the goods.</w:t>
            </w:r>
          </w:p>
          <w:p w14:paraId="03971784" w14:textId="77777777" w:rsidR="000E302B" w:rsidRPr="000E302B" w:rsidRDefault="000E302B" w:rsidP="000E302B">
            <w:r w:rsidRPr="000E302B">
              <w:rPr>
                <w:b/>
              </w:rPr>
              <w:lastRenderedPageBreak/>
              <w:t>Product notification</w:t>
            </w:r>
            <w:r w:rsidRPr="000E302B">
              <w:t xml:space="preserve"> – provides information about a therapeutic good in a situation that is unlikely to involve significant adverse health consequences.</w:t>
            </w:r>
          </w:p>
          <w:p w14:paraId="566DC87E" w14:textId="77777777" w:rsidR="000E302B" w:rsidRPr="000E302B" w:rsidRDefault="000E302B" w:rsidP="000E302B">
            <w:r w:rsidRPr="000E302B">
              <w:rPr>
                <w:b/>
              </w:rPr>
              <w:t>Quarantine action</w:t>
            </w:r>
            <w:r w:rsidRPr="000E302B">
              <w:t xml:space="preserve"> – suspends further supply and distribution of the goods pending investigation of an issue or incident. The outcome of the investigation will determine further actions. Consideration should be given to initiating a quarantine of goods if a defect is identified in released goods which has the potential to raise issues related to safety, efficacy (medicines / biologicals) or performance (medical devices).</w:t>
            </w:r>
          </w:p>
          <w:p w14:paraId="4C85D405" w14:textId="4CB163B0" w:rsidR="000E302B" w:rsidRPr="00215D48" w:rsidRDefault="000E302B" w:rsidP="000E302B">
            <w:r w:rsidRPr="000E302B">
              <w:rPr>
                <w:b/>
              </w:rPr>
              <w:t xml:space="preserve">Product withdrawal </w:t>
            </w:r>
            <w:r w:rsidRPr="000E302B">
              <w:t>– used to withdraw products for reasons that are not related to safety, quality, efficacy, performance or presentation e.g. removing a previous model from the market when a new model has been released</w:t>
            </w:r>
          </w:p>
        </w:tc>
      </w:tr>
    </w:tbl>
    <w:p w14:paraId="65D4EBB4" w14:textId="4FA44FCD" w:rsidR="004053DB" w:rsidRPr="007C03D1" w:rsidRDefault="004053DB" w:rsidP="007C03D1">
      <w:pPr>
        <w:pStyle w:val="Heading2"/>
      </w:pPr>
      <w:bookmarkStart w:id="16" w:name="_Toc55819541"/>
      <w:r w:rsidRPr="009B04B7">
        <w:lastRenderedPageBreak/>
        <w:t>System for Australian Recall Actions (SARA)</w:t>
      </w:r>
      <w:bookmarkEnd w:id="15"/>
      <w:bookmarkEnd w:id="16"/>
    </w:p>
    <w:p w14:paraId="34634710" w14:textId="04448A34" w:rsidR="004053DB" w:rsidRPr="009B04B7" w:rsidRDefault="004053DB" w:rsidP="004053DB">
      <w:pPr>
        <w:rPr>
          <w:bCs/>
        </w:rPr>
      </w:pPr>
      <w:r w:rsidRPr="009B04B7">
        <w:rPr>
          <w:bCs/>
        </w:rPr>
        <w:t xml:space="preserve">Since July 2012, summaries of Australian recall actions are available from the TGA website via the publicly accessible and searchable </w:t>
      </w:r>
      <w:hyperlink r:id="rId21" w:history="1">
        <w:r w:rsidRPr="007C03D1">
          <w:rPr>
            <w:rStyle w:val="Hyperlink"/>
            <w:bCs/>
          </w:rPr>
          <w:t>System for Australian Recall Actions (SARA) database</w:t>
        </w:r>
      </w:hyperlink>
      <w:r w:rsidRPr="009B04B7">
        <w:rPr>
          <w:bCs/>
        </w:rPr>
        <w:t>.</w:t>
      </w:r>
    </w:p>
    <w:p w14:paraId="5FA9EF27" w14:textId="0D2ED20A" w:rsidR="004053DB" w:rsidRDefault="004053DB" w:rsidP="004053DB">
      <w:r w:rsidRPr="009B04B7">
        <w:t xml:space="preserve">A new enhancement </w:t>
      </w:r>
      <w:r w:rsidR="001A321E">
        <w:t>was</w:t>
      </w:r>
      <w:r w:rsidRPr="009B04B7">
        <w:t xml:space="preserve"> added to </w:t>
      </w:r>
      <w:r w:rsidR="001A321E">
        <w:t xml:space="preserve">the </w:t>
      </w:r>
      <w:r w:rsidRPr="009B04B7">
        <w:t xml:space="preserve">SARA </w:t>
      </w:r>
      <w:r w:rsidR="001A321E">
        <w:t xml:space="preserve">database in June 2020 </w:t>
      </w:r>
      <w:r w:rsidRPr="009B04B7">
        <w:t>which allows users to extract individual search data into editable, MS Excel spreadsheets, and includes all of the existing available data in this easy to use format. The project was undertaken in response to requests from industry and other external stakeholders to provide better access to TGA recall data. This provides enhanced access and transparency through users acquiring a ‘self-serve’ style, ready access to large volumes of recall action data.</w:t>
      </w:r>
    </w:p>
    <w:p w14:paraId="154889CE" w14:textId="71E40D12" w:rsidR="004053DB" w:rsidRPr="009B04B7" w:rsidRDefault="004053DB" w:rsidP="00E12AA6">
      <w:pPr>
        <w:pStyle w:val="Heading2"/>
      </w:pPr>
      <w:bookmarkStart w:id="17" w:name="_Toc46938472"/>
      <w:bookmarkStart w:id="18" w:name="_Toc55819542"/>
      <w:r w:rsidRPr="009B04B7">
        <w:t>Online recall notification form</w:t>
      </w:r>
      <w:bookmarkEnd w:id="17"/>
      <w:bookmarkEnd w:id="18"/>
    </w:p>
    <w:p w14:paraId="1ADB6720" w14:textId="77777777" w:rsidR="004053DB" w:rsidRPr="009B04B7" w:rsidRDefault="004053DB" w:rsidP="004053DB">
      <w:r w:rsidRPr="009B04B7">
        <w:t xml:space="preserve">On 31 October 2019, the TGA launched a new, online form for sponsors to use when notifying new recall and non-recall actions. The online form is accessible via the </w:t>
      </w:r>
      <w:hyperlink r:id="rId22" w:history="1">
        <w:r w:rsidRPr="009B04B7">
          <w:rPr>
            <w:rStyle w:val="Hyperlink"/>
          </w:rPr>
          <w:t>TGA Business Service portal</w:t>
        </w:r>
      </w:hyperlink>
      <w:r w:rsidRPr="009B04B7">
        <w:t>.</w:t>
      </w:r>
    </w:p>
    <w:p w14:paraId="6E0FEE72" w14:textId="3174FABE" w:rsidR="004053DB" w:rsidRPr="009B04B7" w:rsidRDefault="004053DB" w:rsidP="004053DB">
      <w:r w:rsidRPr="009B04B7">
        <w:t xml:space="preserve">Further advice on submitting recall information is included at </w:t>
      </w:r>
      <w:hyperlink r:id="rId23" w:history="1">
        <w:r w:rsidRPr="007C03D1">
          <w:rPr>
            <w:rStyle w:val="Hyperlink"/>
          </w:rPr>
          <w:t>Step 7</w:t>
        </w:r>
      </w:hyperlink>
      <w:r w:rsidRPr="007C03D1">
        <w:t xml:space="preserve"> in Version 2.2 of the Uniform Recall Procedure for Therapeutic Goods (URPTG)</w:t>
      </w:r>
      <w:r w:rsidRPr="009B04B7">
        <w:t xml:space="preserve">. This version was published on 12 December 2019 and includes advice that the online form is now the </w:t>
      </w:r>
      <w:r w:rsidRPr="007C03D1">
        <w:rPr>
          <w:b/>
        </w:rPr>
        <w:t>preferred</w:t>
      </w:r>
      <w:r w:rsidRPr="009B04B7">
        <w:t xml:space="preserve"> method of submitting new notifications. Whilst sponsor uptake of the form was initially a little slow, usage rates have increased through to </w:t>
      </w:r>
      <w:r w:rsidRPr="009B04B7">
        <w:rPr>
          <w:bCs/>
        </w:rPr>
        <w:t>30 June 2020</w:t>
      </w:r>
      <w:r w:rsidRPr="009B04B7">
        <w:t>. Recalls staff look forward to continuing to receive sponsor notifications via the online form (rather than via the outdated method of sending emails which leads to double handling of sponsor information).</w:t>
      </w:r>
    </w:p>
    <w:p w14:paraId="743B719D" w14:textId="5F6026A0" w:rsidR="004053DB" w:rsidRPr="009B04B7" w:rsidRDefault="007C03D1" w:rsidP="00E12AA6">
      <w:pPr>
        <w:pStyle w:val="Heading2"/>
      </w:pPr>
      <w:bookmarkStart w:id="19" w:name="_Toc46938473"/>
      <w:bookmarkStart w:id="20" w:name="_Toc55819543"/>
      <w:r>
        <w:t>Confirmation of s</w:t>
      </w:r>
      <w:r w:rsidR="004053DB" w:rsidRPr="009B04B7">
        <w:t xml:space="preserve">ponsor </w:t>
      </w:r>
      <w:r>
        <w:t>c</w:t>
      </w:r>
      <w:r w:rsidR="004053DB" w:rsidRPr="009B04B7">
        <w:t xml:space="preserve">ontact </w:t>
      </w:r>
      <w:r>
        <w:t>d</w:t>
      </w:r>
      <w:r w:rsidR="004053DB" w:rsidRPr="009B04B7">
        <w:t>etails</w:t>
      </w:r>
      <w:bookmarkEnd w:id="19"/>
      <w:bookmarkEnd w:id="20"/>
    </w:p>
    <w:p w14:paraId="27828AF3" w14:textId="3D04C957" w:rsidR="004053DB" w:rsidRPr="009B04B7" w:rsidRDefault="004053DB" w:rsidP="004053DB">
      <w:r w:rsidRPr="009B04B7">
        <w:t xml:space="preserve">Sponsors are requested to verify that their relevant staff contact details listed in the TGA’s TBS Portal are accurate and up to date, as per the </w:t>
      </w:r>
      <w:hyperlink r:id="rId24" w:history="1">
        <w:r w:rsidRPr="009B04B7">
          <w:rPr>
            <w:rStyle w:val="Hyperlink"/>
          </w:rPr>
          <w:t>guidance</w:t>
        </w:r>
      </w:hyperlink>
      <w:r w:rsidRPr="009B04B7">
        <w:t xml:space="preserve"> published on the TGA website. TBS enquiries may be directed to - </w:t>
      </w:r>
      <w:hyperlink r:id="rId25" w:tooltip="email link" w:history="1">
        <w:r w:rsidRPr="009B04B7">
          <w:rPr>
            <w:rStyle w:val="Hyperlink"/>
          </w:rPr>
          <w:t>ebs@health.gov.au</w:t>
        </w:r>
      </w:hyperlink>
      <w:r w:rsidRPr="009B04B7">
        <w:t xml:space="preserve"> or 1800 010 6</w:t>
      </w:r>
      <w:r w:rsidR="007C03D1">
        <w:t>24 (freecall within Australia).</w:t>
      </w:r>
    </w:p>
    <w:p w14:paraId="7F205989" w14:textId="1CBEFBF9" w:rsidR="004053DB" w:rsidRDefault="004053DB" w:rsidP="00E12AA6">
      <w:pPr>
        <w:pStyle w:val="Heading2"/>
      </w:pPr>
      <w:bookmarkStart w:id="21" w:name="_Toc46938474"/>
      <w:bookmarkStart w:id="22" w:name="_Toc55819544"/>
      <w:r w:rsidRPr="009B04B7">
        <w:lastRenderedPageBreak/>
        <w:t>Stakeholder engagement</w:t>
      </w:r>
      <w:bookmarkStart w:id="23" w:name="_Toc46938475"/>
      <w:bookmarkEnd w:id="21"/>
      <w:bookmarkEnd w:id="22"/>
    </w:p>
    <w:bookmarkEnd w:id="23"/>
    <w:p w14:paraId="09AA6C74" w14:textId="4D9845AA" w:rsidR="004053DB" w:rsidRPr="009B04B7" w:rsidRDefault="004053DB" w:rsidP="00962120">
      <w:pPr>
        <w:keepLines/>
      </w:pPr>
      <w:r>
        <w:t>During 2019-20</w:t>
      </w:r>
      <w:r w:rsidR="00E12AA6">
        <w:t>, recalls</w:t>
      </w:r>
      <w:r w:rsidR="0041197D">
        <w:t xml:space="preserve"> staff continued to engage and consult with a wide range of stakeholders on issues relating to the recall of therapeutic goods. This has included the hosting of, and attendance at various stakeholder meetings, stakeholder consultation on proposed amendments to the URPTG</w:t>
      </w:r>
      <w:r w:rsidR="00121671">
        <w:t>, regular engagement with health professionals and consumers</w:t>
      </w:r>
      <w:r w:rsidR="0041197D">
        <w:t xml:space="preserve"> </w:t>
      </w:r>
      <w:r w:rsidR="00121671">
        <w:t xml:space="preserve">(including peak representative bodies) </w:t>
      </w:r>
      <w:r w:rsidR="0041197D">
        <w:t>and participation in stakeholder educational activities</w:t>
      </w:r>
      <w:r w:rsidR="00D206B7">
        <w:t xml:space="preserve">, a key commitment in the </w:t>
      </w:r>
      <w:hyperlink r:id="rId26" w:history="1">
        <w:r w:rsidR="00D206B7" w:rsidRPr="00066497">
          <w:rPr>
            <w:rStyle w:val="Hyperlink"/>
          </w:rPr>
          <w:t>TGA Business Plan 2019-20</w:t>
        </w:r>
      </w:hyperlink>
      <w:r w:rsidR="000A6A59">
        <w:t xml:space="preserve"> to the education of industry</w:t>
      </w:r>
      <w:r w:rsidR="0041197D">
        <w:t>. Specific examples include</w:t>
      </w:r>
      <w:r>
        <w:t>:</w:t>
      </w:r>
    </w:p>
    <w:p w14:paraId="3B5CB36C" w14:textId="5616D1F0" w:rsidR="0041197D" w:rsidRDefault="005E7E6F" w:rsidP="004053DB">
      <w:pPr>
        <w:pStyle w:val="ListBullet"/>
        <w:numPr>
          <w:ilvl w:val="0"/>
          <w:numId w:val="3"/>
        </w:numPr>
      </w:pPr>
      <w:r>
        <w:t>a</w:t>
      </w:r>
      <w:r w:rsidR="0041197D">
        <w:t xml:space="preserve">ttendance and presentations at meetings of the </w:t>
      </w:r>
      <w:hyperlink r:id="rId27" w:history="1">
        <w:r w:rsidR="0041197D" w:rsidRPr="007C03D1">
          <w:rPr>
            <w:rStyle w:val="Hyperlink"/>
          </w:rPr>
          <w:t>TGA Industry Working Group of GMP (TIWGG)</w:t>
        </w:r>
      </w:hyperlink>
      <w:r w:rsidR="0041197D">
        <w:t xml:space="preserve"> and </w:t>
      </w:r>
      <w:hyperlink r:id="rId28" w:history="1">
        <w:r w:rsidR="0041197D" w:rsidRPr="0041197D">
          <w:rPr>
            <w:rStyle w:val="Hyperlink"/>
          </w:rPr>
          <w:t>RegTech</w:t>
        </w:r>
      </w:hyperlink>
      <w:r w:rsidR="0041197D">
        <w:t xml:space="preserve"> which comprise representatives of the peak therapeu</w:t>
      </w:r>
      <w:r w:rsidR="008F223F">
        <w:t>tic goods industry associations</w:t>
      </w:r>
    </w:p>
    <w:p w14:paraId="2D75E285" w14:textId="38570EEC" w:rsidR="00121671" w:rsidRDefault="005E7E6F" w:rsidP="004053DB">
      <w:pPr>
        <w:pStyle w:val="ListBullet"/>
        <w:numPr>
          <w:ilvl w:val="0"/>
          <w:numId w:val="3"/>
        </w:numPr>
      </w:pPr>
      <w:r>
        <w:t>a</w:t>
      </w:r>
      <w:r w:rsidR="0041197D">
        <w:t>ttendance at the ‘TGA Café’ which was part of 2019 GMP Forum and provided the opportunity for attending delegates to speak with TGA staff on a</w:t>
      </w:r>
      <w:r w:rsidR="008F223F">
        <w:t>ny issues of importance to them</w:t>
      </w:r>
    </w:p>
    <w:p w14:paraId="609D984A" w14:textId="77C85C36" w:rsidR="0041197D" w:rsidRDefault="005E7E6F" w:rsidP="004053DB">
      <w:pPr>
        <w:pStyle w:val="ListBullet"/>
        <w:numPr>
          <w:ilvl w:val="0"/>
          <w:numId w:val="3"/>
        </w:numPr>
      </w:pPr>
      <w:r>
        <w:t>m</w:t>
      </w:r>
      <w:r w:rsidR="00121671">
        <w:t xml:space="preserve">aintaining lines of communication on recall policy issues and processes between the Commonwealth (TGA and the Australian Commission on Safety and Quality in Healthcare) and key jurisdictional stakeholders (state and territory health departments, including their </w:t>
      </w:r>
      <w:r w:rsidR="008F223F">
        <w:t>nominated recall coordinators)</w:t>
      </w:r>
    </w:p>
    <w:p w14:paraId="6A0F41F4" w14:textId="0E977FD4" w:rsidR="004053DB" w:rsidRDefault="004053DB" w:rsidP="004053DB">
      <w:pPr>
        <w:pStyle w:val="ListBullet"/>
        <w:numPr>
          <w:ilvl w:val="0"/>
          <w:numId w:val="3"/>
        </w:numPr>
      </w:pPr>
      <w:r w:rsidRPr="009B04B7">
        <w:t>meet</w:t>
      </w:r>
      <w:r w:rsidR="00121671">
        <w:t>ings</w:t>
      </w:r>
      <w:r w:rsidRPr="009B04B7">
        <w:t xml:space="preserve"> with GS1 Australia (and peak industry associations) to continue discussions on how best to address current sponsor confusion relating to ‘who’ and ‘where’ recall actions should be notified to; and how to address industry concerns about duplication of effort when notifying recall actions to the TGA when they are also required to notify recalls via GS1 Australia’s Recall Health system (due to </w:t>
      </w:r>
      <w:r w:rsidR="00E23970">
        <w:t xml:space="preserve">a </w:t>
      </w:r>
      <w:r w:rsidRPr="009B04B7">
        <w:t>state based requirement</w:t>
      </w:r>
      <w:r w:rsidR="008F223F">
        <w:t>)</w:t>
      </w:r>
    </w:p>
    <w:p w14:paraId="58452610" w14:textId="687E127B" w:rsidR="00121671" w:rsidRPr="009B04B7" w:rsidRDefault="00121671" w:rsidP="004053DB">
      <w:pPr>
        <w:pStyle w:val="ListBullet"/>
        <w:numPr>
          <w:ilvl w:val="0"/>
          <w:numId w:val="3"/>
        </w:numPr>
      </w:pPr>
      <w:r>
        <w:t>working collaboratively and effectively with key internal colleagues, including those in the TGA’s post-market, clinical and laboratory testing business areas</w:t>
      </w:r>
      <w:r w:rsidR="005F0C0C">
        <w:t>.</w:t>
      </w:r>
    </w:p>
    <w:p w14:paraId="4E49145B" w14:textId="4C9D5959" w:rsidR="004053DB" w:rsidRPr="009B04B7" w:rsidRDefault="004053DB" w:rsidP="007C03D1">
      <w:pPr>
        <w:pStyle w:val="Heading2"/>
        <w:pageBreakBefore/>
        <w:spacing w:before="0"/>
      </w:pPr>
      <w:bookmarkStart w:id="24" w:name="_Toc46938477"/>
      <w:bookmarkStart w:id="25" w:name="_Toc55819545"/>
      <w:r w:rsidRPr="009B04B7">
        <w:lastRenderedPageBreak/>
        <w:t>Some notable recall</w:t>
      </w:r>
      <w:r w:rsidR="00E23970">
        <w:t xml:space="preserve"> action</w:t>
      </w:r>
      <w:r w:rsidRPr="009B04B7">
        <w:t>s</w:t>
      </w:r>
      <w:bookmarkEnd w:id="24"/>
      <w:r w:rsidR="00E23970">
        <w:t xml:space="preserve"> in 2019-20</w:t>
      </w:r>
      <w:bookmarkEnd w:id="25"/>
    </w:p>
    <w:p w14:paraId="649ED5E0" w14:textId="183B41F7" w:rsidR="004053DB" w:rsidRDefault="004053DB" w:rsidP="004053DB">
      <w:r w:rsidRPr="009B04B7">
        <w:t xml:space="preserve">The action level (or depth) of a recall describes who will be notified of the recall action. ‘Consumer level’ recall actions are the highest level </w:t>
      </w:r>
      <w:r w:rsidR="000328DB" w:rsidRPr="009B04B7">
        <w:t xml:space="preserve">with notifications </w:t>
      </w:r>
      <w:r w:rsidR="000328DB">
        <w:t xml:space="preserve">made </w:t>
      </w:r>
      <w:r w:rsidR="000328DB" w:rsidRPr="009B04B7">
        <w:t xml:space="preserve">to patients and other consumers </w:t>
      </w:r>
      <w:r w:rsidR="000328DB">
        <w:t>as well</w:t>
      </w:r>
      <w:r w:rsidR="000328DB" w:rsidRPr="009B04B7">
        <w:t xml:space="preserve"> </w:t>
      </w:r>
      <w:r w:rsidR="000328DB">
        <w:t xml:space="preserve">all other levels of the supply chain, </w:t>
      </w:r>
      <w:r w:rsidRPr="009B04B7">
        <w:t>includ</w:t>
      </w:r>
      <w:r w:rsidR="000328DB">
        <w:t xml:space="preserve">ing </w:t>
      </w:r>
      <w:r w:rsidRPr="009B04B7">
        <w:t>‘retail’, ‘hospital’ and ‘wholesale’.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4053DB" w:rsidRPr="00215D48" w14:paraId="76F4BA2B" w14:textId="77777777" w:rsidTr="00063D93">
        <w:tc>
          <w:tcPr>
            <w:tcW w:w="1276" w:type="dxa"/>
            <w:vAlign w:val="center"/>
          </w:tcPr>
          <w:p w14:paraId="3C7FE504" w14:textId="77777777" w:rsidR="004053DB" w:rsidRPr="00215D48" w:rsidRDefault="004053DB" w:rsidP="00063D93">
            <w:pPr>
              <w:spacing w:before="0"/>
              <w:rPr>
                <w:sz w:val="20"/>
              </w:rPr>
            </w:pPr>
            <w:r w:rsidRPr="00215D48">
              <w:rPr>
                <w:noProof/>
                <w:sz w:val="20"/>
                <w:lang w:eastAsia="en-AU"/>
              </w:rPr>
              <w:drawing>
                <wp:inline distT="0" distB="0" distL="0" distR="0" wp14:anchorId="6CB3C626" wp14:editId="47C5A2EE">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0"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181A0D9" w14:textId="77777777" w:rsidR="004053DB" w:rsidRDefault="004053DB" w:rsidP="00063D93">
            <w:r>
              <w:t>The recall levels in cascading order are:</w:t>
            </w:r>
          </w:p>
          <w:p w14:paraId="350468DE" w14:textId="77777777" w:rsidR="004053DB" w:rsidRDefault="004053DB" w:rsidP="00063D93">
            <w:r w:rsidRPr="008F223F">
              <w:rPr>
                <w:b/>
              </w:rPr>
              <w:t>Wholesale</w:t>
            </w:r>
            <w:r>
              <w:t xml:space="preserve"> - includes wholesalers and state/territory purchasing authorities.</w:t>
            </w:r>
          </w:p>
          <w:p w14:paraId="0537E3CB" w14:textId="77777777" w:rsidR="004053DB" w:rsidRDefault="004053DB" w:rsidP="00063D93">
            <w:r w:rsidRPr="008F223F">
              <w:rPr>
                <w:b/>
              </w:rPr>
              <w:t>Hospital</w:t>
            </w:r>
            <w:r>
              <w:t xml:space="preserve"> - includes public and private hospitals, nursing homes and other healthcare institutions, hospital pharmacists, ambulance services, blood and tissue banks and pathology laboratories as well as wholesale as appropriate.</w:t>
            </w:r>
          </w:p>
          <w:p w14:paraId="4C2A9FBD" w14:textId="77777777" w:rsidR="004053DB" w:rsidRDefault="004053DB" w:rsidP="00063D93">
            <w:r w:rsidRPr="008F223F">
              <w:rPr>
                <w:b/>
              </w:rPr>
              <w:t>Retail</w:t>
            </w:r>
            <w:r>
              <w:t xml:space="preserve"> - includes retail pharmacists, medical, dental and other health care professionals, supermarkets, health food stores and online stores as well as wholesale and hospital as appropriate.</w:t>
            </w:r>
          </w:p>
          <w:p w14:paraId="1A3EE9F5" w14:textId="77777777" w:rsidR="004053DB" w:rsidRDefault="004053DB" w:rsidP="00063D93">
            <w:r w:rsidRPr="008F223F">
              <w:rPr>
                <w:b/>
              </w:rPr>
              <w:t>Consumer</w:t>
            </w:r>
            <w:r>
              <w:t xml:space="preserve"> - includes patients and consumers, as well as wholesale, hospital and retail levels as appropriate.</w:t>
            </w:r>
          </w:p>
          <w:p w14:paraId="7AA21CBD" w14:textId="77777777" w:rsidR="004053DB" w:rsidRDefault="004053DB" w:rsidP="00063D93">
            <w:r>
              <w:t>For example, in a Retail level recall action, letters are also to be sent by the sponsor to affected wholesalers and hospitals by default.</w:t>
            </w:r>
          </w:p>
          <w:p w14:paraId="38357C77" w14:textId="77777777" w:rsidR="004053DB" w:rsidRPr="00215D48" w:rsidRDefault="004053DB" w:rsidP="00063D93">
            <w:r>
              <w:t>The TGA will endeavour to recall therapeutic goods to the depth of supply and as such, only affected parties need to be notified of an action as detailed in the customer or distribution list.</w:t>
            </w:r>
          </w:p>
        </w:tc>
      </w:tr>
    </w:tbl>
    <w:p w14:paraId="2B38C178" w14:textId="77777777" w:rsidR="004053DB" w:rsidRPr="009B04B7" w:rsidRDefault="004053DB" w:rsidP="007C03D1">
      <w:pPr>
        <w:spacing w:before="360"/>
      </w:pPr>
      <w:r w:rsidRPr="009B04B7">
        <w:t>The level of recall is determined by having r</w:t>
      </w:r>
      <w:r>
        <w:t>egard to the following factors:</w:t>
      </w:r>
    </w:p>
    <w:p w14:paraId="3B62F043" w14:textId="77777777" w:rsidR="004053DB" w:rsidRPr="009B04B7" w:rsidRDefault="004053DB" w:rsidP="004053DB">
      <w:pPr>
        <w:pStyle w:val="ListBullet"/>
        <w:numPr>
          <w:ilvl w:val="0"/>
          <w:numId w:val="3"/>
        </w:numPr>
      </w:pPr>
      <w:r w:rsidRPr="009B04B7">
        <w:t>channels by which the product has been distributed</w:t>
      </w:r>
    </w:p>
    <w:p w14:paraId="5DA801BF" w14:textId="77777777" w:rsidR="004053DB" w:rsidRPr="009B04B7" w:rsidRDefault="004053DB" w:rsidP="004053DB">
      <w:pPr>
        <w:pStyle w:val="ListBullet"/>
        <w:numPr>
          <w:ilvl w:val="0"/>
          <w:numId w:val="3"/>
        </w:numPr>
      </w:pPr>
      <w:r w:rsidRPr="009B04B7">
        <w:t>extent of the distribution</w:t>
      </w:r>
    </w:p>
    <w:p w14:paraId="1157DA33" w14:textId="77777777" w:rsidR="004053DB" w:rsidRPr="009B04B7" w:rsidRDefault="004053DB" w:rsidP="004053DB">
      <w:pPr>
        <w:pStyle w:val="ListBullet"/>
        <w:numPr>
          <w:ilvl w:val="0"/>
          <w:numId w:val="3"/>
        </w:numPr>
      </w:pPr>
      <w:r w:rsidRPr="009B04B7">
        <w:t>potential risks to a user because of the issue</w:t>
      </w:r>
    </w:p>
    <w:p w14:paraId="725A99E3" w14:textId="77777777" w:rsidR="004053DB" w:rsidRPr="009B04B7" w:rsidRDefault="004053DB" w:rsidP="004053DB">
      <w:pPr>
        <w:pStyle w:val="ListBullet"/>
        <w:numPr>
          <w:ilvl w:val="0"/>
          <w:numId w:val="3"/>
        </w:numPr>
      </w:pPr>
      <w:r w:rsidRPr="009B04B7">
        <w:t>likelihood of the issue with the goods occurring</w:t>
      </w:r>
    </w:p>
    <w:p w14:paraId="18CE7E9F" w14:textId="77777777" w:rsidR="004053DB" w:rsidRPr="009B04B7" w:rsidRDefault="004053DB" w:rsidP="004053DB">
      <w:pPr>
        <w:pStyle w:val="ListBullet"/>
        <w:numPr>
          <w:ilvl w:val="0"/>
          <w:numId w:val="3"/>
        </w:numPr>
      </w:pPr>
      <w:r w:rsidRPr="009B04B7">
        <w:t>ability of the consumer, health professional or caregiver to identify the issue</w:t>
      </w:r>
    </w:p>
    <w:p w14:paraId="44DC55A1" w14:textId="77777777" w:rsidR="004053DB" w:rsidRPr="009B04B7" w:rsidRDefault="004053DB" w:rsidP="004053DB">
      <w:pPr>
        <w:pStyle w:val="ListBullet"/>
        <w:numPr>
          <w:ilvl w:val="0"/>
          <w:numId w:val="3"/>
        </w:numPr>
      </w:pPr>
      <w:r w:rsidRPr="009B04B7">
        <w:t>whether the good is outside the manufacturer's specifications</w:t>
      </w:r>
    </w:p>
    <w:p w14:paraId="53CDE059" w14:textId="77777777" w:rsidR="004053DB" w:rsidRPr="009B04B7" w:rsidRDefault="004053DB" w:rsidP="004053DB">
      <w:pPr>
        <w:pStyle w:val="ListBullet"/>
        <w:numPr>
          <w:ilvl w:val="0"/>
          <w:numId w:val="3"/>
        </w:numPr>
      </w:pPr>
      <w:r w:rsidRPr="009B04B7">
        <w:t>availability of a replacement or alternative good, or the risk associated with not providing treatment if a replacement or alternative good is not available</w:t>
      </w:r>
    </w:p>
    <w:p w14:paraId="1C248E86" w14:textId="77777777" w:rsidR="004053DB" w:rsidRPr="009B04B7" w:rsidRDefault="004053DB" w:rsidP="004053DB">
      <w:pPr>
        <w:pStyle w:val="ListBullet"/>
        <w:numPr>
          <w:ilvl w:val="0"/>
          <w:numId w:val="3"/>
        </w:numPr>
      </w:pPr>
      <w:r w:rsidRPr="009B04B7">
        <w:t>whether a recall (if a medicine) will cause a medicine shortage.</w:t>
      </w:r>
    </w:p>
    <w:p w14:paraId="377835F3" w14:textId="2C110FFA" w:rsidR="00E12AA6" w:rsidRPr="009B04B7" w:rsidRDefault="00B46000" w:rsidP="007C03D1">
      <w:pPr>
        <w:keepNext/>
        <w:keepLines/>
      </w:pPr>
      <w:r w:rsidRPr="009B04B7">
        <w:lastRenderedPageBreak/>
        <w:t xml:space="preserve">Throughout 2019-20, some of the more notable </w:t>
      </w:r>
      <w:r w:rsidR="00E12AA6">
        <w:t>recall</w:t>
      </w:r>
      <w:r w:rsidR="00E23970">
        <w:t xml:space="preserve"> action</w:t>
      </w:r>
      <w:r w:rsidR="00E12AA6">
        <w:t>s included the following:</w:t>
      </w:r>
    </w:p>
    <w:p w14:paraId="03B6C688" w14:textId="77777777" w:rsidR="00B46000" w:rsidRPr="00567CAF" w:rsidRDefault="00B46000" w:rsidP="007C03D1">
      <w:pPr>
        <w:pStyle w:val="ListBullet"/>
        <w:keepNext/>
        <w:keepLines/>
        <w:spacing w:before="240"/>
        <w:ind w:left="357" w:hanging="357"/>
        <w:rPr>
          <w:b/>
        </w:rPr>
      </w:pPr>
      <w:r w:rsidRPr="00567CAF">
        <w:rPr>
          <w:b/>
        </w:rPr>
        <w:t>Jin Gui Shen Qi Wan (oral pills) – 5 September 2019</w:t>
      </w:r>
    </w:p>
    <w:p w14:paraId="15EB13AB" w14:textId="77777777" w:rsidR="00B46000" w:rsidRPr="00567CAF" w:rsidRDefault="00B46000" w:rsidP="007C03D1">
      <w:pPr>
        <w:pStyle w:val="ListBullet"/>
        <w:keepNext/>
        <w:keepLines/>
        <w:numPr>
          <w:ilvl w:val="0"/>
          <w:numId w:val="0"/>
        </w:numPr>
        <w:ind w:left="360"/>
        <w:rPr>
          <w:i/>
        </w:rPr>
      </w:pPr>
      <w:r w:rsidRPr="00567CAF">
        <w:rPr>
          <w:i/>
        </w:rPr>
        <w:t>Class I, Consumer Level Recall</w:t>
      </w:r>
    </w:p>
    <w:p w14:paraId="3373BBFB" w14:textId="2D4E9852" w:rsidR="005A67C5" w:rsidRDefault="00B46000" w:rsidP="007C03D1">
      <w:pPr>
        <w:pStyle w:val="ListBullet"/>
        <w:keepNext/>
        <w:keepLines/>
        <w:numPr>
          <w:ilvl w:val="0"/>
          <w:numId w:val="0"/>
        </w:numPr>
        <w:ind w:left="360"/>
      </w:pPr>
      <w:r>
        <w:t xml:space="preserve">TGA Laboratory testing found toxic aconitum alkaloids being present at a level placing the product into Schedule 4 </w:t>
      </w:r>
      <w:r w:rsidR="00275F02">
        <w:t xml:space="preserve">(“prescription-only medicine”) </w:t>
      </w:r>
      <w:r>
        <w:t>of the Standard for the Uniform Scheduling of Medicines and Poisons (SUSMP), including for use in adults. Aconitum alkaloids are toxic to humans. Poisoning with these compounds may affect the heart, the nervous system and the gastrointestinal system. Children are particularly at risk, as toxicity can occur at normal doses of Jin Gui Shen Qi Wan pills. An accidental overdose c</w:t>
      </w:r>
      <w:r w:rsidR="005A67C5">
        <w:t>ould be fatal in a small child.</w:t>
      </w:r>
    </w:p>
    <w:p w14:paraId="0C037081" w14:textId="159A3D0E" w:rsidR="005A67C5" w:rsidRPr="009B04B7" w:rsidRDefault="00B46000" w:rsidP="00B46000">
      <w:pPr>
        <w:pStyle w:val="ListBullet"/>
        <w:numPr>
          <w:ilvl w:val="0"/>
          <w:numId w:val="0"/>
        </w:numPr>
        <w:ind w:left="360"/>
      </w:pPr>
      <w:r>
        <w:t>The labelling of AUST L 217716 does not restrict the medicine’s use to adults, which is a requirement for exemption from Schedule 4 of the SUSMP. Instead, the labelling states ‘Not to be used in children under two years of age without medical advice’, which promotes unrestricted use in children aged two years and above.</w:t>
      </w:r>
      <w:r w:rsidR="00275F02">
        <w:t xml:space="preserve"> These pills were subsequently cancelled from the Australian Register of Therapeutic Goods (</w:t>
      </w:r>
      <w:r w:rsidR="00275F02" w:rsidRPr="00275F02">
        <w:t>date of effect – 16 January 2020</w:t>
      </w:r>
      <w:r w:rsidR="00275F02">
        <w:t>)</w:t>
      </w:r>
      <w:r w:rsidR="00275F02" w:rsidRPr="00275F02">
        <w:t xml:space="preserve"> </w:t>
      </w:r>
      <w:r w:rsidR="00275F02">
        <w:t>as it was determined the goods were not eligible for listing.</w:t>
      </w:r>
    </w:p>
    <w:p w14:paraId="1AB551D5" w14:textId="77777777" w:rsidR="00B46000" w:rsidRPr="00567CAF" w:rsidRDefault="00B46000" w:rsidP="00E12AA6">
      <w:pPr>
        <w:pStyle w:val="ListBullet"/>
        <w:spacing w:before="240"/>
        <w:ind w:left="357" w:hanging="357"/>
        <w:rPr>
          <w:b/>
        </w:rPr>
      </w:pPr>
      <w:r w:rsidRPr="00567CAF">
        <w:rPr>
          <w:b/>
        </w:rPr>
        <w:t>Ranitidine (multiple products and sponsors) – September 2019, October 2019 and April 2020</w:t>
      </w:r>
    </w:p>
    <w:p w14:paraId="39110782" w14:textId="1F3A0F63" w:rsidR="00B46000" w:rsidRPr="0080119B" w:rsidRDefault="00B46000" w:rsidP="00B46000">
      <w:pPr>
        <w:pStyle w:val="ListBullet"/>
        <w:numPr>
          <w:ilvl w:val="0"/>
          <w:numId w:val="0"/>
        </w:numPr>
        <w:ind w:left="360"/>
        <w:rPr>
          <w:i/>
        </w:rPr>
      </w:pPr>
      <w:r>
        <w:rPr>
          <w:i/>
        </w:rPr>
        <w:t>Mu</w:t>
      </w:r>
      <w:r w:rsidR="001063C1">
        <w:rPr>
          <w:i/>
        </w:rPr>
        <w:t>l</w:t>
      </w:r>
      <w:r>
        <w:rPr>
          <w:i/>
        </w:rPr>
        <w:t>tipl</w:t>
      </w:r>
      <w:r w:rsidR="001063C1">
        <w:rPr>
          <w:i/>
        </w:rPr>
        <w:t>e</w:t>
      </w:r>
      <w:r>
        <w:rPr>
          <w:i/>
        </w:rPr>
        <w:t xml:space="preserve"> </w:t>
      </w:r>
      <w:r w:rsidRPr="0080119B">
        <w:rPr>
          <w:i/>
        </w:rPr>
        <w:t>Class II, Retail Level Recalls</w:t>
      </w:r>
    </w:p>
    <w:p w14:paraId="5D59E9BB" w14:textId="77777777" w:rsidR="00B46000" w:rsidRDefault="00B46000" w:rsidP="00B46000">
      <w:pPr>
        <w:pStyle w:val="ListBullet"/>
        <w:numPr>
          <w:ilvl w:val="0"/>
          <w:numId w:val="0"/>
        </w:numPr>
        <w:ind w:left="360"/>
      </w:pPr>
      <w:r>
        <w:t>Several ranitidine-containing products were removed from the Australian market due to contamination with an impurity called N‑nitrosodimethylamine (NDMA).</w:t>
      </w:r>
    </w:p>
    <w:p w14:paraId="5D688D2A" w14:textId="77777777" w:rsidR="00B46000" w:rsidRDefault="00B46000" w:rsidP="00B46000">
      <w:pPr>
        <w:pStyle w:val="ListBullet"/>
        <w:numPr>
          <w:ilvl w:val="0"/>
          <w:numId w:val="0"/>
        </w:numPr>
        <w:ind w:left="360"/>
      </w:pPr>
      <w:r>
        <w:t>NDMA is a type of N-nitroso compound. N-nitroso compounds are commonly found in low levels in a variety of foods, particularly smoked and cured meats, as well as in some drinking water and in air pollution. Long-term exposure, over years, can increase an individual's risk of developing cancer.</w:t>
      </w:r>
    </w:p>
    <w:p w14:paraId="0EFC631F" w14:textId="77777777" w:rsidR="00B46000" w:rsidRDefault="00B46000" w:rsidP="00B46000">
      <w:pPr>
        <w:pStyle w:val="ListBullet"/>
        <w:numPr>
          <w:ilvl w:val="0"/>
          <w:numId w:val="0"/>
        </w:numPr>
        <w:ind w:left="360"/>
      </w:pPr>
      <w:r>
        <w:t>The additional risk posed by NDMA from ranitidine, at the levels identified to date, is considered to be very low. However, such contamination is considered unacceptable for a medicine. The actual health risks depend on dose and will vary from person to person. The risks from short-term use of ranitidine are expected to be extremely low.</w:t>
      </w:r>
    </w:p>
    <w:p w14:paraId="03734E18" w14:textId="77777777" w:rsidR="00B46000" w:rsidRDefault="00B46000" w:rsidP="00B46000">
      <w:pPr>
        <w:pStyle w:val="ListBullet"/>
        <w:numPr>
          <w:ilvl w:val="0"/>
          <w:numId w:val="0"/>
        </w:numPr>
        <w:ind w:left="360"/>
      </w:pPr>
      <w:r>
        <w:t xml:space="preserve">Ranitidine tablets and oral liquids are now in short supply as a number of commonly-used brands have been recalled from pharmacies, hospitals, wholesalers, and other retail outlets, such as supermarkets and online stores. </w:t>
      </w:r>
    </w:p>
    <w:p w14:paraId="623297AC" w14:textId="77777777" w:rsidR="00B46000" w:rsidRDefault="00B46000" w:rsidP="00E12AA6">
      <w:pPr>
        <w:pStyle w:val="ListBullet"/>
        <w:spacing w:before="240"/>
        <w:ind w:left="357" w:hanging="357"/>
        <w:rPr>
          <w:b/>
        </w:rPr>
      </w:pPr>
      <w:r w:rsidRPr="00567CAF">
        <w:rPr>
          <w:b/>
        </w:rPr>
        <w:t>Arthrem capsules – 19 September 2019</w:t>
      </w:r>
    </w:p>
    <w:p w14:paraId="49F18DE8" w14:textId="77777777" w:rsidR="00B46000" w:rsidRPr="00567CAF" w:rsidRDefault="00B46000" w:rsidP="00B46000">
      <w:pPr>
        <w:ind w:left="360"/>
        <w:rPr>
          <w:i/>
        </w:rPr>
      </w:pPr>
      <w:r w:rsidRPr="00567CAF">
        <w:rPr>
          <w:i/>
        </w:rPr>
        <w:t>Class II, Retail Level Recall</w:t>
      </w:r>
    </w:p>
    <w:p w14:paraId="444E1A10" w14:textId="77777777" w:rsidR="007C03D1" w:rsidRDefault="00B46000" w:rsidP="00B46000">
      <w:pPr>
        <w:ind w:left="360"/>
      </w:pPr>
      <w:r>
        <w:t xml:space="preserve">Arthrem Capsules have been identified as a possible cause of abnormal hepatic function and </w:t>
      </w:r>
      <w:r w:rsidR="00E23970">
        <w:t xml:space="preserve">the product </w:t>
      </w:r>
      <w:r w:rsidR="005112F9">
        <w:t xml:space="preserve">was </w:t>
      </w:r>
      <w:r w:rsidR="00E23970">
        <w:t xml:space="preserve">therefore </w:t>
      </w:r>
      <w:r>
        <w:t>removed from sale.</w:t>
      </w:r>
    </w:p>
    <w:p w14:paraId="38C37564" w14:textId="77777777" w:rsidR="007C03D1" w:rsidRDefault="00B46000" w:rsidP="00B46000">
      <w:pPr>
        <w:ind w:left="360"/>
      </w:pPr>
      <w:r>
        <w:t xml:space="preserve">The health risk associated with this issue </w:t>
      </w:r>
      <w:r w:rsidR="005A67C5">
        <w:t>was</w:t>
      </w:r>
      <w:r>
        <w:t xml:space="preserve"> highlighted following a review of adverse reactions experienced by users in New Zealand. The adverse reactions range from reports of increased liver enzymes to jaundice and hepatitis.</w:t>
      </w:r>
    </w:p>
    <w:p w14:paraId="52DDD0C0" w14:textId="2236EB1E" w:rsidR="00B46000" w:rsidRPr="00567CAF" w:rsidRDefault="00B46000" w:rsidP="00B46000">
      <w:pPr>
        <w:ind w:left="360"/>
        <w:rPr>
          <w:b/>
        </w:rPr>
      </w:pPr>
      <w:r>
        <w:t>At the time of recall, there had been no adverse events reported in Australia.</w:t>
      </w:r>
    </w:p>
    <w:p w14:paraId="2B942E82" w14:textId="747D4E32" w:rsidR="00B46000" w:rsidRPr="00567CAF" w:rsidRDefault="00127BDB" w:rsidP="007C03D1">
      <w:pPr>
        <w:pStyle w:val="ListBullet"/>
        <w:keepNext/>
        <w:spacing w:before="240"/>
        <w:ind w:left="357" w:hanging="357"/>
        <w:rPr>
          <w:b/>
        </w:rPr>
      </w:pPr>
      <w:r>
        <w:rPr>
          <w:b/>
        </w:rPr>
        <w:lastRenderedPageBreak/>
        <w:t>B</w:t>
      </w:r>
      <w:r w:rsidR="00B46000" w:rsidRPr="00567CAF">
        <w:rPr>
          <w:b/>
        </w:rPr>
        <w:t>reast implants and breast tissue expanders (multiple products and sponsors) – September 2019, November 2019 and May 2020</w:t>
      </w:r>
    </w:p>
    <w:p w14:paraId="6EC905F8" w14:textId="77777777" w:rsidR="00B46000" w:rsidRPr="0080119B" w:rsidRDefault="00B46000" w:rsidP="00B46000">
      <w:pPr>
        <w:pStyle w:val="ListBullet"/>
        <w:numPr>
          <w:ilvl w:val="0"/>
          <w:numId w:val="0"/>
        </w:numPr>
        <w:ind w:left="360"/>
        <w:rPr>
          <w:bCs/>
          <w:i/>
        </w:rPr>
      </w:pPr>
      <w:r w:rsidRPr="0080119B">
        <w:rPr>
          <w:bCs/>
          <w:i/>
        </w:rPr>
        <w:t>Multiply Class I, Hospital Level Hazard Alerts and</w:t>
      </w:r>
      <w:r>
        <w:rPr>
          <w:bCs/>
          <w:i/>
        </w:rPr>
        <w:t>/or</w:t>
      </w:r>
      <w:r w:rsidRPr="0080119B">
        <w:rPr>
          <w:bCs/>
          <w:i/>
        </w:rPr>
        <w:t xml:space="preserve"> Recalls</w:t>
      </w:r>
    </w:p>
    <w:p w14:paraId="30F6E5A5" w14:textId="2A29C32C" w:rsidR="00B46000" w:rsidRDefault="00B46000" w:rsidP="00B46000">
      <w:pPr>
        <w:pStyle w:val="ListBullet"/>
        <w:numPr>
          <w:ilvl w:val="0"/>
          <w:numId w:val="0"/>
        </w:numPr>
        <w:ind w:left="360"/>
        <w:rPr>
          <w:bCs/>
        </w:rPr>
      </w:pPr>
      <w:r w:rsidRPr="00A726BE">
        <w:rPr>
          <w:bCs/>
        </w:rPr>
        <w:t xml:space="preserve">Recalls of unimplanted stock and/or Hazard Alerts </w:t>
      </w:r>
      <w:r w:rsidR="00127BDB">
        <w:rPr>
          <w:bCs/>
        </w:rPr>
        <w:t xml:space="preserve">for macro- and micro-textured implants and smooth implants </w:t>
      </w:r>
      <w:r w:rsidRPr="00A726BE">
        <w:rPr>
          <w:bCs/>
        </w:rPr>
        <w:t>were issued following the recent TGA evaluation suggesting there is an increased risk of Breast Implant Associated Anaplastic Large Cell Lymphoma (BIA-ALCL).</w:t>
      </w:r>
    </w:p>
    <w:p w14:paraId="0AD4A9CF" w14:textId="77777777" w:rsidR="00B46000" w:rsidRDefault="00B46000" w:rsidP="00B46000">
      <w:pPr>
        <w:pStyle w:val="ListBullet"/>
        <w:numPr>
          <w:ilvl w:val="0"/>
          <w:numId w:val="0"/>
        </w:numPr>
        <w:ind w:left="360"/>
      </w:pPr>
      <w:r w:rsidRPr="0080119B">
        <w:t>The Hazard Alerts, as well as TGA web publications, advised implanted patients if they have breast implants and notice swelling or a lump in their breast or armpit, or have any other concerns with the implants, they should seek medical attention.</w:t>
      </w:r>
    </w:p>
    <w:p w14:paraId="125DCD45" w14:textId="238C9647" w:rsidR="00B46000" w:rsidRPr="009B04B7" w:rsidRDefault="00B46000" w:rsidP="00B46000">
      <w:pPr>
        <w:pStyle w:val="ListBullet"/>
        <w:numPr>
          <w:ilvl w:val="0"/>
          <w:numId w:val="0"/>
        </w:numPr>
        <w:ind w:left="360"/>
      </w:pPr>
      <w:r w:rsidRPr="0080119B">
        <w:t>Implanting surgeons were advised by the sponsors to be alert to this issue and also requested to review the relevant literature in the context of their particular patients on a case-by-case basis.</w:t>
      </w:r>
    </w:p>
    <w:p w14:paraId="33988A83" w14:textId="77777777" w:rsidR="00B46000" w:rsidRPr="00567CAF" w:rsidRDefault="00B46000" w:rsidP="00E12AA6">
      <w:pPr>
        <w:pStyle w:val="ListBullet"/>
        <w:spacing w:before="240"/>
        <w:ind w:left="357" w:hanging="357"/>
        <w:rPr>
          <w:b/>
        </w:rPr>
      </w:pPr>
      <w:r w:rsidRPr="00567CAF">
        <w:rPr>
          <w:b/>
        </w:rPr>
        <w:t>Accu-Chek Guide and Accu-Chek Performa blood glucose meters - Product defect correction – 14 November 2019</w:t>
      </w:r>
    </w:p>
    <w:p w14:paraId="7E069123" w14:textId="77777777" w:rsidR="00B46000" w:rsidRPr="00567CAF" w:rsidRDefault="00B46000" w:rsidP="00B46000">
      <w:pPr>
        <w:ind w:left="360"/>
        <w:rPr>
          <w:i/>
        </w:rPr>
      </w:pPr>
      <w:r w:rsidRPr="00567CAF">
        <w:rPr>
          <w:i/>
        </w:rPr>
        <w:t>Class II, Consumer Level Product Defect Correction</w:t>
      </w:r>
    </w:p>
    <w:p w14:paraId="5CFAEBD7" w14:textId="665C7B8C" w:rsidR="00B46000" w:rsidRDefault="00B46000" w:rsidP="00B46000">
      <w:pPr>
        <w:ind w:left="360"/>
      </w:pPr>
      <w:r>
        <w:t>Roche Diabetes Care identified that the Accu-Chek Guide and Performa blood glucose meters may show the following power-related issues: Display E-9 Errors (indicating batteries need to be replaced), unexpectedly show the low battery icon, have unexpected short battery life,</w:t>
      </w:r>
      <w:r w:rsidR="00E40212">
        <w:t xml:space="preserve"> </w:t>
      </w:r>
      <w:r>
        <w:t>and not power on.</w:t>
      </w:r>
    </w:p>
    <w:p w14:paraId="44189D3C" w14:textId="59E2EA6E" w:rsidR="00B46000" w:rsidRPr="009B04B7" w:rsidRDefault="00B46000" w:rsidP="00E12AA6">
      <w:pPr>
        <w:ind w:left="360"/>
      </w:pPr>
      <w:r w:rsidRPr="004C0D1B">
        <w:t>These failures could cause a delay in therapy decisions and may potentially lead to a serious medical condition.</w:t>
      </w:r>
      <w:r>
        <w:t xml:space="preserve"> </w:t>
      </w:r>
      <w:r w:rsidRPr="004C0D1B">
        <w:t>Roche advised customers to follow the instructions provided in the customer letter and the following warnings:</w:t>
      </w:r>
      <w:r w:rsidRPr="00A726BE">
        <w:t xml:space="preserve"> </w:t>
      </w:r>
      <w:r w:rsidRPr="004C0D1B">
        <w:t>Always have a spare set of high quality batteries, battery life may vary due to factors such as temperature, and have a back-up testing method available.</w:t>
      </w:r>
    </w:p>
    <w:p w14:paraId="7F54F2C4" w14:textId="77777777" w:rsidR="00B46000" w:rsidRPr="00567CAF" w:rsidRDefault="00B46000" w:rsidP="00E12AA6">
      <w:pPr>
        <w:pStyle w:val="ListBullet"/>
        <w:spacing w:before="240"/>
        <w:ind w:left="357" w:hanging="357"/>
        <w:rPr>
          <w:b/>
        </w:rPr>
      </w:pPr>
      <w:r w:rsidRPr="00567CAF">
        <w:rPr>
          <w:b/>
        </w:rPr>
        <w:t>Brauer Teething Gel – Recall – 29 November 2019</w:t>
      </w:r>
    </w:p>
    <w:p w14:paraId="78F23F96" w14:textId="77777777" w:rsidR="00B46000" w:rsidRPr="004C0D1B" w:rsidRDefault="00B46000" w:rsidP="00B46000">
      <w:pPr>
        <w:pStyle w:val="ListBullet"/>
        <w:numPr>
          <w:ilvl w:val="0"/>
          <w:numId w:val="0"/>
        </w:numPr>
        <w:ind w:left="360"/>
        <w:rPr>
          <w:i/>
        </w:rPr>
      </w:pPr>
      <w:r w:rsidRPr="004C0D1B">
        <w:rPr>
          <w:i/>
        </w:rPr>
        <w:t>Class I, Consumer Level Recall</w:t>
      </w:r>
    </w:p>
    <w:p w14:paraId="007E5D66" w14:textId="73B9B228" w:rsidR="00B46000" w:rsidRDefault="00B46000" w:rsidP="00B46000">
      <w:pPr>
        <w:pStyle w:val="ListBullet"/>
        <w:numPr>
          <w:ilvl w:val="0"/>
          <w:numId w:val="0"/>
        </w:numPr>
        <w:ind w:left="360"/>
      </w:pPr>
      <w:r w:rsidRPr="004C0D1B">
        <w:t>Consum</w:t>
      </w:r>
      <w:r>
        <w:t>ers and health professionals were</w:t>
      </w:r>
      <w:r w:rsidRPr="004C0D1B">
        <w:t xml:space="preserve"> advis</w:t>
      </w:r>
      <w:r>
        <w:t>ed that Brauer Natural Medicine</w:t>
      </w:r>
      <w:r w:rsidRPr="004C0D1B">
        <w:t xml:space="preserve"> recall</w:t>
      </w:r>
      <w:r>
        <w:t xml:space="preserve">ed </w:t>
      </w:r>
      <w:r w:rsidRPr="004C0D1B">
        <w:t xml:space="preserve">one </w:t>
      </w:r>
      <w:r w:rsidR="00E40212">
        <w:t xml:space="preserve">batch of Brauer Teething Gel 20 </w:t>
      </w:r>
      <w:r w:rsidRPr="004C0D1B">
        <w:t>g due to bacterial contamination.</w:t>
      </w:r>
    </w:p>
    <w:p w14:paraId="0AD1C7EF" w14:textId="77777777" w:rsidR="00B46000" w:rsidRDefault="00B46000" w:rsidP="00B46000">
      <w:pPr>
        <w:pStyle w:val="ListBullet"/>
        <w:numPr>
          <w:ilvl w:val="0"/>
          <w:numId w:val="0"/>
        </w:numPr>
        <w:ind w:left="360"/>
      </w:pPr>
      <w:r w:rsidRPr="004C0D1B">
        <w:t>Brauer Teething Gel is used to reduce the discomfort caused by teething in babies.</w:t>
      </w:r>
    </w:p>
    <w:p w14:paraId="2CEFBFF1" w14:textId="1135694A" w:rsidR="00B46000" w:rsidRPr="009B04B7" w:rsidRDefault="00B46000" w:rsidP="00B46000">
      <w:pPr>
        <w:pStyle w:val="ListBullet"/>
        <w:numPr>
          <w:ilvl w:val="0"/>
          <w:numId w:val="0"/>
        </w:numPr>
        <w:ind w:left="360"/>
      </w:pPr>
      <w:r w:rsidRPr="004C0D1B">
        <w:t xml:space="preserve">Testing found that some samples from this batch </w:t>
      </w:r>
      <w:r w:rsidR="00127BDB">
        <w:t>were</w:t>
      </w:r>
      <w:r w:rsidR="005112F9">
        <w:t xml:space="preserve"> </w:t>
      </w:r>
      <w:r w:rsidRPr="004C0D1B">
        <w:t xml:space="preserve">contaminated with </w:t>
      </w:r>
      <w:r w:rsidRPr="005112F9">
        <w:rPr>
          <w:i/>
        </w:rPr>
        <w:t>Burkholderia</w:t>
      </w:r>
      <w:r w:rsidR="00127BDB" w:rsidRPr="005112F9">
        <w:rPr>
          <w:i/>
        </w:rPr>
        <w:t xml:space="preserve"> spp</w:t>
      </w:r>
      <w:r w:rsidRPr="004C0D1B">
        <w:t>, a bacteria commonly found in soil, water and the general environment. They are capable of causing infections in healthy hosts, but in particular affect those with compromised immune systems. These bacteria can be also spread through person-to-person contact.</w:t>
      </w:r>
    </w:p>
    <w:p w14:paraId="04A354A9" w14:textId="0D2F6F95" w:rsidR="00B46000" w:rsidRPr="00567CAF" w:rsidRDefault="00B46000" w:rsidP="00E12AA6">
      <w:pPr>
        <w:pStyle w:val="ListBullet"/>
        <w:spacing w:before="240"/>
        <w:ind w:left="357" w:hanging="357"/>
        <w:rPr>
          <w:b/>
        </w:rPr>
      </w:pPr>
      <w:r w:rsidRPr="00567CAF">
        <w:rPr>
          <w:b/>
        </w:rPr>
        <w:t>Palexia SR 100 mg tapentadol sustained release tablets – 14 February 2020</w:t>
      </w:r>
    </w:p>
    <w:p w14:paraId="08F399E6" w14:textId="77777777" w:rsidR="00B46000" w:rsidRPr="00346B83" w:rsidRDefault="00B46000" w:rsidP="00B46000">
      <w:pPr>
        <w:pStyle w:val="ListBullet"/>
        <w:numPr>
          <w:ilvl w:val="0"/>
          <w:numId w:val="0"/>
        </w:numPr>
        <w:ind w:left="360"/>
        <w:rPr>
          <w:i/>
        </w:rPr>
      </w:pPr>
      <w:r w:rsidRPr="00346B83">
        <w:rPr>
          <w:i/>
        </w:rPr>
        <w:t>Class II, Consumer Level Product Defect Correction</w:t>
      </w:r>
    </w:p>
    <w:p w14:paraId="0463B4C2" w14:textId="13F73444" w:rsidR="00B46000" w:rsidRPr="008E6AA2" w:rsidRDefault="00B46000" w:rsidP="00B46000">
      <w:pPr>
        <w:pStyle w:val="ListBullet"/>
        <w:numPr>
          <w:ilvl w:val="0"/>
          <w:numId w:val="0"/>
        </w:numPr>
        <w:ind w:left="360"/>
      </w:pPr>
      <w:r w:rsidRPr="008E6AA2">
        <w:t xml:space="preserve">PALEXIA 100 mg SR tablets are packaged in four blister foils contained in a product carton. Printed on the blister foil is the name and strength of the product along with </w:t>
      </w:r>
      <w:r w:rsidR="00127BDB">
        <w:t>b</w:t>
      </w:r>
      <w:r w:rsidRPr="008E6AA2">
        <w:t xml:space="preserve">atch </w:t>
      </w:r>
      <w:r w:rsidR="00127BDB">
        <w:t xml:space="preserve">number </w:t>
      </w:r>
      <w:r w:rsidRPr="008E6AA2">
        <w:t xml:space="preserve">and expiry </w:t>
      </w:r>
      <w:r w:rsidR="00127BDB">
        <w:t xml:space="preserve">date </w:t>
      </w:r>
      <w:r w:rsidRPr="008E6AA2">
        <w:t>details. There is a possibility that some blisters of PALEXIA 100 mg SR tablets may have these details missing or the print appears faded or partially absent. This anomaly will not be evident until the product carton is opened a</w:t>
      </w:r>
      <w:r>
        <w:t xml:space="preserve">nd the blister foil inspected. </w:t>
      </w:r>
    </w:p>
    <w:p w14:paraId="001A280C" w14:textId="461EC664" w:rsidR="00B46000" w:rsidRPr="008E6AA2" w:rsidRDefault="00B46000" w:rsidP="00B46000">
      <w:pPr>
        <w:pStyle w:val="ListBullet"/>
        <w:numPr>
          <w:ilvl w:val="0"/>
          <w:numId w:val="0"/>
        </w:numPr>
        <w:ind w:left="360"/>
      </w:pPr>
      <w:r w:rsidRPr="008E6AA2">
        <w:t>Seqirus confirm</w:t>
      </w:r>
      <w:r w:rsidR="00127BDB">
        <w:t>ed</w:t>
      </w:r>
      <w:r w:rsidRPr="008E6AA2">
        <w:t xml:space="preserve"> there </w:t>
      </w:r>
      <w:r w:rsidR="00127BDB">
        <w:t>wa</w:t>
      </w:r>
      <w:r w:rsidRPr="008E6AA2">
        <w:t>s no defect with the quality, safety o</w:t>
      </w:r>
      <w:r w:rsidR="00127BDB">
        <w:t>r</w:t>
      </w:r>
      <w:r w:rsidRPr="008E6AA2">
        <w:t xml:space="preserve"> effi</w:t>
      </w:r>
      <w:r>
        <w:t>cacy of the tablets themselves.</w:t>
      </w:r>
    </w:p>
    <w:p w14:paraId="5061153E" w14:textId="6B7ABBDA" w:rsidR="00B46000" w:rsidRPr="009B04B7" w:rsidRDefault="00B46000" w:rsidP="00B46000">
      <w:pPr>
        <w:pStyle w:val="ListBullet"/>
        <w:numPr>
          <w:ilvl w:val="0"/>
          <w:numId w:val="0"/>
        </w:numPr>
        <w:ind w:left="360"/>
      </w:pPr>
      <w:r>
        <w:lastRenderedPageBreak/>
        <w:t xml:space="preserve">This </w:t>
      </w:r>
      <w:r w:rsidR="003B7CD3">
        <w:t xml:space="preserve">Product Defect Correction </w:t>
      </w:r>
      <w:r>
        <w:t>was</w:t>
      </w:r>
      <w:r w:rsidRPr="008E6AA2">
        <w:t xml:space="preserve"> initiated as a precautionary measure as the absence of product information on the blister foil compromises the identity of the product and theoretically presents the risk of a product mix-up and overdose in novel circumstances where a patient may be using more than one strength of this product at the same time.</w:t>
      </w:r>
    </w:p>
    <w:p w14:paraId="3778BE91" w14:textId="77777777" w:rsidR="00B46000" w:rsidRPr="00567CAF" w:rsidRDefault="00B46000" w:rsidP="00E12AA6">
      <w:pPr>
        <w:pStyle w:val="ListBullet"/>
        <w:spacing w:before="240"/>
        <w:ind w:left="357" w:hanging="357"/>
        <w:rPr>
          <w:b/>
        </w:rPr>
      </w:pPr>
      <w:r w:rsidRPr="00567CAF">
        <w:rPr>
          <w:b/>
        </w:rPr>
        <w:t>Blackmores Professional Duo Celloids S.C.F. tablets – 13 May 2020</w:t>
      </w:r>
    </w:p>
    <w:p w14:paraId="2E33A42F" w14:textId="77777777" w:rsidR="00B46000" w:rsidRPr="00346B83" w:rsidRDefault="00B46000" w:rsidP="00B46000">
      <w:pPr>
        <w:pStyle w:val="ListBullet"/>
        <w:numPr>
          <w:ilvl w:val="0"/>
          <w:numId w:val="0"/>
        </w:numPr>
        <w:ind w:left="360"/>
        <w:rPr>
          <w:i/>
        </w:rPr>
      </w:pPr>
      <w:r w:rsidRPr="00346B83">
        <w:rPr>
          <w:i/>
        </w:rPr>
        <w:t>Class II, Consumer Level Recall</w:t>
      </w:r>
    </w:p>
    <w:p w14:paraId="0E2E5AF2" w14:textId="23684DBD" w:rsidR="00B46000" w:rsidRDefault="00B46000" w:rsidP="00B46000">
      <w:pPr>
        <w:pStyle w:val="ListBullet"/>
        <w:numPr>
          <w:ilvl w:val="0"/>
          <w:numId w:val="0"/>
        </w:numPr>
        <w:ind w:left="360"/>
      </w:pPr>
      <w:r>
        <w:t xml:space="preserve">A number of batches of Blackmores Professional Duo Celloids S.C.F. Tablets </w:t>
      </w:r>
      <w:r w:rsidR="00E40212">
        <w:t>were</w:t>
      </w:r>
      <w:r>
        <w:t xml:space="preserve"> identified via consumer complaints as having microbial mould growth appearing on tableted product. This appears to </w:t>
      </w:r>
      <w:r w:rsidR="004C741B">
        <w:t xml:space="preserve">have occurred </w:t>
      </w:r>
      <w:r>
        <w:t xml:space="preserve">after some time in storage and </w:t>
      </w:r>
      <w:r w:rsidR="004C741B">
        <w:t xml:space="preserve">was </w:t>
      </w:r>
      <w:r>
        <w:t>visible to the naked eye as black or brown patchy spots.</w:t>
      </w:r>
    </w:p>
    <w:p w14:paraId="2363AE69" w14:textId="5871D20E" w:rsidR="00B46000" w:rsidRPr="009B04B7" w:rsidRDefault="00B46000" w:rsidP="00B46000">
      <w:pPr>
        <w:pStyle w:val="ListBullet"/>
        <w:numPr>
          <w:ilvl w:val="0"/>
          <w:numId w:val="0"/>
        </w:numPr>
        <w:ind w:left="360"/>
      </w:pPr>
      <w:r>
        <w:t>At the time of recall, no adverse events ha</w:t>
      </w:r>
      <w:r w:rsidR="00127BDB">
        <w:t>d</w:t>
      </w:r>
      <w:r>
        <w:t xml:space="preserve"> been reported in relation to this issue.</w:t>
      </w:r>
    </w:p>
    <w:p w14:paraId="3DE5CCA0" w14:textId="636C6A0C" w:rsidR="004053DB" w:rsidRPr="009B04B7" w:rsidRDefault="004053DB" w:rsidP="004053DB">
      <w:pPr>
        <w:rPr>
          <w:bCs/>
        </w:rPr>
      </w:pPr>
      <w:r w:rsidRPr="009B04B7">
        <w:rPr>
          <w:bCs/>
        </w:rPr>
        <w:t xml:space="preserve">Recalls related web statements for each of these actions </w:t>
      </w:r>
      <w:r w:rsidR="00AC04B7">
        <w:rPr>
          <w:bCs/>
        </w:rPr>
        <w:t>were</w:t>
      </w:r>
      <w:r w:rsidRPr="009B04B7">
        <w:rPr>
          <w:bCs/>
        </w:rPr>
        <w:t xml:space="preserve"> published on the ‘</w:t>
      </w:r>
      <w:hyperlink r:id="rId29" w:history="1">
        <w:r w:rsidRPr="009B04B7">
          <w:rPr>
            <w:rStyle w:val="Hyperlink"/>
            <w:bCs/>
          </w:rPr>
          <w:t>Alerts</w:t>
        </w:r>
      </w:hyperlink>
      <w:r w:rsidRPr="009B04B7">
        <w:rPr>
          <w:bCs/>
        </w:rPr>
        <w:t xml:space="preserve">’ pages of the TGA website and summary recall information is available from the </w:t>
      </w:r>
      <w:hyperlink r:id="rId30" w:history="1">
        <w:r w:rsidRPr="007C03D1">
          <w:rPr>
            <w:rStyle w:val="Hyperlink"/>
            <w:bCs/>
          </w:rPr>
          <w:t>System of Australian Recall Actions (SARA) database</w:t>
        </w:r>
      </w:hyperlink>
      <w:r w:rsidRPr="009B04B7">
        <w:rPr>
          <w:bCs/>
        </w:rPr>
        <w:t>.</w:t>
      </w:r>
    </w:p>
    <w:p w14:paraId="33E7F609" w14:textId="77777777" w:rsidR="004053DB" w:rsidRPr="009B04B7" w:rsidRDefault="004053DB" w:rsidP="004053DB">
      <w:pPr>
        <w:pStyle w:val="Heading2"/>
      </w:pPr>
      <w:bookmarkStart w:id="26" w:name="_Toc46938478"/>
      <w:bookmarkStart w:id="27" w:name="_Toc55819546"/>
      <w:r w:rsidRPr="009B04B7">
        <w:t>Further information</w:t>
      </w:r>
      <w:bookmarkEnd w:id="26"/>
      <w:bookmarkEnd w:id="27"/>
    </w:p>
    <w:p w14:paraId="64D67DED" w14:textId="77777777" w:rsidR="004053DB" w:rsidRPr="009B04B7" w:rsidRDefault="004053DB" w:rsidP="004053DB">
      <w:pPr>
        <w:rPr>
          <w:lang w:val="en"/>
        </w:rPr>
      </w:pPr>
      <w:r w:rsidRPr="009B04B7">
        <w:rPr>
          <w:lang w:val="en"/>
        </w:rPr>
        <w:t xml:space="preserve">For any further enquiries about Australian recall actions or the URPTG, readers should contact the TGA’s Recalls Section by telephone - </w:t>
      </w:r>
      <w:r w:rsidRPr="009B04B7">
        <w:t xml:space="preserve">02 6232 8935 or via email - </w:t>
      </w:r>
      <w:hyperlink r:id="rId31" w:history="1">
        <w:r w:rsidRPr="009B04B7">
          <w:rPr>
            <w:rStyle w:val="Hyperlink"/>
            <w:lang w:val="en"/>
          </w:rPr>
          <w:t>recalls@health.gov.au</w:t>
        </w:r>
      </w:hyperlink>
      <w:r w:rsidRPr="009B04B7">
        <w:rPr>
          <w:lang w:val="en"/>
        </w:rPr>
        <w:t>.</w:t>
      </w:r>
    </w:p>
    <w:p w14:paraId="0D7FBD3E" w14:textId="77777777" w:rsidR="004053DB" w:rsidRPr="00215D48" w:rsidRDefault="004053DB" w:rsidP="004053DB">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4053DB" w:rsidRPr="00215D48" w14:paraId="39CEAEB9" w14:textId="77777777" w:rsidTr="00063D9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788BAC17" w14:textId="77777777" w:rsidR="004053DB" w:rsidRPr="00215D48" w:rsidRDefault="004053DB" w:rsidP="00063D93">
            <w:r w:rsidRPr="00215D48">
              <w:t>Version</w:t>
            </w:r>
          </w:p>
        </w:tc>
        <w:tc>
          <w:tcPr>
            <w:tcW w:w="3242" w:type="dxa"/>
          </w:tcPr>
          <w:p w14:paraId="2155F3E1" w14:textId="77777777" w:rsidR="004053DB" w:rsidRPr="00215D48" w:rsidRDefault="004053DB" w:rsidP="00063D93">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7979CC96" w14:textId="77777777" w:rsidR="004053DB" w:rsidRPr="00215D48" w:rsidRDefault="004053DB" w:rsidP="00063D93">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50AA8C21" w14:textId="77777777" w:rsidR="004053DB" w:rsidRPr="00215D48" w:rsidRDefault="004053DB" w:rsidP="00063D93">
            <w:pPr>
              <w:cnfStyle w:val="100000000000" w:firstRow="1" w:lastRow="0" w:firstColumn="0" w:lastColumn="0" w:oddVBand="0" w:evenVBand="0" w:oddHBand="0" w:evenHBand="0" w:firstRowFirstColumn="0" w:firstRowLastColumn="0" w:lastRowFirstColumn="0" w:lastRowLastColumn="0"/>
            </w:pPr>
            <w:r w:rsidRPr="00215D48">
              <w:t>Effective date</w:t>
            </w:r>
          </w:p>
        </w:tc>
      </w:tr>
      <w:tr w:rsidR="004053DB" w:rsidRPr="00215D48" w14:paraId="0FC50FAB" w14:textId="77777777" w:rsidTr="004E6F96">
        <w:trPr>
          <w:trHeight w:val="927"/>
        </w:trPr>
        <w:tc>
          <w:tcPr>
            <w:cnfStyle w:val="001000000000" w:firstRow="0" w:lastRow="0" w:firstColumn="1" w:lastColumn="0" w:oddVBand="0" w:evenVBand="0" w:oddHBand="0" w:evenHBand="0" w:firstRowFirstColumn="0" w:firstRowLastColumn="0" w:lastRowFirstColumn="0" w:lastRowLastColumn="0"/>
            <w:tcW w:w="1276" w:type="dxa"/>
          </w:tcPr>
          <w:p w14:paraId="4911B5CA" w14:textId="47497166" w:rsidR="00A10A57" w:rsidRPr="00215D48" w:rsidRDefault="00606F55" w:rsidP="00AF0642">
            <w:r>
              <w:t>V1.0</w:t>
            </w:r>
          </w:p>
        </w:tc>
        <w:tc>
          <w:tcPr>
            <w:tcW w:w="3242" w:type="dxa"/>
          </w:tcPr>
          <w:p w14:paraId="4777E445" w14:textId="4C0B8C99" w:rsidR="004053DB" w:rsidRPr="00215D48" w:rsidRDefault="00AC737E" w:rsidP="00063D93">
            <w:pPr>
              <w:cnfStyle w:val="000000000000" w:firstRow="0" w:lastRow="0" w:firstColumn="0" w:lastColumn="0" w:oddVBand="0" w:evenVBand="0" w:oddHBand="0" w:evenHBand="0" w:firstRowFirstColumn="0" w:firstRowLastColumn="0" w:lastRowFirstColumn="0" w:lastRowLastColumn="0"/>
            </w:pPr>
            <w:r>
              <w:t>Original publication</w:t>
            </w:r>
          </w:p>
        </w:tc>
        <w:tc>
          <w:tcPr>
            <w:tcW w:w="2712" w:type="dxa"/>
          </w:tcPr>
          <w:p w14:paraId="5D7CF565" w14:textId="2B28A991" w:rsidR="004053DB" w:rsidRPr="00215D48" w:rsidRDefault="007C03D1" w:rsidP="00063D93">
            <w:pPr>
              <w:cnfStyle w:val="000000000000" w:firstRow="0" w:lastRow="0" w:firstColumn="0" w:lastColumn="0" w:oddVBand="0" w:evenVBand="0" w:oddHBand="0" w:evenHBand="0" w:firstRowFirstColumn="0" w:firstRowLastColumn="0" w:lastRowFirstColumn="0" w:lastRowLastColumn="0"/>
            </w:pPr>
            <w:r>
              <w:t>Manufacturing Quality Branch</w:t>
            </w:r>
          </w:p>
        </w:tc>
        <w:tc>
          <w:tcPr>
            <w:tcW w:w="1808" w:type="dxa"/>
          </w:tcPr>
          <w:p w14:paraId="1DDF04BA" w14:textId="20F84AFA" w:rsidR="004053DB" w:rsidRPr="00215D48" w:rsidRDefault="007C03D1" w:rsidP="00063D93">
            <w:pPr>
              <w:cnfStyle w:val="000000000000" w:firstRow="0" w:lastRow="0" w:firstColumn="0" w:lastColumn="0" w:oddVBand="0" w:evenVBand="0" w:oddHBand="0" w:evenHBand="0" w:firstRowFirstColumn="0" w:firstRowLastColumn="0" w:lastRowFirstColumn="0" w:lastRowLastColumn="0"/>
            </w:pPr>
            <w:r>
              <w:t xml:space="preserve">November </w:t>
            </w:r>
            <w:r w:rsidR="004053DB">
              <w:t>2020</w:t>
            </w:r>
          </w:p>
        </w:tc>
      </w:tr>
      <w:bookmarkEnd w:id="2"/>
      <w:bookmarkEnd w:id="3"/>
    </w:tbl>
    <w:p w14:paraId="359BF506" w14:textId="20D3D4CC" w:rsidR="00F401EF" w:rsidRPr="004E6F96" w:rsidRDefault="00F401EF" w:rsidP="00706634">
      <w:pPr>
        <w:spacing w:before="0" w:after="0" w:line="240" w:lineRule="auto"/>
        <w:rPr>
          <w:rFonts w:ascii="Arial" w:eastAsia="Times New Roman" w:hAnsi="Arial"/>
          <w:b/>
          <w:bCs/>
          <w:sz w:val="38"/>
          <w:szCs w:val="38"/>
        </w:rPr>
        <w:sectPr w:rsidR="00F401EF" w:rsidRPr="004E6F96" w:rsidSect="0029069E">
          <w:headerReference w:type="default" r:id="rId32"/>
          <w:footerReference w:type="default" r:id="rId33"/>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7CE410E3" w14:textId="77777777" w:rsidTr="00063D93">
        <w:trPr>
          <w:trHeight w:hRule="exact" w:val="565"/>
          <w:jc w:val="center"/>
        </w:trPr>
        <w:tc>
          <w:tcPr>
            <w:tcW w:w="9145" w:type="dxa"/>
          </w:tcPr>
          <w:p w14:paraId="3B13AD17" w14:textId="77777777" w:rsidR="00C50E5C" w:rsidRPr="00215D48" w:rsidRDefault="00C50E5C" w:rsidP="00063D93">
            <w:pPr>
              <w:pStyle w:val="TGASignoff"/>
            </w:pPr>
            <w:r w:rsidRPr="00215D48">
              <w:lastRenderedPageBreak/>
              <w:t>Therapeutic Goods Administration</w:t>
            </w:r>
          </w:p>
        </w:tc>
      </w:tr>
      <w:tr w:rsidR="00C50E5C" w:rsidRPr="00215D48" w14:paraId="3AD03769" w14:textId="77777777" w:rsidTr="00063D93">
        <w:trPr>
          <w:trHeight w:val="963"/>
          <w:jc w:val="center"/>
        </w:trPr>
        <w:tc>
          <w:tcPr>
            <w:tcW w:w="9145" w:type="dxa"/>
            <w:tcMar>
              <w:top w:w="28" w:type="dxa"/>
            </w:tcMar>
          </w:tcPr>
          <w:p w14:paraId="5468C3E2" w14:textId="77777777" w:rsidR="00C50E5C" w:rsidRPr="00215D48" w:rsidRDefault="00C50E5C" w:rsidP="00EB5622">
            <w:pPr>
              <w:pStyle w:val="Address"/>
              <w:jc w:val="center"/>
            </w:pPr>
            <w:r w:rsidRPr="00215D48">
              <w:t>PO Box 100 Woden ACT 2606 Australia</w:t>
            </w:r>
          </w:p>
          <w:p w14:paraId="522F92D6" w14:textId="77777777" w:rsidR="001A3190" w:rsidRDefault="00C50E5C">
            <w:pPr>
              <w:pStyle w:val="Address"/>
              <w:jc w:val="center"/>
              <w:rPr>
                <w:sz w:val="22"/>
                <w:szCs w:val="22"/>
              </w:rPr>
            </w:pPr>
            <w:r w:rsidRPr="00215D48">
              <w:t xml:space="preserve">Email: </w:t>
            </w:r>
            <w:hyperlink r:id="rId34" w:history="1">
              <w:r w:rsidRPr="00215D48">
                <w:rPr>
                  <w:rStyle w:val="Hyperlink"/>
                </w:rPr>
                <w:t>info@tga.gov.au</w:t>
              </w:r>
            </w:hyperlink>
            <w:r w:rsidRPr="00215D48">
              <w:t xml:space="preserve">  Phone: 1800 020 653  Fax: </w:t>
            </w:r>
            <w:r w:rsidR="001A3190" w:rsidRPr="00BA0DFC">
              <w:t>02 6203 1605</w:t>
            </w:r>
          </w:p>
          <w:p w14:paraId="0620FE80" w14:textId="77777777" w:rsidR="00C50E5C" w:rsidRPr="00215D48" w:rsidRDefault="00BC3C86">
            <w:pPr>
              <w:pStyle w:val="Address"/>
              <w:jc w:val="center"/>
              <w:rPr>
                <w:rStyle w:val="Hyperlink"/>
                <w:b/>
                <w:color w:val="auto"/>
                <w:sz w:val="22"/>
                <w:u w:val="none"/>
              </w:rPr>
            </w:pPr>
            <w:hyperlink r:id="rId35" w:history="1">
              <w:r w:rsidR="00215D48" w:rsidRPr="00C4721A">
                <w:rPr>
                  <w:rStyle w:val="Hyperlink"/>
                  <w:b/>
                </w:rPr>
                <w:t>https://www.tga.gov.au</w:t>
              </w:r>
            </w:hyperlink>
          </w:p>
        </w:tc>
      </w:tr>
      <w:tr w:rsidR="00C50E5C" w:rsidRPr="00215D48" w14:paraId="22F6B7A4" w14:textId="77777777" w:rsidTr="00063D93">
        <w:trPr>
          <w:trHeight w:val="251"/>
          <w:jc w:val="center"/>
        </w:trPr>
        <w:tc>
          <w:tcPr>
            <w:tcW w:w="9145" w:type="dxa"/>
            <w:tcMar>
              <w:top w:w="28" w:type="dxa"/>
            </w:tcMar>
          </w:tcPr>
          <w:p w14:paraId="60EA98D9" w14:textId="77777777" w:rsidR="00C50E5C" w:rsidRPr="00215D48" w:rsidRDefault="00C50E5C" w:rsidP="00EB5622">
            <w:pPr>
              <w:pStyle w:val="Address"/>
              <w:jc w:val="center"/>
            </w:pPr>
            <w:r w:rsidRPr="00215D48">
              <w:t>Reference/Publication #</w:t>
            </w:r>
          </w:p>
        </w:tc>
      </w:tr>
    </w:tbl>
    <w:p w14:paraId="6DEFDD40" w14:textId="77777777" w:rsidR="00706634" w:rsidRPr="00215D48" w:rsidRDefault="00706634" w:rsidP="004A3084">
      <w:pPr>
        <w:rPr>
          <w:sz w:val="20"/>
        </w:rPr>
      </w:pPr>
    </w:p>
    <w:sectPr w:rsidR="00706634" w:rsidRPr="00215D48" w:rsidSect="0029069E">
      <w:headerReference w:type="first" r:id="rId36"/>
      <w:footerReference w:type="first" r:id="rId37"/>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A5335" w14:textId="77777777" w:rsidR="00091ABF" w:rsidRDefault="00091ABF" w:rsidP="00C40A36">
      <w:pPr>
        <w:spacing w:after="0"/>
      </w:pPr>
      <w:r>
        <w:separator/>
      </w:r>
    </w:p>
  </w:endnote>
  <w:endnote w:type="continuationSeparator" w:id="0">
    <w:p w14:paraId="7F92FC47" w14:textId="77777777" w:rsidR="00091ABF" w:rsidRDefault="00091ABF"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091ABF" w:rsidRPr="00257138" w14:paraId="29A91165" w14:textId="77777777" w:rsidTr="000B30E5">
      <w:trPr>
        <w:trHeight w:val="423"/>
      </w:trPr>
      <w:tc>
        <w:tcPr>
          <w:tcW w:w="4360" w:type="dxa"/>
          <w:tcBorders>
            <w:top w:val="single" w:sz="4" w:space="0" w:color="auto"/>
          </w:tcBorders>
        </w:tcPr>
        <w:p w14:paraId="3845C3EE" w14:textId="77777777" w:rsidR="00091ABF" w:rsidRDefault="00091ABF" w:rsidP="000B30E5">
          <w:pPr>
            <w:pStyle w:val="Footer"/>
          </w:pPr>
        </w:p>
        <w:p w14:paraId="677A632A" w14:textId="77777777" w:rsidR="00091ABF" w:rsidRPr="00257138" w:rsidRDefault="00091ABF"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5D3B3D10" w14:textId="73261EBD" w:rsidR="00091ABF" w:rsidRDefault="00091ABF" w:rsidP="000B30E5">
              <w:pPr>
                <w:pStyle w:val="Footer"/>
                <w:jc w:val="right"/>
              </w:pPr>
            </w:p>
            <w:p w14:paraId="44A283DA" w14:textId="75C872B2" w:rsidR="00091ABF" w:rsidRPr="00257138" w:rsidRDefault="00091ABF" w:rsidP="000B30E5">
              <w:pPr>
                <w:pStyle w:val="Footer"/>
                <w:jc w:val="right"/>
              </w:pPr>
              <w:r w:rsidRPr="00257138">
                <w:t xml:space="preserve">Page </w:t>
              </w:r>
              <w:r>
                <w:fldChar w:fldCharType="begin"/>
              </w:r>
              <w:r>
                <w:instrText xml:space="preserve"> PAGE </w:instrText>
              </w:r>
              <w:r>
                <w:fldChar w:fldCharType="separate"/>
              </w:r>
              <w:r>
                <w:rPr>
                  <w:noProof/>
                </w:rPr>
                <w:t>3</w:t>
              </w:r>
              <w:r>
                <w:rPr>
                  <w:noProof/>
                </w:rPr>
                <w:fldChar w:fldCharType="end"/>
              </w:r>
              <w:r w:rsidRPr="00257138">
                <w:t xml:space="preserve"> of </w:t>
              </w:r>
              <w:r w:rsidR="00BC3C86">
                <w:fldChar w:fldCharType="begin"/>
              </w:r>
              <w:r w:rsidR="00BC3C86">
                <w:instrText xml:space="preserve"> NUMPAGES  </w:instrText>
              </w:r>
              <w:r w:rsidR="00BC3C86">
                <w:fldChar w:fldCharType="separate"/>
              </w:r>
              <w:r>
                <w:rPr>
                  <w:noProof/>
                </w:rPr>
                <w:t>16</w:t>
              </w:r>
              <w:r w:rsidR="00BC3C86">
                <w:rPr>
                  <w:noProof/>
                </w:rPr>
                <w:fldChar w:fldCharType="end"/>
              </w:r>
            </w:p>
          </w:sdtContent>
        </w:sdt>
      </w:tc>
    </w:tr>
    <w:tr w:rsidR="00091ABF" w:rsidRPr="00257138" w14:paraId="777852FB" w14:textId="77777777" w:rsidTr="000B30E5">
      <w:trPr>
        <w:trHeight w:val="263"/>
      </w:trPr>
      <w:tc>
        <w:tcPr>
          <w:tcW w:w="4360" w:type="dxa"/>
        </w:tcPr>
        <w:p w14:paraId="560D294E" w14:textId="77777777" w:rsidR="00091ABF" w:rsidRPr="00257138" w:rsidRDefault="00091ABF" w:rsidP="000B30E5">
          <w:pPr>
            <w:pStyle w:val="Footer"/>
          </w:pPr>
          <w:r w:rsidRPr="00257138">
            <w:t xml:space="preserve">V1.0 </w:t>
          </w:r>
          <w:r>
            <w:t>Month</w:t>
          </w:r>
          <w:r w:rsidRPr="00257138">
            <w:t xml:space="preserve"> 201</w:t>
          </w:r>
          <w:r>
            <w:t>2</w:t>
          </w:r>
        </w:p>
      </w:tc>
      <w:tc>
        <w:tcPr>
          <w:tcW w:w="4360" w:type="dxa"/>
        </w:tcPr>
        <w:p w14:paraId="51F67877" w14:textId="77777777" w:rsidR="00091ABF" w:rsidRPr="00257138" w:rsidRDefault="00091ABF" w:rsidP="000B30E5">
          <w:pPr>
            <w:pStyle w:val="Footer"/>
            <w:jc w:val="right"/>
          </w:pPr>
        </w:p>
      </w:tc>
    </w:tr>
  </w:tbl>
  <w:p w14:paraId="5E145AA6" w14:textId="77777777" w:rsidR="00091ABF" w:rsidRPr="00826007" w:rsidRDefault="00091ABF"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F3991" w14:textId="77777777" w:rsidR="00091ABF" w:rsidRDefault="00091ABF"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091ABF" w:rsidRPr="004A3084" w14:paraId="34F6C71B" w14:textId="77777777" w:rsidTr="00231E8D">
      <w:trPr>
        <w:trHeight w:val="423"/>
      </w:trPr>
      <w:tc>
        <w:tcPr>
          <w:tcW w:w="7338" w:type="dxa"/>
          <w:tcBorders>
            <w:top w:val="single" w:sz="4" w:space="0" w:color="auto"/>
          </w:tcBorders>
        </w:tcPr>
        <w:p w14:paraId="14AF5CE0" w14:textId="2CB85D2A" w:rsidR="00091ABF" w:rsidRPr="004A3084" w:rsidRDefault="00091ABF" w:rsidP="00EE7C7F">
          <w:pPr>
            <w:pStyle w:val="Footer"/>
          </w:pPr>
          <w:r>
            <w:t xml:space="preserve">Recalls </w:t>
          </w:r>
          <w:r w:rsidR="00EE7C7F">
            <w:t>a</w:t>
          </w:r>
          <w:r>
            <w:t xml:space="preserve">nnual </w:t>
          </w:r>
          <w:r w:rsidR="00EE7C7F">
            <w:t>r</w:t>
          </w:r>
          <w:r>
            <w:t>eport 2019-20</w:t>
          </w:r>
          <w:r w:rsidRPr="004A3084">
            <w:t xml:space="preserve"> </w:t>
          </w:r>
          <w:r>
            <w:br/>
          </w:r>
          <w:r w:rsidR="002B6750">
            <w:t>V1.0</w:t>
          </w:r>
          <w:r>
            <w:t xml:space="preserve"> </w:t>
          </w:r>
          <w:r w:rsidR="00EE7C7F">
            <w:t>Novem</w:t>
          </w:r>
          <w:r>
            <w:t>ber 2020</w:t>
          </w:r>
        </w:p>
      </w:tc>
      <w:tc>
        <w:tcPr>
          <w:tcW w:w="1382" w:type="dxa"/>
          <w:tcBorders>
            <w:top w:val="single" w:sz="4" w:space="0" w:color="auto"/>
          </w:tcBorders>
        </w:tcPr>
        <w:sdt>
          <w:sdtPr>
            <w:id w:val="11571659"/>
            <w:docPartObj>
              <w:docPartGallery w:val="Page Numbers (Top of Page)"/>
              <w:docPartUnique/>
            </w:docPartObj>
          </w:sdtPr>
          <w:sdtEndPr/>
          <w:sdtContent>
            <w:p w14:paraId="268AC6BB" w14:textId="4EDEDD6D" w:rsidR="00091ABF" w:rsidRPr="004A3084" w:rsidRDefault="00091ABF" w:rsidP="00231E8D">
              <w:pPr>
                <w:pStyle w:val="Footer"/>
                <w:jc w:val="right"/>
              </w:pPr>
              <w:r w:rsidRPr="004A3084">
                <w:t xml:space="preserve">Page </w:t>
              </w:r>
              <w:r>
                <w:fldChar w:fldCharType="begin"/>
              </w:r>
              <w:r>
                <w:instrText xml:space="preserve"> PAGE </w:instrText>
              </w:r>
              <w:r>
                <w:fldChar w:fldCharType="separate"/>
              </w:r>
              <w:r w:rsidR="00BC3C86">
                <w:rPr>
                  <w:noProof/>
                </w:rPr>
                <w:t>9</w:t>
              </w:r>
              <w:r>
                <w:rPr>
                  <w:noProof/>
                </w:rPr>
                <w:fldChar w:fldCharType="end"/>
              </w:r>
              <w:r w:rsidRPr="004A3084">
                <w:t xml:space="preserve"> of </w:t>
              </w:r>
              <w:r w:rsidR="00BC3C86">
                <w:fldChar w:fldCharType="begin"/>
              </w:r>
              <w:r w:rsidR="00BC3C86">
                <w:instrText xml:space="preserve"> NUMPAGES  </w:instrText>
              </w:r>
              <w:r w:rsidR="00BC3C86">
                <w:fldChar w:fldCharType="separate"/>
              </w:r>
              <w:r w:rsidR="00BC3C86">
                <w:rPr>
                  <w:noProof/>
                </w:rPr>
                <w:t>17</w:t>
              </w:r>
              <w:r w:rsidR="00BC3C86">
                <w:rPr>
                  <w:noProof/>
                </w:rPr>
                <w:fldChar w:fldCharType="end"/>
              </w:r>
            </w:p>
          </w:sdtContent>
        </w:sdt>
      </w:tc>
    </w:tr>
  </w:tbl>
  <w:p w14:paraId="7A41221C" w14:textId="77777777" w:rsidR="00091ABF" w:rsidRPr="00826007" w:rsidRDefault="00091ABF"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C9ACA" w14:textId="77777777" w:rsidR="00091ABF" w:rsidRPr="008E3C43" w:rsidRDefault="00091ABF"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EDB9C" w14:textId="77777777" w:rsidR="00091ABF" w:rsidRDefault="00091ABF" w:rsidP="00C40A36">
      <w:pPr>
        <w:spacing w:after="0"/>
      </w:pPr>
      <w:r>
        <w:separator/>
      </w:r>
    </w:p>
  </w:footnote>
  <w:footnote w:type="continuationSeparator" w:id="0">
    <w:p w14:paraId="7C910B96" w14:textId="77777777" w:rsidR="00091ABF" w:rsidRDefault="00091ABF" w:rsidP="00C40A36">
      <w:pPr>
        <w:spacing w:after="0"/>
      </w:pPr>
      <w:r>
        <w:continuationSeparator/>
      </w:r>
    </w:p>
  </w:footnote>
  <w:footnote w:id="1">
    <w:p w14:paraId="5DE31D7C" w14:textId="77A77BE4" w:rsidR="00091ABF" w:rsidRDefault="00091ABF">
      <w:pPr>
        <w:pStyle w:val="FootnoteText"/>
      </w:pPr>
      <w:r>
        <w:rPr>
          <w:rStyle w:val="FootnoteReference"/>
        </w:rPr>
        <w:footnoteRef/>
      </w:r>
      <w:r>
        <w:t xml:space="preserve"> Products included intensive care ventilators, infrared thermometers and various types of personal protective equipment.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B99B4" w14:textId="77777777" w:rsidR="00091ABF" w:rsidRDefault="00BC3C86" w:rsidP="00C3408D">
    <w:pPr>
      <w:pStyle w:val="Header"/>
    </w:pPr>
    <w:sdt>
      <w:sdtPr>
        <w:id w:val="-203553135"/>
        <w:docPartObj>
          <w:docPartGallery w:val="Watermarks"/>
          <w:docPartUnique/>
        </w:docPartObj>
      </w:sdtPr>
      <w:sdtEndPr/>
      <w:sdtContent>
        <w:r>
          <w:rPr>
            <w:noProof/>
          </w:rPr>
          <w:pict w14:anchorId="0D03FA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091ABF"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091ABF" w:rsidRPr="002B29B2" w14:paraId="358ABFF4" w14:textId="77777777" w:rsidTr="00F71E1E">
      <w:trPr>
        <w:trHeight w:hRule="exact" w:val="8845"/>
      </w:trPr>
      <w:tc>
        <w:tcPr>
          <w:tcW w:w="11964" w:type="dxa"/>
          <w:vAlign w:val="center"/>
        </w:tcPr>
        <w:p w14:paraId="1B4B5F11" w14:textId="77777777" w:rsidR="00091ABF" w:rsidRPr="002B29B2" w:rsidRDefault="00BC3C86" w:rsidP="006A2426">
          <w:pPr>
            <w:ind w:left="-57"/>
            <w:rPr>
              <w:noProof/>
            </w:rPr>
          </w:pPr>
          <w:sdt>
            <w:sdtPr>
              <w:rPr>
                <w:noProof/>
              </w:rPr>
              <w:id w:val="1926993388"/>
              <w:picture/>
            </w:sdtPr>
            <w:sdtEndPr/>
            <w:sdtContent>
              <w:r w:rsidR="00091ABF" w:rsidRPr="00F71E1E">
                <w:rPr>
                  <w:noProof/>
                  <w:lang w:eastAsia="en-AU"/>
                </w:rPr>
                <w:drawing>
                  <wp:inline distT="0" distB="0" distL="0" distR="0" wp14:anchorId="6CA7F6C8" wp14:editId="5A937BA0">
                    <wp:extent cx="8326100" cy="5542059"/>
                    <wp:effectExtent l="0" t="0" r="0" b="190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43291" cy="5553502"/>
                            </a:xfrm>
                            <a:prstGeom prst="rect">
                              <a:avLst/>
                            </a:prstGeom>
                            <a:noFill/>
                            <a:ln w="9525">
                              <a:noFill/>
                              <a:miter lim="800000"/>
                              <a:headEnd/>
                              <a:tailEnd/>
                            </a:ln>
                          </pic:spPr>
                        </pic:pic>
                      </a:graphicData>
                    </a:graphic>
                  </wp:inline>
                </w:drawing>
              </w:r>
            </w:sdtContent>
          </w:sdt>
        </w:p>
      </w:tc>
    </w:tr>
  </w:tbl>
  <w:p w14:paraId="26F2D6FF" w14:textId="77777777" w:rsidR="00091ABF" w:rsidRDefault="00091ABF" w:rsidP="006D03E5">
    <w:pPr>
      <w:rPr>
        <w:noProof/>
      </w:rPr>
    </w:pPr>
    <w:r>
      <w:rPr>
        <w:noProof/>
        <w:lang w:eastAsia="en-AU"/>
      </w:rPr>
      <w:drawing>
        <wp:anchor distT="0" distB="0" distL="114300" distR="114300" simplePos="0" relativeHeight="251664384" behindDoc="0" locked="0" layoutInCell="1" allowOverlap="1" wp14:anchorId="305DDE31" wp14:editId="1C21C763">
          <wp:simplePos x="0" y="0"/>
          <wp:positionH relativeFrom="column">
            <wp:posOffset>-186055</wp:posOffset>
          </wp:positionH>
          <wp:positionV relativeFrom="paragraph">
            <wp:posOffset>-58420</wp:posOffset>
          </wp:positionV>
          <wp:extent cx="3524250" cy="1209675"/>
          <wp:effectExtent l="19050" t="0" r="0" b="0"/>
          <wp:wrapTopAndBottom/>
          <wp:docPr id="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2B29B2">
      <w:rPr>
        <w:noProof/>
        <w:lang w:eastAsia="en-AU"/>
      </w:rPr>
      <w:drawing>
        <wp:anchor distT="0" distB="0" distL="114300" distR="114300" simplePos="0" relativeHeight="251662336" behindDoc="0" locked="0" layoutInCell="0" allowOverlap="1" wp14:anchorId="56EAD351" wp14:editId="09B9A6AB">
          <wp:simplePos x="0" y="0"/>
          <wp:positionH relativeFrom="page">
            <wp:posOffset>0</wp:posOffset>
          </wp:positionH>
          <wp:positionV relativeFrom="page">
            <wp:posOffset>4152900</wp:posOffset>
          </wp:positionV>
          <wp:extent cx="7581900" cy="2447925"/>
          <wp:effectExtent l="19050" t="0" r="0" b="0"/>
          <wp:wrapNone/>
          <wp:docPr id="5"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564FA" w14:textId="77777777" w:rsidR="00091ABF" w:rsidRDefault="00091ABF"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C0E6B" w14:textId="77777777" w:rsidR="00091ABF" w:rsidRPr="00FE501F" w:rsidRDefault="00091ABF"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DA4641E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3"/>
  </w:num>
  <w:num w:numId="9">
    <w:abstractNumId w:val="3"/>
  </w:num>
  <w:num w:numId="10">
    <w:abstractNumId w:val="3"/>
  </w:num>
  <w:num w:numId="11">
    <w:abstractNumId w:val="3"/>
  </w:num>
  <w:num w:numId="12">
    <w:abstractNumId w:val="5"/>
  </w:num>
  <w:num w:numId="13">
    <w:abstractNumId w:val="5"/>
  </w:num>
  <w:num w:numId="14">
    <w:abstractNumId w:val="5"/>
  </w:num>
  <w:num w:numId="15">
    <w:abstractNumId w:val="3"/>
  </w:num>
  <w:num w:numId="16">
    <w:abstractNumId w:val="3"/>
  </w:num>
  <w:num w:numId="17">
    <w:abstractNumId w:val="3"/>
  </w:num>
  <w:num w:numId="18">
    <w:abstractNumId w:val="4"/>
  </w:num>
  <w:num w:numId="19">
    <w:abstractNumId w:val="6"/>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E09"/>
    <w:rsid w:val="00002031"/>
    <w:rsid w:val="000040BA"/>
    <w:rsid w:val="00004734"/>
    <w:rsid w:val="00006B22"/>
    <w:rsid w:val="00010E4D"/>
    <w:rsid w:val="0001276A"/>
    <w:rsid w:val="000165DF"/>
    <w:rsid w:val="00016BEB"/>
    <w:rsid w:val="000246AE"/>
    <w:rsid w:val="00025C67"/>
    <w:rsid w:val="000328DB"/>
    <w:rsid w:val="00032FFB"/>
    <w:rsid w:val="0005559E"/>
    <w:rsid w:val="00063D93"/>
    <w:rsid w:val="000703AB"/>
    <w:rsid w:val="00077775"/>
    <w:rsid w:val="00090471"/>
    <w:rsid w:val="00091ABF"/>
    <w:rsid w:val="000934A6"/>
    <w:rsid w:val="000A18EA"/>
    <w:rsid w:val="000A3543"/>
    <w:rsid w:val="000A4371"/>
    <w:rsid w:val="000A6A59"/>
    <w:rsid w:val="000B30E5"/>
    <w:rsid w:val="000B3532"/>
    <w:rsid w:val="000B3A75"/>
    <w:rsid w:val="000B574E"/>
    <w:rsid w:val="000B5E4E"/>
    <w:rsid w:val="000B63E1"/>
    <w:rsid w:val="000B6CAE"/>
    <w:rsid w:val="000B7084"/>
    <w:rsid w:val="000C771E"/>
    <w:rsid w:val="000C7E8B"/>
    <w:rsid w:val="000D0851"/>
    <w:rsid w:val="000D157F"/>
    <w:rsid w:val="000D161D"/>
    <w:rsid w:val="000D391B"/>
    <w:rsid w:val="000D3D6D"/>
    <w:rsid w:val="000D4FC7"/>
    <w:rsid w:val="000E302B"/>
    <w:rsid w:val="000F0241"/>
    <w:rsid w:val="000F1C73"/>
    <w:rsid w:val="000F1D3F"/>
    <w:rsid w:val="000F4869"/>
    <w:rsid w:val="000F5176"/>
    <w:rsid w:val="000F5978"/>
    <w:rsid w:val="000F5B42"/>
    <w:rsid w:val="000F6E6F"/>
    <w:rsid w:val="000F7C00"/>
    <w:rsid w:val="001003F2"/>
    <w:rsid w:val="00102BDA"/>
    <w:rsid w:val="0010601F"/>
    <w:rsid w:val="001063C1"/>
    <w:rsid w:val="00110EA5"/>
    <w:rsid w:val="00115240"/>
    <w:rsid w:val="00115508"/>
    <w:rsid w:val="001210F1"/>
    <w:rsid w:val="00121671"/>
    <w:rsid w:val="00124D13"/>
    <w:rsid w:val="00125091"/>
    <w:rsid w:val="00125318"/>
    <w:rsid w:val="00127BDB"/>
    <w:rsid w:val="00127D17"/>
    <w:rsid w:val="001305A2"/>
    <w:rsid w:val="00133238"/>
    <w:rsid w:val="00140FE3"/>
    <w:rsid w:val="0014197B"/>
    <w:rsid w:val="0014247A"/>
    <w:rsid w:val="001447CD"/>
    <w:rsid w:val="001500F7"/>
    <w:rsid w:val="001516B1"/>
    <w:rsid w:val="001525B4"/>
    <w:rsid w:val="00156316"/>
    <w:rsid w:val="00165389"/>
    <w:rsid w:val="00165DC3"/>
    <w:rsid w:val="001713A3"/>
    <w:rsid w:val="00172A15"/>
    <w:rsid w:val="0017693F"/>
    <w:rsid w:val="0018110E"/>
    <w:rsid w:val="00181684"/>
    <w:rsid w:val="001843C6"/>
    <w:rsid w:val="001850E0"/>
    <w:rsid w:val="0018660B"/>
    <w:rsid w:val="00192AAA"/>
    <w:rsid w:val="001A3190"/>
    <w:rsid w:val="001A321E"/>
    <w:rsid w:val="001A525F"/>
    <w:rsid w:val="001B09F9"/>
    <w:rsid w:val="001B6448"/>
    <w:rsid w:val="001C3A9E"/>
    <w:rsid w:val="001D7224"/>
    <w:rsid w:val="001E07CF"/>
    <w:rsid w:val="001E275A"/>
    <w:rsid w:val="001E59F1"/>
    <w:rsid w:val="001F124F"/>
    <w:rsid w:val="001F20F9"/>
    <w:rsid w:val="001F49EB"/>
    <w:rsid w:val="001F6CBA"/>
    <w:rsid w:val="00201D4E"/>
    <w:rsid w:val="00215D48"/>
    <w:rsid w:val="00217091"/>
    <w:rsid w:val="00217AB6"/>
    <w:rsid w:val="00220B8A"/>
    <w:rsid w:val="002257F3"/>
    <w:rsid w:val="00231E8D"/>
    <w:rsid w:val="00233456"/>
    <w:rsid w:val="002339A5"/>
    <w:rsid w:val="00236133"/>
    <w:rsid w:val="00237691"/>
    <w:rsid w:val="00247FB9"/>
    <w:rsid w:val="00257138"/>
    <w:rsid w:val="0025718D"/>
    <w:rsid w:val="00257848"/>
    <w:rsid w:val="0027084A"/>
    <w:rsid w:val="00271192"/>
    <w:rsid w:val="00275F02"/>
    <w:rsid w:val="00286434"/>
    <w:rsid w:val="00286C59"/>
    <w:rsid w:val="0029069E"/>
    <w:rsid w:val="00290795"/>
    <w:rsid w:val="00292CEE"/>
    <w:rsid w:val="002942D1"/>
    <w:rsid w:val="002A0556"/>
    <w:rsid w:val="002A592C"/>
    <w:rsid w:val="002A5B3A"/>
    <w:rsid w:val="002B1638"/>
    <w:rsid w:val="002B25CB"/>
    <w:rsid w:val="002B29B2"/>
    <w:rsid w:val="002B6750"/>
    <w:rsid w:val="002C376C"/>
    <w:rsid w:val="002C6E9C"/>
    <w:rsid w:val="002D448D"/>
    <w:rsid w:val="002D5ED3"/>
    <w:rsid w:val="002D71D6"/>
    <w:rsid w:val="002E193A"/>
    <w:rsid w:val="002E23D7"/>
    <w:rsid w:val="002E364F"/>
    <w:rsid w:val="002E448A"/>
    <w:rsid w:val="002E4C9A"/>
    <w:rsid w:val="002E7208"/>
    <w:rsid w:val="002F11F8"/>
    <w:rsid w:val="002F260A"/>
    <w:rsid w:val="002F3F56"/>
    <w:rsid w:val="002F44B5"/>
    <w:rsid w:val="00300350"/>
    <w:rsid w:val="00301FA3"/>
    <w:rsid w:val="00311AC0"/>
    <w:rsid w:val="00323F14"/>
    <w:rsid w:val="003252DE"/>
    <w:rsid w:val="003259BF"/>
    <w:rsid w:val="00331DBB"/>
    <w:rsid w:val="00335C3B"/>
    <w:rsid w:val="003361D1"/>
    <w:rsid w:val="003368C3"/>
    <w:rsid w:val="003438F0"/>
    <w:rsid w:val="00350236"/>
    <w:rsid w:val="0035146C"/>
    <w:rsid w:val="003521E8"/>
    <w:rsid w:val="00357700"/>
    <w:rsid w:val="0036361E"/>
    <w:rsid w:val="003664BF"/>
    <w:rsid w:val="003728F3"/>
    <w:rsid w:val="00376507"/>
    <w:rsid w:val="00376793"/>
    <w:rsid w:val="003843F6"/>
    <w:rsid w:val="00390900"/>
    <w:rsid w:val="00393398"/>
    <w:rsid w:val="003A2987"/>
    <w:rsid w:val="003A2DDF"/>
    <w:rsid w:val="003B362C"/>
    <w:rsid w:val="003B7CD3"/>
    <w:rsid w:val="003B7E39"/>
    <w:rsid w:val="003C033D"/>
    <w:rsid w:val="003C58DC"/>
    <w:rsid w:val="003C69EA"/>
    <w:rsid w:val="003D04F2"/>
    <w:rsid w:val="003D3B63"/>
    <w:rsid w:val="003D5718"/>
    <w:rsid w:val="003D6B56"/>
    <w:rsid w:val="003E0A89"/>
    <w:rsid w:val="003E3208"/>
    <w:rsid w:val="003F0B04"/>
    <w:rsid w:val="003F2E95"/>
    <w:rsid w:val="003F3AE9"/>
    <w:rsid w:val="0040134E"/>
    <w:rsid w:val="00404131"/>
    <w:rsid w:val="00404B57"/>
    <w:rsid w:val="004053DB"/>
    <w:rsid w:val="00406DB9"/>
    <w:rsid w:val="0041197D"/>
    <w:rsid w:val="00416B31"/>
    <w:rsid w:val="00416BCB"/>
    <w:rsid w:val="00440A2D"/>
    <w:rsid w:val="00442DA9"/>
    <w:rsid w:val="0045040C"/>
    <w:rsid w:val="004564A7"/>
    <w:rsid w:val="004617BF"/>
    <w:rsid w:val="004701DD"/>
    <w:rsid w:val="00473864"/>
    <w:rsid w:val="00483D37"/>
    <w:rsid w:val="004923FF"/>
    <w:rsid w:val="004927EC"/>
    <w:rsid w:val="00494CA4"/>
    <w:rsid w:val="00494E60"/>
    <w:rsid w:val="00495859"/>
    <w:rsid w:val="0049734C"/>
    <w:rsid w:val="004A3084"/>
    <w:rsid w:val="004B7B76"/>
    <w:rsid w:val="004C0070"/>
    <w:rsid w:val="004C100A"/>
    <w:rsid w:val="004C4096"/>
    <w:rsid w:val="004C6E9B"/>
    <w:rsid w:val="004C741B"/>
    <w:rsid w:val="004D51A6"/>
    <w:rsid w:val="004E6F96"/>
    <w:rsid w:val="004F0F38"/>
    <w:rsid w:val="004F1240"/>
    <w:rsid w:val="004F40D8"/>
    <w:rsid w:val="004F484B"/>
    <w:rsid w:val="00501921"/>
    <w:rsid w:val="005112F9"/>
    <w:rsid w:val="00523FB1"/>
    <w:rsid w:val="00530354"/>
    <w:rsid w:val="00535D83"/>
    <w:rsid w:val="0054053C"/>
    <w:rsid w:val="00541FD8"/>
    <w:rsid w:val="005420DF"/>
    <w:rsid w:val="005423EF"/>
    <w:rsid w:val="005434C6"/>
    <w:rsid w:val="00543B39"/>
    <w:rsid w:val="00550096"/>
    <w:rsid w:val="0055653F"/>
    <w:rsid w:val="00557FF9"/>
    <w:rsid w:val="00560037"/>
    <w:rsid w:val="00567A2E"/>
    <w:rsid w:val="0057564C"/>
    <w:rsid w:val="00576378"/>
    <w:rsid w:val="00577E38"/>
    <w:rsid w:val="00584285"/>
    <w:rsid w:val="00585322"/>
    <w:rsid w:val="0059345B"/>
    <w:rsid w:val="00593AD1"/>
    <w:rsid w:val="005A1131"/>
    <w:rsid w:val="005A67C5"/>
    <w:rsid w:val="005C5557"/>
    <w:rsid w:val="005C5570"/>
    <w:rsid w:val="005C5FD4"/>
    <w:rsid w:val="005C79A4"/>
    <w:rsid w:val="005D1689"/>
    <w:rsid w:val="005D248B"/>
    <w:rsid w:val="005D350D"/>
    <w:rsid w:val="005D5442"/>
    <w:rsid w:val="005D55A3"/>
    <w:rsid w:val="005E5568"/>
    <w:rsid w:val="005E7E6F"/>
    <w:rsid w:val="005F0C0C"/>
    <w:rsid w:val="005F458A"/>
    <w:rsid w:val="005F5830"/>
    <w:rsid w:val="00606F55"/>
    <w:rsid w:val="00610D73"/>
    <w:rsid w:val="00625015"/>
    <w:rsid w:val="00640FC3"/>
    <w:rsid w:val="00642020"/>
    <w:rsid w:val="0065200D"/>
    <w:rsid w:val="0065337B"/>
    <w:rsid w:val="0065419D"/>
    <w:rsid w:val="006604D8"/>
    <w:rsid w:val="00664A5B"/>
    <w:rsid w:val="00667942"/>
    <w:rsid w:val="00680C08"/>
    <w:rsid w:val="0068741A"/>
    <w:rsid w:val="0069121A"/>
    <w:rsid w:val="006931B1"/>
    <w:rsid w:val="006A15C0"/>
    <w:rsid w:val="006A2426"/>
    <w:rsid w:val="006A2A31"/>
    <w:rsid w:val="006A38E4"/>
    <w:rsid w:val="006C1F3B"/>
    <w:rsid w:val="006C3814"/>
    <w:rsid w:val="006C3E2A"/>
    <w:rsid w:val="006C43B5"/>
    <w:rsid w:val="006C642F"/>
    <w:rsid w:val="006C677A"/>
    <w:rsid w:val="006D03E5"/>
    <w:rsid w:val="006D5D3E"/>
    <w:rsid w:val="006E08B3"/>
    <w:rsid w:val="006E4E00"/>
    <w:rsid w:val="006F1604"/>
    <w:rsid w:val="006F3339"/>
    <w:rsid w:val="006F46EA"/>
    <w:rsid w:val="006F572E"/>
    <w:rsid w:val="006F6284"/>
    <w:rsid w:val="006F652C"/>
    <w:rsid w:val="006F6C81"/>
    <w:rsid w:val="007046D6"/>
    <w:rsid w:val="00705DB0"/>
    <w:rsid w:val="007060CD"/>
    <w:rsid w:val="00706634"/>
    <w:rsid w:val="00706AFE"/>
    <w:rsid w:val="00721555"/>
    <w:rsid w:val="00723BF8"/>
    <w:rsid w:val="00724E0E"/>
    <w:rsid w:val="00732FEE"/>
    <w:rsid w:val="0074253D"/>
    <w:rsid w:val="0074429B"/>
    <w:rsid w:val="007477F8"/>
    <w:rsid w:val="00751EBD"/>
    <w:rsid w:val="00753687"/>
    <w:rsid w:val="00753A56"/>
    <w:rsid w:val="00754B4F"/>
    <w:rsid w:val="0075524A"/>
    <w:rsid w:val="007615BC"/>
    <w:rsid w:val="007622D7"/>
    <w:rsid w:val="00762F05"/>
    <w:rsid w:val="00764FC4"/>
    <w:rsid w:val="007652FF"/>
    <w:rsid w:val="00770A89"/>
    <w:rsid w:val="00771329"/>
    <w:rsid w:val="00773EF7"/>
    <w:rsid w:val="00774E1D"/>
    <w:rsid w:val="0077675A"/>
    <w:rsid w:val="00780355"/>
    <w:rsid w:val="00785721"/>
    <w:rsid w:val="007868BD"/>
    <w:rsid w:val="00793A59"/>
    <w:rsid w:val="00795DC5"/>
    <w:rsid w:val="007A2162"/>
    <w:rsid w:val="007A48CA"/>
    <w:rsid w:val="007B3C16"/>
    <w:rsid w:val="007C03D1"/>
    <w:rsid w:val="007C0F3D"/>
    <w:rsid w:val="007C1AF7"/>
    <w:rsid w:val="007D2AAF"/>
    <w:rsid w:val="007D3F2B"/>
    <w:rsid w:val="007E175B"/>
    <w:rsid w:val="007E52ED"/>
    <w:rsid w:val="007F17AF"/>
    <w:rsid w:val="007F2054"/>
    <w:rsid w:val="00816164"/>
    <w:rsid w:val="00821776"/>
    <w:rsid w:val="00826007"/>
    <w:rsid w:val="008320C3"/>
    <w:rsid w:val="008321F5"/>
    <w:rsid w:val="00832369"/>
    <w:rsid w:val="00834660"/>
    <w:rsid w:val="00836BC2"/>
    <w:rsid w:val="0085641B"/>
    <w:rsid w:val="00857136"/>
    <w:rsid w:val="00885064"/>
    <w:rsid w:val="008914BE"/>
    <w:rsid w:val="00896018"/>
    <w:rsid w:val="008A2B9D"/>
    <w:rsid w:val="008A5E0B"/>
    <w:rsid w:val="008A6D59"/>
    <w:rsid w:val="008A7095"/>
    <w:rsid w:val="008B1A25"/>
    <w:rsid w:val="008B4B03"/>
    <w:rsid w:val="008B5489"/>
    <w:rsid w:val="008B553E"/>
    <w:rsid w:val="008B596F"/>
    <w:rsid w:val="008C159F"/>
    <w:rsid w:val="008C1623"/>
    <w:rsid w:val="008C51A9"/>
    <w:rsid w:val="008C63C5"/>
    <w:rsid w:val="008C7541"/>
    <w:rsid w:val="008E3C43"/>
    <w:rsid w:val="008E3FF2"/>
    <w:rsid w:val="008F1CCC"/>
    <w:rsid w:val="008F223F"/>
    <w:rsid w:val="008F2967"/>
    <w:rsid w:val="008F6EF7"/>
    <w:rsid w:val="009074DB"/>
    <w:rsid w:val="00920330"/>
    <w:rsid w:val="00920FF4"/>
    <w:rsid w:val="009219D7"/>
    <w:rsid w:val="00922D53"/>
    <w:rsid w:val="00923B70"/>
    <w:rsid w:val="0092600B"/>
    <w:rsid w:val="00926B0E"/>
    <w:rsid w:val="00930237"/>
    <w:rsid w:val="00932BBB"/>
    <w:rsid w:val="00947BE9"/>
    <w:rsid w:val="00951E7F"/>
    <w:rsid w:val="00962120"/>
    <w:rsid w:val="0096319D"/>
    <w:rsid w:val="00963C08"/>
    <w:rsid w:val="00964F68"/>
    <w:rsid w:val="009707B8"/>
    <w:rsid w:val="00974DBB"/>
    <w:rsid w:val="0099110E"/>
    <w:rsid w:val="00994189"/>
    <w:rsid w:val="009A4CED"/>
    <w:rsid w:val="009A5BC7"/>
    <w:rsid w:val="009B1D12"/>
    <w:rsid w:val="009B3475"/>
    <w:rsid w:val="009B416B"/>
    <w:rsid w:val="009B68A6"/>
    <w:rsid w:val="009C4BD5"/>
    <w:rsid w:val="009D059A"/>
    <w:rsid w:val="009D2E04"/>
    <w:rsid w:val="009D7B77"/>
    <w:rsid w:val="009E0BB0"/>
    <w:rsid w:val="009E3FBB"/>
    <w:rsid w:val="009E45E7"/>
    <w:rsid w:val="009F018D"/>
    <w:rsid w:val="009F0B33"/>
    <w:rsid w:val="00A056AB"/>
    <w:rsid w:val="00A10A57"/>
    <w:rsid w:val="00A1235B"/>
    <w:rsid w:val="00A14DF7"/>
    <w:rsid w:val="00A26E24"/>
    <w:rsid w:val="00A3246D"/>
    <w:rsid w:val="00A36FA7"/>
    <w:rsid w:val="00A4235C"/>
    <w:rsid w:val="00A475B7"/>
    <w:rsid w:val="00A47AF7"/>
    <w:rsid w:val="00A47C3E"/>
    <w:rsid w:val="00A50226"/>
    <w:rsid w:val="00A60BAD"/>
    <w:rsid w:val="00A644D1"/>
    <w:rsid w:val="00A73A8D"/>
    <w:rsid w:val="00A75B64"/>
    <w:rsid w:val="00A77452"/>
    <w:rsid w:val="00A83FA7"/>
    <w:rsid w:val="00A87334"/>
    <w:rsid w:val="00AA3EB9"/>
    <w:rsid w:val="00AC04B7"/>
    <w:rsid w:val="00AC2B40"/>
    <w:rsid w:val="00AC2BB2"/>
    <w:rsid w:val="00AC2C3C"/>
    <w:rsid w:val="00AC3BD9"/>
    <w:rsid w:val="00AC3D45"/>
    <w:rsid w:val="00AC737E"/>
    <w:rsid w:val="00AD5831"/>
    <w:rsid w:val="00AE5AB2"/>
    <w:rsid w:val="00AE65EB"/>
    <w:rsid w:val="00AF0642"/>
    <w:rsid w:val="00AF1D94"/>
    <w:rsid w:val="00AF60C5"/>
    <w:rsid w:val="00AF69CB"/>
    <w:rsid w:val="00B009C6"/>
    <w:rsid w:val="00B00ACB"/>
    <w:rsid w:val="00B01548"/>
    <w:rsid w:val="00B01551"/>
    <w:rsid w:val="00B0591E"/>
    <w:rsid w:val="00B147DA"/>
    <w:rsid w:val="00B21D29"/>
    <w:rsid w:val="00B21FC5"/>
    <w:rsid w:val="00B23323"/>
    <w:rsid w:val="00B24FF5"/>
    <w:rsid w:val="00B25034"/>
    <w:rsid w:val="00B33863"/>
    <w:rsid w:val="00B37D17"/>
    <w:rsid w:val="00B4175E"/>
    <w:rsid w:val="00B4584D"/>
    <w:rsid w:val="00B46000"/>
    <w:rsid w:val="00B510E1"/>
    <w:rsid w:val="00B54C25"/>
    <w:rsid w:val="00B76B91"/>
    <w:rsid w:val="00B87BB7"/>
    <w:rsid w:val="00B946A9"/>
    <w:rsid w:val="00B9484C"/>
    <w:rsid w:val="00B94CFB"/>
    <w:rsid w:val="00BA0DFC"/>
    <w:rsid w:val="00BC1CAB"/>
    <w:rsid w:val="00BC3C86"/>
    <w:rsid w:val="00BC622A"/>
    <w:rsid w:val="00BD0B28"/>
    <w:rsid w:val="00BE0A78"/>
    <w:rsid w:val="00BE243C"/>
    <w:rsid w:val="00BE79F0"/>
    <w:rsid w:val="00BF046D"/>
    <w:rsid w:val="00BF43F2"/>
    <w:rsid w:val="00BF5D04"/>
    <w:rsid w:val="00BF7F4E"/>
    <w:rsid w:val="00C13563"/>
    <w:rsid w:val="00C14835"/>
    <w:rsid w:val="00C15908"/>
    <w:rsid w:val="00C1617C"/>
    <w:rsid w:val="00C23477"/>
    <w:rsid w:val="00C24FC6"/>
    <w:rsid w:val="00C2730F"/>
    <w:rsid w:val="00C3408D"/>
    <w:rsid w:val="00C404A6"/>
    <w:rsid w:val="00C40A36"/>
    <w:rsid w:val="00C44419"/>
    <w:rsid w:val="00C45E7B"/>
    <w:rsid w:val="00C471B1"/>
    <w:rsid w:val="00C4743E"/>
    <w:rsid w:val="00C50250"/>
    <w:rsid w:val="00C50E5C"/>
    <w:rsid w:val="00C6316B"/>
    <w:rsid w:val="00C634A9"/>
    <w:rsid w:val="00C71313"/>
    <w:rsid w:val="00C74335"/>
    <w:rsid w:val="00C7475B"/>
    <w:rsid w:val="00C76805"/>
    <w:rsid w:val="00C772FF"/>
    <w:rsid w:val="00C801AF"/>
    <w:rsid w:val="00C80256"/>
    <w:rsid w:val="00C85953"/>
    <w:rsid w:val="00C87381"/>
    <w:rsid w:val="00C87DC4"/>
    <w:rsid w:val="00C91DEC"/>
    <w:rsid w:val="00CA7F9C"/>
    <w:rsid w:val="00CB6BC0"/>
    <w:rsid w:val="00CB73C5"/>
    <w:rsid w:val="00CC1B7C"/>
    <w:rsid w:val="00CC727F"/>
    <w:rsid w:val="00CD1F02"/>
    <w:rsid w:val="00CD30CC"/>
    <w:rsid w:val="00CD6FCC"/>
    <w:rsid w:val="00CE5067"/>
    <w:rsid w:val="00CE5BB0"/>
    <w:rsid w:val="00CF0E09"/>
    <w:rsid w:val="00CF15C3"/>
    <w:rsid w:val="00CF2B6F"/>
    <w:rsid w:val="00CF4791"/>
    <w:rsid w:val="00D017ED"/>
    <w:rsid w:val="00D11F5C"/>
    <w:rsid w:val="00D153B1"/>
    <w:rsid w:val="00D206B7"/>
    <w:rsid w:val="00D20C54"/>
    <w:rsid w:val="00D224FE"/>
    <w:rsid w:val="00D229BA"/>
    <w:rsid w:val="00D25F22"/>
    <w:rsid w:val="00D27857"/>
    <w:rsid w:val="00D30526"/>
    <w:rsid w:val="00D3646E"/>
    <w:rsid w:val="00D43C6A"/>
    <w:rsid w:val="00D54DC1"/>
    <w:rsid w:val="00D55652"/>
    <w:rsid w:val="00D64401"/>
    <w:rsid w:val="00D6493E"/>
    <w:rsid w:val="00D85417"/>
    <w:rsid w:val="00D9141E"/>
    <w:rsid w:val="00DA1124"/>
    <w:rsid w:val="00DA24C7"/>
    <w:rsid w:val="00DA381C"/>
    <w:rsid w:val="00DA4CD9"/>
    <w:rsid w:val="00DC464E"/>
    <w:rsid w:val="00DD75A3"/>
    <w:rsid w:val="00DD76DE"/>
    <w:rsid w:val="00DE02AE"/>
    <w:rsid w:val="00DE6A0C"/>
    <w:rsid w:val="00DE6C04"/>
    <w:rsid w:val="00DF1D7F"/>
    <w:rsid w:val="00DF45B9"/>
    <w:rsid w:val="00DF6BE8"/>
    <w:rsid w:val="00E02FB4"/>
    <w:rsid w:val="00E1198B"/>
    <w:rsid w:val="00E11E4D"/>
    <w:rsid w:val="00E12AA6"/>
    <w:rsid w:val="00E1340C"/>
    <w:rsid w:val="00E177F4"/>
    <w:rsid w:val="00E20571"/>
    <w:rsid w:val="00E21651"/>
    <w:rsid w:val="00E22953"/>
    <w:rsid w:val="00E235F7"/>
    <w:rsid w:val="00E23970"/>
    <w:rsid w:val="00E239D4"/>
    <w:rsid w:val="00E30C88"/>
    <w:rsid w:val="00E32A5C"/>
    <w:rsid w:val="00E40212"/>
    <w:rsid w:val="00E40B22"/>
    <w:rsid w:val="00E4588F"/>
    <w:rsid w:val="00E46DA3"/>
    <w:rsid w:val="00E47660"/>
    <w:rsid w:val="00E67774"/>
    <w:rsid w:val="00E841B0"/>
    <w:rsid w:val="00EA16DE"/>
    <w:rsid w:val="00EA1F09"/>
    <w:rsid w:val="00EA406B"/>
    <w:rsid w:val="00EA7E1D"/>
    <w:rsid w:val="00EB0798"/>
    <w:rsid w:val="00EB40AD"/>
    <w:rsid w:val="00EB5622"/>
    <w:rsid w:val="00EB586E"/>
    <w:rsid w:val="00EB5FC8"/>
    <w:rsid w:val="00EB6CAF"/>
    <w:rsid w:val="00ED555A"/>
    <w:rsid w:val="00ED5A41"/>
    <w:rsid w:val="00ED6A67"/>
    <w:rsid w:val="00EE40D9"/>
    <w:rsid w:val="00EE7C7F"/>
    <w:rsid w:val="00EF3F86"/>
    <w:rsid w:val="00EF578B"/>
    <w:rsid w:val="00EF6895"/>
    <w:rsid w:val="00F033EC"/>
    <w:rsid w:val="00F04F68"/>
    <w:rsid w:val="00F0622D"/>
    <w:rsid w:val="00F12670"/>
    <w:rsid w:val="00F14B27"/>
    <w:rsid w:val="00F2301F"/>
    <w:rsid w:val="00F27030"/>
    <w:rsid w:val="00F274A2"/>
    <w:rsid w:val="00F31011"/>
    <w:rsid w:val="00F3148D"/>
    <w:rsid w:val="00F35298"/>
    <w:rsid w:val="00F3529E"/>
    <w:rsid w:val="00F37B17"/>
    <w:rsid w:val="00F401EF"/>
    <w:rsid w:val="00F427F0"/>
    <w:rsid w:val="00F47E37"/>
    <w:rsid w:val="00F540F9"/>
    <w:rsid w:val="00F54CA9"/>
    <w:rsid w:val="00F56B9D"/>
    <w:rsid w:val="00F56E73"/>
    <w:rsid w:val="00F640B6"/>
    <w:rsid w:val="00F71E1E"/>
    <w:rsid w:val="00F733BF"/>
    <w:rsid w:val="00F80E40"/>
    <w:rsid w:val="00F83285"/>
    <w:rsid w:val="00F859D2"/>
    <w:rsid w:val="00F8709D"/>
    <w:rsid w:val="00F9022D"/>
    <w:rsid w:val="00F94F51"/>
    <w:rsid w:val="00F9686A"/>
    <w:rsid w:val="00FA2B8E"/>
    <w:rsid w:val="00FA43E5"/>
    <w:rsid w:val="00FA5AD6"/>
    <w:rsid w:val="00FA5B82"/>
    <w:rsid w:val="00FA639E"/>
    <w:rsid w:val="00FB14FD"/>
    <w:rsid w:val="00FC03C8"/>
    <w:rsid w:val="00FC1750"/>
    <w:rsid w:val="00FC25E4"/>
    <w:rsid w:val="00FC4EF7"/>
    <w:rsid w:val="00FE1DEE"/>
    <w:rsid w:val="00FE206C"/>
    <w:rsid w:val="00FE501F"/>
    <w:rsid w:val="00FE6716"/>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4:docId w14:val="5E5757D4"/>
  <w15:docId w15:val="{0B6244C1-090F-48D8-9A3E-A4BF7ED2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F401EF"/>
    <w:pPr>
      <w:numPr>
        <w:numId w:val="17"/>
      </w:numPr>
    </w:pPr>
  </w:style>
  <w:style w:type="paragraph" w:customStyle="1" w:styleId="Numberbullet2">
    <w:name w:val="Number bullet 2"/>
    <w:basedOn w:val="ListBullet2"/>
    <w:uiPriority w:val="2"/>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semiHidden/>
    <w:unhideWhenUsed/>
    <w:rsid w:val="0045040C"/>
    <w:pPr>
      <w:spacing w:line="240" w:lineRule="auto"/>
    </w:pPr>
    <w:rPr>
      <w:sz w:val="20"/>
    </w:rPr>
  </w:style>
  <w:style w:type="character" w:customStyle="1" w:styleId="CommentTextChar">
    <w:name w:val="Comment Text Char"/>
    <w:basedOn w:val="DefaultParagraphFont"/>
    <w:link w:val="CommentText"/>
    <w:uiPriority w:val="99"/>
    <w:semiHidden/>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Tabletext">
    <w:name w:val="Table text"/>
    <w:basedOn w:val="Normal"/>
    <w:uiPriority w:val="1"/>
    <w:qFormat/>
    <w:rsid w:val="00B46000"/>
    <w:pPr>
      <w:keepNext/>
      <w:spacing w:before="30" w:after="30"/>
      <w:ind w:left="113"/>
    </w:pPr>
    <w:rPr>
      <w:rFonts w:ascii="Segoe UI Semilight" w:hAnsi="Segoe UI Semilight"/>
      <w:color w:val="000000"/>
      <w:sz w:val="20"/>
      <w:szCs w:val="21"/>
    </w:rPr>
  </w:style>
  <w:style w:type="paragraph" w:customStyle="1" w:styleId="Tabletext-firstrow">
    <w:name w:val="Table text - first row"/>
    <w:basedOn w:val="Tabletext"/>
    <w:uiPriority w:val="1"/>
    <w:qFormat/>
    <w:rsid w:val="00B46000"/>
    <w:pPr>
      <w:jc w:val="center"/>
    </w:pPr>
    <w:rPr>
      <w:b/>
      <w:color w:val="FFFFFF" w:themeColor="background1"/>
    </w:rPr>
  </w:style>
  <w:style w:type="paragraph" w:customStyle="1" w:styleId="Tabletext-secondrow">
    <w:name w:val="Table text - second row"/>
    <w:basedOn w:val="Tabletext"/>
    <w:uiPriority w:val="1"/>
    <w:qFormat/>
    <w:rsid w:val="00B46000"/>
    <w:pPr>
      <w:jc w:val="center"/>
    </w:pPr>
    <w:rPr>
      <w:b/>
    </w:rPr>
  </w:style>
  <w:style w:type="paragraph" w:customStyle="1" w:styleId="Tabletitle-level2">
    <w:name w:val="Table title - level 2"/>
    <w:basedOn w:val="Tabletitle"/>
    <w:uiPriority w:val="1"/>
    <w:qFormat/>
    <w:rsid w:val="00B46000"/>
    <w:pPr>
      <w:keepLines/>
      <w:tabs>
        <w:tab w:val="left" w:pos="907"/>
        <w:tab w:val="left" w:pos="1134"/>
      </w:tabs>
      <w:spacing w:before="30" w:after="30"/>
      <w:ind w:left="907" w:hanging="907"/>
      <w:outlineLvl w:val="4"/>
    </w:pPr>
    <w:rPr>
      <w:rFonts w:ascii="Segoe UI Semibold" w:hAnsi="Segoe UI Semibold"/>
      <w:b w:val="0"/>
      <w:color w:val="00000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health.gov.au/resources/publications/health-portfolio-budget-statements-2019-20" TargetMode="External"/><Relationship Id="rId18" Type="http://schemas.openxmlformats.org/officeDocument/2006/relationships/hyperlink" Target="https://www.tga.gov.au/publication/uniform-recall-procedure-therapeutic-goods-urptg" TargetMode="External"/><Relationship Id="rId26" Type="http://schemas.openxmlformats.org/officeDocument/2006/relationships/hyperlink" Target="https://www.tga.gov.au/publication/tga-business-plan-2019-20"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tga.gov.au/recall-actions-database" TargetMode="External"/><Relationship Id="rId34" Type="http://schemas.openxmlformats.org/officeDocument/2006/relationships/hyperlink" Target="mailto:info@tga.gov.au" TargetMode="Externa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tga.gov.au/publication/uniform-recall-procedure-therapeutic-goods-urptg" TargetMode="External"/><Relationship Id="rId25" Type="http://schemas.openxmlformats.org/officeDocument/2006/relationships/hyperlink" Target="mailto:ebs@tga.gov.au" TargetMode="External"/><Relationship Id="rId33" Type="http://schemas.openxmlformats.org/officeDocument/2006/relationships/footer" Target="footer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ga.gov.au/publication/uniform-recall-procedure-therapeutic-goods-urptg" TargetMode="External"/><Relationship Id="rId20" Type="http://schemas.openxmlformats.org/officeDocument/2006/relationships/image" Target="media/image4.png"/><Relationship Id="rId29" Type="http://schemas.openxmlformats.org/officeDocument/2006/relationships/hyperlink" Target="https://www.tga.gov.au/ale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tga-business-services-questions-and-answers-administrators" TargetMode="External"/><Relationship Id="rId32" Type="http://schemas.openxmlformats.org/officeDocument/2006/relationships/header" Target="header3.xm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tga.gov.au/publication/uniform-recall-procedure-therapeutic-goods-urptg" TargetMode="External"/><Relationship Id="rId23" Type="http://schemas.openxmlformats.org/officeDocument/2006/relationships/hyperlink" Target="https://www.tga.gov.au/book-page/step-7-submitting-recall-information" TargetMode="External"/><Relationship Id="rId28" Type="http://schemas.openxmlformats.org/officeDocument/2006/relationships/hyperlink" Target="https://www.tga.gov.au/committee/regulatory-and-technical-consultative-forum-medical-devices-regtech-forum" TargetMode="External"/><Relationship Id="rId36"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www.tga.gov.au/publication/tga-business-plan-2019-20" TargetMode="External"/><Relationship Id="rId31" Type="http://schemas.openxmlformats.org/officeDocument/2006/relationships/hyperlink" Target="mailto:recalls@health.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publication/tga-business-plan-2019-20" TargetMode="External"/><Relationship Id="rId22" Type="http://schemas.openxmlformats.org/officeDocument/2006/relationships/hyperlink" Target="https://www.tga.gov.au/tga-business-services" TargetMode="External"/><Relationship Id="rId27" Type="http://schemas.openxmlformats.org/officeDocument/2006/relationships/hyperlink" Target="https://www.tga.gov.au/committee/tga-industry-working-group-good-manufacturing-practice-gmp-tiwgg" TargetMode="External"/><Relationship Id="rId30" Type="http://schemas.openxmlformats.org/officeDocument/2006/relationships/hyperlink" Target="https://www.tga.gov.au/recall-actions-database" TargetMode="External"/><Relationship Id="rId35" Type="http://schemas.openxmlformats.org/officeDocument/2006/relationships/hyperlink" Target="https://www.tga.gov.a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45E35-3FC9-453C-A7C6-736130D25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913</TotalTime>
  <Pages>17</Pages>
  <Words>4599</Words>
  <Characters>25344</Characters>
  <Application>Microsoft Office Word</Application>
  <DocSecurity>0</DocSecurity>
  <Lines>563</Lines>
  <Paragraphs>383</Paragraphs>
  <ScaleCrop>false</ScaleCrop>
  <HeadingPairs>
    <vt:vector size="2" baseType="variant">
      <vt:variant>
        <vt:lpstr>Title</vt:lpstr>
      </vt:variant>
      <vt:variant>
        <vt:i4>1</vt:i4>
      </vt:variant>
    </vt:vector>
  </HeadingPairs>
  <TitlesOfParts>
    <vt:vector size="1" baseType="lpstr">
      <vt:lpstr>Recalls annual report 2019-20</vt:lpstr>
    </vt:vector>
  </TitlesOfParts>
  <Company>TGA</Company>
  <LinksUpToDate>false</LinksUpToDate>
  <CharactersWithSpaces>29560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Recalls annual report 2019-20</dc:title>
  <dc:subject>therapeutic goods recalls</dc:subject>
  <dc:creator>Therapeutic Goods Administration</dc:creator>
  <cp:lastPrinted>2010-12-20T22:59:00Z</cp:lastPrinted>
  <dcterms:created xsi:type="dcterms:W3CDTF">2020-08-24T08:16:00Z</dcterms:created>
  <dcterms:modified xsi:type="dcterms:W3CDTF">2020-11-09T04:26:00Z</dcterms:modified>
</cp:coreProperties>
</file>