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0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5660C" w14:paraId="487E857D" w14:textId="77777777" w:rsidTr="00904E42">
        <w:tc>
          <w:tcPr>
            <w:tcW w:w="8720" w:type="dxa"/>
          </w:tcPr>
          <w:p w14:paraId="158C7559" w14:textId="0055C46A" w:rsidR="0025660C" w:rsidRPr="00077548" w:rsidRDefault="00BD05E9" w:rsidP="00904E42">
            <w:pPr>
              <w:pStyle w:val="Title"/>
            </w:pPr>
            <w:r>
              <w:t>Noti</w:t>
            </w:r>
            <w:r w:rsidR="00CC66CA">
              <w:t>c</w:t>
            </w:r>
            <w:r w:rsidR="00835392">
              <w:t>e</w:t>
            </w:r>
            <w:r w:rsidRPr="00597B50">
              <w:t xml:space="preserve"> </w:t>
            </w:r>
            <w:r w:rsidR="00597B50" w:rsidRPr="00597B50">
              <w:t xml:space="preserve">of </w:t>
            </w:r>
            <w:r w:rsidR="00842746">
              <w:t>amendments</w:t>
            </w:r>
            <w:r w:rsidR="00AD2969">
              <w:t xml:space="preserve"> </w:t>
            </w:r>
            <w:r w:rsidR="00842746">
              <w:t xml:space="preserve">to the </w:t>
            </w:r>
            <w:r w:rsidR="00597B50" w:rsidRPr="00597B50">
              <w:t>Poisons Standard</w:t>
            </w:r>
            <w:r w:rsidR="00AD2969">
              <w:t xml:space="preserve"> in relatio</w:t>
            </w:r>
            <w:r w:rsidR="00B37BA4">
              <w:t xml:space="preserve">n to </w:t>
            </w:r>
            <w:r w:rsidR="005607E0">
              <w:t xml:space="preserve">New Chemical Entities (NCEs) and </w:t>
            </w:r>
            <w:r w:rsidR="0075678F">
              <w:t xml:space="preserve">Delegate-only </w:t>
            </w:r>
            <w:r w:rsidR="006A70C4">
              <w:t>decisions</w:t>
            </w:r>
          </w:p>
        </w:tc>
      </w:tr>
      <w:tr w:rsidR="0025660C" w14:paraId="3393FE2A" w14:textId="77777777" w:rsidTr="00904E42">
        <w:trPr>
          <w:trHeight w:val="810"/>
        </w:trPr>
        <w:tc>
          <w:tcPr>
            <w:tcW w:w="8720" w:type="dxa"/>
          </w:tcPr>
          <w:p w14:paraId="38D3E20E" w14:textId="7F88F5DB" w:rsidR="0025660C" w:rsidRPr="00077548" w:rsidRDefault="00727A7E" w:rsidP="00904E42">
            <w:pPr>
              <w:pStyle w:val="Subtitle"/>
              <w:tabs>
                <w:tab w:val="left" w:pos="5310"/>
              </w:tabs>
              <w:ind w:left="0"/>
            </w:pPr>
            <w:r>
              <w:t>14</w:t>
            </w:r>
            <w:r w:rsidR="006A70C4" w:rsidRPr="00591D57">
              <w:t xml:space="preserve"> </w:t>
            </w:r>
            <w:r w:rsidR="00C37B0E" w:rsidRPr="00591D57">
              <w:t>September</w:t>
            </w:r>
            <w:r w:rsidR="00F67A84" w:rsidRPr="00032875">
              <w:t xml:space="preserve"> </w:t>
            </w:r>
            <w:r w:rsidR="006A70C4" w:rsidRPr="00032875">
              <w:t>202</w:t>
            </w:r>
            <w:r w:rsidR="00D14B89" w:rsidRPr="00032875">
              <w:t>2</w:t>
            </w:r>
          </w:p>
        </w:tc>
      </w:tr>
    </w:tbl>
    <w:p w14:paraId="6D852DDD" w14:textId="32691456" w:rsidR="0025660C" w:rsidRDefault="009D7C7E" w:rsidP="0025660C">
      <w:pPr>
        <w:sectPr w:rsidR="0025660C" w:rsidSect="00E57B71">
          <w:headerReference w:type="default" r:id="rId8"/>
          <w:footerReference w:type="default" r:id="rId9"/>
          <w:headerReference w:type="first" r:id="rId10"/>
          <w:pgSz w:w="11906" w:h="16838" w:code="9"/>
          <w:pgMar w:top="1134" w:right="1418" w:bottom="1361" w:left="1418" w:header="851" w:footer="768" w:gutter="0"/>
          <w:cols w:space="708"/>
          <w:titlePg/>
          <w:docGrid w:linePitch="360"/>
        </w:sectPr>
      </w:pPr>
      <w:r>
        <w:rPr>
          <w:noProof/>
          <w:lang w:eastAsia="en-AU"/>
        </w:rPr>
        <w:drawing>
          <wp:anchor distT="0" distB="0" distL="114300" distR="114300" simplePos="0" relativeHeight="251659264" behindDoc="0" locked="0" layoutInCell="0" allowOverlap="1" wp14:anchorId="043DFCBD" wp14:editId="6F638D14">
            <wp:simplePos x="0" y="0"/>
            <wp:positionH relativeFrom="page">
              <wp:align>right</wp:align>
            </wp:positionH>
            <wp:positionV relativeFrom="page">
              <wp:posOffset>5046980</wp:posOffset>
            </wp:positionV>
            <wp:extent cx="7600950" cy="2457450"/>
            <wp:effectExtent l="0" t="0" r="0" b="0"/>
            <wp:wrapNone/>
            <wp:docPr id="37"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11"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p w14:paraId="30F6686F" w14:textId="02FB7BF9" w:rsidR="007907BF" w:rsidRPr="005D4EA1" w:rsidRDefault="007907BF" w:rsidP="007907BF">
      <w:pPr>
        <w:pStyle w:val="LegalSubheading"/>
        <w:pageBreakBefore/>
      </w:pPr>
      <w:r w:rsidRPr="00691723">
        <w:lastRenderedPageBreak/>
        <w:t>Copyright</w:t>
      </w:r>
    </w:p>
    <w:p w14:paraId="781131BA" w14:textId="644316A6" w:rsidR="007907BF" w:rsidRDefault="007907BF" w:rsidP="007907BF">
      <w:pPr>
        <w:pStyle w:val="LegalCopy"/>
      </w:pPr>
      <w:r w:rsidRPr="009401F6">
        <w:t>© Commonwealth of Australia 20</w:t>
      </w:r>
      <w:r w:rsidR="0075678F">
        <w:t>2</w:t>
      </w:r>
      <w:r w:rsidR="00AE0AF7">
        <w:t>2</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w:t>
      </w:r>
      <w:proofErr w:type="gramStart"/>
      <w:r w:rsidRPr="009401F6">
        <w:t>reserved</w:t>
      </w:r>
      <w:proofErr w:type="gramEnd"/>
      <w:r w:rsidRPr="009401F6">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Pr="009401F6">
        <w:t>&gt;</w:t>
      </w:r>
    </w:p>
    <w:p w14:paraId="48F61410" w14:textId="7C7C2441" w:rsidR="0025660C" w:rsidRPr="00766888" w:rsidRDefault="0025660C" w:rsidP="00ED6B23">
      <w:pPr>
        <w:pStyle w:val="LegalCopy"/>
        <w:tabs>
          <w:tab w:val="clear" w:pos="4513"/>
          <w:tab w:val="clear" w:pos="9026"/>
          <w:tab w:val="left" w:pos="2027"/>
        </w:tabs>
        <w:spacing w:before="12000"/>
      </w:pPr>
    </w:p>
    <w:bookmarkStart w:id="0" w:name="_Toc323740419" w:displacedByCustomXml="next"/>
    <w:bookmarkStart w:id="1" w:name="_Toc328388475" w:displacedByCustomXml="next"/>
    <w:bookmarkStart w:id="2" w:name="_Toc323740418" w:displacedByCustomXml="next"/>
    <w:sdt>
      <w:sdtPr>
        <w:rPr>
          <w:rFonts w:ascii="Arial" w:hAnsi="Arial"/>
          <w:b/>
          <w:sz w:val="20"/>
        </w:rPr>
        <w:id w:val="21514559"/>
        <w:docPartObj>
          <w:docPartGallery w:val="Table of Contents"/>
          <w:docPartUnique/>
        </w:docPartObj>
      </w:sdtPr>
      <w:sdtEndPr>
        <w:rPr>
          <w:rFonts w:ascii="Cambria" w:hAnsi="Cambria"/>
          <w:b w:val="0"/>
        </w:rPr>
      </w:sdtEndPr>
      <w:sdtContent>
        <w:p w14:paraId="79997605" w14:textId="77777777" w:rsidR="00441972" w:rsidRPr="00327070" w:rsidRDefault="0025660C">
          <w:pPr>
            <w:pStyle w:val="TOC2"/>
            <w:tabs>
              <w:tab w:val="left" w:pos="851"/>
            </w:tabs>
            <w:rPr>
              <w:rFonts w:ascii="Calibri" w:hAnsi="Calibri" w:cs="Calibri"/>
              <w:sz w:val="28"/>
              <w:szCs w:val="28"/>
            </w:rPr>
          </w:pPr>
          <w:r w:rsidRPr="00327070">
            <w:rPr>
              <w:rFonts w:ascii="Calibri" w:hAnsi="Calibri" w:cs="Calibri"/>
              <w:sz w:val="28"/>
              <w:szCs w:val="28"/>
            </w:rPr>
            <w:t>Contents</w:t>
          </w:r>
        </w:p>
        <w:p w14:paraId="34DC5D21" w14:textId="78B2EFB6" w:rsidR="00591D57" w:rsidRDefault="008D3724">
          <w:pPr>
            <w:pStyle w:val="TOC2"/>
            <w:tabs>
              <w:tab w:val="left" w:pos="851"/>
            </w:tabs>
            <w:rPr>
              <w:rFonts w:asciiTheme="minorHAnsi" w:eastAsiaTheme="minorEastAsia" w:hAnsiTheme="minorHAnsi" w:cstheme="minorBidi"/>
              <w:noProof/>
              <w:szCs w:val="22"/>
              <w:lang w:eastAsia="en-AU"/>
            </w:rPr>
          </w:pPr>
          <w:r w:rsidRPr="0063416E">
            <w:rPr>
              <w:rFonts w:asciiTheme="minorHAnsi" w:hAnsiTheme="minorHAnsi"/>
              <w:sz w:val="24"/>
              <w:szCs w:val="24"/>
            </w:rPr>
            <w:fldChar w:fldCharType="begin"/>
          </w:r>
          <w:r w:rsidRPr="0063416E">
            <w:rPr>
              <w:rFonts w:asciiTheme="minorHAnsi" w:hAnsiTheme="minorHAnsi"/>
              <w:sz w:val="24"/>
              <w:szCs w:val="24"/>
            </w:rPr>
            <w:instrText xml:space="preserve"> TOC \o "1-3" \h \z \u </w:instrText>
          </w:r>
          <w:r w:rsidRPr="0063416E">
            <w:rPr>
              <w:rFonts w:asciiTheme="minorHAnsi" w:hAnsiTheme="minorHAnsi"/>
              <w:sz w:val="24"/>
              <w:szCs w:val="24"/>
            </w:rPr>
            <w:fldChar w:fldCharType="separate"/>
          </w:r>
          <w:hyperlink w:anchor="_Toc112069863" w:history="1">
            <w:r w:rsidR="00591D57" w:rsidRPr="005E0218">
              <w:rPr>
                <w:rStyle w:val="Hyperlink"/>
                <w:noProof/>
              </w:rPr>
              <w:t>1</w:t>
            </w:r>
            <w:r w:rsidR="00591D57">
              <w:rPr>
                <w:rFonts w:asciiTheme="minorHAnsi" w:eastAsiaTheme="minorEastAsia" w:hAnsiTheme="minorHAnsi" w:cstheme="minorBidi"/>
                <w:noProof/>
                <w:szCs w:val="22"/>
                <w:lang w:eastAsia="en-AU"/>
              </w:rPr>
              <w:tab/>
            </w:r>
            <w:r w:rsidR="00591D57" w:rsidRPr="005E0218">
              <w:rPr>
                <w:rStyle w:val="Hyperlink"/>
                <w:noProof/>
              </w:rPr>
              <w:t>Notice of Decisions to amend the current Poisons Standard</w:t>
            </w:r>
            <w:r w:rsidR="00591D57">
              <w:rPr>
                <w:noProof/>
                <w:webHidden/>
              </w:rPr>
              <w:tab/>
            </w:r>
            <w:r w:rsidR="00591D57">
              <w:rPr>
                <w:noProof/>
                <w:webHidden/>
              </w:rPr>
              <w:fldChar w:fldCharType="begin"/>
            </w:r>
            <w:r w:rsidR="00591D57">
              <w:rPr>
                <w:noProof/>
                <w:webHidden/>
              </w:rPr>
              <w:instrText xml:space="preserve"> PAGEREF _Toc112069863 \h </w:instrText>
            </w:r>
            <w:r w:rsidR="00591D57">
              <w:rPr>
                <w:noProof/>
                <w:webHidden/>
              </w:rPr>
            </w:r>
            <w:r w:rsidR="00591D57">
              <w:rPr>
                <w:noProof/>
                <w:webHidden/>
              </w:rPr>
              <w:fldChar w:fldCharType="separate"/>
            </w:r>
            <w:r w:rsidR="006B0B13">
              <w:rPr>
                <w:noProof/>
                <w:webHidden/>
              </w:rPr>
              <w:t>4</w:t>
            </w:r>
            <w:r w:rsidR="00591D57">
              <w:rPr>
                <w:noProof/>
                <w:webHidden/>
              </w:rPr>
              <w:fldChar w:fldCharType="end"/>
            </w:r>
          </w:hyperlink>
        </w:p>
        <w:p w14:paraId="04ED7BF4" w14:textId="404506B0" w:rsidR="00591D57" w:rsidRDefault="006B0B13">
          <w:pPr>
            <w:pStyle w:val="TOC2"/>
            <w:tabs>
              <w:tab w:val="left" w:pos="851"/>
            </w:tabs>
            <w:rPr>
              <w:rFonts w:asciiTheme="minorHAnsi" w:eastAsiaTheme="minorEastAsia" w:hAnsiTheme="minorHAnsi" w:cstheme="minorBidi"/>
              <w:noProof/>
              <w:szCs w:val="22"/>
              <w:lang w:eastAsia="en-AU"/>
            </w:rPr>
          </w:pPr>
          <w:hyperlink w:anchor="_Toc112069864" w:history="1">
            <w:r w:rsidR="00591D57" w:rsidRPr="005E0218">
              <w:rPr>
                <w:rStyle w:val="Hyperlink"/>
                <w:noProof/>
              </w:rPr>
              <w:t>2</w:t>
            </w:r>
            <w:r w:rsidR="00591D57">
              <w:rPr>
                <w:rFonts w:asciiTheme="minorHAnsi" w:eastAsiaTheme="minorEastAsia" w:hAnsiTheme="minorHAnsi" w:cstheme="minorBidi"/>
                <w:noProof/>
                <w:szCs w:val="22"/>
                <w:lang w:eastAsia="en-AU"/>
              </w:rPr>
              <w:tab/>
            </w:r>
            <w:r w:rsidR="00591D57" w:rsidRPr="005E0218">
              <w:rPr>
                <w:rStyle w:val="Hyperlink"/>
                <w:noProof/>
              </w:rPr>
              <w:t>Amendments to the Poison Standard in relation to New Chemical Entities (NCEs)</w:t>
            </w:r>
            <w:r w:rsidR="00591D57">
              <w:rPr>
                <w:noProof/>
                <w:webHidden/>
              </w:rPr>
              <w:tab/>
            </w:r>
            <w:r w:rsidR="00591D57">
              <w:rPr>
                <w:noProof/>
                <w:webHidden/>
              </w:rPr>
              <w:fldChar w:fldCharType="begin"/>
            </w:r>
            <w:r w:rsidR="00591D57">
              <w:rPr>
                <w:noProof/>
                <w:webHidden/>
              </w:rPr>
              <w:instrText xml:space="preserve"> PAGEREF _Toc112069864 \h </w:instrText>
            </w:r>
            <w:r w:rsidR="00591D57">
              <w:rPr>
                <w:noProof/>
                <w:webHidden/>
              </w:rPr>
            </w:r>
            <w:r w:rsidR="00591D57">
              <w:rPr>
                <w:noProof/>
                <w:webHidden/>
              </w:rPr>
              <w:fldChar w:fldCharType="separate"/>
            </w:r>
            <w:r>
              <w:rPr>
                <w:noProof/>
                <w:webHidden/>
              </w:rPr>
              <w:t>4</w:t>
            </w:r>
            <w:r w:rsidR="00591D57">
              <w:rPr>
                <w:noProof/>
                <w:webHidden/>
              </w:rPr>
              <w:fldChar w:fldCharType="end"/>
            </w:r>
          </w:hyperlink>
        </w:p>
        <w:p w14:paraId="25B905A0" w14:textId="1857C6E7" w:rsidR="00591D57" w:rsidRDefault="006B0B13">
          <w:pPr>
            <w:pStyle w:val="TOC3"/>
            <w:rPr>
              <w:rFonts w:asciiTheme="minorHAnsi" w:eastAsiaTheme="minorEastAsia" w:hAnsiTheme="minorHAnsi" w:cstheme="minorBidi"/>
              <w:noProof/>
              <w:sz w:val="22"/>
              <w:szCs w:val="22"/>
              <w:lang w:eastAsia="en-AU"/>
            </w:rPr>
          </w:pPr>
          <w:hyperlink w:anchor="_Toc112069865" w:history="1">
            <w:r w:rsidR="00591D57" w:rsidRPr="005E0218">
              <w:rPr>
                <w:rStyle w:val="Hyperlink"/>
                <w:noProof/>
              </w:rPr>
              <w:t>2.1   Asciminib</w:t>
            </w:r>
            <w:r w:rsidR="00591D57">
              <w:rPr>
                <w:noProof/>
                <w:webHidden/>
              </w:rPr>
              <w:tab/>
            </w:r>
            <w:r w:rsidR="00591D57">
              <w:rPr>
                <w:noProof/>
                <w:webHidden/>
              </w:rPr>
              <w:fldChar w:fldCharType="begin"/>
            </w:r>
            <w:r w:rsidR="00591D57">
              <w:rPr>
                <w:noProof/>
                <w:webHidden/>
              </w:rPr>
              <w:instrText xml:space="preserve"> PAGEREF _Toc112069865 \h </w:instrText>
            </w:r>
            <w:r w:rsidR="00591D57">
              <w:rPr>
                <w:noProof/>
                <w:webHidden/>
              </w:rPr>
            </w:r>
            <w:r w:rsidR="00591D57">
              <w:rPr>
                <w:noProof/>
                <w:webHidden/>
              </w:rPr>
              <w:fldChar w:fldCharType="separate"/>
            </w:r>
            <w:r>
              <w:rPr>
                <w:noProof/>
                <w:webHidden/>
              </w:rPr>
              <w:t>4</w:t>
            </w:r>
            <w:r w:rsidR="00591D57">
              <w:rPr>
                <w:noProof/>
                <w:webHidden/>
              </w:rPr>
              <w:fldChar w:fldCharType="end"/>
            </w:r>
          </w:hyperlink>
        </w:p>
        <w:p w14:paraId="461997A0" w14:textId="25C6B220" w:rsidR="00591D57" w:rsidRDefault="006B0B13">
          <w:pPr>
            <w:pStyle w:val="TOC3"/>
            <w:rPr>
              <w:rFonts w:asciiTheme="minorHAnsi" w:eastAsiaTheme="minorEastAsia" w:hAnsiTheme="minorHAnsi" w:cstheme="minorBidi"/>
              <w:noProof/>
              <w:sz w:val="22"/>
              <w:szCs w:val="22"/>
              <w:lang w:eastAsia="en-AU"/>
            </w:rPr>
          </w:pPr>
          <w:hyperlink w:anchor="_Toc112069866" w:history="1">
            <w:r w:rsidR="00591D57" w:rsidRPr="005E0218">
              <w:rPr>
                <w:rStyle w:val="Hyperlink"/>
                <w:noProof/>
              </w:rPr>
              <w:t>2.2   Faricimab</w:t>
            </w:r>
            <w:r w:rsidR="00591D57">
              <w:rPr>
                <w:noProof/>
                <w:webHidden/>
              </w:rPr>
              <w:tab/>
            </w:r>
            <w:r w:rsidR="00591D57">
              <w:rPr>
                <w:noProof/>
                <w:webHidden/>
              </w:rPr>
              <w:fldChar w:fldCharType="begin"/>
            </w:r>
            <w:r w:rsidR="00591D57">
              <w:rPr>
                <w:noProof/>
                <w:webHidden/>
              </w:rPr>
              <w:instrText xml:space="preserve"> PAGEREF _Toc112069866 \h </w:instrText>
            </w:r>
            <w:r w:rsidR="00591D57">
              <w:rPr>
                <w:noProof/>
                <w:webHidden/>
              </w:rPr>
            </w:r>
            <w:r w:rsidR="00591D57">
              <w:rPr>
                <w:noProof/>
                <w:webHidden/>
              </w:rPr>
              <w:fldChar w:fldCharType="separate"/>
            </w:r>
            <w:r>
              <w:rPr>
                <w:noProof/>
                <w:webHidden/>
              </w:rPr>
              <w:t>4</w:t>
            </w:r>
            <w:r w:rsidR="00591D57">
              <w:rPr>
                <w:noProof/>
                <w:webHidden/>
              </w:rPr>
              <w:fldChar w:fldCharType="end"/>
            </w:r>
          </w:hyperlink>
        </w:p>
        <w:p w14:paraId="5EDAC06C" w14:textId="1CEF0C61" w:rsidR="00591D57" w:rsidRDefault="006B0B13">
          <w:pPr>
            <w:pStyle w:val="TOC3"/>
            <w:rPr>
              <w:rFonts w:asciiTheme="minorHAnsi" w:eastAsiaTheme="minorEastAsia" w:hAnsiTheme="minorHAnsi" w:cstheme="minorBidi"/>
              <w:noProof/>
              <w:sz w:val="22"/>
              <w:szCs w:val="22"/>
              <w:lang w:eastAsia="en-AU"/>
            </w:rPr>
          </w:pPr>
          <w:hyperlink w:anchor="_Toc112069867" w:history="1">
            <w:r w:rsidR="00591D57" w:rsidRPr="005E0218">
              <w:rPr>
                <w:rStyle w:val="Hyperlink"/>
                <w:noProof/>
              </w:rPr>
              <w:t>2.3   Mobocertinib</w:t>
            </w:r>
            <w:r w:rsidR="00591D57">
              <w:rPr>
                <w:noProof/>
                <w:webHidden/>
              </w:rPr>
              <w:tab/>
            </w:r>
            <w:r w:rsidR="00591D57">
              <w:rPr>
                <w:noProof/>
                <w:webHidden/>
              </w:rPr>
              <w:fldChar w:fldCharType="begin"/>
            </w:r>
            <w:r w:rsidR="00591D57">
              <w:rPr>
                <w:noProof/>
                <w:webHidden/>
              </w:rPr>
              <w:instrText xml:space="preserve"> PAGEREF _Toc112069867 \h </w:instrText>
            </w:r>
            <w:r w:rsidR="00591D57">
              <w:rPr>
                <w:noProof/>
                <w:webHidden/>
              </w:rPr>
            </w:r>
            <w:r w:rsidR="00591D57">
              <w:rPr>
                <w:noProof/>
                <w:webHidden/>
              </w:rPr>
              <w:fldChar w:fldCharType="separate"/>
            </w:r>
            <w:r>
              <w:rPr>
                <w:noProof/>
                <w:webHidden/>
              </w:rPr>
              <w:t>4</w:t>
            </w:r>
            <w:r w:rsidR="00591D57">
              <w:rPr>
                <w:noProof/>
                <w:webHidden/>
              </w:rPr>
              <w:fldChar w:fldCharType="end"/>
            </w:r>
          </w:hyperlink>
        </w:p>
        <w:p w14:paraId="0914CD46" w14:textId="65450AE6" w:rsidR="00591D57" w:rsidRDefault="006B0B13">
          <w:pPr>
            <w:pStyle w:val="TOC3"/>
            <w:rPr>
              <w:rFonts w:asciiTheme="minorHAnsi" w:eastAsiaTheme="minorEastAsia" w:hAnsiTheme="minorHAnsi" w:cstheme="minorBidi"/>
              <w:noProof/>
              <w:sz w:val="22"/>
              <w:szCs w:val="22"/>
              <w:lang w:eastAsia="en-AU"/>
            </w:rPr>
          </w:pPr>
          <w:hyperlink w:anchor="_Toc112069868" w:history="1">
            <w:r w:rsidR="00591D57" w:rsidRPr="005E0218">
              <w:rPr>
                <w:rStyle w:val="Hyperlink"/>
                <w:noProof/>
              </w:rPr>
              <w:t>2.4   Osilodrostat</w:t>
            </w:r>
            <w:r w:rsidR="00591D57">
              <w:rPr>
                <w:noProof/>
                <w:webHidden/>
              </w:rPr>
              <w:tab/>
            </w:r>
            <w:r w:rsidR="00591D57">
              <w:rPr>
                <w:noProof/>
                <w:webHidden/>
              </w:rPr>
              <w:fldChar w:fldCharType="begin"/>
            </w:r>
            <w:r w:rsidR="00591D57">
              <w:rPr>
                <w:noProof/>
                <w:webHidden/>
              </w:rPr>
              <w:instrText xml:space="preserve"> PAGEREF _Toc112069868 \h </w:instrText>
            </w:r>
            <w:r w:rsidR="00591D57">
              <w:rPr>
                <w:noProof/>
                <w:webHidden/>
              </w:rPr>
            </w:r>
            <w:r w:rsidR="00591D57">
              <w:rPr>
                <w:noProof/>
                <w:webHidden/>
              </w:rPr>
              <w:fldChar w:fldCharType="separate"/>
            </w:r>
            <w:r>
              <w:rPr>
                <w:noProof/>
                <w:webHidden/>
              </w:rPr>
              <w:t>5</w:t>
            </w:r>
            <w:r w:rsidR="00591D57">
              <w:rPr>
                <w:noProof/>
                <w:webHidden/>
              </w:rPr>
              <w:fldChar w:fldCharType="end"/>
            </w:r>
          </w:hyperlink>
        </w:p>
        <w:p w14:paraId="7E13A854" w14:textId="2D094BDD" w:rsidR="00591D57" w:rsidRDefault="006B0B13">
          <w:pPr>
            <w:pStyle w:val="TOC3"/>
            <w:rPr>
              <w:rFonts w:asciiTheme="minorHAnsi" w:eastAsiaTheme="minorEastAsia" w:hAnsiTheme="minorHAnsi" w:cstheme="minorBidi"/>
              <w:noProof/>
              <w:sz w:val="22"/>
              <w:szCs w:val="22"/>
              <w:lang w:eastAsia="en-AU"/>
            </w:rPr>
          </w:pPr>
          <w:hyperlink w:anchor="_Toc112069869" w:history="1">
            <w:r w:rsidR="00591D57" w:rsidRPr="005E0218">
              <w:rPr>
                <w:rStyle w:val="Hyperlink"/>
                <w:noProof/>
              </w:rPr>
              <w:t>2.5   Pemigatinib</w:t>
            </w:r>
            <w:r w:rsidR="00591D57">
              <w:rPr>
                <w:noProof/>
                <w:webHidden/>
              </w:rPr>
              <w:tab/>
            </w:r>
            <w:r w:rsidR="00591D57">
              <w:rPr>
                <w:noProof/>
                <w:webHidden/>
              </w:rPr>
              <w:fldChar w:fldCharType="begin"/>
            </w:r>
            <w:r w:rsidR="00591D57">
              <w:rPr>
                <w:noProof/>
                <w:webHidden/>
              </w:rPr>
              <w:instrText xml:space="preserve"> PAGEREF _Toc112069869 \h </w:instrText>
            </w:r>
            <w:r w:rsidR="00591D57">
              <w:rPr>
                <w:noProof/>
                <w:webHidden/>
              </w:rPr>
            </w:r>
            <w:r w:rsidR="00591D57">
              <w:rPr>
                <w:noProof/>
                <w:webHidden/>
              </w:rPr>
              <w:fldChar w:fldCharType="separate"/>
            </w:r>
            <w:r>
              <w:rPr>
                <w:noProof/>
                <w:webHidden/>
              </w:rPr>
              <w:t>5</w:t>
            </w:r>
            <w:r w:rsidR="00591D57">
              <w:rPr>
                <w:noProof/>
                <w:webHidden/>
              </w:rPr>
              <w:fldChar w:fldCharType="end"/>
            </w:r>
          </w:hyperlink>
        </w:p>
        <w:p w14:paraId="532D9DAB" w14:textId="600B9A4D" w:rsidR="00591D57" w:rsidRDefault="006B0B13">
          <w:pPr>
            <w:pStyle w:val="TOC3"/>
            <w:rPr>
              <w:rFonts w:asciiTheme="minorHAnsi" w:eastAsiaTheme="minorEastAsia" w:hAnsiTheme="minorHAnsi" w:cstheme="minorBidi"/>
              <w:noProof/>
              <w:sz w:val="22"/>
              <w:szCs w:val="22"/>
              <w:lang w:eastAsia="en-AU"/>
            </w:rPr>
          </w:pPr>
          <w:hyperlink w:anchor="_Toc112069870" w:history="1">
            <w:r w:rsidR="00591D57" w:rsidRPr="005E0218">
              <w:rPr>
                <w:rStyle w:val="Hyperlink"/>
                <w:noProof/>
              </w:rPr>
              <w:t>2.6   Vosoritide</w:t>
            </w:r>
            <w:r w:rsidR="00591D57">
              <w:rPr>
                <w:noProof/>
                <w:webHidden/>
              </w:rPr>
              <w:tab/>
            </w:r>
            <w:r w:rsidR="00591D57">
              <w:rPr>
                <w:noProof/>
                <w:webHidden/>
              </w:rPr>
              <w:fldChar w:fldCharType="begin"/>
            </w:r>
            <w:r w:rsidR="00591D57">
              <w:rPr>
                <w:noProof/>
                <w:webHidden/>
              </w:rPr>
              <w:instrText xml:space="preserve"> PAGEREF _Toc112069870 \h </w:instrText>
            </w:r>
            <w:r w:rsidR="00591D57">
              <w:rPr>
                <w:noProof/>
                <w:webHidden/>
              </w:rPr>
            </w:r>
            <w:r w:rsidR="00591D57">
              <w:rPr>
                <w:noProof/>
                <w:webHidden/>
              </w:rPr>
              <w:fldChar w:fldCharType="separate"/>
            </w:r>
            <w:r>
              <w:rPr>
                <w:noProof/>
                <w:webHidden/>
              </w:rPr>
              <w:t>5</w:t>
            </w:r>
            <w:r w:rsidR="00591D57">
              <w:rPr>
                <w:noProof/>
                <w:webHidden/>
              </w:rPr>
              <w:fldChar w:fldCharType="end"/>
            </w:r>
          </w:hyperlink>
        </w:p>
        <w:p w14:paraId="18068C67" w14:textId="1BF2DC99" w:rsidR="00591D57" w:rsidRDefault="006B0B13">
          <w:pPr>
            <w:pStyle w:val="TOC2"/>
            <w:tabs>
              <w:tab w:val="left" w:pos="851"/>
            </w:tabs>
            <w:rPr>
              <w:rFonts w:asciiTheme="minorHAnsi" w:eastAsiaTheme="minorEastAsia" w:hAnsiTheme="minorHAnsi" w:cstheme="minorBidi"/>
              <w:noProof/>
              <w:szCs w:val="22"/>
              <w:lang w:eastAsia="en-AU"/>
            </w:rPr>
          </w:pPr>
          <w:hyperlink w:anchor="_Toc112069871" w:history="1">
            <w:r w:rsidR="00591D57" w:rsidRPr="005E0218">
              <w:rPr>
                <w:rStyle w:val="Hyperlink"/>
                <w:noProof/>
              </w:rPr>
              <w:t>3</w:t>
            </w:r>
            <w:r w:rsidR="00591D57">
              <w:rPr>
                <w:rFonts w:asciiTheme="minorHAnsi" w:eastAsiaTheme="minorEastAsia" w:hAnsiTheme="minorHAnsi" w:cstheme="minorBidi"/>
                <w:noProof/>
                <w:szCs w:val="22"/>
                <w:lang w:eastAsia="en-AU"/>
              </w:rPr>
              <w:tab/>
            </w:r>
            <w:r w:rsidR="00591D57" w:rsidRPr="005E0218">
              <w:rPr>
                <w:rStyle w:val="Hyperlink"/>
                <w:noProof/>
              </w:rPr>
              <w:t>Amendments to the Poisons Standard made as delegate-only decisions</w:t>
            </w:r>
            <w:r w:rsidR="00591D57">
              <w:rPr>
                <w:noProof/>
                <w:webHidden/>
              </w:rPr>
              <w:tab/>
            </w:r>
            <w:r w:rsidR="00591D57">
              <w:rPr>
                <w:noProof/>
                <w:webHidden/>
              </w:rPr>
              <w:fldChar w:fldCharType="begin"/>
            </w:r>
            <w:r w:rsidR="00591D57">
              <w:rPr>
                <w:noProof/>
                <w:webHidden/>
              </w:rPr>
              <w:instrText xml:space="preserve"> PAGEREF _Toc112069871 \h </w:instrText>
            </w:r>
            <w:r w:rsidR="00591D57">
              <w:rPr>
                <w:noProof/>
                <w:webHidden/>
              </w:rPr>
            </w:r>
            <w:r w:rsidR="00591D57">
              <w:rPr>
                <w:noProof/>
                <w:webHidden/>
              </w:rPr>
              <w:fldChar w:fldCharType="separate"/>
            </w:r>
            <w:r>
              <w:rPr>
                <w:noProof/>
                <w:webHidden/>
              </w:rPr>
              <w:t>5</w:t>
            </w:r>
            <w:r w:rsidR="00591D57">
              <w:rPr>
                <w:noProof/>
                <w:webHidden/>
              </w:rPr>
              <w:fldChar w:fldCharType="end"/>
            </w:r>
          </w:hyperlink>
        </w:p>
        <w:p w14:paraId="4E4518BE" w14:textId="22EC8A88" w:rsidR="00591D57" w:rsidRDefault="006B0B13">
          <w:pPr>
            <w:pStyle w:val="TOC3"/>
            <w:rPr>
              <w:rFonts w:asciiTheme="minorHAnsi" w:eastAsiaTheme="minorEastAsia" w:hAnsiTheme="minorHAnsi" w:cstheme="minorBidi"/>
              <w:noProof/>
              <w:sz w:val="22"/>
              <w:szCs w:val="22"/>
              <w:lang w:eastAsia="en-AU"/>
            </w:rPr>
          </w:pPr>
          <w:hyperlink w:anchor="_Toc112069872" w:history="1">
            <w:r w:rsidR="00591D57" w:rsidRPr="005E0218">
              <w:rPr>
                <w:rStyle w:val="Hyperlink"/>
                <w:noProof/>
              </w:rPr>
              <w:t>3.1 Final decision in relation to bovine herpesvirus-1 vaccine</w:t>
            </w:r>
            <w:r w:rsidR="00591D57">
              <w:rPr>
                <w:noProof/>
                <w:webHidden/>
              </w:rPr>
              <w:tab/>
            </w:r>
            <w:r w:rsidR="00591D57">
              <w:rPr>
                <w:noProof/>
                <w:webHidden/>
              </w:rPr>
              <w:fldChar w:fldCharType="begin"/>
            </w:r>
            <w:r w:rsidR="00591D57">
              <w:rPr>
                <w:noProof/>
                <w:webHidden/>
              </w:rPr>
              <w:instrText xml:space="preserve"> PAGEREF _Toc112069872 \h </w:instrText>
            </w:r>
            <w:r w:rsidR="00591D57">
              <w:rPr>
                <w:noProof/>
                <w:webHidden/>
              </w:rPr>
            </w:r>
            <w:r w:rsidR="00591D57">
              <w:rPr>
                <w:noProof/>
                <w:webHidden/>
              </w:rPr>
              <w:fldChar w:fldCharType="separate"/>
            </w:r>
            <w:r>
              <w:rPr>
                <w:noProof/>
                <w:webHidden/>
              </w:rPr>
              <w:t>5</w:t>
            </w:r>
            <w:r w:rsidR="00591D57">
              <w:rPr>
                <w:noProof/>
                <w:webHidden/>
              </w:rPr>
              <w:fldChar w:fldCharType="end"/>
            </w:r>
          </w:hyperlink>
        </w:p>
        <w:p w14:paraId="4BD31C3F" w14:textId="1EA732A8" w:rsidR="00591D57" w:rsidRDefault="006B0B13">
          <w:pPr>
            <w:pStyle w:val="TOC3"/>
            <w:rPr>
              <w:rFonts w:asciiTheme="minorHAnsi" w:eastAsiaTheme="minorEastAsia" w:hAnsiTheme="minorHAnsi" w:cstheme="minorBidi"/>
              <w:noProof/>
              <w:sz w:val="22"/>
              <w:szCs w:val="22"/>
              <w:lang w:eastAsia="en-AU"/>
            </w:rPr>
          </w:pPr>
          <w:hyperlink w:anchor="_Toc112069873" w:history="1">
            <w:r w:rsidR="00591D57" w:rsidRPr="005E0218">
              <w:rPr>
                <w:rStyle w:val="Hyperlink"/>
                <w:noProof/>
              </w:rPr>
              <w:t>3.2 Final decision in relation to cyclobutrifluram</w:t>
            </w:r>
            <w:r w:rsidR="00591D57">
              <w:rPr>
                <w:noProof/>
                <w:webHidden/>
              </w:rPr>
              <w:tab/>
            </w:r>
            <w:r w:rsidR="00591D57">
              <w:rPr>
                <w:noProof/>
                <w:webHidden/>
              </w:rPr>
              <w:fldChar w:fldCharType="begin"/>
            </w:r>
            <w:r w:rsidR="00591D57">
              <w:rPr>
                <w:noProof/>
                <w:webHidden/>
              </w:rPr>
              <w:instrText xml:space="preserve"> PAGEREF _Toc112069873 \h </w:instrText>
            </w:r>
            <w:r w:rsidR="00591D57">
              <w:rPr>
                <w:noProof/>
                <w:webHidden/>
              </w:rPr>
            </w:r>
            <w:r w:rsidR="00591D57">
              <w:rPr>
                <w:noProof/>
                <w:webHidden/>
              </w:rPr>
              <w:fldChar w:fldCharType="separate"/>
            </w:r>
            <w:r>
              <w:rPr>
                <w:noProof/>
                <w:webHidden/>
              </w:rPr>
              <w:t>7</w:t>
            </w:r>
            <w:r w:rsidR="00591D57">
              <w:rPr>
                <w:noProof/>
                <w:webHidden/>
              </w:rPr>
              <w:fldChar w:fldCharType="end"/>
            </w:r>
          </w:hyperlink>
        </w:p>
        <w:p w14:paraId="7CEF73F3" w14:textId="7F166788" w:rsidR="00591D57" w:rsidRDefault="006B0B13">
          <w:pPr>
            <w:pStyle w:val="TOC3"/>
            <w:rPr>
              <w:rFonts w:asciiTheme="minorHAnsi" w:eastAsiaTheme="minorEastAsia" w:hAnsiTheme="minorHAnsi" w:cstheme="minorBidi"/>
              <w:noProof/>
              <w:sz w:val="22"/>
              <w:szCs w:val="22"/>
              <w:lang w:eastAsia="en-AU"/>
            </w:rPr>
          </w:pPr>
          <w:hyperlink w:anchor="_Toc112069874" w:history="1">
            <w:r w:rsidR="00591D57" w:rsidRPr="005E0218">
              <w:rPr>
                <w:rStyle w:val="Hyperlink"/>
                <w:noProof/>
              </w:rPr>
              <w:t>3.3 Final decision in relation to famoxadone</w:t>
            </w:r>
            <w:r w:rsidR="00591D57">
              <w:rPr>
                <w:noProof/>
                <w:webHidden/>
              </w:rPr>
              <w:tab/>
            </w:r>
            <w:r w:rsidR="00591D57">
              <w:rPr>
                <w:noProof/>
                <w:webHidden/>
              </w:rPr>
              <w:fldChar w:fldCharType="begin"/>
            </w:r>
            <w:r w:rsidR="00591D57">
              <w:rPr>
                <w:noProof/>
                <w:webHidden/>
              </w:rPr>
              <w:instrText xml:space="preserve"> PAGEREF _Toc112069874 \h </w:instrText>
            </w:r>
            <w:r w:rsidR="00591D57">
              <w:rPr>
                <w:noProof/>
                <w:webHidden/>
              </w:rPr>
            </w:r>
            <w:r w:rsidR="00591D57">
              <w:rPr>
                <w:noProof/>
                <w:webHidden/>
              </w:rPr>
              <w:fldChar w:fldCharType="separate"/>
            </w:r>
            <w:r>
              <w:rPr>
                <w:noProof/>
                <w:webHidden/>
              </w:rPr>
              <w:t>9</w:t>
            </w:r>
            <w:r w:rsidR="00591D57">
              <w:rPr>
                <w:noProof/>
                <w:webHidden/>
              </w:rPr>
              <w:fldChar w:fldCharType="end"/>
            </w:r>
          </w:hyperlink>
        </w:p>
        <w:p w14:paraId="7DF331EE" w14:textId="09403408" w:rsidR="0025660C" w:rsidRDefault="008D3724" w:rsidP="00C61449">
          <w:pPr>
            <w:pStyle w:val="TOC3"/>
            <w:ind w:left="0"/>
          </w:pPr>
          <w:r w:rsidRPr="0063416E">
            <w:rPr>
              <w:rFonts w:asciiTheme="minorHAnsi" w:hAnsiTheme="minorHAnsi"/>
              <w:sz w:val="24"/>
              <w:szCs w:val="24"/>
            </w:rPr>
            <w:fldChar w:fldCharType="end"/>
          </w:r>
        </w:p>
      </w:sdtContent>
    </w:sdt>
    <w:p w14:paraId="612CCF14" w14:textId="2E27AC2E" w:rsidR="00574B36" w:rsidRDefault="00AD2969" w:rsidP="00DB4BE8">
      <w:pPr>
        <w:pStyle w:val="acthead5"/>
        <w:shd w:val="clear" w:color="auto" w:fill="FFFFFF"/>
        <w:spacing w:before="280" w:beforeAutospacing="0" w:after="0" w:afterAutospacing="0"/>
        <w:ind w:left="1134" w:hanging="1134"/>
        <w:rPr>
          <w:color w:val="000000"/>
          <w:sz w:val="22"/>
          <w:szCs w:val="22"/>
        </w:rPr>
      </w:pPr>
      <w:bookmarkStart w:id="3" w:name="_Final_decision_in_2"/>
      <w:bookmarkEnd w:id="3"/>
      <w:bookmarkEnd w:id="2"/>
      <w:bookmarkEnd w:id="1"/>
      <w:bookmarkEnd w:id="0"/>
      <w:r>
        <w:br w:type="page"/>
      </w:r>
    </w:p>
    <w:p w14:paraId="6FAA270C" w14:textId="68CF6238" w:rsidR="00C12B78" w:rsidRPr="005069D2" w:rsidRDefault="00C12B78" w:rsidP="005069D2">
      <w:pPr>
        <w:pStyle w:val="Heading2"/>
      </w:pPr>
      <w:bookmarkStart w:id="4" w:name="_Toc112069863"/>
      <w:bookmarkStart w:id="5" w:name="_Hlk99553830"/>
      <w:bookmarkStart w:id="6" w:name="_Toc89270390"/>
      <w:r w:rsidRPr="005069D2">
        <w:lastRenderedPageBreak/>
        <w:t>Notice of Decisions to amend the current Poisons Standard</w:t>
      </w:r>
      <w:bookmarkEnd w:id="4"/>
    </w:p>
    <w:p w14:paraId="6CA16738" w14:textId="76F7EB83" w:rsidR="00C12B78" w:rsidRDefault="00C12B78" w:rsidP="00C12B78">
      <w:r>
        <w:t xml:space="preserve">This web publication constitutes a notice for the purposes of regulation 42ZCZX of the </w:t>
      </w:r>
      <w:r w:rsidRPr="00C12B78">
        <w:rPr>
          <w:i/>
          <w:iCs/>
        </w:rPr>
        <w:t>Therapeutic Goods Regulations 1990</w:t>
      </w:r>
      <w:r>
        <w:t xml:space="preserve"> (the </w:t>
      </w:r>
      <w:r w:rsidRPr="003B2840">
        <w:rPr>
          <w:b/>
          <w:bCs/>
        </w:rPr>
        <w:t>Regulations</w:t>
      </w:r>
      <w:r>
        <w:t>)</w:t>
      </w:r>
      <w:r w:rsidR="00AB641B">
        <w:t>, i</w:t>
      </w:r>
      <w:r>
        <w:t xml:space="preserve">n accordance with </w:t>
      </w:r>
      <w:r w:rsidR="00AB641B">
        <w:t xml:space="preserve">which </w:t>
      </w:r>
      <w:r>
        <w:t>this notice publishes the:</w:t>
      </w:r>
    </w:p>
    <w:p w14:paraId="64D4D290" w14:textId="2012F362" w:rsidR="00C12B78" w:rsidRDefault="00C12B78" w:rsidP="00727A7E">
      <w:pPr>
        <w:pStyle w:val="ListBullet"/>
      </w:pPr>
      <w:r>
        <w:t xml:space="preserve">decisions made by a delegate of the Secretary pursuant to regulation </w:t>
      </w:r>
      <w:proofErr w:type="gramStart"/>
      <w:r>
        <w:t>42ZCZU;</w:t>
      </w:r>
      <w:proofErr w:type="gramEnd"/>
    </w:p>
    <w:p w14:paraId="0A3A2318" w14:textId="120FB492" w:rsidR="00C12B78" w:rsidRDefault="00C12B78" w:rsidP="00727A7E">
      <w:pPr>
        <w:pStyle w:val="ListBullet"/>
      </w:pPr>
      <w:r>
        <w:t>reasons for those final decisions; and</w:t>
      </w:r>
    </w:p>
    <w:p w14:paraId="07C56729" w14:textId="1A09EF9D" w:rsidR="00C12B78" w:rsidRDefault="00C12B78" w:rsidP="00727A7E">
      <w:pPr>
        <w:pStyle w:val="ListBullet"/>
      </w:pPr>
      <w:r>
        <w:t>date of effect of those decisions.</w:t>
      </w:r>
    </w:p>
    <w:p w14:paraId="4D14BD52" w14:textId="7F8F00D4" w:rsidR="005607E0" w:rsidRPr="005069D2" w:rsidRDefault="00C12B78" w:rsidP="005069D2">
      <w:pPr>
        <w:pStyle w:val="Heading2"/>
        <w:numPr>
          <w:ilvl w:val="0"/>
          <w:numId w:val="0"/>
        </w:numPr>
        <w:ind w:left="432" w:hanging="432"/>
      </w:pPr>
      <w:bookmarkStart w:id="7" w:name="_Toc112069864"/>
      <w:bookmarkEnd w:id="5"/>
      <w:r w:rsidRPr="005069D2">
        <w:t>2</w:t>
      </w:r>
      <w:r w:rsidRPr="005069D2">
        <w:tab/>
      </w:r>
      <w:r w:rsidR="005607E0" w:rsidRPr="005069D2">
        <w:t>Amendments to the Poison Standard in relation to New Chemical Entities (NCEs)</w:t>
      </w:r>
      <w:bookmarkEnd w:id="6"/>
      <w:bookmarkEnd w:id="7"/>
    </w:p>
    <w:p w14:paraId="084F76E3" w14:textId="3117BE24" w:rsidR="005607E0" w:rsidRDefault="005607E0" w:rsidP="005607E0">
      <w:r>
        <w:t xml:space="preserve">The NCEs listed below will be included in the new Poisons Standard that will come into effect on 1 </w:t>
      </w:r>
      <w:r w:rsidR="00E61803">
        <w:t>October</w:t>
      </w:r>
      <w:r>
        <w:t xml:space="preserve"> 2022.</w:t>
      </w:r>
    </w:p>
    <w:p w14:paraId="6A3B6C9E" w14:textId="21140288" w:rsidR="00976248" w:rsidRDefault="00976248" w:rsidP="00976248">
      <w:pPr>
        <w:pStyle w:val="Heading3"/>
        <w:numPr>
          <w:ilvl w:val="0"/>
          <w:numId w:val="0"/>
        </w:numPr>
        <w:spacing w:before="240" w:after="0" w:line="220" w:lineRule="atLeast"/>
        <w:ind w:left="360"/>
      </w:pPr>
      <w:bookmarkStart w:id="8" w:name="_Toc112069865"/>
      <w:r>
        <w:t xml:space="preserve">2.1   </w:t>
      </w:r>
      <w:proofErr w:type="spellStart"/>
      <w:r w:rsidR="004E5145">
        <w:t>Asciminib</w:t>
      </w:r>
      <w:bookmarkEnd w:id="8"/>
      <w:proofErr w:type="spellEnd"/>
    </w:p>
    <w:tbl>
      <w:tblPr>
        <w:tblStyle w:val="TableGrid"/>
        <w:tblW w:w="0" w:type="auto"/>
        <w:tblInd w:w="988" w:type="dxa"/>
        <w:tblLook w:val="04A0" w:firstRow="1" w:lastRow="0" w:firstColumn="1" w:lastColumn="0" w:noHBand="0" w:noVBand="1"/>
      </w:tblPr>
      <w:tblGrid>
        <w:gridCol w:w="8072"/>
      </w:tblGrid>
      <w:tr w:rsidR="00976248" w14:paraId="1DBE2B52" w14:textId="77777777" w:rsidTr="005A03FF">
        <w:tc>
          <w:tcPr>
            <w:tcW w:w="8072" w:type="dxa"/>
          </w:tcPr>
          <w:p w14:paraId="04C2D9CB" w14:textId="77777777" w:rsidR="00976248" w:rsidRPr="00105867" w:rsidRDefault="00976248" w:rsidP="005A03FF">
            <w:pPr>
              <w:rPr>
                <w:rFonts w:asciiTheme="minorHAnsi" w:hAnsiTheme="minorHAnsi"/>
              </w:rPr>
            </w:pPr>
            <w:r w:rsidRPr="00105867">
              <w:rPr>
                <w:rStyle w:val="Strong"/>
                <w:rFonts w:asciiTheme="minorHAnsi" w:hAnsiTheme="minorHAnsi"/>
                <w:color w:val="000000"/>
                <w:szCs w:val="22"/>
              </w:rPr>
              <w:t xml:space="preserve">Schedule 4 </w:t>
            </w:r>
            <w:r>
              <w:rPr>
                <w:rStyle w:val="Strong"/>
                <w:rFonts w:asciiTheme="minorHAnsi" w:hAnsiTheme="minorHAnsi"/>
                <w:color w:val="000000"/>
                <w:szCs w:val="22"/>
              </w:rPr>
              <w:t>–</w:t>
            </w:r>
            <w:r w:rsidRPr="00105867">
              <w:rPr>
                <w:rStyle w:val="Strong"/>
                <w:rFonts w:asciiTheme="minorHAnsi" w:hAnsiTheme="minorHAnsi"/>
                <w:color w:val="000000"/>
                <w:szCs w:val="22"/>
              </w:rPr>
              <w:t xml:space="preserve"> New Entry</w:t>
            </w:r>
          </w:p>
          <w:p w14:paraId="422A05E8" w14:textId="497924B0" w:rsidR="00976248" w:rsidRDefault="004E5145" w:rsidP="005A03FF">
            <w:pPr>
              <w:rPr>
                <w:rFonts w:asciiTheme="minorHAnsi" w:hAnsiTheme="minorHAnsi"/>
                <w:color w:val="00B050"/>
              </w:rPr>
            </w:pPr>
            <w:r>
              <w:rPr>
                <w:rFonts w:asciiTheme="minorHAnsi" w:hAnsiTheme="minorHAnsi"/>
                <w:color w:val="00B050"/>
              </w:rPr>
              <w:t>ASCIMINIB</w:t>
            </w:r>
          </w:p>
          <w:p w14:paraId="613161DB" w14:textId="77777777" w:rsidR="00976248" w:rsidRPr="00105867" w:rsidRDefault="00976248" w:rsidP="005A03FF">
            <w:pPr>
              <w:rPr>
                <w:rFonts w:asciiTheme="minorHAnsi" w:hAnsiTheme="minorHAnsi"/>
              </w:rPr>
            </w:pPr>
            <w:r w:rsidRPr="00105867">
              <w:rPr>
                <w:rStyle w:val="Strong"/>
                <w:rFonts w:asciiTheme="minorHAnsi" w:hAnsiTheme="minorHAnsi"/>
                <w:color w:val="000000"/>
                <w:szCs w:val="22"/>
              </w:rPr>
              <w:t xml:space="preserve">Index </w:t>
            </w:r>
            <w:r>
              <w:rPr>
                <w:rStyle w:val="Strong"/>
                <w:rFonts w:asciiTheme="minorHAnsi" w:hAnsiTheme="minorHAnsi"/>
                <w:color w:val="000000"/>
                <w:szCs w:val="22"/>
              </w:rPr>
              <w:t>–</w:t>
            </w:r>
            <w:r w:rsidRPr="00105867">
              <w:rPr>
                <w:rStyle w:val="Strong"/>
                <w:rFonts w:asciiTheme="minorHAnsi" w:hAnsiTheme="minorHAnsi"/>
                <w:color w:val="000000"/>
                <w:szCs w:val="22"/>
              </w:rPr>
              <w:t xml:space="preserve"> New Entry</w:t>
            </w:r>
          </w:p>
          <w:p w14:paraId="3E8400D3" w14:textId="47813EDE" w:rsidR="00976248" w:rsidRDefault="004E5145" w:rsidP="005A03FF">
            <w:pPr>
              <w:rPr>
                <w:rFonts w:asciiTheme="minorHAnsi" w:hAnsiTheme="minorHAnsi"/>
                <w:b/>
                <w:bCs/>
                <w:color w:val="00B050"/>
              </w:rPr>
            </w:pPr>
            <w:r>
              <w:rPr>
                <w:rFonts w:asciiTheme="minorHAnsi" w:hAnsiTheme="minorHAnsi"/>
                <w:b/>
                <w:bCs/>
                <w:color w:val="00B050"/>
              </w:rPr>
              <w:t>ASCIMINIB</w:t>
            </w:r>
          </w:p>
          <w:p w14:paraId="69207890" w14:textId="445596B3" w:rsidR="00976248" w:rsidRPr="00013BFF" w:rsidRDefault="00976248" w:rsidP="005A03FF">
            <w:pPr>
              <w:rPr>
                <w:color w:val="00B050"/>
              </w:rPr>
            </w:pPr>
            <w:r w:rsidRPr="00013BFF">
              <w:rPr>
                <w:rFonts w:asciiTheme="minorHAnsi" w:hAnsiTheme="minorHAnsi"/>
                <w:color w:val="00B050"/>
              </w:rPr>
              <w:t xml:space="preserve">Schedule </w:t>
            </w:r>
            <w:r w:rsidR="004E5145">
              <w:rPr>
                <w:rFonts w:asciiTheme="minorHAnsi" w:hAnsiTheme="minorHAnsi"/>
                <w:color w:val="00B050"/>
              </w:rPr>
              <w:t>4</w:t>
            </w:r>
          </w:p>
        </w:tc>
      </w:tr>
    </w:tbl>
    <w:p w14:paraId="1EAA16AC" w14:textId="228338E1" w:rsidR="00976248" w:rsidRPr="002F1391" w:rsidRDefault="00976248" w:rsidP="00113E24">
      <w:pPr>
        <w:pStyle w:val="Heading3"/>
        <w:numPr>
          <w:ilvl w:val="0"/>
          <w:numId w:val="0"/>
        </w:numPr>
        <w:spacing w:before="240" w:after="0" w:line="220" w:lineRule="atLeast"/>
        <w:ind w:left="360"/>
      </w:pPr>
      <w:bookmarkStart w:id="9" w:name="_Toc112069866"/>
      <w:r>
        <w:t xml:space="preserve">2.2   </w:t>
      </w:r>
      <w:proofErr w:type="spellStart"/>
      <w:r w:rsidR="004E5145">
        <w:t>Faricimab</w:t>
      </w:r>
      <w:bookmarkEnd w:id="9"/>
      <w:proofErr w:type="spellEnd"/>
    </w:p>
    <w:tbl>
      <w:tblPr>
        <w:tblStyle w:val="TableGrid"/>
        <w:tblW w:w="0" w:type="auto"/>
        <w:tblInd w:w="988" w:type="dxa"/>
        <w:tblLook w:val="04A0" w:firstRow="1" w:lastRow="0" w:firstColumn="1" w:lastColumn="0" w:noHBand="0" w:noVBand="1"/>
      </w:tblPr>
      <w:tblGrid>
        <w:gridCol w:w="8072"/>
      </w:tblGrid>
      <w:tr w:rsidR="00976248" w14:paraId="4C08318F" w14:textId="77777777" w:rsidTr="005A03FF">
        <w:tc>
          <w:tcPr>
            <w:tcW w:w="8072" w:type="dxa"/>
          </w:tcPr>
          <w:p w14:paraId="7E34781B" w14:textId="71621F93" w:rsidR="00976248" w:rsidRPr="00105867" w:rsidRDefault="00976248" w:rsidP="005A03FF">
            <w:pPr>
              <w:rPr>
                <w:rFonts w:asciiTheme="minorHAnsi" w:hAnsiTheme="minorHAnsi"/>
              </w:rPr>
            </w:pPr>
            <w:r w:rsidRPr="00105867">
              <w:rPr>
                <w:rStyle w:val="Strong"/>
                <w:rFonts w:asciiTheme="minorHAnsi" w:hAnsiTheme="minorHAnsi"/>
                <w:color w:val="000000"/>
                <w:szCs w:val="22"/>
              </w:rPr>
              <w:t>Schedule 4</w:t>
            </w:r>
            <w:r>
              <w:rPr>
                <w:rStyle w:val="Strong"/>
                <w:rFonts w:asciiTheme="minorHAnsi" w:hAnsiTheme="minorHAnsi"/>
                <w:color w:val="000000"/>
                <w:szCs w:val="22"/>
              </w:rPr>
              <w:t xml:space="preserve"> </w:t>
            </w:r>
            <w:r w:rsidRPr="00105867">
              <w:rPr>
                <w:rStyle w:val="Strong"/>
                <w:rFonts w:asciiTheme="minorHAnsi" w:hAnsiTheme="minorHAnsi"/>
                <w:color w:val="000000"/>
                <w:szCs w:val="22"/>
              </w:rPr>
              <w:t>- New Entry</w:t>
            </w:r>
          </w:p>
          <w:p w14:paraId="3DF0A9C8" w14:textId="07DC8C09" w:rsidR="00976248" w:rsidRDefault="00C8234B" w:rsidP="005A03FF">
            <w:pPr>
              <w:rPr>
                <w:color w:val="00B050"/>
              </w:rPr>
            </w:pPr>
            <w:r>
              <w:rPr>
                <w:color w:val="00B050"/>
              </w:rPr>
              <w:t>FARICIMAB</w:t>
            </w:r>
          </w:p>
          <w:p w14:paraId="0FC6C266" w14:textId="37A05FE0" w:rsidR="00C8234B" w:rsidRPr="003B2840" w:rsidRDefault="00C8234B" w:rsidP="005A03FF">
            <w:pPr>
              <w:rPr>
                <w:rStyle w:val="Strong"/>
                <w:rFonts w:asciiTheme="minorHAnsi" w:hAnsiTheme="minorHAnsi"/>
              </w:rPr>
            </w:pPr>
            <w:r w:rsidRPr="003B2840">
              <w:rPr>
                <w:rStyle w:val="Strong"/>
                <w:rFonts w:asciiTheme="minorHAnsi" w:hAnsiTheme="minorHAnsi"/>
              </w:rPr>
              <w:t>Appendix L – New Entry</w:t>
            </w:r>
          </w:p>
          <w:p w14:paraId="1E8AF08A" w14:textId="7658A75D" w:rsidR="00C8234B" w:rsidRPr="003B2840" w:rsidRDefault="00C8234B" w:rsidP="005A03FF">
            <w:pPr>
              <w:rPr>
                <w:rStyle w:val="Strong"/>
                <w:rFonts w:asciiTheme="minorHAnsi" w:hAnsiTheme="minorHAnsi"/>
                <w:b w:val="0"/>
                <w:bCs w:val="0"/>
                <w:color w:val="00B050"/>
                <w:szCs w:val="22"/>
              </w:rPr>
            </w:pPr>
            <w:r w:rsidRPr="003B2840">
              <w:rPr>
                <w:rStyle w:val="Strong"/>
                <w:rFonts w:asciiTheme="minorHAnsi" w:hAnsiTheme="minorHAnsi"/>
                <w:b w:val="0"/>
                <w:bCs w:val="0"/>
                <w:color w:val="00B050"/>
              </w:rPr>
              <w:t>FARICIMAB: Warning statement 76 (Do not become pregnant during use or within 3 months of stopping treatment).</w:t>
            </w:r>
          </w:p>
          <w:p w14:paraId="54AE2ECD" w14:textId="77777777" w:rsidR="00976248" w:rsidRPr="004E10A3" w:rsidRDefault="00976248" w:rsidP="005A03FF">
            <w:pPr>
              <w:rPr>
                <w:rFonts w:asciiTheme="minorHAnsi" w:hAnsiTheme="minorHAnsi"/>
              </w:rPr>
            </w:pPr>
            <w:r w:rsidRPr="004E10A3">
              <w:rPr>
                <w:rStyle w:val="Strong"/>
                <w:rFonts w:asciiTheme="minorHAnsi" w:hAnsiTheme="minorHAnsi"/>
                <w:szCs w:val="22"/>
              </w:rPr>
              <w:t>Index - New Entry</w:t>
            </w:r>
          </w:p>
          <w:p w14:paraId="394663D0" w14:textId="32F4F4CF" w:rsidR="00976248" w:rsidRPr="003B2840" w:rsidRDefault="00C8234B" w:rsidP="005A03FF">
            <w:pPr>
              <w:rPr>
                <w:rStyle w:val="Strong"/>
                <w:rFonts w:asciiTheme="minorHAnsi" w:hAnsiTheme="minorHAnsi"/>
                <w:color w:val="00B050"/>
                <w:szCs w:val="22"/>
              </w:rPr>
            </w:pPr>
            <w:r w:rsidRPr="00905AB4">
              <w:rPr>
                <w:b/>
                <w:bCs/>
                <w:color w:val="00B050"/>
              </w:rPr>
              <w:t>F</w:t>
            </w:r>
            <w:r w:rsidRPr="003B2840">
              <w:rPr>
                <w:b/>
                <w:bCs/>
                <w:color w:val="00B050"/>
              </w:rPr>
              <w:t>ARICIMAB</w:t>
            </w:r>
          </w:p>
          <w:p w14:paraId="5C6FE745" w14:textId="7A60843C" w:rsidR="00976248" w:rsidRPr="00013BFF" w:rsidRDefault="00976248" w:rsidP="005A03FF">
            <w:pPr>
              <w:rPr>
                <w:color w:val="00B050"/>
                <w:lang w:eastAsia="en-AU"/>
              </w:rPr>
            </w:pPr>
            <w:r w:rsidRPr="00A268CC">
              <w:rPr>
                <w:rFonts w:asciiTheme="minorHAnsi" w:hAnsiTheme="minorHAnsi"/>
                <w:color w:val="00B050"/>
              </w:rPr>
              <w:t xml:space="preserve">Schedule </w:t>
            </w:r>
            <w:r w:rsidR="00C8234B" w:rsidRPr="00905AB4">
              <w:rPr>
                <w:rFonts w:asciiTheme="minorHAnsi" w:hAnsiTheme="minorHAnsi"/>
                <w:color w:val="00B050"/>
              </w:rPr>
              <w:t>4</w:t>
            </w:r>
            <w:r w:rsidR="00C8234B" w:rsidRPr="003B2840">
              <w:rPr>
                <w:color w:val="00B050"/>
              </w:rPr>
              <w:br/>
              <w:t>Appendix L</w:t>
            </w:r>
          </w:p>
        </w:tc>
      </w:tr>
    </w:tbl>
    <w:p w14:paraId="3481BB97" w14:textId="63BDE63C" w:rsidR="00F27DE1" w:rsidRPr="002F1391" w:rsidRDefault="00F27DE1" w:rsidP="00F27DE1">
      <w:pPr>
        <w:pStyle w:val="Heading3"/>
        <w:numPr>
          <w:ilvl w:val="0"/>
          <w:numId w:val="0"/>
        </w:numPr>
        <w:spacing w:before="240" w:after="0" w:line="220" w:lineRule="atLeast"/>
        <w:ind w:left="360"/>
      </w:pPr>
      <w:bookmarkStart w:id="10" w:name="_Toc112069867"/>
      <w:r>
        <w:t xml:space="preserve">2.3   </w:t>
      </w:r>
      <w:proofErr w:type="spellStart"/>
      <w:r w:rsidR="004E5145">
        <w:t>Mobocertinib</w:t>
      </w:r>
      <w:bookmarkEnd w:id="10"/>
      <w:proofErr w:type="spellEnd"/>
    </w:p>
    <w:tbl>
      <w:tblPr>
        <w:tblStyle w:val="TableGrid"/>
        <w:tblW w:w="0" w:type="auto"/>
        <w:tblInd w:w="988" w:type="dxa"/>
        <w:tblLook w:val="04A0" w:firstRow="1" w:lastRow="0" w:firstColumn="1" w:lastColumn="0" w:noHBand="0" w:noVBand="1"/>
      </w:tblPr>
      <w:tblGrid>
        <w:gridCol w:w="8072"/>
      </w:tblGrid>
      <w:tr w:rsidR="00F27DE1" w14:paraId="3FA23BCF" w14:textId="77777777" w:rsidTr="006063DC">
        <w:tc>
          <w:tcPr>
            <w:tcW w:w="8072" w:type="dxa"/>
          </w:tcPr>
          <w:p w14:paraId="70065742" w14:textId="77777777" w:rsidR="00F27DE1" w:rsidRPr="00105867" w:rsidRDefault="00F27DE1" w:rsidP="006063DC">
            <w:pPr>
              <w:rPr>
                <w:rFonts w:asciiTheme="minorHAnsi" w:hAnsiTheme="minorHAnsi"/>
              </w:rPr>
            </w:pPr>
            <w:r w:rsidRPr="00105867">
              <w:rPr>
                <w:rStyle w:val="Strong"/>
                <w:rFonts w:asciiTheme="minorHAnsi" w:hAnsiTheme="minorHAnsi"/>
                <w:color w:val="000000"/>
                <w:szCs w:val="22"/>
              </w:rPr>
              <w:t>Schedule 4</w:t>
            </w:r>
            <w:r>
              <w:rPr>
                <w:rStyle w:val="Strong"/>
                <w:rFonts w:asciiTheme="minorHAnsi" w:hAnsiTheme="minorHAnsi"/>
                <w:color w:val="000000"/>
                <w:szCs w:val="22"/>
              </w:rPr>
              <w:t xml:space="preserve"> </w:t>
            </w:r>
            <w:r w:rsidRPr="00105867">
              <w:rPr>
                <w:rStyle w:val="Strong"/>
                <w:rFonts w:asciiTheme="minorHAnsi" w:hAnsiTheme="minorHAnsi"/>
                <w:color w:val="000000"/>
                <w:szCs w:val="22"/>
              </w:rPr>
              <w:t>- New Entry</w:t>
            </w:r>
          </w:p>
          <w:p w14:paraId="3E4E8327" w14:textId="5477A56E" w:rsidR="00F27DE1" w:rsidRDefault="00C9608E" w:rsidP="006063DC">
            <w:pPr>
              <w:rPr>
                <w:rStyle w:val="Strong"/>
                <w:rFonts w:asciiTheme="minorHAnsi" w:hAnsiTheme="minorHAnsi"/>
                <w:color w:val="000000"/>
                <w:szCs w:val="22"/>
              </w:rPr>
            </w:pPr>
            <w:r>
              <w:rPr>
                <w:color w:val="00B050"/>
              </w:rPr>
              <w:t>MOBOCERTINIB</w:t>
            </w:r>
          </w:p>
          <w:p w14:paraId="650A3287" w14:textId="77777777" w:rsidR="00F27DE1" w:rsidRPr="004E10A3" w:rsidRDefault="00F27DE1" w:rsidP="006063DC">
            <w:pPr>
              <w:rPr>
                <w:rFonts w:asciiTheme="minorHAnsi" w:hAnsiTheme="minorHAnsi"/>
              </w:rPr>
            </w:pPr>
            <w:r w:rsidRPr="004E10A3">
              <w:rPr>
                <w:rStyle w:val="Strong"/>
                <w:rFonts w:asciiTheme="minorHAnsi" w:hAnsiTheme="minorHAnsi"/>
                <w:szCs w:val="22"/>
              </w:rPr>
              <w:lastRenderedPageBreak/>
              <w:t>Index - New Entry</w:t>
            </w:r>
          </w:p>
          <w:p w14:paraId="53414A32" w14:textId="0D1257D0" w:rsidR="00F27DE1" w:rsidRPr="004E10A3" w:rsidRDefault="00C9608E" w:rsidP="006063DC">
            <w:pPr>
              <w:rPr>
                <w:rStyle w:val="Strong"/>
                <w:rFonts w:asciiTheme="minorHAnsi" w:hAnsiTheme="minorHAnsi"/>
                <w:b w:val="0"/>
                <w:bCs w:val="0"/>
                <w:color w:val="000000"/>
                <w:szCs w:val="22"/>
              </w:rPr>
            </w:pPr>
            <w:r>
              <w:rPr>
                <w:b/>
                <w:bCs/>
                <w:color w:val="00B050"/>
              </w:rPr>
              <w:t>MOBOCERTINIB</w:t>
            </w:r>
          </w:p>
          <w:p w14:paraId="0AC84240" w14:textId="13BF7ACA" w:rsidR="00F27DE1" w:rsidRPr="00013BFF" w:rsidRDefault="00F27DE1" w:rsidP="006063DC">
            <w:pPr>
              <w:rPr>
                <w:color w:val="00B050"/>
                <w:lang w:eastAsia="en-AU"/>
              </w:rPr>
            </w:pPr>
            <w:r>
              <w:rPr>
                <w:rFonts w:asciiTheme="minorHAnsi" w:hAnsiTheme="minorHAnsi"/>
                <w:color w:val="00B050"/>
              </w:rPr>
              <w:t xml:space="preserve">Schedule </w:t>
            </w:r>
            <w:r w:rsidR="00C9608E">
              <w:rPr>
                <w:rFonts w:asciiTheme="minorHAnsi" w:hAnsiTheme="minorHAnsi"/>
                <w:color w:val="00B050"/>
              </w:rPr>
              <w:t>4</w:t>
            </w:r>
          </w:p>
        </w:tc>
      </w:tr>
    </w:tbl>
    <w:p w14:paraId="6E5C9899" w14:textId="33D66203" w:rsidR="004E5145" w:rsidRDefault="004E5145" w:rsidP="004E5145">
      <w:pPr>
        <w:pStyle w:val="Heading3"/>
        <w:numPr>
          <w:ilvl w:val="0"/>
          <w:numId w:val="0"/>
        </w:numPr>
        <w:spacing w:before="240" w:after="0" w:line="220" w:lineRule="atLeast"/>
        <w:ind w:left="360"/>
      </w:pPr>
      <w:bookmarkStart w:id="11" w:name="_Toc112069868"/>
      <w:r>
        <w:lastRenderedPageBreak/>
        <w:t xml:space="preserve">2.4   </w:t>
      </w:r>
      <w:proofErr w:type="spellStart"/>
      <w:r>
        <w:t>Osilodrostat</w:t>
      </w:r>
      <w:bookmarkEnd w:id="11"/>
      <w:proofErr w:type="spellEnd"/>
    </w:p>
    <w:tbl>
      <w:tblPr>
        <w:tblStyle w:val="TableGrid"/>
        <w:tblW w:w="0" w:type="auto"/>
        <w:tblInd w:w="988" w:type="dxa"/>
        <w:tblLook w:val="04A0" w:firstRow="1" w:lastRow="0" w:firstColumn="1" w:lastColumn="0" w:noHBand="0" w:noVBand="1"/>
      </w:tblPr>
      <w:tblGrid>
        <w:gridCol w:w="8072"/>
      </w:tblGrid>
      <w:tr w:rsidR="004E5145" w14:paraId="37D1AB7B" w14:textId="77777777" w:rsidTr="00B13320">
        <w:tc>
          <w:tcPr>
            <w:tcW w:w="8072" w:type="dxa"/>
          </w:tcPr>
          <w:p w14:paraId="715715AC" w14:textId="77777777" w:rsidR="004E5145" w:rsidRPr="00105867" w:rsidRDefault="004E5145" w:rsidP="00B13320">
            <w:pPr>
              <w:rPr>
                <w:rFonts w:asciiTheme="minorHAnsi" w:hAnsiTheme="minorHAnsi"/>
              </w:rPr>
            </w:pPr>
            <w:r w:rsidRPr="00105867">
              <w:rPr>
                <w:rStyle w:val="Strong"/>
                <w:rFonts w:asciiTheme="minorHAnsi" w:hAnsiTheme="minorHAnsi"/>
                <w:color w:val="000000"/>
                <w:szCs w:val="22"/>
              </w:rPr>
              <w:t xml:space="preserve">Schedule 4 </w:t>
            </w:r>
            <w:r>
              <w:rPr>
                <w:rStyle w:val="Strong"/>
                <w:rFonts w:asciiTheme="minorHAnsi" w:hAnsiTheme="minorHAnsi"/>
                <w:color w:val="000000"/>
                <w:szCs w:val="22"/>
              </w:rPr>
              <w:t>–</w:t>
            </w:r>
            <w:r w:rsidRPr="00105867">
              <w:rPr>
                <w:rStyle w:val="Strong"/>
                <w:rFonts w:asciiTheme="minorHAnsi" w:hAnsiTheme="minorHAnsi"/>
                <w:color w:val="000000"/>
                <w:szCs w:val="22"/>
              </w:rPr>
              <w:t xml:space="preserve"> New Entry</w:t>
            </w:r>
          </w:p>
          <w:p w14:paraId="34E75D7F" w14:textId="1094CEBE" w:rsidR="004E5145" w:rsidRDefault="00C9608E" w:rsidP="00B13320">
            <w:pPr>
              <w:rPr>
                <w:rFonts w:asciiTheme="minorHAnsi" w:hAnsiTheme="minorHAnsi"/>
                <w:color w:val="00B050"/>
              </w:rPr>
            </w:pPr>
            <w:r>
              <w:rPr>
                <w:rFonts w:asciiTheme="minorHAnsi" w:hAnsiTheme="minorHAnsi"/>
                <w:color w:val="00B050"/>
              </w:rPr>
              <w:t>OSILODROSTAT</w:t>
            </w:r>
          </w:p>
          <w:p w14:paraId="2AFAAE46" w14:textId="77777777" w:rsidR="004E5145" w:rsidRPr="00105867" w:rsidRDefault="004E5145" w:rsidP="00B13320">
            <w:pPr>
              <w:rPr>
                <w:rFonts w:asciiTheme="minorHAnsi" w:hAnsiTheme="minorHAnsi"/>
              </w:rPr>
            </w:pPr>
            <w:r w:rsidRPr="00105867">
              <w:rPr>
                <w:rStyle w:val="Strong"/>
                <w:rFonts w:asciiTheme="minorHAnsi" w:hAnsiTheme="minorHAnsi"/>
                <w:color w:val="000000"/>
                <w:szCs w:val="22"/>
              </w:rPr>
              <w:t xml:space="preserve">Index </w:t>
            </w:r>
            <w:r>
              <w:rPr>
                <w:rStyle w:val="Strong"/>
                <w:rFonts w:asciiTheme="minorHAnsi" w:hAnsiTheme="minorHAnsi"/>
                <w:color w:val="000000"/>
                <w:szCs w:val="22"/>
              </w:rPr>
              <w:t>–</w:t>
            </w:r>
            <w:r w:rsidRPr="00105867">
              <w:rPr>
                <w:rStyle w:val="Strong"/>
                <w:rFonts w:asciiTheme="minorHAnsi" w:hAnsiTheme="minorHAnsi"/>
                <w:color w:val="000000"/>
                <w:szCs w:val="22"/>
              </w:rPr>
              <w:t xml:space="preserve"> New Entry</w:t>
            </w:r>
          </w:p>
          <w:p w14:paraId="6DFC84CD" w14:textId="49BE7084" w:rsidR="004E5145" w:rsidRDefault="00C9608E" w:rsidP="00B13320">
            <w:pPr>
              <w:rPr>
                <w:rFonts w:asciiTheme="minorHAnsi" w:hAnsiTheme="minorHAnsi"/>
                <w:b/>
                <w:bCs/>
                <w:color w:val="00B050"/>
              </w:rPr>
            </w:pPr>
            <w:r>
              <w:rPr>
                <w:rFonts w:asciiTheme="minorHAnsi" w:hAnsiTheme="minorHAnsi"/>
                <w:b/>
                <w:bCs/>
                <w:color w:val="00B050"/>
              </w:rPr>
              <w:t>OSILODROSTAT</w:t>
            </w:r>
          </w:p>
          <w:p w14:paraId="0B7F905B" w14:textId="77777777" w:rsidR="004E5145" w:rsidRPr="00013BFF" w:rsidRDefault="004E5145" w:rsidP="00B13320">
            <w:pPr>
              <w:rPr>
                <w:color w:val="00B050"/>
              </w:rPr>
            </w:pPr>
            <w:r w:rsidRPr="00013BFF">
              <w:rPr>
                <w:rFonts w:asciiTheme="minorHAnsi" w:hAnsiTheme="minorHAnsi"/>
                <w:color w:val="00B050"/>
              </w:rPr>
              <w:t xml:space="preserve">Schedule </w:t>
            </w:r>
            <w:r>
              <w:rPr>
                <w:rFonts w:asciiTheme="minorHAnsi" w:hAnsiTheme="minorHAnsi"/>
                <w:color w:val="00B050"/>
              </w:rPr>
              <w:t>4</w:t>
            </w:r>
          </w:p>
        </w:tc>
      </w:tr>
    </w:tbl>
    <w:p w14:paraId="01AC5EE9" w14:textId="350CA08C" w:rsidR="004E5145" w:rsidRPr="002F1391" w:rsidRDefault="004E5145" w:rsidP="004E5145">
      <w:pPr>
        <w:pStyle w:val="Heading3"/>
        <w:numPr>
          <w:ilvl w:val="0"/>
          <w:numId w:val="0"/>
        </w:numPr>
        <w:spacing w:before="240" w:after="0" w:line="220" w:lineRule="atLeast"/>
        <w:ind w:left="360"/>
      </w:pPr>
      <w:bookmarkStart w:id="12" w:name="_Toc112069869"/>
      <w:r>
        <w:t xml:space="preserve">2.5   </w:t>
      </w:r>
      <w:proofErr w:type="spellStart"/>
      <w:r>
        <w:t>Pemigatinib</w:t>
      </w:r>
      <w:bookmarkEnd w:id="12"/>
      <w:proofErr w:type="spellEnd"/>
    </w:p>
    <w:tbl>
      <w:tblPr>
        <w:tblStyle w:val="TableGrid"/>
        <w:tblW w:w="0" w:type="auto"/>
        <w:tblInd w:w="988" w:type="dxa"/>
        <w:tblLook w:val="04A0" w:firstRow="1" w:lastRow="0" w:firstColumn="1" w:lastColumn="0" w:noHBand="0" w:noVBand="1"/>
      </w:tblPr>
      <w:tblGrid>
        <w:gridCol w:w="8072"/>
      </w:tblGrid>
      <w:tr w:rsidR="004E5145" w14:paraId="2495E0D2" w14:textId="77777777" w:rsidTr="00B13320">
        <w:tc>
          <w:tcPr>
            <w:tcW w:w="8072" w:type="dxa"/>
          </w:tcPr>
          <w:p w14:paraId="4CC1C039" w14:textId="77777777" w:rsidR="004E5145" w:rsidRPr="00105867" w:rsidRDefault="004E5145" w:rsidP="00B13320">
            <w:pPr>
              <w:rPr>
                <w:rFonts w:asciiTheme="minorHAnsi" w:hAnsiTheme="minorHAnsi"/>
              </w:rPr>
            </w:pPr>
            <w:r w:rsidRPr="00105867">
              <w:rPr>
                <w:rStyle w:val="Strong"/>
                <w:rFonts w:asciiTheme="minorHAnsi" w:hAnsiTheme="minorHAnsi"/>
                <w:color w:val="000000"/>
                <w:szCs w:val="22"/>
              </w:rPr>
              <w:t>Schedule 4</w:t>
            </w:r>
            <w:r>
              <w:rPr>
                <w:rStyle w:val="Strong"/>
                <w:rFonts w:asciiTheme="minorHAnsi" w:hAnsiTheme="minorHAnsi"/>
                <w:color w:val="000000"/>
                <w:szCs w:val="22"/>
              </w:rPr>
              <w:t xml:space="preserve"> </w:t>
            </w:r>
            <w:r w:rsidRPr="00105867">
              <w:rPr>
                <w:rStyle w:val="Strong"/>
                <w:rFonts w:asciiTheme="minorHAnsi" w:hAnsiTheme="minorHAnsi"/>
                <w:color w:val="000000"/>
                <w:szCs w:val="22"/>
              </w:rPr>
              <w:t>- New Entry</w:t>
            </w:r>
          </w:p>
          <w:p w14:paraId="3FF831A9" w14:textId="61F7228B" w:rsidR="004E5145" w:rsidRDefault="00C9608E" w:rsidP="00B13320">
            <w:pPr>
              <w:rPr>
                <w:rStyle w:val="Strong"/>
                <w:rFonts w:asciiTheme="minorHAnsi" w:hAnsiTheme="minorHAnsi"/>
                <w:color w:val="000000"/>
                <w:szCs w:val="22"/>
              </w:rPr>
            </w:pPr>
            <w:r>
              <w:rPr>
                <w:color w:val="00B050"/>
              </w:rPr>
              <w:t>PEMIGATINIB</w:t>
            </w:r>
          </w:p>
          <w:p w14:paraId="2F9600E7" w14:textId="77777777" w:rsidR="004E5145" w:rsidRPr="004E10A3" w:rsidRDefault="004E5145" w:rsidP="00B13320">
            <w:pPr>
              <w:rPr>
                <w:rFonts w:asciiTheme="minorHAnsi" w:hAnsiTheme="minorHAnsi"/>
              </w:rPr>
            </w:pPr>
            <w:r w:rsidRPr="004E10A3">
              <w:rPr>
                <w:rStyle w:val="Strong"/>
                <w:rFonts w:asciiTheme="minorHAnsi" w:hAnsiTheme="minorHAnsi"/>
                <w:szCs w:val="22"/>
              </w:rPr>
              <w:t>Index - New Entry</w:t>
            </w:r>
          </w:p>
          <w:p w14:paraId="28AD75F6" w14:textId="0E7ABA12" w:rsidR="004E5145" w:rsidRPr="004E10A3" w:rsidRDefault="00C9608E" w:rsidP="00B13320">
            <w:pPr>
              <w:rPr>
                <w:rStyle w:val="Strong"/>
                <w:rFonts w:asciiTheme="minorHAnsi" w:hAnsiTheme="minorHAnsi"/>
                <w:b w:val="0"/>
                <w:bCs w:val="0"/>
                <w:color w:val="000000"/>
                <w:szCs w:val="22"/>
              </w:rPr>
            </w:pPr>
            <w:r>
              <w:rPr>
                <w:b/>
                <w:bCs/>
                <w:color w:val="00B050"/>
              </w:rPr>
              <w:t>PEMIGATINIB</w:t>
            </w:r>
          </w:p>
          <w:p w14:paraId="21932241" w14:textId="7B7420B9" w:rsidR="004E5145" w:rsidRPr="00013BFF" w:rsidRDefault="004E5145" w:rsidP="00B13320">
            <w:pPr>
              <w:rPr>
                <w:color w:val="00B050"/>
                <w:lang w:eastAsia="en-AU"/>
              </w:rPr>
            </w:pPr>
            <w:r>
              <w:rPr>
                <w:rFonts w:asciiTheme="minorHAnsi" w:hAnsiTheme="minorHAnsi"/>
                <w:color w:val="00B050"/>
              </w:rPr>
              <w:t xml:space="preserve">Schedule </w:t>
            </w:r>
            <w:r w:rsidR="00C9608E">
              <w:rPr>
                <w:rFonts w:asciiTheme="minorHAnsi" w:hAnsiTheme="minorHAnsi"/>
                <w:color w:val="00B050"/>
              </w:rPr>
              <w:t>4</w:t>
            </w:r>
          </w:p>
        </w:tc>
      </w:tr>
    </w:tbl>
    <w:p w14:paraId="24DE9D86" w14:textId="4D2829C7" w:rsidR="004E5145" w:rsidRPr="002F1391" w:rsidRDefault="004E5145" w:rsidP="004E5145">
      <w:pPr>
        <w:pStyle w:val="Heading3"/>
        <w:numPr>
          <w:ilvl w:val="0"/>
          <w:numId w:val="0"/>
        </w:numPr>
        <w:spacing w:before="240" w:after="0" w:line="220" w:lineRule="atLeast"/>
        <w:ind w:left="360"/>
      </w:pPr>
      <w:bookmarkStart w:id="13" w:name="_Toc112069870"/>
      <w:r>
        <w:t>2.6   Vosoritide</w:t>
      </w:r>
      <w:bookmarkEnd w:id="13"/>
    </w:p>
    <w:tbl>
      <w:tblPr>
        <w:tblStyle w:val="TableGrid"/>
        <w:tblW w:w="0" w:type="auto"/>
        <w:tblInd w:w="988" w:type="dxa"/>
        <w:tblLook w:val="04A0" w:firstRow="1" w:lastRow="0" w:firstColumn="1" w:lastColumn="0" w:noHBand="0" w:noVBand="1"/>
      </w:tblPr>
      <w:tblGrid>
        <w:gridCol w:w="8072"/>
      </w:tblGrid>
      <w:tr w:rsidR="004E5145" w14:paraId="5627D2FE" w14:textId="77777777" w:rsidTr="00B13320">
        <w:tc>
          <w:tcPr>
            <w:tcW w:w="8072" w:type="dxa"/>
          </w:tcPr>
          <w:p w14:paraId="0B4DF13A" w14:textId="77777777" w:rsidR="004E5145" w:rsidRPr="00105867" w:rsidRDefault="004E5145" w:rsidP="00B13320">
            <w:pPr>
              <w:rPr>
                <w:rFonts w:asciiTheme="minorHAnsi" w:hAnsiTheme="minorHAnsi"/>
              </w:rPr>
            </w:pPr>
            <w:r w:rsidRPr="00105867">
              <w:rPr>
                <w:rStyle w:val="Strong"/>
                <w:rFonts w:asciiTheme="minorHAnsi" w:hAnsiTheme="minorHAnsi"/>
                <w:color w:val="000000"/>
                <w:szCs w:val="22"/>
              </w:rPr>
              <w:t>Schedule 4</w:t>
            </w:r>
            <w:r>
              <w:rPr>
                <w:rStyle w:val="Strong"/>
                <w:rFonts w:asciiTheme="minorHAnsi" w:hAnsiTheme="minorHAnsi"/>
                <w:color w:val="000000"/>
                <w:szCs w:val="22"/>
              </w:rPr>
              <w:t xml:space="preserve"> </w:t>
            </w:r>
            <w:r w:rsidRPr="00105867">
              <w:rPr>
                <w:rStyle w:val="Strong"/>
                <w:rFonts w:asciiTheme="minorHAnsi" w:hAnsiTheme="minorHAnsi"/>
                <w:color w:val="000000"/>
                <w:szCs w:val="22"/>
              </w:rPr>
              <w:t>- New Entry</w:t>
            </w:r>
          </w:p>
          <w:p w14:paraId="482C05DA" w14:textId="58B6AB8E" w:rsidR="004E5145" w:rsidRDefault="00C9608E" w:rsidP="00B13320">
            <w:pPr>
              <w:rPr>
                <w:rStyle w:val="Strong"/>
                <w:rFonts w:asciiTheme="minorHAnsi" w:hAnsiTheme="minorHAnsi"/>
                <w:color w:val="000000"/>
                <w:szCs w:val="22"/>
              </w:rPr>
            </w:pPr>
            <w:r>
              <w:rPr>
                <w:color w:val="00B050"/>
              </w:rPr>
              <w:t>VOSORITIDE</w:t>
            </w:r>
          </w:p>
          <w:p w14:paraId="5BE9567C" w14:textId="77777777" w:rsidR="004E5145" w:rsidRPr="004E10A3" w:rsidRDefault="004E5145" w:rsidP="00B13320">
            <w:pPr>
              <w:rPr>
                <w:rFonts w:asciiTheme="minorHAnsi" w:hAnsiTheme="minorHAnsi"/>
              </w:rPr>
            </w:pPr>
            <w:r w:rsidRPr="004E10A3">
              <w:rPr>
                <w:rStyle w:val="Strong"/>
                <w:rFonts w:asciiTheme="minorHAnsi" w:hAnsiTheme="minorHAnsi"/>
                <w:szCs w:val="22"/>
              </w:rPr>
              <w:t>Index - New Entry</w:t>
            </w:r>
          </w:p>
          <w:p w14:paraId="21A7A82B" w14:textId="313097D5" w:rsidR="004E5145" w:rsidRPr="004E10A3" w:rsidRDefault="00C9608E" w:rsidP="00B13320">
            <w:pPr>
              <w:rPr>
                <w:rStyle w:val="Strong"/>
                <w:rFonts w:asciiTheme="minorHAnsi" w:hAnsiTheme="minorHAnsi"/>
                <w:b w:val="0"/>
                <w:bCs w:val="0"/>
                <w:color w:val="000000"/>
                <w:szCs w:val="22"/>
              </w:rPr>
            </w:pPr>
            <w:r>
              <w:rPr>
                <w:b/>
                <w:bCs/>
                <w:color w:val="00B050"/>
              </w:rPr>
              <w:t>VOSORITIDE</w:t>
            </w:r>
          </w:p>
          <w:p w14:paraId="37EB3A49" w14:textId="42D46895" w:rsidR="004E5145" w:rsidRPr="00013BFF" w:rsidRDefault="004E5145" w:rsidP="00B13320">
            <w:pPr>
              <w:rPr>
                <w:color w:val="00B050"/>
                <w:lang w:eastAsia="en-AU"/>
              </w:rPr>
            </w:pPr>
            <w:r>
              <w:rPr>
                <w:rFonts w:asciiTheme="minorHAnsi" w:hAnsiTheme="minorHAnsi"/>
                <w:color w:val="00B050"/>
              </w:rPr>
              <w:t xml:space="preserve">Schedule </w:t>
            </w:r>
            <w:r w:rsidR="00C9608E">
              <w:rPr>
                <w:rFonts w:asciiTheme="minorHAnsi" w:hAnsiTheme="minorHAnsi"/>
                <w:color w:val="00B050"/>
              </w:rPr>
              <w:t>4</w:t>
            </w:r>
          </w:p>
        </w:tc>
      </w:tr>
    </w:tbl>
    <w:p w14:paraId="4B2EBC09" w14:textId="33A015C1" w:rsidR="00BD05E9" w:rsidRDefault="0027115A" w:rsidP="003B2840">
      <w:pPr>
        <w:pStyle w:val="Heading2"/>
        <w:numPr>
          <w:ilvl w:val="0"/>
          <w:numId w:val="31"/>
        </w:numPr>
      </w:pPr>
      <w:bookmarkStart w:id="14" w:name="_Toc112069871"/>
      <w:r>
        <w:t>A</w:t>
      </w:r>
      <w:r w:rsidR="00BD05E9">
        <w:t xml:space="preserve">mendments to the Poisons Standard </w:t>
      </w:r>
      <w:r w:rsidR="006A70C4">
        <w:t>made as</w:t>
      </w:r>
      <w:r w:rsidR="005069D2">
        <w:t xml:space="preserve"> </w:t>
      </w:r>
      <w:r w:rsidR="0075678F">
        <w:t xml:space="preserve">delegate-only </w:t>
      </w:r>
      <w:r w:rsidR="006A70C4">
        <w:t>decisions</w:t>
      </w:r>
      <w:bookmarkEnd w:id="14"/>
    </w:p>
    <w:p w14:paraId="78DD88E9" w14:textId="2C1FC345" w:rsidR="006A70C4" w:rsidRDefault="005069D2" w:rsidP="005069D2">
      <w:pPr>
        <w:pStyle w:val="Heading3"/>
        <w:numPr>
          <w:ilvl w:val="0"/>
          <w:numId w:val="0"/>
        </w:numPr>
      </w:pPr>
      <w:bookmarkStart w:id="15" w:name="_Toc81841022"/>
      <w:bookmarkStart w:id="16" w:name="_Toc88836060"/>
      <w:bookmarkStart w:id="17" w:name="_Toc112069872"/>
      <w:bookmarkStart w:id="18" w:name="_Toc81841017"/>
      <w:r>
        <w:t xml:space="preserve">3.1 </w:t>
      </w:r>
      <w:r w:rsidR="006A70C4">
        <w:t>Final decision in relation to</w:t>
      </w:r>
      <w:r w:rsidR="00D14B89" w:rsidRPr="00D14B89">
        <w:rPr>
          <w:color w:val="000000"/>
        </w:rPr>
        <w:t xml:space="preserve"> </w:t>
      </w:r>
      <w:bookmarkEnd w:id="15"/>
      <w:bookmarkEnd w:id="16"/>
      <w:r w:rsidR="00C37B0E">
        <w:rPr>
          <w:color w:val="000000"/>
        </w:rPr>
        <w:t>bovine herpesvirus-1 vaccine</w:t>
      </w:r>
      <w:bookmarkEnd w:id="17"/>
    </w:p>
    <w:p w14:paraId="65DA50F9" w14:textId="59930A74" w:rsidR="006A70C4" w:rsidRPr="00C333BC" w:rsidRDefault="006A70C4" w:rsidP="00C333BC">
      <w:pPr>
        <w:pStyle w:val="Heading4"/>
      </w:pPr>
      <w:r w:rsidRPr="00C333BC">
        <w:t>Final decision</w:t>
      </w:r>
    </w:p>
    <w:p w14:paraId="03615AD2" w14:textId="027178C1" w:rsidR="006A70C4" w:rsidRDefault="006A70C4" w:rsidP="005D4DEE">
      <w:r>
        <w:t xml:space="preserve">Pursuant to </w:t>
      </w:r>
      <w:r w:rsidRPr="005607E0">
        <w:t xml:space="preserve">regulation </w:t>
      </w:r>
      <w:r w:rsidRPr="00E67E22">
        <w:t>42ZCZU</w:t>
      </w:r>
      <w:r w:rsidRPr="005607E0">
        <w:t xml:space="preserve"> of</w:t>
      </w:r>
      <w:r>
        <w:t xml:space="preserve"> the </w:t>
      </w:r>
      <w:r w:rsidR="001F3B31">
        <w:t xml:space="preserve">Regulations </w:t>
      </w:r>
      <w:r>
        <w:t xml:space="preserve">a Delegate of the Secretary has made a final decision to amend the current Poisons Standard in relation to </w:t>
      </w:r>
      <w:r w:rsidR="00D90170">
        <w:t xml:space="preserve">bovine </w:t>
      </w:r>
      <w:r w:rsidR="00E61803">
        <w:t>herpesvirus-1 vaccine</w:t>
      </w:r>
      <w:r w:rsidR="00BF0AD7">
        <w:t xml:space="preserve"> </w:t>
      </w:r>
      <w:r>
        <w:t>as follows:</w:t>
      </w:r>
    </w:p>
    <w:p w14:paraId="48E5CF27" w14:textId="1A021AEC" w:rsidR="006A70C4" w:rsidRDefault="006A70C4" w:rsidP="00E67E22">
      <w:pPr>
        <w:ind w:left="426"/>
        <w:rPr>
          <w:b/>
        </w:rPr>
      </w:pPr>
      <w:r>
        <w:rPr>
          <w:b/>
        </w:rPr>
        <w:lastRenderedPageBreak/>
        <w:t xml:space="preserve">Schedule </w:t>
      </w:r>
      <w:r w:rsidR="00D90170">
        <w:rPr>
          <w:b/>
        </w:rPr>
        <w:t>4</w:t>
      </w:r>
      <w:r>
        <w:rPr>
          <w:b/>
        </w:rPr>
        <w:t xml:space="preserve"> – </w:t>
      </w:r>
      <w:r w:rsidR="00D90170">
        <w:rPr>
          <w:b/>
        </w:rPr>
        <w:t>Amend</w:t>
      </w:r>
      <w:r>
        <w:rPr>
          <w:b/>
        </w:rPr>
        <w:t xml:space="preserve"> entry</w:t>
      </w:r>
    </w:p>
    <w:p w14:paraId="62940423" w14:textId="1E34EDBE" w:rsidR="00D90170" w:rsidRDefault="00D90170">
      <w:pPr>
        <w:ind w:left="720"/>
        <w:rPr>
          <w:bCs/>
        </w:rPr>
      </w:pPr>
      <w:r>
        <w:rPr>
          <w:bCs/>
        </w:rPr>
        <w:t xml:space="preserve">VACCINES for veterinary live vaccine </w:t>
      </w:r>
      <w:r>
        <w:rPr>
          <w:b/>
        </w:rPr>
        <w:t>except</w:t>
      </w:r>
      <w:r w:rsidR="00216178">
        <w:rPr>
          <w:b/>
        </w:rPr>
        <w:t>:</w:t>
      </w:r>
    </w:p>
    <w:p w14:paraId="4FBA48CE" w14:textId="3A4D8D4E" w:rsidR="00D90170" w:rsidRDefault="00D90170" w:rsidP="00D90170">
      <w:pPr>
        <w:pStyle w:val="ListBulleta"/>
      </w:pPr>
      <w:r>
        <w:t xml:space="preserve">poultry </w:t>
      </w:r>
      <w:proofErr w:type="gramStart"/>
      <w:r>
        <w:t>vaccines;</w:t>
      </w:r>
      <w:proofErr w:type="gramEnd"/>
    </w:p>
    <w:p w14:paraId="4C32B816" w14:textId="5636409B" w:rsidR="00D90170" w:rsidRDefault="00D90170" w:rsidP="00D90170">
      <w:pPr>
        <w:pStyle w:val="ListBulleta"/>
      </w:pPr>
      <w:r>
        <w:t xml:space="preserve">pigeon pox </w:t>
      </w:r>
      <w:proofErr w:type="gramStart"/>
      <w:r>
        <w:t>vaccine;</w:t>
      </w:r>
      <w:proofErr w:type="gramEnd"/>
    </w:p>
    <w:p w14:paraId="7A595BB6" w14:textId="2B9285D1" w:rsidR="00D90170" w:rsidRDefault="00D90170" w:rsidP="00D90170">
      <w:pPr>
        <w:pStyle w:val="ListBulleta"/>
      </w:pPr>
      <w:r>
        <w:t>scabby mouth vaccine</w:t>
      </w:r>
      <w:r w:rsidRPr="00D90170">
        <w:t>;</w:t>
      </w:r>
      <w:r w:rsidRPr="00D90170">
        <w:rPr>
          <w:strike/>
          <w:color w:val="FF0000"/>
        </w:rPr>
        <w:t xml:space="preserve"> or</w:t>
      </w:r>
    </w:p>
    <w:p w14:paraId="2F247A72" w14:textId="7EA04870" w:rsidR="00D90170" w:rsidRDefault="00D90170" w:rsidP="00D90170">
      <w:pPr>
        <w:pStyle w:val="ListBulleta"/>
      </w:pPr>
      <w:r>
        <w:t>bovine ephemeral fever vaccine</w:t>
      </w:r>
      <w:r w:rsidRPr="00D90170">
        <w:rPr>
          <w:color w:val="00B050"/>
        </w:rPr>
        <w:t>; or</w:t>
      </w:r>
    </w:p>
    <w:p w14:paraId="3348F318" w14:textId="19B8E471" w:rsidR="006A70C4" w:rsidRPr="00D90170" w:rsidRDefault="00D90170" w:rsidP="00D90170">
      <w:pPr>
        <w:pStyle w:val="ListBulleta"/>
        <w:rPr>
          <w:color w:val="00B050"/>
        </w:rPr>
      </w:pPr>
      <w:r w:rsidRPr="00D90170">
        <w:rPr>
          <w:color w:val="00B050"/>
        </w:rPr>
        <w:t>bovine herpes</w:t>
      </w:r>
      <w:r w:rsidR="001613AC">
        <w:rPr>
          <w:color w:val="00B050"/>
        </w:rPr>
        <w:t>virus</w:t>
      </w:r>
      <w:r w:rsidRPr="00D90170">
        <w:rPr>
          <w:color w:val="00B050"/>
        </w:rPr>
        <w:t>-1 vaccine.</w:t>
      </w:r>
    </w:p>
    <w:p w14:paraId="02593CB5" w14:textId="77777777" w:rsidR="006A70C4" w:rsidRPr="00362C69" w:rsidRDefault="006A70C4">
      <w:pPr>
        <w:pStyle w:val="Heading4"/>
      </w:pPr>
      <w:r w:rsidRPr="00362C69">
        <w:t xml:space="preserve">Materials </w:t>
      </w:r>
      <w:r w:rsidRPr="00372277">
        <w:t>considered</w:t>
      </w:r>
    </w:p>
    <w:p w14:paraId="795DEA8E" w14:textId="77777777" w:rsidR="008A541B" w:rsidRDefault="008A541B" w:rsidP="00727A7E">
      <w:pPr>
        <w:rPr>
          <w:lang w:eastAsia="en-AU"/>
        </w:rPr>
      </w:pPr>
      <w:bookmarkStart w:id="19" w:name="_Hlk86224365"/>
      <w:r>
        <w:rPr>
          <w:lang w:eastAsia="en-AU"/>
        </w:rPr>
        <w:t>In making this final decision, the Delegate considered the following material:</w:t>
      </w:r>
    </w:p>
    <w:p w14:paraId="71E5D85F" w14:textId="697AF37D" w:rsidR="00BD7B86" w:rsidRDefault="00BD7B86" w:rsidP="00BD7B86">
      <w:pPr>
        <w:pStyle w:val="ListBullet"/>
        <w:numPr>
          <w:ilvl w:val="0"/>
          <w:numId w:val="1"/>
        </w:numPr>
        <w:rPr>
          <w:lang w:eastAsia="en-AU"/>
        </w:rPr>
      </w:pPr>
      <w:r>
        <w:rPr>
          <w:lang w:eastAsia="en-AU"/>
        </w:rPr>
        <w:t xml:space="preserve">The application to amend the current Poisons Standard with respect to </w:t>
      </w:r>
      <w:r w:rsidR="00D90170">
        <w:rPr>
          <w:lang w:eastAsia="en-AU"/>
        </w:rPr>
        <w:t xml:space="preserve">bovine herpes-1 </w:t>
      </w:r>
      <w:proofErr w:type="gramStart"/>
      <w:r w:rsidR="00D90170">
        <w:rPr>
          <w:lang w:eastAsia="en-AU"/>
        </w:rPr>
        <w:t>vaccine</w:t>
      </w:r>
      <w:r>
        <w:rPr>
          <w:lang w:eastAsia="en-AU"/>
        </w:rPr>
        <w:t>;</w:t>
      </w:r>
      <w:proofErr w:type="gramEnd"/>
    </w:p>
    <w:p w14:paraId="22FC3D6D" w14:textId="7904DC8E" w:rsidR="008A541B" w:rsidRPr="00DB06DC" w:rsidRDefault="008A541B" w:rsidP="008A541B">
      <w:pPr>
        <w:pStyle w:val="ListBullet"/>
        <w:numPr>
          <w:ilvl w:val="0"/>
          <w:numId w:val="1"/>
        </w:numPr>
        <w:rPr>
          <w:lang w:eastAsia="en-AU"/>
        </w:rPr>
      </w:pPr>
      <w:r w:rsidRPr="00DB06DC">
        <w:t>Subsection 52</w:t>
      </w:r>
      <w:proofErr w:type="gramStart"/>
      <w:r w:rsidRPr="00DB06DC">
        <w:t>E(</w:t>
      </w:r>
      <w:proofErr w:type="gramEnd"/>
      <w:r w:rsidRPr="00DB06DC">
        <w:t xml:space="preserve">1) of the </w:t>
      </w:r>
      <w:r w:rsidRPr="00DB06DC">
        <w:rPr>
          <w:i/>
          <w:iCs/>
        </w:rPr>
        <w:t>Therapeutic Goods Act 1989</w:t>
      </w:r>
      <w:r w:rsidRPr="00DB06DC">
        <w:t xml:space="preserve"> (</w:t>
      </w:r>
      <w:proofErr w:type="spellStart"/>
      <w:r w:rsidRPr="00DB06DC">
        <w:t>Cth</w:t>
      </w:r>
      <w:proofErr w:type="spellEnd"/>
      <w:r w:rsidRPr="00DB06DC">
        <w:t xml:space="preserve">) (the </w:t>
      </w:r>
      <w:r w:rsidRPr="00DB06DC">
        <w:rPr>
          <w:b/>
          <w:bCs/>
        </w:rPr>
        <w:t>Act</w:t>
      </w:r>
      <w:r w:rsidRPr="00DB06DC">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w:t>
      </w:r>
    </w:p>
    <w:p w14:paraId="41CD518B" w14:textId="4A8E1A50" w:rsidR="008A541B" w:rsidRDefault="008A541B" w:rsidP="008A541B">
      <w:pPr>
        <w:pStyle w:val="ListBullet"/>
        <w:numPr>
          <w:ilvl w:val="0"/>
          <w:numId w:val="1"/>
        </w:numPr>
        <w:rPr>
          <w:lang w:eastAsia="en-AU"/>
        </w:rPr>
      </w:pPr>
      <w:r>
        <w:t xml:space="preserve">Pursuant to paragraph 52E(2)(a) of the Act, the </w:t>
      </w:r>
      <w:hyperlink r:id="rId13" w:history="1">
        <w:r w:rsidRPr="0024283F">
          <w:rPr>
            <w:rStyle w:val="Hyperlink"/>
          </w:rPr>
          <w:t>Scheduling Policy Framework</w:t>
        </w:r>
      </w:hyperlink>
      <w:r>
        <w:t xml:space="preserve"> 2018 (</w:t>
      </w:r>
      <w:r w:rsidRPr="00694998">
        <w:rPr>
          <w:b/>
          <w:bCs/>
        </w:rPr>
        <w:t>SPF</w:t>
      </w:r>
      <w:r>
        <w:t>); and</w:t>
      </w:r>
    </w:p>
    <w:p w14:paraId="7CBE1E41" w14:textId="48944A1A" w:rsidR="008A541B" w:rsidRDefault="008A541B" w:rsidP="008A541B">
      <w:pPr>
        <w:pStyle w:val="ListBullet"/>
        <w:numPr>
          <w:ilvl w:val="0"/>
          <w:numId w:val="1"/>
        </w:numPr>
        <w:rPr>
          <w:lang w:eastAsia="en-AU"/>
        </w:rPr>
      </w:pPr>
      <w:r>
        <w:t xml:space="preserve">The </w:t>
      </w:r>
      <w:hyperlink r:id="rId14" w:history="1">
        <w:r w:rsidRPr="0024283F">
          <w:rPr>
            <w:rStyle w:val="Hyperlink"/>
          </w:rPr>
          <w:t>Scheduling handbook: Guidance for amending the Poisons Standard</w:t>
        </w:r>
      </w:hyperlink>
      <w:r>
        <w:t xml:space="preserve"> (the </w:t>
      </w:r>
      <w:r w:rsidRPr="00694998">
        <w:rPr>
          <w:b/>
          <w:bCs/>
        </w:rPr>
        <w:t>Handbook</w:t>
      </w:r>
      <w:r>
        <w:t>).</w:t>
      </w:r>
    </w:p>
    <w:p w14:paraId="1F207C78" w14:textId="7BEB9584" w:rsidR="006A70C4" w:rsidRPr="00F46A4E" w:rsidRDefault="006A70C4">
      <w:pPr>
        <w:pStyle w:val="Heading4"/>
      </w:pPr>
      <w:r w:rsidRPr="00F46A4E">
        <w:t xml:space="preserve">Reasons for the final </w:t>
      </w:r>
      <w:r w:rsidRPr="00372277">
        <w:t>decision</w:t>
      </w:r>
      <w:r w:rsidRPr="00F46A4E">
        <w:t xml:space="preserve"> (including findings on material questions of fact)</w:t>
      </w:r>
    </w:p>
    <w:p w14:paraId="08942FBF" w14:textId="6F27D7B0" w:rsidR="005115A6" w:rsidRPr="00D90170" w:rsidRDefault="005115A6" w:rsidP="005115A6">
      <w:r w:rsidRPr="00D90170">
        <w:t xml:space="preserve">In determining that this matter will be a delegate-only decision I have </w:t>
      </w:r>
      <w:proofErr w:type="gramStart"/>
      <w:r w:rsidRPr="00D90170">
        <w:t>taken into account</w:t>
      </w:r>
      <w:proofErr w:type="gramEnd"/>
      <w:r w:rsidRPr="00D90170">
        <w:t xml:space="preserve"> the information provided in the application from the applicant (Australian Pesticides and Veterinary Medicine Authority (APVMA)), and the matters outlined under Section 52E of the Act and the SPF. </w:t>
      </w:r>
      <w:proofErr w:type="gramStart"/>
      <w:r w:rsidRPr="00D90170">
        <w:t>In particular I</w:t>
      </w:r>
      <w:proofErr w:type="gramEnd"/>
      <w:r w:rsidRPr="00D90170">
        <w:t xml:space="preserve"> note that:</w:t>
      </w:r>
    </w:p>
    <w:p w14:paraId="47735E10" w14:textId="17D3F380" w:rsidR="003B39E2" w:rsidRPr="00860761" w:rsidRDefault="00BD7B86" w:rsidP="003B39E2">
      <w:pPr>
        <w:pStyle w:val="ListBullet"/>
      </w:pPr>
      <w:r w:rsidRPr="00860761">
        <w:t>In relation to paragraph 52E(1)(a) of the Act, t</w:t>
      </w:r>
      <w:r w:rsidR="00F26C80" w:rsidRPr="00860761">
        <w:rPr>
          <w:lang w:eastAsia="en-AU"/>
        </w:rPr>
        <w:t xml:space="preserve">he proposed amendment to the Poisons Standard is to </w:t>
      </w:r>
      <w:r w:rsidR="007918DB" w:rsidRPr="00860761">
        <w:rPr>
          <w:lang w:eastAsia="en-AU"/>
        </w:rPr>
        <w:t xml:space="preserve">exempt </w:t>
      </w:r>
      <w:r w:rsidR="00BD5477">
        <w:rPr>
          <w:lang w:eastAsia="en-AU"/>
        </w:rPr>
        <w:t xml:space="preserve">the </w:t>
      </w:r>
      <w:r w:rsidR="007918DB" w:rsidRPr="00860761">
        <w:rPr>
          <w:lang w:eastAsia="en-AU"/>
        </w:rPr>
        <w:t>bovine herpes</w:t>
      </w:r>
      <w:r w:rsidR="001613AC">
        <w:rPr>
          <w:lang w:eastAsia="en-AU"/>
        </w:rPr>
        <w:t>virus</w:t>
      </w:r>
      <w:r w:rsidR="007918DB" w:rsidRPr="00860761">
        <w:rPr>
          <w:lang w:eastAsia="en-AU"/>
        </w:rPr>
        <w:t>-1 vaccine from the Schedule 4 entry for veterinary live v</w:t>
      </w:r>
      <w:r w:rsidR="00BD5477">
        <w:rPr>
          <w:lang w:eastAsia="en-AU"/>
        </w:rPr>
        <w:t>accines</w:t>
      </w:r>
      <w:r w:rsidR="007918DB" w:rsidRPr="00860761">
        <w:rPr>
          <w:lang w:eastAsia="en-AU"/>
        </w:rPr>
        <w:t xml:space="preserve">, </w:t>
      </w:r>
      <w:r w:rsidR="00F26C80" w:rsidRPr="00860761">
        <w:rPr>
          <w:lang w:eastAsia="en-AU"/>
        </w:rPr>
        <w:t xml:space="preserve">based upon </w:t>
      </w:r>
      <w:r w:rsidR="007918DB" w:rsidRPr="00860761">
        <w:rPr>
          <w:lang w:eastAsia="en-AU"/>
        </w:rPr>
        <w:t>the use pattern and adverse event profile of the currently registered bovine herpes</w:t>
      </w:r>
      <w:r w:rsidR="001613AC">
        <w:rPr>
          <w:lang w:eastAsia="en-AU"/>
        </w:rPr>
        <w:t>virus</w:t>
      </w:r>
      <w:r w:rsidR="007918DB" w:rsidRPr="00860761">
        <w:rPr>
          <w:lang w:eastAsia="en-AU"/>
        </w:rPr>
        <w:t xml:space="preserve">-1 live virus vaccine. </w:t>
      </w:r>
      <w:r w:rsidR="00F26C80" w:rsidRPr="00860761">
        <w:rPr>
          <w:lang w:eastAsia="en-AU"/>
        </w:rPr>
        <w:t>In its application</w:t>
      </w:r>
      <w:r w:rsidR="001F7DB1" w:rsidRPr="00860761">
        <w:rPr>
          <w:lang w:eastAsia="en-AU"/>
        </w:rPr>
        <w:t>,</w:t>
      </w:r>
      <w:r w:rsidR="00F26C80" w:rsidRPr="00860761">
        <w:rPr>
          <w:lang w:eastAsia="en-AU"/>
        </w:rPr>
        <w:t xml:space="preserve"> the regulator (APVMA) provided a Human Health Risk Assessment (HHRA) which concluded that the risks to human health and safety posed by this substance are acceptable according to the criteria stipulated in </w:t>
      </w:r>
      <w:r w:rsidR="00F26C80" w:rsidRPr="00860761">
        <w:t xml:space="preserve">Section 5A of the </w:t>
      </w:r>
      <w:r w:rsidR="00F26C80" w:rsidRPr="00860761">
        <w:rPr>
          <w:i/>
          <w:iCs/>
        </w:rPr>
        <w:t>Agricultural and Veterinary Chemicals Code Act (1994)</w:t>
      </w:r>
      <w:r w:rsidR="00F26C80" w:rsidRPr="00860761">
        <w:t>.</w:t>
      </w:r>
    </w:p>
    <w:p w14:paraId="605D2E2A" w14:textId="3931236F" w:rsidR="00C73ACA" w:rsidRPr="001613AC" w:rsidRDefault="003B39E2" w:rsidP="00C73ACA">
      <w:pPr>
        <w:pStyle w:val="ListBullet"/>
      </w:pPr>
      <w:r w:rsidRPr="001613AC">
        <w:t xml:space="preserve">In relation to paragraph 52E(1)(b) of the Act, </w:t>
      </w:r>
      <w:r w:rsidR="001613AC" w:rsidRPr="001613AC">
        <w:t xml:space="preserve">bovine herpesvirus-1 vaccine was registered for use in Australia in 2000 for the prevention of bovine herpesvirus-1 infection and the clinical syndrome infectious bovine rhinotracheitis (IBR). </w:t>
      </w:r>
      <w:r w:rsidR="001613AC">
        <w:t>It is used to prevent and protect cattle from bovine herpesvirus and is administered by the intranasal route as part of the standard vaccination protocol</w:t>
      </w:r>
      <w:r w:rsidR="009E009E">
        <w:t xml:space="preserve"> used in </w:t>
      </w:r>
      <w:r w:rsidR="001613AC">
        <w:t xml:space="preserve">feedlots or </w:t>
      </w:r>
      <w:r w:rsidR="009E009E">
        <w:t xml:space="preserve">for </w:t>
      </w:r>
      <w:r w:rsidR="001613AC">
        <w:t>dairy calves.</w:t>
      </w:r>
    </w:p>
    <w:p w14:paraId="26338F4F" w14:textId="38D75852" w:rsidR="00502914" w:rsidRPr="00391EFB" w:rsidRDefault="00C73ACA" w:rsidP="00DC4B7C">
      <w:pPr>
        <w:pStyle w:val="ListBullet"/>
      </w:pPr>
      <w:r w:rsidRPr="00391EFB">
        <w:t xml:space="preserve">In relation to paragraph 52E(1)(c) of the Act, </w:t>
      </w:r>
      <w:r w:rsidR="00E266CC">
        <w:t xml:space="preserve">I note the applicant has provided the following </w:t>
      </w:r>
      <w:r w:rsidR="00391EFB" w:rsidRPr="00391EFB">
        <w:t>toxicity and safety information to support exemption from Schedule 4 of the Poisons Standard</w:t>
      </w:r>
      <w:r w:rsidR="00E266CC">
        <w:t>:</w:t>
      </w:r>
    </w:p>
    <w:p w14:paraId="629CC990" w14:textId="2D291A10" w:rsidR="009505BD" w:rsidRDefault="00391EFB" w:rsidP="003B2840">
      <w:pPr>
        <w:pStyle w:val="ListBullet2"/>
      </w:pPr>
      <w:r w:rsidRPr="00522898">
        <w:lastRenderedPageBreak/>
        <w:t xml:space="preserve">The currently registered product is administered prior to diagnosis of disease, typically as part of routine vaccination protocol, such as at weaning or feedlot induction. </w:t>
      </w:r>
      <w:r w:rsidR="00B3006C">
        <w:t xml:space="preserve">I </w:t>
      </w:r>
      <w:r w:rsidR="009E009E">
        <w:t>note</w:t>
      </w:r>
      <w:r w:rsidR="00B3006C">
        <w:t xml:space="preserve"> that p</w:t>
      </w:r>
      <w:r w:rsidRPr="00522898">
        <w:t xml:space="preserve">roducers have been safely and effectively administering it to cattle for many years and this generally occurs without diagnosis, management or monitoring by veterinarians. </w:t>
      </w:r>
      <w:r w:rsidR="00F50E69" w:rsidRPr="00522898">
        <w:t>Furthermore, no adjunctive therapy or evaluation is required for the appropriate use of the product as farmers are accustomed to administering vaccines (minimal training required) to livestock without the advice and instruction of a veterinarian.</w:t>
      </w:r>
    </w:p>
    <w:p w14:paraId="64E150FE" w14:textId="1C6CD3AB" w:rsidR="00391EFB" w:rsidRPr="00522898" w:rsidRDefault="00E266CC" w:rsidP="003B2840">
      <w:pPr>
        <w:pStyle w:val="ListBullet2"/>
      </w:pPr>
      <w:r>
        <w:t>I recognise that t</w:t>
      </w:r>
      <w:r w:rsidR="00F50E69" w:rsidRPr="00522898">
        <w:t>he risk of needle stick injury or accidental self-injection is reduced as compared to other cattle vaccines</w:t>
      </w:r>
      <w:r>
        <w:t>,</w:t>
      </w:r>
      <w:r w:rsidR="00F50E69" w:rsidRPr="00522898">
        <w:t xml:space="preserve"> as a needle is only used when reconstituting the vaccine</w:t>
      </w:r>
      <w:r w:rsidR="009E009E">
        <w:t xml:space="preserve"> where</w:t>
      </w:r>
      <w:r w:rsidR="00F50E69" w:rsidRPr="00522898">
        <w:t>as delivery of the dose is via the intranasal route</w:t>
      </w:r>
      <w:r w:rsidR="002C158A">
        <w:t xml:space="preserve"> using a specific applicator</w:t>
      </w:r>
      <w:r w:rsidR="00F50E69" w:rsidRPr="00522898">
        <w:t>.</w:t>
      </w:r>
    </w:p>
    <w:p w14:paraId="12162B1D" w14:textId="050CD2A1" w:rsidR="003316D6" w:rsidRPr="003316D6" w:rsidRDefault="00522898" w:rsidP="003B2840">
      <w:pPr>
        <w:pStyle w:val="ListBullet2"/>
      </w:pPr>
      <w:r w:rsidRPr="003316D6">
        <w:t xml:space="preserve">Between 2000 and 2020 no human adverse experiences (reported via the Adverse Experience Reporting Program (AERP)) </w:t>
      </w:r>
      <w:r w:rsidR="009505BD">
        <w:t xml:space="preserve">were </w:t>
      </w:r>
      <w:r w:rsidRPr="003316D6">
        <w:t>reported in Australia for</w:t>
      </w:r>
      <w:r w:rsidR="002C158A">
        <w:t xml:space="preserve"> the</w:t>
      </w:r>
      <w:r w:rsidRPr="003316D6">
        <w:t xml:space="preserve"> live bovine herpesevirus-1</w:t>
      </w:r>
      <w:r w:rsidR="002C158A">
        <w:t xml:space="preserve"> vaccine</w:t>
      </w:r>
      <w:r w:rsidR="009E009E">
        <w:t xml:space="preserve">. </w:t>
      </w:r>
      <w:r w:rsidR="00E266CC">
        <w:t>Considering</w:t>
      </w:r>
      <w:r w:rsidR="009E009E">
        <w:t xml:space="preserve"> that</w:t>
      </w:r>
      <w:r w:rsidRPr="003316D6">
        <w:t xml:space="preserve"> </w:t>
      </w:r>
      <w:r w:rsidR="00E266CC">
        <w:t>more than</w:t>
      </w:r>
      <w:r w:rsidRPr="003316D6">
        <w:t xml:space="preserve"> 12 million doses </w:t>
      </w:r>
      <w:r w:rsidR="00E266CC">
        <w:t xml:space="preserve">were </w:t>
      </w:r>
      <w:r w:rsidRPr="003316D6">
        <w:t>sold</w:t>
      </w:r>
      <w:r w:rsidR="00E266CC">
        <w:t xml:space="preserve"> in this period, </w:t>
      </w:r>
      <w:r w:rsidR="009E009E">
        <w:t xml:space="preserve">this vaccine has </w:t>
      </w:r>
      <w:r w:rsidR="00B627EB">
        <w:t xml:space="preserve">a </w:t>
      </w:r>
      <w:r w:rsidR="009E009E">
        <w:t xml:space="preserve">demonstrable safety profile. </w:t>
      </w:r>
      <w:r w:rsidRPr="003316D6">
        <w:t xml:space="preserve">In addition, the </w:t>
      </w:r>
      <w:r w:rsidR="009E009E">
        <w:t xml:space="preserve">company producing the vaccines has indicated </w:t>
      </w:r>
      <w:r w:rsidRPr="003316D6">
        <w:t>that as a modified live vaccine</w:t>
      </w:r>
      <w:r w:rsidR="009E009E">
        <w:t>,</w:t>
      </w:r>
      <w:r w:rsidRPr="003316D6">
        <w:t xml:space="preserve"> </w:t>
      </w:r>
      <w:r w:rsidR="009E009E">
        <w:t>there is already a sufficient safety</w:t>
      </w:r>
      <w:r w:rsidR="003316D6" w:rsidRPr="003316D6">
        <w:t xml:space="preserve"> margin</w:t>
      </w:r>
      <w:r w:rsidR="009E009E">
        <w:t xml:space="preserve"> in place to support the continued and routine </w:t>
      </w:r>
      <w:r w:rsidR="003316D6" w:rsidRPr="003316D6">
        <w:t>administr</w:t>
      </w:r>
      <w:r w:rsidR="009E009E">
        <w:t>ation</w:t>
      </w:r>
      <w:r w:rsidR="003316D6" w:rsidRPr="003316D6">
        <w:t xml:space="preserve"> by non-veterinarians.</w:t>
      </w:r>
    </w:p>
    <w:p w14:paraId="07995338" w14:textId="0AC6C108" w:rsidR="00F50E69" w:rsidRPr="003316D6" w:rsidRDefault="003316D6" w:rsidP="003B2840">
      <w:pPr>
        <w:pStyle w:val="ListBullet2"/>
      </w:pPr>
      <w:r w:rsidRPr="003316D6">
        <w:t xml:space="preserve">There are no known interactions </w:t>
      </w:r>
      <w:r w:rsidR="00C9061B">
        <w:t>involving</w:t>
      </w:r>
      <w:r w:rsidR="009E009E">
        <w:t xml:space="preserve"> the </w:t>
      </w:r>
      <w:r w:rsidR="00C9061B">
        <w:t xml:space="preserve">bovine herpesvirus-1 vaccine </w:t>
      </w:r>
      <w:r w:rsidRPr="003316D6">
        <w:t xml:space="preserve">that would require monitoring or intervention </w:t>
      </w:r>
      <w:r w:rsidR="00D548D1">
        <w:t>by</w:t>
      </w:r>
      <w:r w:rsidRPr="003316D6">
        <w:t xml:space="preserve"> a veterinarian</w:t>
      </w:r>
      <w:r w:rsidR="00694F0A">
        <w:t>,</w:t>
      </w:r>
      <w:r w:rsidRPr="003316D6">
        <w:t xml:space="preserve"> or any evidence of communal harm </w:t>
      </w:r>
      <w:proofErr w:type="gramStart"/>
      <w:r w:rsidR="002C158A">
        <w:t>e.g.</w:t>
      </w:r>
      <w:proofErr w:type="gramEnd"/>
      <w:r w:rsidR="002C158A">
        <w:t xml:space="preserve"> microbial resistance, </w:t>
      </w:r>
      <w:r w:rsidRPr="003316D6">
        <w:t xml:space="preserve">from the use of this </w:t>
      </w:r>
      <w:r w:rsidR="002C158A">
        <w:t>vaccine</w:t>
      </w:r>
      <w:r w:rsidRPr="003316D6">
        <w:t xml:space="preserve">. </w:t>
      </w:r>
      <w:r w:rsidR="00E266CC">
        <w:t>I agree with t</w:t>
      </w:r>
      <w:r w:rsidRPr="003316D6">
        <w:t xml:space="preserve">he APVMA that based on the data, </w:t>
      </w:r>
      <w:r w:rsidR="00C65768">
        <w:t xml:space="preserve">there </w:t>
      </w:r>
      <w:r w:rsidR="009E009E">
        <w:t>are</w:t>
      </w:r>
      <w:r w:rsidR="00C65768">
        <w:t xml:space="preserve"> </w:t>
      </w:r>
      <w:r w:rsidRPr="003316D6">
        <w:t>no foreseeable communal harm</w:t>
      </w:r>
      <w:r w:rsidR="009E009E">
        <w:t>s</w:t>
      </w:r>
      <w:r w:rsidRPr="003316D6">
        <w:t xml:space="preserve"> from use of this </w:t>
      </w:r>
      <w:r w:rsidR="002C158A">
        <w:t>vaccine</w:t>
      </w:r>
      <w:r w:rsidRPr="003316D6">
        <w:t>.</w:t>
      </w:r>
    </w:p>
    <w:p w14:paraId="5F621BCB" w14:textId="2F722850" w:rsidR="002C773E" w:rsidRPr="007918DB" w:rsidRDefault="002C773E" w:rsidP="002C773E">
      <w:pPr>
        <w:pStyle w:val="ListBullet"/>
        <w:numPr>
          <w:ilvl w:val="0"/>
          <w:numId w:val="1"/>
        </w:numPr>
        <w:rPr>
          <w:lang w:eastAsia="en-AU"/>
        </w:rPr>
      </w:pPr>
      <w:r w:rsidRPr="007918DB">
        <w:rPr>
          <w:lang w:eastAsia="en-AU"/>
        </w:rPr>
        <w:t xml:space="preserve">I am satisfied that, for the purposes of paragraph 52E(1)(d) of the Act, the regulator (APVMA) will consider the </w:t>
      </w:r>
      <w:r w:rsidR="002C158A">
        <w:rPr>
          <w:lang w:eastAsia="en-AU"/>
        </w:rPr>
        <w:t xml:space="preserve">applicable </w:t>
      </w:r>
      <w:r w:rsidRPr="007918DB">
        <w:rPr>
          <w:lang w:eastAsia="en-AU"/>
        </w:rPr>
        <w:t xml:space="preserve">dosage, formulation, labelling, </w:t>
      </w:r>
      <w:proofErr w:type="gramStart"/>
      <w:r w:rsidRPr="007918DB">
        <w:rPr>
          <w:lang w:eastAsia="en-AU"/>
        </w:rPr>
        <w:t>packaging</w:t>
      </w:r>
      <w:proofErr w:type="gramEnd"/>
      <w:r w:rsidRPr="007918DB">
        <w:rPr>
          <w:lang w:eastAsia="en-AU"/>
        </w:rPr>
        <w:t xml:space="preserve"> and presentation of any commercial products.</w:t>
      </w:r>
    </w:p>
    <w:p w14:paraId="164F2B62" w14:textId="77777777" w:rsidR="007918DB" w:rsidRPr="00EF6D99" w:rsidRDefault="007918DB" w:rsidP="007918DB">
      <w:pPr>
        <w:pStyle w:val="ListBullet"/>
        <w:numPr>
          <w:ilvl w:val="0"/>
          <w:numId w:val="1"/>
        </w:numPr>
        <w:rPr>
          <w:lang w:eastAsia="en-AU"/>
        </w:rPr>
      </w:pPr>
      <w:r w:rsidRPr="00EF6D99">
        <w:rPr>
          <w:lang w:eastAsia="en-AU"/>
        </w:rPr>
        <w:t xml:space="preserve">In relation to paragraph 52E(1)(e) of the Act, the substance has no human therapeutic value that would indicate a risk of dependency, misuse, </w:t>
      </w:r>
      <w:proofErr w:type="gramStart"/>
      <w:r w:rsidRPr="00EF6D99">
        <w:rPr>
          <w:lang w:eastAsia="en-AU"/>
        </w:rPr>
        <w:t>abuse</w:t>
      </w:r>
      <w:proofErr w:type="gramEnd"/>
      <w:r w:rsidRPr="00EF6D99">
        <w:rPr>
          <w:lang w:eastAsia="en-AU"/>
        </w:rPr>
        <w:t xml:space="preserve"> or diversion into illicit use.</w:t>
      </w:r>
    </w:p>
    <w:p w14:paraId="0892221B" w14:textId="13FA399F" w:rsidR="006A70C4" w:rsidRPr="00DB4BE8" w:rsidRDefault="00770B2C" w:rsidP="00727A7E">
      <w:pPr>
        <w:rPr>
          <w:rFonts w:asciiTheme="minorHAnsi" w:hAnsiTheme="minorHAnsi"/>
          <w:szCs w:val="22"/>
        </w:rPr>
      </w:pPr>
      <w:proofErr w:type="gramStart"/>
      <w:r>
        <w:t>On the basis of</w:t>
      </w:r>
      <w:proofErr w:type="gramEnd"/>
      <w:r>
        <w:t xml:space="preserve"> the above considerations and the information provided in the application, I </w:t>
      </w:r>
      <w:r w:rsidR="00B3006C">
        <w:t xml:space="preserve">consider that the bovine herpesvirus-1 vaccine does not meet the Schedule 4 scheduling factors, and therefore </w:t>
      </w:r>
      <w:r>
        <w:t xml:space="preserve">have decided to amend the current Poisons Standard in the manner set out </w:t>
      </w:r>
      <w:r w:rsidR="009E2AC4">
        <w:t>above</w:t>
      </w:r>
      <w:r>
        <w:t>. The proposed amendment was not referred to an expert advisory committee.</w:t>
      </w:r>
    </w:p>
    <w:bookmarkEnd w:id="19"/>
    <w:p w14:paraId="6933268B" w14:textId="6D9FF8F2" w:rsidR="006A70C4" w:rsidRPr="00B76897" w:rsidRDefault="006A70C4" w:rsidP="005D4DEE">
      <w:pPr>
        <w:pStyle w:val="Heading4"/>
      </w:pPr>
      <w:r w:rsidRPr="00B76897">
        <w:t>Date of effect</w:t>
      </w:r>
    </w:p>
    <w:p w14:paraId="17BB11D4" w14:textId="462D4554" w:rsidR="00E73314" w:rsidRPr="00AE35CD" w:rsidRDefault="006A70C4">
      <w:r w:rsidRPr="00E67E22">
        <w:t xml:space="preserve">1 </w:t>
      </w:r>
      <w:r w:rsidR="00E61803">
        <w:t>October</w:t>
      </w:r>
      <w:r w:rsidR="005607E0" w:rsidRPr="00E67E22">
        <w:t xml:space="preserve"> 2022</w:t>
      </w:r>
    </w:p>
    <w:p w14:paraId="31C482D7" w14:textId="25FE5679" w:rsidR="006A70C4" w:rsidRPr="00B3785E" w:rsidRDefault="005069D2" w:rsidP="005069D2">
      <w:pPr>
        <w:pStyle w:val="Heading3"/>
        <w:numPr>
          <w:ilvl w:val="0"/>
          <w:numId w:val="0"/>
        </w:numPr>
      </w:pPr>
      <w:bookmarkStart w:id="20" w:name="_Toc88836061"/>
      <w:bookmarkStart w:id="21" w:name="_Toc112069873"/>
      <w:r>
        <w:t xml:space="preserve">3.2 </w:t>
      </w:r>
      <w:r w:rsidR="006A70C4" w:rsidRPr="00B3785E">
        <w:t xml:space="preserve">Final decision in relation to </w:t>
      </w:r>
      <w:bookmarkEnd w:id="18"/>
      <w:bookmarkEnd w:id="20"/>
      <w:r w:rsidR="00C37B0E">
        <w:t>cyclobutrifluram</w:t>
      </w:r>
      <w:bookmarkEnd w:id="21"/>
      <w:r w:rsidR="00E44F1E">
        <w:rPr>
          <w:color w:val="000000"/>
        </w:rPr>
        <w:t xml:space="preserve"> </w:t>
      </w:r>
    </w:p>
    <w:p w14:paraId="5ADC35EA" w14:textId="77777777" w:rsidR="006A70C4" w:rsidRPr="00F7689E" w:rsidRDefault="006A70C4">
      <w:pPr>
        <w:pStyle w:val="Heading4"/>
      </w:pPr>
      <w:r w:rsidRPr="00F7689E">
        <w:t xml:space="preserve">Final </w:t>
      </w:r>
      <w:r w:rsidRPr="00372277">
        <w:t>decision</w:t>
      </w:r>
    </w:p>
    <w:p w14:paraId="4D0D3A9B" w14:textId="388A388C" w:rsidR="006A70C4" w:rsidRDefault="006A70C4">
      <w:r>
        <w:t xml:space="preserve">Pursuant to </w:t>
      </w:r>
      <w:r w:rsidRPr="005607E0">
        <w:t xml:space="preserve">regulation </w:t>
      </w:r>
      <w:r w:rsidRPr="00021E92">
        <w:t>42ZCZU</w:t>
      </w:r>
      <w:r w:rsidRPr="005607E0">
        <w:t xml:space="preserve"> of the</w:t>
      </w:r>
      <w:r>
        <w:t xml:space="preserve"> Regulations</w:t>
      </w:r>
      <w:r w:rsidR="006D0897">
        <w:t>,</w:t>
      </w:r>
      <w:r>
        <w:t xml:space="preserve"> a Delegate of the Secretary has made a final decision to amend the current Poisons Standard in relation to</w:t>
      </w:r>
      <w:r w:rsidR="00D90170">
        <w:t xml:space="preserve"> cyclobutrifluram</w:t>
      </w:r>
      <w:r w:rsidR="00090E66">
        <w:t xml:space="preserve"> </w:t>
      </w:r>
      <w:r>
        <w:t>as follows:</w:t>
      </w:r>
    </w:p>
    <w:p w14:paraId="21F7D432" w14:textId="77777777" w:rsidR="00A3501A" w:rsidRPr="00764E05" w:rsidRDefault="00A3501A" w:rsidP="003B2840">
      <w:pPr>
        <w:ind w:firstLine="720"/>
        <w:rPr>
          <w:b/>
          <w:bCs/>
        </w:rPr>
      </w:pPr>
      <w:r w:rsidRPr="00764E05">
        <w:rPr>
          <w:b/>
          <w:bCs/>
        </w:rPr>
        <w:t>Appendix B – New Entry</w:t>
      </w:r>
    </w:p>
    <w:tbl>
      <w:tblPr>
        <w:tblStyle w:val="TableTGAblue"/>
        <w:tblW w:w="0" w:type="auto"/>
        <w:tblInd w:w="416" w:type="dxa"/>
        <w:tblLook w:val="04A0" w:firstRow="1" w:lastRow="0" w:firstColumn="1" w:lastColumn="0" w:noHBand="0" w:noVBand="1"/>
      </w:tblPr>
      <w:tblGrid>
        <w:gridCol w:w="2298"/>
        <w:gridCol w:w="2122"/>
        <w:gridCol w:w="2121"/>
        <w:gridCol w:w="2093"/>
      </w:tblGrid>
      <w:tr w:rsidR="00A3501A" w14:paraId="72FFB4B0" w14:textId="77777777" w:rsidTr="003B28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3B944035" w14:textId="77777777" w:rsidR="00A3501A" w:rsidRPr="00682D18" w:rsidRDefault="00A3501A" w:rsidP="00FE4D0A">
            <w:pPr>
              <w:jc w:val="center"/>
              <w:rPr>
                <w:bCs/>
                <w:color w:val="FFFFFF" w:themeColor="background1"/>
              </w:rPr>
            </w:pPr>
            <w:r w:rsidRPr="00682D18">
              <w:rPr>
                <w:bCs/>
                <w:color w:val="FFFFFF" w:themeColor="background1"/>
              </w:rPr>
              <w:lastRenderedPageBreak/>
              <w:t>Substance</w:t>
            </w:r>
          </w:p>
        </w:tc>
        <w:tc>
          <w:tcPr>
            <w:tcW w:w="2251" w:type="dxa"/>
            <w:vAlign w:val="center"/>
          </w:tcPr>
          <w:p w14:paraId="416FF404" w14:textId="77777777" w:rsidR="00A3501A" w:rsidRPr="00682D18" w:rsidRDefault="00A3501A" w:rsidP="00FE4D0A">
            <w:pPr>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Pr>
                <w:bCs/>
                <w:color w:val="FFFFFF" w:themeColor="background1"/>
              </w:rPr>
              <w:t>D</w:t>
            </w:r>
            <w:r w:rsidRPr="00682D18">
              <w:rPr>
                <w:bCs/>
                <w:color w:val="FFFFFF" w:themeColor="background1"/>
              </w:rPr>
              <w:t>ate of entry</w:t>
            </w:r>
          </w:p>
        </w:tc>
        <w:tc>
          <w:tcPr>
            <w:tcW w:w="2251" w:type="dxa"/>
            <w:vAlign w:val="center"/>
          </w:tcPr>
          <w:p w14:paraId="7EF11138" w14:textId="77777777" w:rsidR="00A3501A" w:rsidRPr="00682D18" w:rsidRDefault="00A3501A" w:rsidP="00FE4D0A">
            <w:pPr>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Pr>
                <w:bCs/>
                <w:color w:val="FFFFFF" w:themeColor="background1"/>
              </w:rPr>
              <w:t>R</w:t>
            </w:r>
            <w:r w:rsidRPr="00682D18">
              <w:rPr>
                <w:bCs/>
                <w:color w:val="FFFFFF" w:themeColor="background1"/>
              </w:rPr>
              <w:t>eason for listing</w:t>
            </w:r>
          </w:p>
        </w:tc>
        <w:tc>
          <w:tcPr>
            <w:tcW w:w="2249" w:type="dxa"/>
            <w:vAlign w:val="center"/>
          </w:tcPr>
          <w:p w14:paraId="012E9466" w14:textId="77777777" w:rsidR="00A3501A" w:rsidRPr="00682D18" w:rsidRDefault="00A3501A" w:rsidP="00FE4D0A">
            <w:pPr>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Pr>
                <w:bCs/>
                <w:color w:val="FFFFFF" w:themeColor="background1"/>
              </w:rPr>
              <w:t>A</w:t>
            </w:r>
            <w:r w:rsidRPr="00682D18">
              <w:rPr>
                <w:bCs/>
                <w:color w:val="FFFFFF" w:themeColor="background1"/>
              </w:rPr>
              <w:t>rea of use</w:t>
            </w:r>
          </w:p>
        </w:tc>
      </w:tr>
      <w:tr w:rsidR="00A3501A" w14:paraId="56C006FE" w14:textId="77777777" w:rsidTr="003B2840">
        <w:tc>
          <w:tcPr>
            <w:cnfStyle w:val="001000000000" w:firstRow="0" w:lastRow="0" w:firstColumn="1" w:lastColumn="0" w:oddVBand="0" w:evenVBand="0" w:oddHBand="0" w:evenHBand="0" w:firstRowFirstColumn="0" w:firstRowLastColumn="0" w:lastRowFirstColumn="0" w:lastRowLastColumn="0"/>
            <w:tcW w:w="1883" w:type="dxa"/>
          </w:tcPr>
          <w:p w14:paraId="56C3C783" w14:textId="57B2CE80" w:rsidR="00A3501A" w:rsidRDefault="00A3501A" w:rsidP="00FE4D0A">
            <w:pPr>
              <w:jc w:val="center"/>
              <w:rPr>
                <w:bCs/>
                <w:color w:val="00B050"/>
              </w:rPr>
            </w:pPr>
            <w:r>
              <w:rPr>
                <w:bCs/>
                <w:color w:val="00B050"/>
              </w:rPr>
              <w:t>CYCLOBUTRIFLURAM</w:t>
            </w:r>
          </w:p>
        </w:tc>
        <w:tc>
          <w:tcPr>
            <w:tcW w:w="2251" w:type="dxa"/>
          </w:tcPr>
          <w:p w14:paraId="2FC9D078" w14:textId="4B149775" w:rsidR="00A3501A" w:rsidRDefault="00A3501A" w:rsidP="00FE4D0A">
            <w:pPr>
              <w:jc w:val="center"/>
              <w:cnfStyle w:val="000000000000" w:firstRow="0" w:lastRow="0" w:firstColumn="0" w:lastColumn="0" w:oddVBand="0" w:evenVBand="0" w:oddHBand="0" w:evenHBand="0" w:firstRowFirstColumn="0" w:firstRowLastColumn="0" w:lastRowFirstColumn="0" w:lastRowLastColumn="0"/>
              <w:rPr>
                <w:bCs/>
                <w:color w:val="00B050"/>
              </w:rPr>
            </w:pPr>
            <w:r>
              <w:rPr>
                <w:bCs/>
                <w:color w:val="00B050"/>
              </w:rPr>
              <w:t>October 2022</w:t>
            </w:r>
          </w:p>
        </w:tc>
        <w:tc>
          <w:tcPr>
            <w:tcW w:w="2251" w:type="dxa"/>
          </w:tcPr>
          <w:p w14:paraId="6C4F6A4D" w14:textId="1F345642" w:rsidR="00A3501A" w:rsidRDefault="00A3501A" w:rsidP="00FE4D0A">
            <w:pPr>
              <w:jc w:val="center"/>
              <w:cnfStyle w:val="000000000000" w:firstRow="0" w:lastRow="0" w:firstColumn="0" w:lastColumn="0" w:oddVBand="0" w:evenVBand="0" w:oddHBand="0" w:evenHBand="0" w:firstRowFirstColumn="0" w:firstRowLastColumn="0" w:lastRowFirstColumn="0" w:lastRowLastColumn="0"/>
              <w:rPr>
                <w:bCs/>
                <w:color w:val="00B050"/>
              </w:rPr>
            </w:pPr>
            <w:r>
              <w:rPr>
                <w:bCs/>
                <w:color w:val="00B050"/>
              </w:rPr>
              <w:t>a</w:t>
            </w:r>
          </w:p>
        </w:tc>
        <w:tc>
          <w:tcPr>
            <w:tcW w:w="2249" w:type="dxa"/>
          </w:tcPr>
          <w:p w14:paraId="3DADFC97" w14:textId="5431A24A" w:rsidR="00A3501A" w:rsidRDefault="00EF6D99" w:rsidP="00FE4D0A">
            <w:pPr>
              <w:jc w:val="center"/>
              <w:cnfStyle w:val="000000000000" w:firstRow="0" w:lastRow="0" w:firstColumn="0" w:lastColumn="0" w:oddVBand="0" w:evenVBand="0" w:oddHBand="0" w:evenHBand="0" w:firstRowFirstColumn="0" w:firstRowLastColumn="0" w:lastRowFirstColumn="0" w:lastRowLastColumn="0"/>
              <w:rPr>
                <w:bCs/>
                <w:color w:val="00B050"/>
              </w:rPr>
            </w:pPr>
            <w:r w:rsidRPr="003B2840">
              <w:rPr>
                <w:bCs/>
                <w:color w:val="00B050"/>
              </w:rPr>
              <w:t>1.3</w:t>
            </w:r>
            <w:r w:rsidR="00813BE4" w:rsidRPr="003B2840">
              <w:rPr>
                <w:bCs/>
                <w:color w:val="00B050"/>
              </w:rPr>
              <w:t xml:space="preserve">, </w:t>
            </w:r>
            <w:r w:rsidR="005E56A8" w:rsidRPr="003B2840">
              <w:rPr>
                <w:bCs/>
                <w:color w:val="00B050"/>
              </w:rPr>
              <w:t>1.3.1</w:t>
            </w:r>
          </w:p>
        </w:tc>
      </w:tr>
    </w:tbl>
    <w:p w14:paraId="7B4556C8" w14:textId="77777777" w:rsidR="006A70C4" w:rsidRPr="00B05FAF" w:rsidRDefault="006A70C4" w:rsidP="00A268CC">
      <w:pPr>
        <w:ind w:firstLine="426"/>
        <w:rPr>
          <w:b/>
        </w:rPr>
      </w:pPr>
      <w:r w:rsidRPr="00B05FAF">
        <w:rPr>
          <w:b/>
        </w:rPr>
        <w:t>Index – New Entry</w:t>
      </w:r>
    </w:p>
    <w:p w14:paraId="2E1F258D" w14:textId="4FBDBC3A" w:rsidR="006A70C4" w:rsidRDefault="00216178" w:rsidP="003B2840">
      <w:pPr>
        <w:ind w:firstLine="720"/>
        <w:rPr>
          <w:b/>
          <w:color w:val="00B050"/>
        </w:rPr>
      </w:pPr>
      <w:r>
        <w:rPr>
          <w:b/>
          <w:color w:val="00B050"/>
        </w:rPr>
        <w:t>CYCLOBUTRIFLURAM</w:t>
      </w:r>
    </w:p>
    <w:p w14:paraId="62BB1588" w14:textId="3AD95566" w:rsidR="005254B4" w:rsidRPr="002F4D45" w:rsidRDefault="00216178" w:rsidP="003B2840">
      <w:pPr>
        <w:ind w:firstLine="720"/>
        <w:rPr>
          <w:bCs/>
          <w:color w:val="00B050"/>
        </w:rPr>
      </w:pPr>
      <w:r>
        <w:rPr>
          <w:bCs/>
          <w:color w:val="00B050"/>
        </w:rPr>
        <w:t>Appendix B</w:t>
      </w:r>
      <w:r w:rsidR="00A3501A">
        <w:rPr>
          <w:bCs/>
          <w:color w:val="00B050"/>
        </w:rPr>
        <w:t>, Part 3</w:t>
      </w:r>
    </w:p>
    <w:p w14:paraId="50717EDD" w14:textId="7CD3FA01" w:rsidR="006A70C4" w:rsidRPr="00F7689E" w:rsidRDefault="006A70C4">
      <w:pPr>
        <w:pStyle w:val="Heading4"/>
      </w:pPr>
      <w:r w:rsidRPr="00F7689E">
        <w:t xml:space="preserve">Materials </w:t>
      </w:r>
      <w:r w:rsidRPr="00372277">
        <w:t>considered</w:t>
      </w:r>
    </w:p>
    <w:p w14:paraId="2D1CCF36" w14:textId="77777777" w:rsidR="006A70C4" w:rsidRDefault="006A70C4" w:rsidP="00727A7E">
      <w:pPr>
        <w:rPr>
          <w:lang w:eastAsia="en-AU"/>
        </w:rPr>
      </w:pPr>
      <w:r>
        <w:rPr>
          <w:lang w:eastAsia="en-AU"/>
        </w:rPr>
        <w:t>In making this final decision, the Delegate considered the following material:</w:t>
      </w:r>
    </w:p>
    <w:p w14:paraId="454605CF" w14:textId="7F29035E" w:rsidR="006A70C4" w:rsidRDefault="006A70C4">
      <w:pPr>
        <w:pStyle w:val="ListBullet"/>
        <w:numPr>
          <w:ilvl w:val="0"/>
          <w:numId w:val="1"/>
        </w:numPr>
        <w:rPr>
          <w:lang w:eastAsia="en-AU"/>
        </w:rPr>
      </w:pPr>
      <w:r>
        <w:rPr>
          <w:lang w:eastAsia="en-AU"/>
        </w:rPr>
        <w:t xml:space="preserve">The application to amend the current Poisons Standard with respect to </w:t>
      </w:r>
      <w:proofErr w:type="spellStart"/>
      <w:proofErr w:type="gramStart"/>
      <w:r w:rsidR="00216178">
        <w:rPr>
          <w:lang w:eastAsia="en-AU"/>
        </w:rPr>
        <w:t>cyclobutrifluram</w:t>
      </w:r>
      <w:proofErr w:type="spellEnd"/>
      <w:r w:rsidR="00CA403E">
        <w:rPr>
          <w:lang w:eastAsia="en-AU"/>
        </w:rPr>
        <w:t>;</w:t>
      </w:r>
      <w:proofErr w:type="gramEnd"/>
    </w:p>
    <w:p w14:paraId="3A4C2553" w14:textId="63732DF3" w:rsidR="002745B4" w:rsidRPr="00A3501A" w:rsidRDefault="002745B4" w:rsidP="002745B4">
      <w:pPr>
        <w:pStyle w:val="ListBullet"/>
        <w:numPr>
          <w:ilvl w:val="0"/>
          <w:numId w:val="1"/>
        </w:numPr>
        <w:rPr>
          <w:lang w:eastAsia="en-AU"/>
        </w:rPr>
      </w:pPr>
      <w:bookmarkStart w:id="22" w:name="_Hlk88572216"/>
      <w:r w:rsidRPr="00A3501A">
        <w:t xml:space="preserve">Subsection 52E(1) of the Act, in 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w:t>
      </w:r>
      <w:r w:rsidR="00406780">
        <w:t>and (f) any other matters that the Secretary considers necessary to protect public health</w:t>
      </w:r>
      <w:r w:rsidR="00CA403E">
        <w:t>;</w:t>
      </w:r>
    </w:p>
    <w:p w14:paraId="1640C0C4" w14:textId="4BC83C18" w:rsidR="002745B4" w:rsidRDefault="002745B4" w:rsidP="002745B4">
      <w:pPr>
        <w:pStyle w:val="ListBullet"/>
        <w:numPr>
          <w:ilvl w:val="0"/>
          <w:numId w:val="1"/>
        </w:numPr>
        <w:rPr>
          <w:lang w:eastAsia="en-AU"/>
        </w:rPr>
      </w:pPr>
      <w:r>
        <w:t>The SPF, pursuant to paragraph 52E(2)(a) of the Act; and</w:t>
      </w:r>
    </w:p>
    <w:p w14:paraId="4D2FC9FD" w14:textId="171640FF" w:rsidR="002745B4" w:rsidRDefault="002745B4" w:rsidP="002745B4">
      <w:pPr>
        <w:pStyle w:val="ListBullet"/>
        <w:numPr>
          <w:ilvl w:val="0"/>
          <w:numId w:val="1"/>
        </w:numPr>
        <w:rPr>
          <w:lang w:eastAsia="en-AU"/>
        </w:rPr>
      </w:pPr>
      <w:r>
        <w:t>The Handbook.</w:t>
      </w:r>
    </w:p>
    <w:p w14:paraId="116B0F4D" w14:textId="77777777" w:rsidR="006A70C4" w:rsidRPr="00F7689E" w:rsidRDefault="006A70C4">
      <w:pPr>
        <w:pStyle w:val="Heading4"/>
      </w:pPr>
      <w:r w:rsidRPr="00F7689E">
        <w:t xml:space="preserve">Reasons for the final </w:t>
      </w:r>
      <w:r w:rsidRPr="00372277">
        <w:t>decision</w:t>
      </w:r>
      <w:r w:rsidRPr="00F7689E">
        <w:t xml:space="preserve"> (including findings on material questions of fact) </w:t>
      </w:r>
    </w:p>
    <w:p w14:paraId="33D5CBBF" w14:textId="77777777" w:rsidR="0022019E" w:rsidRPr="0022019E" w:rsidRDefault="0022019E" w:rsidP="0022019E">
      <w:r w:rsidRPr="0022019E">
        <w:t xml:space="preserve">In determining that this matter will be a delegate-only decision I have </w:t>
      </w:r>
      <w:proofErr w:type="gramStart"/>
      <w:r w:rsidRPr="0022019E">
        <w:t>taken into account</w:t>
      </w:r>
      <w:proofErr w:type="gramEnd"/>
      <w:r w:rsidRPr="0022019E">
        <w:t xml:space="preserve"> the information provided in the application from the applicant (Australian Pesticides and Veterinary Medicine Authority (APVMA)), and the matters outlined under Section 52E of the Act and the SPF. </w:t>
      </w:r>
      <w:proofErr w:type="gramStart"/>
      <w:r w:rsidRPr="0022019E">
        <w:t>In particular I</w:t>
      </w:r>
      <w:proofErr w:type="gramEnd"/>
      <w:r w:rsidRPr="0022019E">
        <w:t xml:space="preserve"> note that:</w:t>
      </w:r>
    </w:p>
    <w:bookmarkEnd w:id="22"/>
    <w:p w14:paraId="42BDE201" w14:textId="5BB64D2B" w:rsidR="00A3501A" w:rsidRDefault="00A3501A" w:rsidP="00A3501A">
      <w:pPr>
        <w:pStyle w:val="ListBullet"/>
        <w:numPr>
          <w:ilvl w:val="0"/>
          <w:numId w:val="1"/>
        </w:numPr>
      </w:pPr>
      <w:r>
        <w:t xml:space="preserve">In relation to paragraph 52E(1)(a) of the Act, </w:t>
      </w:r>
      <w:r>
        <w:rPr>
          <w:lang w:eastAsia="en-AU"/>
        </w:rPr>
        <w:t xml:space="preserve">the proposed amendment to the Poisons Standard is to include a new entry for cyclobutrifluram in Appendix B, </w:t>
      </w:r>
      <w:r>
        <w:t>thereby exempting the substance from any requirements that are imposed by scheduling,</w:t>
      </w:r>
      <w:r>
        <w:rPr>
          <w:lang w:eastAsia="en-AU"/>
        </w:rPr>
        <w:t xml:space="preserve"> </w:t>
      </w:r>
      <w:r w:rsidRPr="00EF6D99">
        <w:rPr>
          <w:lang w:eastAsia="en-AU"/>
        </w:rPr>
        <w:t xml:space="preserve">based upon benefits to the agricultural industry from the introduction of a new </w:t>
      </w:r>
      <w:r w:rsidR="00EF6D99">
        <w:rPr>
          <w:lang w:eastAsia="en-AU"/>
        </w:rPr>
        <w:t>nematicide.</w:t>
      </w:r>
      <w:r>
        <w:rPr>
          <w:lang w:eastAsia="en-AU"/>
        </w:rPr>
        <w:t xml:space="preserve"> In its application the regulator (APVMA) provided a Human Health Risk Assessment (HHRA) which concluded that the risks to human health and safety posed by this substance are acceptable according to the criteria stipulated in </w:t>
      </w:r>
      <w:r>
        <w:t xml:space="preserve">Section 5A of the </w:t>
      </w:r>
      <w:r w:rsidRPr="00434E6E">
        <w:rPr>
          <w:i/>
          <w:iCs/>
        </w:rPr>
        <w:t>Agricultural and Veterinary Chemicals Code Act (1994)</w:t>
      </w:r>
      <w:r>
        <w:t>.</w:t>
      </w:r>
    </w:p>
    <w:p w14:paraId="099415EF" w14:textId="43C0E78A" w:rsidR="00A3501A" w:rsidRPr="005E56A8" w:rsidRDefault="00A3501A" w:rsidP="00A3501A">
      <w:pPr>
        <w:pStyle w:val="ListBullet"/>
        <w:numPr>
          <w:ilvl w:val="0"/>
          <w:numId w:val="1"/>
        </w:numPr>
      </w:pPr>
      <w:r w:rsidRPr="005E56A8">
        <w:rPr>
          <w:lang w:eastAsia="en-AU"/>
        </w:rPr>
        <w:t xml:space="preserve">In relation to paragraph 52E(1)(b) of the Act </w:t>
      </w:r>
      <w:r w:rsidR="005E56A8" w:rsidRPr="005E56A8">
        <w:rPr>
          <w:lang w:eastAsia="en-AU"/>
        </w:rPr>
        <w:t xml:space="preserve">cyclobutrifluram is a nematicide </w:t>
      </w:r>
      <w:r w:rsidR="00A268CC">
        <w:rPr>
          <w:lang w:eastAsia="en-AU"/>
        </w:rPr>
        <w:t xml:space="preserve">for the control of plant </w:t>
      </w:r>
      <w:proofErr w:type="gramStart"/>
      <w:r w:rsidR="00A268CC">
        <w:rPr>
          <w:lang w:eastAsia="en-AU"/>
        </w:rPr>
        <w:t xml:space="preserve">parasites, </w:t>
      </w:r>
      <w:r w:rsidR="005E56A8" w:rsidRPr="005E56A8">
        <w:rPr>
          <w:lang w:eastAsia="en-AU"/>
        </w:rPr>
        <w:t>and</w:t>
      </w:r>
      <w:proofErr w:type="gramEnd"/>
      <w:r w:rsidR="005E56A8" w:rsidRPr="005E56A8">
        <w:rPr>
          <w:lang w:eastAsia="en-AU"/>
        </w:rPr>
        <w:t xml:space="preserve"> belongs to the pyridine-3-carboxamide chemical class. </w:t>
      </w:r>
      <w:r w:rsidR="00406780">
        <w:t>Its mode of action is as a</w:t>
      </w:r>
      <w:r w:rsidR="00406780" w:rsidRPr="00967FF2">
        <w:t xml:space="preserve"> selective inhibitor of succinate dehydrogenase (complex II) disrupting ATP production in nematode and fungal mitochondria</w:t>
      </w:r>
      <w:r w:rsidR="00406780">
        <w:t>.</w:t>
      </w:r>
      <w:r w:rsidR="00406780" w:rsidRPr="00967FF2">
        <w:t xml:space="preserve"> </w:t>
      </w:r>
      <w:r w:rsidRPr="005E56A8">
        <w:t>The substance has not previously been considered for inclusion in the Poisons Standard.</w:t>
      </w:r>
    </w:p>
    <w:p w14:paraId="111A35F0" w14:textId="7BBB4C66" w:rsidR="00A3501A" w:rsidRDefault="00A3501A" w:rsidP="00A3501A">
      <w:pPr>
        <w:pStyle w:val="ListBullet"/>
        <w:numPr>
          <w:ilvl w:val="0"/>
          <w:numId w:val="1"/>
        </w:numPr>
      </w:pPr>
      <w:r w:rsidRPr="003E1189">
        <w:rPr>
          <w:lang w:eastAsia="en-AU"/>
        </w:rPr>
        <w:t xml:space="preserve">In relation to paragraph 52E(1)(c) of the Act, the application provided data for </w:t>
      </w:r>
      <w:r w:rsidR="00EF6D99" w:rsidRPr="003E1189">
        <w:rPr>
          <w:lang w:eastAsia="en-AU"/>
        </w:rPr>
        <w:t>cyclobutrifluram</w:t>
      </w:r>
      <w:r w:rsidRPr="003E1189">
        <w:rPr>
          <w:lang w:eastAsia="en-AU"/>
        </w:rPr>
        <w:t xml:space="preserve"> which indicated that the toxicity profile is not consistent with inclusion into the Schedules, based on its </w:t>
      </w:r>
      <w:r w:rsidRPr="003E1189">
        <w:t xml:space="preserve">very low acute </w:t>
      </w:r>
      <w:r w:rsidRPr="003B2840">
        <w:t>oral toxicity (LD</w:t>
      </w:r>
      <w:r w:rsidRPr="003B2840">
        <w:rPr>
          <w:vertAlign w:val="subscript"/>
        </w:rPr>
        <w:t>50</w:t>
      </w:r>
      <w:r w:rsidRPr="003B2840">
        <w:t xml:space="preserve"> &gt; 5000 mg/kg </w:t>
      </w:r>
      <w:proofErr w:type="spellStart"/>
      <w:r w:rsidRPr="003B2840">
        <w:t>bw</w:t>
      </w:r>
      <w:proofErr w:type="spellEnd"/>
      <w:r w:rsidRPr="003B2840">
        <w:t>),</w:t>
      </w:r>
      <w:r w:rsidRPr="003E1189">
        <w:t xml:space="preserve"> low dermal toxicity (LD</w:t>
      </w:r>
      <w:r w:rsidRPr="003E1189">
        <w:rPr>
          <w:vertAlign w:val="subscript"/>
        </w:rPr>
        <w:t>50</w:t>
      </w:r>
      <w:r w:rsidRPr="003E1189">
        <w:t xml:space="preserve"> &gt; </w:t>
      </w:r>
      <w:r w:rsidR="00EF6D99" w:rsidRPr="003E1189">
        <w:t>2</w:t>
      </w:r>
      <w:r w:rsidRPr="003E1189">
        <w:t xml:space="preserve">000 mg/kg </w:t>
      </w:r>
      <w:proofErr w:type="spellStart"/>
      <w:r w:rsidRPr="003E1189">
        <w:t>bw</w:t>
      </w:r>
      <w:proofErr w:type="spellEnd"/>
      <w:r w:rsidRPr="003E1189">
        <w:t>), and low inhalational toxicity (LC</w:t>
      </w:r>
      <w:r w:rsidRPr="003E1189">
        <w:rPr>
          <w:vertAlign w:val="subscript"/>
        </w:rPr>
        <w:t>50</w:t>
      </w:r>
      <w:r w:rsidRPr="003E1189">
        <w:t xml:space="preserve"> &gt; </w:t>
      </w:r>
      <w:r w:rsidR="00EF6D99" w:rsidRPr="003E1189">
        <w:t xml:space="preserve">4080 </w:t>
      </w:r>
      <w:r w:rsidRPr="003E1189">
        <w:t>mg/</w:t>
      </w:r>
      <w:r w:rsidR="00EF6D99" w:rsidRPr="003E1189">
        <w:t>m</w:t>
      </w:r>
      <w:r w:rsidR="00EF6D99" w:rsidRPr="003E1189">
        <w:rPr>
          <w:vertAlign w:val="superscript"/>
        </w:rPr>
        <w:t>3</w:t>
      </w:r>
      <w:r w:rsidRPr="003E1189">
        <w:t>/</w:t>
      </w:r>
      <w:r w:rsidR="00EF6D99" w:rsidRPr="003E1189">
        <w:t>4</w:t>
      </w:r>
      <w:r w:rsidRPr="003E1189">
        <w:t xml:space="preserve">h). While </w:t>
      </w:r>
      <w:r w:rsidR="003E1189">
        <w:t>cyclobutrifluram</w:t>
      </w:r>
      <w:r w:rsidRPr="003E1189">
        <w:t xml:space="preserve"> is a slight eye irritant, it is not a skin irritant or sensitiser.</w:t>
      </w:r>
    </w:p>
    <w:p w14:paraId="0FDD29A4" w14:textId="31CF3C81" w:rsidR="008145ED" w:rsidRDefault="008145ED">
      <w:pPr>
        <w:pStyle w:val="ListBullet"/>
        <w:numPr>
          <w:ilvl w:val="0"/>
          <w:numId w:val="1"/>
        </w:numPr>
      </w:pPr>
      <w:proofErr w:type="spellStart"/>
      <w:r w:rsidRPr="00985699">
        <w:rPr>
          <w:szCs w:val="22"/>
        </w:rPr>
        <w:lastRenderedPageBreak/>
        <w:t>Cyclobutrifluram</w:t>
      </w:r>
      <w:proofErr w:type="spellEnd"/>
      <w:r w:rsidRPr="00985699">
        <w:rPr>
          <w:szCs w:val="22"/>
        </w:rPr>
        <w:t xml:space="preserve"> did not adversely affect reproduction, development survival in a rat multigenerational study at doses up to 43.1 mg/kg </w:t>
      </w:r>
      <w:proofErr w:type="spellStart"/>
      <w:r w:rsidRPr="00985699">
        <w:rPr>
          <w:szCs w:val="22"/>
        </w:rPr>
        <w:t>bw</w:t>
      </w:r>
      <w:proofErr w:type="spellEnd"/>
      <w:r w:rsidRPr="00985699">
        <w:rPr>
          <w:szCs w:val="22"/>
        </w:rPr>
        <w:t>/day</w:t>
      </w:r>
      <w:r w:rsidR="00985699">
        <w:rPr>
          <w:szCs w:val="22"/>
        </w:rPr>
        <w:t>, the highest dose tested</w:t>
      </w:r>
      <w:r w:rsidRPr="00985699">
        <w:rPr>
          <w:szCs w:val="22"/>
        </w:rPr>
        <w:t xml:space="preserve">. Cyclobutrifluram was neither teratogenic nor </w:t>
      </w:r>
      <w:proofErr w:type="spellStart"/>
      <w:r w:rsidRPr="00985699">
        <w:rPr>
          <w:szCs w:val="22"/>
        </w:rPr>
        <w:t>maternotoxic</w:t>
      </w:r>
      <w:proofErr w:type="spellEnd"/>
      <w:r w:rsidRPr="00985699">
        <w:rPr>
          <w:szCs w:val="22"/>
        </w:rPr>
        <w:t xml:space="preserve"> in a prenatal development study in rats at oral doses up to 250 mg/kg </w:t>
      </w:r>
      <w:proofErr w:type="spellStart"/>
      <w:r w:rsidRPr="00985699">
        <w:rPr>
          <w:szCs w:val="22"/>
        </w:rPr>
        <w:t>bw</w:t>
      </w:r>
      <w:proofErr w:type="spellEnd"/>
      <w:r w:rsidRPr="00985699">
        <w:rPr>
          <w:szCs w:val="22"/>
        </w:rPr>
        <w:t>/d</w:t>
      </w:r>
      <w:r w:rsidR="00985699">
        <w:rPr>
          <w:szCs w:val="22"/>
        </w:rPr>
        <w:t>, the highest dose tested.</w:t>
      </w:r>
      <w:r w:rsidRPr="00985699">
        <w:rPr>
          <w:szCs w:val="22"/>
        </w:rPr>
        <w:t xml:space="preserve"> Cyclobutrifluram was not teratogenic in a rabbit prenatal development study at doses up to 125 mg/kg </w:t>
      </w:r>
      <w:proofErr w:type="spellStart"/>
      <w:r w:rsidRPr="00985699">
        <w:rPr>
          <w:szCs w:val="22"/>
        </w:rPr>
        <w:t>bw</w:t>
      </w:r>
      <w:proofErr w:type="spellEnd"/>
      <w:r w:rsidRPr="00985699">
        <w:rPr>
          <w:szCs w:val="22"/>
        </w:rPr>
        <w:t>/d</w:t>
      </w:r>
      <w:r w:rsidR="00985699">
        <w:rPr>
          <w:szCs w:val="22"/>
        </w:rPr>
        <w:t>, the highest dose tested</w:t>
      </w:r>
      <w:r w:rsidRPr="00985699">
        <w:rPr>
          <w:szCs w:val="22"/>
        </w:rPr>
        <w:t>.</w:t>
      </w:r>
    </w:p>
    <w:p w14:paraId="18F54383" w14:textId="6C245584" w:rsidR="008145ED" w:rsidRPr="003E1189" w:rsidRDefault="008145ED" w:rsidP="00A3501A">
      <w:pPr>
        <w:pStyle w:val="ListBullet"/>
        <w:numPr>
          <w:ilvl w:val="0"/>
          <w:numId w:val="1"/>
        </w:numPr>
      </w:pPr>
      <w:proofErr w:type="spellStart"/>
      <w:r>
        <w:t>Cyclobutrifluram</w:t>
      </w:r>
      <w:proofErr w:type="spellEnd"/>
      <w:r>
        <w:t xml:space="preserve"> was not found to be genotoxic in validated battery of studies and was not </w:t>
      </w:r>
      <w:r w:rsidR="00985699">
        <w:t>carcinogenic in mice and rats</w:t>
      </w:r>
      <w:r>
        <w:t>. Furthermore, it was not an acute neurotoxicant in rats.</w:t>
      </w:r>
    </w:p>
    <w:p w14:paraId="3593EFEF" w14:textId="1A053035" w:rsidR="00A3501A" w:rsidRPr="00EF6D99" w:rsidRDefault="00A3501A" w:rsidP="00A3501A">
      <w:pPr>
        <w:pStyle w:val="ListBullet"/>
        <w:numPr>
          <w:ilvl w:val="0"/>
          <w:numId w:val="1"/>
        </w:numPr>
        <w:rPr>
          <w:lang w:eastAsia="en-AU"/>
        </w:rPr>
      </w:pPr>
      <w:r w:rsidRPr="00EF6D99">
        <w:rPr>
          <w:lang w:eastAsia="en-AU"/>
        </w:rPr>
        <w:t xml:space="preserve">I am satisfied that, for the purposes of paragraph 52E(1)(d) of the Act, the regulator (APVMA) will consider the dosage, formulation, labelling, </w:t>
      </w:r>
      <w:proofErr w:type="gramStart"/>
      <w:r w:rsidRPr="00EF6D99">
        <w:rPr>
          <w:lang w:eastAsia="en-AU"/>
        </w:rPr>
        <w:t>packaging</w:t>
      </w:r>
      <w:proofErr w:type="gramEnd"/>
      <w:r w:rsidRPr="00EF6D99">
        <w:rPr>
          <w:lang w:eastAsia="en-AU"/>
        </w:rPr>
        <w:t xml:space="preserve"> and presentation of any commercial products.</w:t>
      </w:r>
    </w:p>
    <w:p w14:paraId="07688310" w14:textId="44D5FADD" w:rsidR="00A3501A" w:rsidRDefault="00A3501A" w:rsidP="00A3501A">
      <w:pPr>
        <w:pStyle w:val="ListBullet"/>
        <w:numPr>
          <w:ilvl w:val="0"/>
          <w:numId w:val="1"/>
        </w:numPr>
        <w:rPr>
          <w:lang w:eastAsia="en-AU"/>
        </w:rPr>
      </w:pPr>
      <w:r w:rsidRPr="00EF6D99">
        <w:rPr>
          <w:lang w:eastAsia="en-AU"/>
        </w:rPr>
        <w:t xml:space="preserve">In relation to paragraph 52E(1)(e) of the Act, the substance has no human therapeutic value that would indicate a risk </w:t>
      </w:r>
      <w:r w:rsidR="00EF6D99" w:rsidRPr="00EF6D99">
        <w:rPr>
          <w:lang w:eastAsia="en-AU"/>
        </w:rPr>
        <w:t xml:space="preserve">of dependency, misuse, </w:t>
      </w:r>
      <w:proofErr w:type="gramStart"/>
      <w:r w:rsidR="00EF6D99" w:rsidRPr="00EF6D99">
        <w:rPr>
          <w:lang w:eastAsia="en-AU"/>
        </w:rPr>
        <w:t>abuse</w:t>
      </w:r>
      <w:proofErr w:type="gramEnd"/>
      <w:r w:rsidR="00EF6D99" w:rsidRPr="00EF6D99">
        <w:rPr>
          <w:lang w:eastAsia="en-AU"/>
        </w:rPr>
        <w:t xml:space="preserve"> or </w:t>
      </w:r>
      <w:r w:rsidRPr="00EF6D99">
        <w:rPr>
          <w:lang w:eastAsia="en-AU"/>
        </w:rPr>
        <w:t>diversion</w:t>
      </w:r>
      <w:r w:rsidR="00EF6D99" w:rsidRPr="00EF6D99">
        <w:rPr>
          <w:lang w:eastAsia="en-AU"/>
        </w:rPr>
        <w:t xml:space="preserve"> into illicit use.</w:t>
      </w:r>
    </w:p>
    <w:p w14:paraId="6005D73C" w14:textId="589F6351" w:rsidR="00406780" w:rsidRPr="00EF6D99" w:rsidRDefault="00406780" w:rsidP="00A3501A">
      <w:pPr>
        <w:pStyle w:val="ListBullet"/>
        <w:numPr>
          <w:ilvl w:val="0"/>
          <w:numId w:val="1"/>
        </w:numPr>
        <w:rPr>
          <w:lang w:eastAsia="en-AU"/>
        </w:rPr>
      </w:pPr>
      <w:r>
        <w:rPr>
          <w:lang w:eastAsia="en-AU"/>
        </w:rPr>
        <w:t>I also noted</w:t>
      </w:r>
      <w:r w:rsidR="008145ED">
        <w:rPr>
          <w:lang w:eastAsia="en-AU"/>
        </w:rPr>
        <w:t xml:space="preserve"> for the purposes of paragraph 52E(1)(f) of the Act, </w:t>
      </w:r>
      <w:r>
        <w:rPr>
          <w:lang w:eastAsia="en-AU"/>
        </w:rPr>
        <w:t xml:space="preserve">that </w:t>
      </w:r>
      <w:r w:rsidR="008145ED">
        <w:rPr>
          <w:lang w:eastAsia="en-AU"/>
        </w:rPr>
        <w:t xml:space="preserve">an acceptable daily intake (ADI) for cyclobutrifluram of 0.08 mg/kg </w:t>
      </w:r>
      <w:proofErr w:type="spellStart"/>
      <w:r w:rsidR="008145ED">
        <w:rPr>
          <w:lang w:eastAsia="en-AU"/>
        </w:rPr>
        <w:t>bw</w:t>
      </w:r>
      <w:proofErr w:type="spellEnd"/>
      <w:r w:rsidR="008145ED">
        <w:rPr>
          <w:lang w:eastAsia="en-AU"/>
        </w:rPr>
        <w:t>/d has been established based on a No Observed Adverse Effect Level (NOAEL), from non-tumorigenic effects in a 104</w:t>
      </w:r>
      <w:r w:rsidR="007F19C2">
        <w:rPr>
          <w:lang w:eastAsia="en-AU"/>
        </w:rPr>
        <w:t>-</w:t>
      </w:r>
      <w:r w:rsidR="008145ED">
        <w:rPr>
          <w:lang w:eastAsia="en-AU"/>
        </w:rPr>
        <w:t>week dietary toxicity and carcinogenicity study in rats. An acute reference dose (</w:t>
      </w:r>
      <w:proofErr w:type="spellStart"/>
      <w:r w:rsidR="008145ED">
        <w:rPr>
          <w:lang w:eastAsia="en-AU"/>
        </w:rPr>
        <w:t>ARfD</w:t>
      </w:r>
      <w:proofErr w:type="spellEnd"/>
      <w:r w:rsidR="008145ED">
        <w:rPr>
          <w:lang w:eastAsia="en-AU"/>
        </w:rPr>
        <w:t>) was not considered to be necessary due to its low oral toxicity and absence of neurological effects or development toxicity after a single dose.</w:t>
      </w:r>
    </w:p>
    <w:p w14:paraId="231A3128" w14:textId="77777777" w:rsidR="00523152" w:rsidRPr="00DB4BE8" w:rsidRDefault="00523152" w:rsidP="00727A7E">
      <w:pPr>
        <w:rPr>
          <w:rFonts w:asciiTheme="minorHAnsi" w:hAnsiTheme="minorHAnsi"/>
          <w:szCs w:val="22"/>
        </w:rPr>
      </w:pPr>
      <w:proofErr w:type="gramStart"/>
      <w:r>
        <w:t>On the basis of</w:t>
      </w:r>
      <w:proofErr w:type="gramEnd"/>
      <w:r>
        <w:t xml:space="preserve"> the above considerations and the information provided in the application, I have decided to amend the current Poisons Standard in the manner set out above. The proposed amendment was not referred to an expert advisory committee.</w:t>
      </w:r>
    </w:p>
    <w:p w14:paraId="607B72FA" w14:textId="54171088" w:rsidR="006A70C4" w:rsidRPr="00B76897" w:rsidRDefault="006A70C4" w:rsidP="005D4DEE">
      <w:pPr>
        <w:pStyle w:val="Heading4"/>
      </w:pPr>
      <w:r w:rsidRPr="00B76897">
        <w:t>Date of effect</w:t>
      </w:r>
    </w:p>
    <w:p w14:paraId="3DAF34B6" w14:textId="5B5EB7BA" w:rsidR="00B869CF" w:rsidRDefault="006A70C4">
      <w:r w:rsidRPr="004320CD">
        <w:t xml:space="preserve">1 </w:t>
      </w:r>
      <w:r w:rsidR="00E61803">
        <w:t>October</w:t>
      </w:r>
      <w:r w:rsidRPr="004320CD">
        <w:t xml:space="preserve"> 2022</w:t>
      </w:r>
    </w:p>
    <w:p w14:paraId="68AB3CD0" w14:textId="1B271CFE" w:rsidR="006A70C4" w:rsidRDefault="005069D2" w:rsidP="005069D2">
      <w:pPr>
        <w:pStyle w:val="Heading3"/>
        <w:numPr>
          <w:ilvl w:val="0"/>
          <w:numId w:val="0"/>
        </w:numPr>
      </w:pPr>
      <w:bookmarkStart w:id="23" w:name="_Toc81841018"/>
      <w:bookmarkStart w:id="24" w:name="_Toc88836062"/>
      <w:bookmarkStart w:id="25" w:name="_Toc112069874"/>
      <w:r>
        <w:t xml:space="preserve">3.3 </w:t>
      </w:r>
      <w:r w:rsidR="006A70C4">
        <w:t xml:space="preserve">Final decision in relation </w:t>
      </w:r>
      <w:r w:rsidR="006A70C4" w:rsidRPr="00F2020D">
        <w:t xml:space="preserve">to </w:t>
      </w:r>
      <w:bookmarkEnd w:id="23"/>
      <w:bookmarkEnd w:id="24"/>
      <w:r w:rsidR="00C37B0E">
        <w:t>famoxadone</w:t>
      </w:r>
      <w:bookmarkEnd w:id="25"/>
    </w:p>
    <w:p w14:paraId="0C48D873" w14:textId="77777777" w:rsidR="006A70C4" w:rsidRPr="00F7689E" w:rsidRDefault="006A70C4">
      <w:pPr>
        <w:pStyle w:val="Heading4"/>
      </w:pPr>
      <w:r w:rsidRPr="00F7689E">
        <w:t xml:space="preserve">Final </w:t>
      </w:r>
      <w:r w:rsidRPr="00372277">
        <w:t>decision</w:t>
      </w:r>
    </w:p>
    <w:p w14:paraId="61A461EE" w14:textId="1403B446" w:rsidR="006A70C4" w:rsidRDefault="006A70C4">
      <w:r>
        <w:t>Pursuant to regulatio</w:t>
      </w:r>
      <w:r w:rsidRPr="005607E0">
        <w:t xml:space="preserve">n </w:t>
      </w:r>
      <w:r w:rsidRPr="00021E92">
        <w:t>42ZCZU</w:t>
      </w:r>
      <w:r w:rsidRPr="005607E0">
        <w:t xml:space="preserve"> of</w:t>
      </w:r>
      <w:r>
        <w:t xml:space="preserve"> the Regulations a Delegate of the Secretary has made a final decision to amend the current Poisons Standard in relation to </w:t>
      </w:r>
      <w:r w:rsidR="00216178">
        <w:t>famoxadone</w:t>
      </w:r>
      <w:r w:rsidR="00090E66">
        <w:t xml:space="preserve"> </w:t>
      </w:r>
      <w:r>
        <w:t>as follows:</w:t>
      </w:r>
    </w:p>
    <w:p w14:paraId="7A4DE377" w14:textId="2DE31ECF" w:rsidR="006A70C4" w:rsidRDefault="006A70C4" w:rsidP="00021E92">
      <w:pPr>
        <w:ind w:firstLine="426"/>
        <w:rPr>
          <w:b/>
        </w:rPr>
      </w:pPr>
      <w:r>
        <w:rPr>
          <w:b/>
        </w:rPr>
        <w:t xml:space="preserve">Schedule </w:t>
      </w:r>
      <w:r w:rsidR="00216178">
        <w:rPr>
          <w:b/>
        </w:rPr>
        <w:t>6</w:t>
      </w:r>
      <w:r>
        <w:rPr>
          <w:b/>
        </w:rPr>
        <w:t xml:space="preserve"> – </w:t>
      </w:r>
      <w:r w:rsidR="00216178">
        <w:rPr>
          <w:b/>
        </w:rPr>
        <w:t>New</w:t>
      </w:r>
      <w:r w:rsidR="00FC2589">
        <w:rPr>
          <w:b/>
        </w:rPr>
        <w:t xml:space="preserve"> Entry</w:t>
      </w:r>
    </w:p>
    <w:p w14:paraId="191C3DAD" w14:textId="1ACC2EEA" w:rsidR="006A70C4" w:rsidRPr="00216178" w:rsidRDefault="00216178">
      <w:pPr>
        <w:ind w:left="720"/>
        <w:rPr>
          <w:bCs/>
          <w:color w:val="00B050"/>
        </w:rPr>
      </w:pPr>
      <w:r w:rsidRPr="00216178">
        <w:rPr>
          <w:bCs/>
          <w:color w:val="00B050"/>
        </w:rPr>
        <w:t>FAMOXADONE.</w:t>
      </w:r>
    </w:p>
    <w:p w14:paraId="2428B051" w14:textId="4800D1C4" w:rsidR="00216178" w:rsidRDefault="00216178" w:rsidP="00216178">
      <w:pPr>
        <w:ind w:firstLine="426"/>
        <w:rPr>
          <w:b/>
        </w:rPr>
      </w:pPr>
      <w:r>
        <w:rPr>
          <w:b/>
        </w:rPr>
        <w:t>Index – New Entry</w:t>
      </w:r>
    </w:p>
    <w:p w14:paraId="448D13A6" w14:textId="75C59926" w:rsidR="00216178" w:rsidRDefault="00216178" w:rsidP="00216178">
      <w:pPr>
        <w:ind w:left="720"/>
        <w:rPr>
          <w:b/>
          <w:color w:val="00B050"/>
        </w:rPr>
      </w:pPr>
      <w:r w:rsidRPr="00216178">
        <w:rPr>
          <w:b/>
          <w:color w:val="00B050"/>
        </w:rPr>
        <w:t>FAMOXADONE</w:t>
      </w:r>
    </w:p>
    <w:p w14:paraId="26308F8A" w14:textId="01FF0B57" w:rsidR="00216178" w:rsidRPr="009D0ED8" w:rsidRDefault="00216178" w:rsidP="00216178">
      <w:pPr>
        <w:ind w:left="720"/>
        <w:rPr>
          <w:bCs/>
          <w:color w:val="00B050"/>
        </w:rPr>
      </w:pPr>
      <w:r>
        <w:rPr>
          <w:bCs/>
          <w:color w:val="00B050"/>
        </w:rPr>
        <w:t>Schedule 6</w:t>
      </w:r>
    </w:p>
    <w:p w14:paraId="1D6802C7" w14:textId="77777777" w:rsidR="006A70C4" w:rsidRPr="00F7689E" w:rsidRDefault="006A70C4" w:rsidP="006A70C4">
      <w:pPr>
        <w:pStyle w:val="Heading4"/>
      </w:pPr>
      <w:r w:rsidRPr="00F7689E">
        <w:t xml:space="preserve">Materials </w:t>
      </w:r>
      <w:r w:rsidRPr="00372277">
        <w:t>considered</w:t>
      </w:r>
    </w:p>
    <w:p w14:paraId="3A3F41DE" w14:textId="77777777" w:rsidR="006A70C4" w:rsidRDefault="006A70C4" w:rsidP="00727A7E">
      <w:pPr>
        <w:rPr>
          <w:lang w:eastAsia="en-AU"/>
        </w:rPr>
      </w:pPr>
      <w:r>
        <w:rPr>
          <w:lang w:eastAsia="en-AU"/>
        </w:rPr>
        <w:t>In making this final decision, the Delegate considered the following material:</w:t>
      </w:r>
    </w:p>
    <w:p w14:paraId="27CEB69E" w14:textId="4A7B6BF9" w:rsidR="006A70C4" w:rsidRDefault="006A70C4" w:rsidP="00021E92">
      <w:pPr>
        <w:pStyle w:val="ListBullet"/>
        <w:numPr>
          <w:ilvl w:val="0"/>
          <w:numId w:val="1"/>
        </w:numPr>
        <w:rPr>
          <w:lang w:eastAsia="en-AU"/>
        </w:rPr>
      </w:pPr>
      <w:r>
        <w:rPr>
          <w:lang w:eastAsia="en-AU"/>
        </w:rPr>
        <w:t>The application to amend the current Poisons Standard with respect to</w:t>
      </w:r>
      <w:r w:rsidR="00F2020D">
        <w:rPr>
          <w:lang w:eastAsia="en-AU"/>
        </w:rPr>
        <w:t xml:space="preserve"> </w:t>
      </w:r>
      <w:proofErr w:type="gramStart"/>
      <w:r w:rsidR="00216178">
        <w:t>famoxadone</w:t>
      </w:r>
      <w:r w:rsidR="00CA403E">
        <w:rPr>
          <w:lang w:eastAsia="en-AU"/>
        </w:rPr>
        <w:t>;</w:t>
      </w:r>
      <w:proofErr w:type="gramEnd"/>
    </w:p>
    <w:p w14:paraId="4804EE4A" w14:textId="0A4CB9D0" w:rsidR="00722059" w:rsidRPr="001A1F66" w:rsidRDefault="00722059" w:rsidP="00722059">
      <w:pPr>
        <w:pStyle w:val="ListBullet"/>
        <w:numPr>
          <w:ilvl w:val="0"/>
          <w:numId w:val="1"/>
        </w:numPr>
        <w:rPr>
          <w:lang w:eastAsia="en-AU"/>
        </w:rPr>
      </w:pPr>
      <w:r w:rsidRPr="001A1F66">
        <w:lastRenderedPageBreak/>
        <w:t xml:space="preserve">Subsection 52E(1) of the Act,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w:t>
      </w:r>
      <w:r w:rsidR="00051879">
        <w:t>and (f) any other matters that the Secretary considers necessary to protect public health</w:t>
      </w:r>
      <w:r w:rsidR="00CA403E">
        <w:t>;</w:t>
      </w:r>
    </w:p>
    <w:p w14:paraId="00366381" w14:textId="655FB8D2" w:rsidR="00722059" w:rsidRDefault="00722059" w:rsidP="00722059">
      <w:pPr>
        <w:pStyle w:val="ListBullet"/>
        <w:numPr>
          <w:ilvl w:val="0"/>
          <w:numId w:val="1"/>
        </w:numPr>
        <w:rPr>
          <w:lang w:eastAsia="en-AU"/>
        </w:rPr>
      </w:pPr>
      <w:r>
        <w:t>The SPF, pursuant to paragraph 52E(2)(a) of the Act; and</w:t>
      </w:r>
    </w:p>
    <w:p w14:paraId="4193FE71" w14:textId="24422FE6" w:rsidR="00722059" w:rsidRDefault="00722059" w:rsidP="00722059">
      <w:pPr>
        <w:pStyle w:val="ListBullet"/>
        <w:numPr>
          <w:ilvl w:val="0"/>
          <w:numId w:val="1"/>
        </w:numPr>
        <w:rPr>
          <w:lang w:eastAsia="en-AU"/>
        </w:rPr>
      </w:pPr>
      <w:r>
        <w:t>The Handbook.</w:t>
      </w:r>
    </w:p>
    <w:p w14:paraId="04D3FBC5" w14:textId="77777777" w:rsidR="006A70C4" w:rsidRPr="00F7689E" w:rsidRDefault="006A70C4" w:rsidP="006A70C4">
      <w:pPr>
        <w:pStyle w:val="Heading4"/>
      </w:pPr>
      <w:r w:rsidRPr="00F7689E">
        <w:t xml:space="preserve">Reasons for the final decision (including findings on material questions of fact) </w:t>
      </w:r>
    </w:p>
    <w:p w14:paraId="3AD47798" w14:textId="77777777" w:rsidR="0059004F" w:rsidRPr="0022019E" w:rsidRDefault="0059004F" w:rsidP="0059004F">
      <w:r w:rsidRPr="0022019E">
        <w:t xml:space="preserve">In determining that this matter will be a delegate-only decision I have </w:t>
      </w:r>
      <w:proofErr w:type="gramStart"/>
      <w:r w:rsidRPr="0022019E">
        <w:t>taken into account</w:t>
      </w:r>
      <w:proofErr w:type="gramEnd"/>
      <w:r w:rsidRPr="0022019E">
        <w:t xml:space="preserve"> the information provided in the application from the applicant (Australian Pesticides and Veterinary Medicine Authority (APVMA)), and the matters outlined under Section 52E of the Act and the SPF. </w:t>
      </w:r>
      <w:proofErr w:type="gramStart"/>
      <w:r w:rsidRPr="0022019E">
        <w:t>In particular I</w:t>
      </w:r>
      <w:proofErr w:type="gramEnd"/>
      <w:r w:rsidRPr="0022019E">
        <w:t xml:space="preserve"> note that:</w:t>
      </w:r>
    </w:p>
    <w:p w14:paraId="38CABDF3" w14:textId="13E222DA" w:rsidR="00081EFE" w:rsidRPr="00081EFE" w:rsidRDefault="00081EFE" w:rsidP="00081EFE">
      <w:pPr>
        <w:pStyle w:val="ListBullet"/>
        <w:numPr>
          <w:ilvl w:val="0"/>
          <w:numId w:val="1"/>
        </w:numPr>
        <w:rPr>
          <w:lang w:eastAsia="en-AU"/>
        </w:rPr>
      </w:pPr>
      <w:r w:rsidRPr="00081EFE">
        <w:t>In relation to paragraph 52E(1)(a) of the Act, t</w:t>
      </w:r>
      <w:r w:rsidRPr="00081EFE">
        <w:rPr>
          <w:lang w:eastAsia="en-AU"/>
        </w:rPr>
        <w:t xml:space="preserve">he proposed amendment to the Poisons Standard is to include </w:t>
      </w:r>
      <w:r w:rsidR="00723703">
        <w:rPr>
          <w:lang w:eastAsia="en-AU"/>
        </w:rPr>
        <w:t xml:space="preserve">a </w:t>
      </w:r>
      <w:r w:rsidRPr="00081EFE">
        <w:rPr>
          <w:lang w:eastAsia="en-AU"/>
        </w:rPr>
        <w:t>new entr</w:t>
      </w:r>
      <w:r w:rsidR="00723703">
        <w:rPr>
          <w:lang w:eastAsia="en-AU"/>
        </w:rPr>
        <w:t xml:space="preserve">y </w:t>
      </w:r>
      <w:r w:rsidRPr="00081EFE">
        <w:rPr>
          <w:lang w:eastAsia="en-AU"/>
        </w:rPr>
        <w:t xml:space="preserve">for famoxadone in Schedule 6, based upon benefits to the agricultural industry from the introduction of a novel </w:t>
      </w:r>
      <w:r w:rsidR="00EF58D5">
        <w:rPr>
          <w:lang w:eastAsia="en-AU"/>
        </w:rPr>
        <w:t>fungicide</w:t>
      </w:r>
      <w:r w:rsidRPr="00081EFE">
        <w:rPr>
          <w:lang w:eastAsia="en-AU"/>
        </w:rPr>
        <w:t xml:space="preserve">. In its application, the regulator (APVMA) provided a Human Health Risk Assessment (HHRA) which concluded that the risks to human health and safety posed by this substance are acceptable according to the criteria stipulated in </w:t>
      </w:r>
      <w:r w:rsidRPr="00081EFE">
        <w:t xml:space="preserve">Section 5A of the </w:t>
      </w:r>
      <w:r w:rsidRPr="00081EFE">
        <w:rPr>
          <w:i/>
          <w:iCs/>
        </w:rPr>
        <w:t>Agricultural and Veterinary Chemicals Code Act (1994)</w:t>
      </w:r>
      <w:r w:rsidRPr="00081EFE">
        <w:t>.</w:t>
      </w:r>
    </w:p>
    <w:p w14:paraId="54E5D7C3" w14:textId="7B8D1BF8" w:rsidR="00081EFE" w:rsidRPr="00081EFE" w:rsidRDefault="00081EFE" w:rsidP="00081EFE">
      <w:pPr>
        <w:pStyle w:val="ListBullet"/>
        <w:numPr>
          <w:ilvl w:val="0"/>
          <w:numId w:val="1"/>
        </w:numPr>
        <w:rPr>
          <w:lang w:eastAsia="en-AU"/>
        </w:rPr>
      </w:pPr>
      <w:r w:rsidRPr="00081EFE">
        <w:t xml:space="preserve">In relation to paragraph 52E(1)(b) of the Act, famoxadone is a preventative and curative fungicide belonging to the </w:t>
      </w:r>
      <w:r w:rsidR="00723703">
        <w:t>quinone outside inhibitor (</w:t>
      </w:r>
      <w:proofErr w:type="spellStart"/>
      <w:r w:rsidR="00723703">
        <w:t>QoI</w:t>
      </w:r>
      <w:proofErr w:type="spellEnd"/>
      <w:r w:rsidR="00723703">
        <w:t>)</w:t>
      </w:r>
      <w:r w:rsidRPr="00081EFE">
        <w:t xml:space="preserve"> (FRAC group 11</w:t>
      </w:r>
      <w:r w:rsidR="00CA403E">
        <w:rPr>
          <w:rStyle w:val="FootnoteReference"/>
        </w:rPr>
        <w:footnoteReference w:id="1"/>
      </w:r>
      <w:r w:rsidRPr="00081EFE">
        <w:t xml:space="preserve">) class of fungicides, used in the control of a broad spectrum of plant pathogenic fungi including downy mildew and blights. Famoxadone is likely to play a role in resistance management and expected to offer an additional solution for controlling fungal diseases affecting major crops. </w:t>
      </w:r>
      <w:r w:rsidRPr="00081EFE">
        <w:rPr>
          <w:lang w:eastAsia="en-AU"/>
        </w:rPr>
        <w:t xml:space="preserve">Famoxadone </w:t>
      </w:r>
      <w:r w:rsidR="00A11086">
        <w:rPr>
          <w:lang w:eastAsia="en-AU"/>
        </w:rPr>
        <w:t xml:space="preserve">is a new technical grade active constituent (TGAC) in Australia and </w:t>
      </w:r>
      <w:r w:rsidRPr="00081EFE">
        <w:rPr>
          <w:lang w:eastAsia="en-AU"/>
        </w:rPr>
        <w:t xml:space="preserve">has been approved for many years in </w:t>
      </w:r>
      <w:proofErr w:type="gramStart"/>
      <w:r w:rsidRPr="00081EFE">
        <w:rPr>
          <w:lang w:eastAsia="en-AU"/>
        </w:rPr>
        <w:t>a number of</w:t>
      </w:r>
      <w:proofErr w:type="gramEnd"/>
      <w:r w:rsidRPr="00081EFE">
        <w:rPr>
          <w:lang w:eastAsia="en-AU"/>
        </w:rPr>
        <w:t xml:space="preserve"> countries in the EU and USA.</w:t>
      </w:r>
    </w:p>
    <w:p w14:paraId="10932E6E" w14:textId="5A097616" w:rsidR="00081EFE" w:rsidRPr="00A11086" w:rsidRDefault="00081EFE" w:rsidP="00081EFE">
      <w:pPr>
        <w:pStyle w:val="ListBullet"/>
        <w:numPr>
          <w:ilvl w:val="0"/>
          <w:numId w:val="1"/>
        </w:numPr>
        <w:rPr>
          <w:rFonts w:asciiTheme="minorHAnsi" w:hAnsiTheme="minorHAnsi"/>
          <w:szCs w:val="22"/>
          <w:lang w:eastAsia="en-AU"/>
        </w:rPr>
      </w:pPr>
      <w:r w:rsidRPr="00A11086">
        <w:t>In relation to paragraph 52E(1)(c) of the Act, the applica</w:t>
      </w:r>
      <w:r w:rsidR="009F487C">
        <w:t>nt</w:t>
      </w:r>
      <w:r w:rsidRPr="00A11086">
        <w:t xml:space="preserve"> provided toxicity data about the TGAC and </w:t>
      </w:r>
      <w:r w:rsidR="009F487C">
        <w:t>a</w:t>
      </w:r>
      <w:r w:rsidR="00A11086" w:rsidRPr="00A11086">
        <w:t xml:space="preserve"> proposed product.</w:t>
      </w:r>
    </w:p>
    <w:p w14:paraId="6415D34B" w14:textId="0D924E5D" w:rsidR="00905AB4" w:rsidRPr="003B2840" w:rsidRDefault="00081EFE" w:rsidP="0077056C">
      <w:pPr>
        <w:pStyle w:val="ListBullet"/>
        <w:numPr>
          <w:ilvl w:val="0"/>
          <w:numId w:val="1"/>
        </w:numPr>
        <w:rPr>
          <w:rFonts w:asciiTheme="minorHAnsi" w:hAnsiTheme="minorHAnsi"/>
          <w:szCs w:val="22"/>
          <w:lang w:eastAsia="en-AU"/>
        </w:rPr>
      </w:pPr>
      <w:r w:rsidRPr="0077056C">
        <w:t xml:space="preserve">The toxicity data indicated that </w:t>
      </w:r>
      <w:r w:rsidR="000B1393" w:rsidRPr="0077056C">
        <w:t>famoxadone</w:t>
      </w:r>
      <w:r w:rsidRPr="0077056C">
        <w:t xml:space="preserve"> is of moderate </w:t>
      </w:r>
      <w:r w:rsidRPr="0077056C">
        <w:rPr>
          <w:lang w:eastAsia="en-AU"/>
        </w:rPr>
        <w:t>acute toxicity by the oral route (LD</w:t>
      </w:r>
      <w:r w:rsidRPr="0077056C">
        <w:rPr>
          <w:vertAlign w:val="subscript"/>
          <w:lang w:eastAsia="en-AU"/>
        </w:rPr>
        <w:t>50</w:t>
      </w:r>
      <w:r w:rsidRPr="0077056C">
        <w:rPr>
          <w:lang w:eastAsia="en-AU"/>
        </w:rPr>
        <w:t xml:space="preserve"> </w:t>
      </w:r>
      <w:r w:rsidR="00E1493D" w:rsidRPr="0077056C">
        <w:rPr>
          <w:lang w:eastAsia="en-AU"/>
        </w:rPr>
        <w:t xml:space="preserve">&gt; 1750 to &lt; 5000 </w:t>
      </w:r>
      <w:r w:rsidRPr="0077056C">
        <w:rPr>
          <w:rFonts w:ascii="Times New Roman" w:hAnsi="Times New Roman"/>
          <w:szCs w:val="22"/>
        </w:rPr>
        <w:t xml:space="preserve">mg/kg </w:t>
      </w:r>
      <w:proofErr w:type="spellStart"/>
      <w:r w:rsidRPr="0077056C">
        <w:rPr>
          <w:rFonts w:ascii="Times New Roman" w:hAnsi="Times New Roman"/>
          <w:szCs w:val="22"/>
        </w:rPr>
        <w:t>bw</w:t>
      </w:r>
      <w:proofErr w:type="spellEnd"/>
      <w:r w:rsidRPr="0077056C">
        <w:rPr>
          <w:rFonts w:ascii="Times New Roman" w:hAnsi="Times New Roman"/>
          <w:szCs w:val="22"/>
        </w:rPr>
        <w:t xml:space="preserve"> in rats)</w:t>
      </w:r>
      <w:r w:rsidRPr="0077056C">
        <w:rPr>
          <w:lang w:eastAsia="en-AU"/>
        </w:rPr>
        <w:t xml:space="preserve">, </w:t>
      </w:r>
      <w:r w:rsidR="00905AB4">
        <w:rPr>
          <w:lang w:eastAsia="en-AU"/>
        </w:rPr>
        <w:t xml:space="preserve">which is consistent with the Schedule 6 factors. The substance exhibits </w:t>
      </w:r>
      <w:r w:rsidRPr="0077056C">
        <w:rPr>
          <w:lang w:eastAsia="en-AU"/>
        </w:rPr>
        <w:t>low acute toxicity by the dermal (LD</w:t>
      </w:r>
      <w:r w:rsidRPr="0077056C">
        <w:rPr>
          <w:vertAlign w:val="subscript"/>
          <w:lang w:eastAsia="en-AU"/>
        </w:rPr>
        <w:t xml:space="preserve">50 </w:t>
      </w:r>
      <w:r w:rsidRPr="0077056C">
        <w:rPr>
          <w:rFonts w:ascii="Times New Roman" w:hAnsi="Times New Roman"/>
          <w:szCs w:val="22"/>
        </w:rPr>
        <w:t xml:space="preserve">&gt;2000 mg/kg </w:t>
      </w:r>
      <w:proofErr w:type="spellStart"/>
      <w:r w:rsidRPr="0077056C">
        <w:rPr>
          <w:rFonts w:ascii="Times New Roman" w:hAnsi="Times New Roman"/>
          <w:szCs w:val="22"/>
        </w:rPr>
        <w:t>bw</w:t>
      </w:r>
      <w:proofErr w:type="spellEnd"/>
      <w:r w:rsidRPr="0077056C">
        <w:rPr>
          <w:rFonts w:ascii="Times New Roman" w:hAnsi="Times New Roman"/>
          <w:szCs w:val="22"/>
        </w:rPr>
        <w:t xml:space="preserve"> in rats)</w:t>
      </w:r>
      <w:r w:rsidRPr="0077056C">
        <w:rPr>
          <w:lang w:eastAsia="en-AU"/>
        </w:rPr>
        <w:t xml:space="preserve"> and inhalation (LD</w:t>
      </w:r>
      <w:proofErr w:type="gramStart"/>
      <w:r w:rsidRPr="0077056C">
        <w:rPr>
          <w:vertAlign w:val="subscript"/>
          <w:lang w:eastAsia="en-AU"/>
        </w:rPr>
        <w:t xml:space="preserve">50 </w:t>
      </w:r>
      <w:r w:rsidR="00E1493D" w:rsidRPr="0077056C">
        <w:rPr>
          <w:vertAlign w:val="subscript"/>
          <w:lang w:eastAsia="en-AU"/>
        </w:rPr>
        <w:t xml:space="preserve"> </w:t>
      </w:r>
      <w:r w:rsidRPr="0077056C">
        <w:rPr>
          <w:rFonts w:ascii="Times New Roman" w:eastAsia="Times New Roman" w:hAnsi="Times New Roman"/>
          <w:szCs w:val="22"/>
        </w:rPr>
        <w:t>&gt;</w:t>
      </w:r>
      <w:proofErr w:type="gramEnd"/>
      <w:r w:rsidRPr="0077056C">
        <w:rPr>
          <w:rFonts w:ascii="Times New Roman" w:eastAsia="Times New Roman" w:hAnsi="Times New Roman"/>
          <w:szCs w:val="22"/>
        </w:rPr>
        <w:t>5</w:t>
      </w:r>
      <w:r w:rsidR="00E1493D" w:rsidRPr="0077056C">
        <w:rPr>
          <w:rFonts w:ascii="Times New Roman" w:eastAsia="Times New Roman" w:hAnsi="Times New Roman"/>
          <w:szCs w:val="22"/>
        </w:rPr>
        <w:t>30</w:t>
      </w:r>
      <w:r w:rsidRPr="0077056C">
        <w:rPr>
          <w:rFonts w:ascii="Times New Roman" w:eastAsia="Times New Roman" w:hAnsi="Times New Roman"/>
          <w:szCs w:val="22"/>
        </w:rPr>
        <w:t xml:space="preserve">0 </w:t>
      </w:r>
      <w:r w:rsidRPr="0077056C">
        <w:rPr>
          <w:rFonts w:ascii="Times New Roman" w:hAnsi="Times New Roman"/>
          <w:szCs w:val="22"/>
        </w:rPr>
        <w:t>mg/m</w:t>
      </w:r>
      <w:r w:rsidRPr="0077056C">
        <w:rPr>
          <w:rFonts w:ascii="Times New Roman" w:hAnsi="Times New Roman"/>
          <w:szCs w:val="22"/>
          <w:vertAlign w:val="superscript"/>
        </w:rPr>
        <w:t>3</w:t>
      </w:r>
      <w:r w:rsidR="00E1493D" w:rsidRPr="0077056C">
        <w:rPr>
          <w:rFonts w:ascii="Times New Roman" w:hAnsi="Times New Roman"/>
          <w:szCs w:val="22"/>
        </w:rPr>
        <w:t>/4h i</w:t>
      </w:r>
      <w:r w:rsidRPr="0077056C">
        <w:rPr>
          <w:rFonts w:ascii="Times New Roman" w:hAnsi="Times New Roman"/>
          <w:szCs w:val="22"/>
        </w:rPr>
        <w:t>n rats)</w:t>
      </w:r>
      <w:r w:rsidR="00905AB4">
        <w:rPr>
          <w:rFonts w:ascii="Times New Roman" w:hAnsi="Times New Roman"/>
          <w:szCs w:val="22"/>
        </w:rPr>
        <w:t xml:space="preserve"> routes</w:t>
      </w:r>
      <w:r w:rsidRPr="0077056C">
        <w:rPr>
          <w:lang w:eastAsia="en-AU"/>
        </w:rPr>
        <w:t xml:space="preserve">. It is a slight skin and eye irritant in </w:t>
      </w:r>
      <w:proofErr w:type="gramStart"/>
      <w:r w:rsidRPr="0077056C">
        <w:rPr>
          <w:lang w:eastAsia="en-AU"/>
        </w:rPr>
        <w:t>rabbits</w:t>
      </w:r>
      <w:r w:rsidR="00905AB4">
        <w:rPr>
          <w:lang w:eastAsia="en-AU"/>
        </w:rPr>
        <w:t>,</w:t>
      </w:r>
      <w:r w:rsidRPr="0077056C">
        <w:rPr>
          <w:lang w:eastAsia="en-AU"/>
        </w:rPr>
        <w:t xml:space="preserve"> </w:t>
      </w:r>
      <w:r w:rsidR="00E1493D" w:rsidRPr="0077056C">
        <w:rPr>
          <w:lang w:eastAsia="en-AU"/>
        </w:rPr>
        <w:t>and</w:t>
      </w:r>
      <w:proofErr w:type="gramEnd"/>
      <w:r w:rsidR="00E1493D" w:rsidRPr="0077056C">
        <w:rPr>
          <w:lang w:eastAsia="en-AU"/>
        </w:rPr>
        <w:t xml:space="preserve"> had a positive reaction in </w:t>
      </w:r>
      <w:r w:rsidR="00905AB4">
        <w:rPr>
          <w:lang w:eastAsia="en-AU"/>
        </w:rPr>
        <w:t xml:space="preserve">the </w:t>
      </w:r>
      <w:r w:rsidR="00E1493D" w:rsidRPr="0077056C">
        <w:rPr>
          <w:lang w:eastAsia="en-AU"/>
        </w:rPr>
        <w:t xml:space="preserve">Buehler </w:t>
      </w:r>
      <w:r w:rsidR="00905AB4">
        <w:rPr>
          <w:lang w:eastAsia="en-AU"/>
        </w:rPr>
        <w:t xml:space="preserve">skin sensitisation </w:t>
      </w:r>
      <w:r w:rsidR="00E1493D" w:rsidRPr="0077056C">
        <w:rPr>
          <w:lang w:eastAsia="en-AU"/>
        </w:rPr>
        <w:t xml:space="preserve">test in guinea pigs. </w:t>
      </w:r>
      <w:r w:rsidR="00905AB4">
        <w:rPr>
          <w:lang w:eastAsia="en-AU"/>
        </w:rPr>
        <w:t>These</w:t>
      </w:r>
      <w:r w:rsidR="009F487C">
        <w:rPr>
          <w:lang w:eastAsia="en-AU"/>
        </w:rPr>
        <w:t xml:space="preserve"> latter findings</w:t>
      </w:r>
      <w:r w:rsidR="00905AB4">
        <w:rPr>
          <w:lang w:eastAsia="en-AU"/>
        </w:rPr>
        <w:t xml:space="preserve"> are consistent with the Schedule 5 factors</w:t>
      </w:r>
      <w:r w:rsidR="009F487C">
        <w:rPr>
          <w:lang w:eastAsia="en-AU"/>
        </w:rPr>
        <w:t xml:space="preserve"> of the SPF</w:t>
      </w:r>
      <w:r w:rsidR="00905AB4">
        <w:rPr>
          <w:lang w:eastAsia="en-AU"/>
        </w:rPr>
        <w:t>.</w:t>
      </w:r>
    </w:p>
    <w:p w14:paraId="7968FC96" w14:textId="7653AEEC" w:rsidR="00081EFE" w:rsidRDefault="00081EFE" w:rsidP="0077056C">
      <w:pPr>
        <w:pStyle w:val="ListBullet"/>
        <w:numPr>
          <w:ilvl w:val="0"/>
          <w:numId w:val="1"/>
        </w:numPr>
        <w:rPr>
          <w:rFonts w:asciiTheme="minorHAnsi" w:hAnsiTheme="minorHAnsi"/>
          <w:szCs w:val="22"/>
          <w:lang w:eastAsia="en-AU"/>
        </w:rPr>
      </w:pPr>
      <w:r w:rsidRPr="0077056C">
        <w:rPr>
          <w:lang w:eastAsia="en-AU"/>
        </w:rPr>
        <w:t xml:space="preserve">Repeat-dose, chronic toxicity studies in </w:t>
      </w:r>
      <w:r w:rsidR="00951440" w:rsidRPr="0077056C">
        <w:rPr>
          <w:lang w:eastAsia="en-AU"/>
        </w:rPr>
        <w:t xml:space="preserve">rats and </w:t>
      </w:r>
      <w:r w:rsidRPr="0077056C">
        <w:rPr>
          <w:lang w:eastAsia="en-AU"/>
        </w:rPr>
        <w:t xml:space="preserve">mice indicated that </w:t>
      </w:r>
      <w:r w:rsidR="00951440" w:rsidRPr="0077056C">
        <w:rPr>
          <w:lang w:eastAsia="en-AU"/>
        </w:rPr>
        <w:t>famoxadone intake cause</w:t>
      </w:r>
      <w:r w:rsidR="00EF58D5">
        <w:rPr>
          <w:lang w:eastAsia="en-AU"/>
        </w:rPr>
        <w:t>d</w:t>
      </w:r>
      <w:r w:rsidR="00951440" w:rsidRPr="0077056C">
        <w:rPr>
          <w:lang w:eastAsia="en-AU"/>
        </w:rPr>
        <w:t xml:space="preserve"> elevated levels of serum enzymes, indicative of liver damage and liver histopathological effects. </w:t>
      </w:r>
      <w:r w:rsidR="00951440" w:rsidRPr="0077056C">
        <w:rPr>
          <w:rFonts w:asciiTheme="minorHAnsi" w:hAnsiTheme="minorHAnsi"/>
          <w:szCs w:val="22"/>
          <w:lang w:eastAsia="en-AU"/>
        </w:rPr>
        <w:t>Ocular lens cataract</w:t>
      </w:r>
      <w:r w:rsidR="009F487C">
        <w:rPr>
          <w:rFonts w:asciiTheme="minorHAnsi" w:hAnsiTheme="minorHAnsi"/>
          <w:szCs w:val="22"/>
          <w:lang w:eastAsia="en-AU"/>
        </w:rPr>
        <w:t>s</w:t>
      </w:r>
      <w:r w:rsidR="00951440" w:rsidRPr="0077056C">
        <w:rPr>
          <w:rFonts w:asciiTheme="minorHAnsi" w:hAnsiTheme="minorHAnsi"/>
          <w:szCs w:val="22"/>
          <w:lang w:eastAsia="en-AU"/>
        </w:rPr>
        <w:t xml:space="preserve"> were observed in male and female dogs in sub-chronic and chronic oral studies, beginning at two to three months as evidenced by ophthalmologic examination. </w:t>
      </w:r>
      <w:r w:rsidR="009F487C">
        <w:t>The cataracts did not show significant progression over time and dogs did not become clinically blind.</w:t>
      </w:r>
      <w:r w:rsidR="009F487C" w:rsidRPr="0077056C">
        <w:rPr>
          <w:rFonts w:asciiTheme="minorHAnsi" w:hAnsiTheme="minorHAnsi"/>
          <w:szCs w:val="22"/>
          <w:lang w:eastAsia="en-AU"/>
        </w:rPr>
        <w:t xml:space="preserve"> </w:t>
      </w:r>
      <w:r w:rsidR="009F487C">
        <w:rPr>
          <w:rFonts w:asciiTheme="minorHAnsi" w:hAnsiTheme="minorHAnsi"/>
          <w:szCs w:val="22"/>
          <w:lang w:eastAsia="en-AU"/>
        </w:rPr>
        <w:t>C</w:t>
      </w:r>
      <w:r w:rsidR="00951440" w:rsidRPr="0077056C">
        <w:rPr>
          <w:rFonts w:asciiTheme="minorHAnsi" w:hAnsiTheme="minorHAnsi"/>
          <w:szCs w:val="22"/>
          <w:lang w:eastAsia="en-AU"/>
        </w:rPr>
        <w:t xml:space="preserve">ataracts were not observed in chronic studies in rats and mice, or in </w:t>
      </w:r>
      <w:r w:rsidR="00EF58D5">
        <w:rPr>
          <w:rFonts w:asciiTheme="minorHAnsi" w:hAnsiTheme="minorHAnsi"/>
          <w:szCs w:val="22"/>
          <w:lang w:eastAsia="en-AU"/>
        </w:rPr>
        <w:t xml:space="preserve">a </w:t>
      </w:r>
      <w:r w:rsidR="00951440" w:rsidRPr="0077056C">
        <w:rPr>
          <w:rFonts w:asciiTheme="minorHAnsi" w:hAnsiTheme="minorHAnsi"/>
          <w:szCs w:val="22"/>
          <w:lang w:eastAsia="en-AU"/>
        </w:rPr>
        <w:t xml:space="preserve">one-year oral study in cynomolgus monkeys. </w:t>
      </w:r>
      <w:r w:rsidR="0077056C" w:rsidRPr="0077056C">
        <w:rPr>
          <w:rFonts w:asciiTheme="minorHAnsi" w:hAnsiTheme="minorHAnsi"/>
          <w:szCs w:val="22"/>
          <w:lang w:eastAsia="en-AU"/>
        </w:rPr>
        <w:t xml:space="preserve">No effects </w:t>
      </w:r>
      <w:r w:rsidR="009F487C">
        <w:rPr>
          <w:rFonts w:asciiTheme="minorHAnsi" w:hAnsiTheme="minorHAnsi"/>
          <w:szCs w:val="22"/>
          <w:lang w:eastAsia="en-AU"/>
        </w:rPr>
        <w:t>were noted in a Functional Observational Battery</w:t>
      </w:r>
      <w:r w:rsidR="0077056C" w:rsidRPr="0077056C">
        <w:rPr>
          <w:rFonts w:asciiTheme="minorHAnsi" w:hAnsiTheme="minorHAnsi"/>
          <w:szCs w:val="22"/>
          <w:lang w:eastAsia="en-AU"/>
        </w:rPr>
        <w:t xml:space="preserve"> </w:t>
      </w:r>
      <w:r w:rsidR="009F487C">
        <w:rPr>
          <w:rFonts w:asciiTheme="minorHAnsi" w:hAnsiTheme="minorHAnsi"/>
          <w:szCs w:val="22"/>
          <w:lang w:eastAsia="en-AU"/>
        </w:rPr>
        <w:t>(</w:t>
      </w:r>
      <w:r w:rsidR="0077056C" w:rsidRPr="0077056C">
        <w:rPr>
          <w:rFonts w:asciiTheme="minorHAnsi" w:hAnsiTheme="minorHAnsi"/>
          <w:szCs w:val="22"/>
          <w:lang w:eastAsia="en-AU"/>
        </w:rPr>
        <w:t>FOB</w:t>
      </w:r>
      <w:r w:rsidR="009F487C">
        <w:rPr>
          <w:rFonts w:asciiTheme="minorHAnsi" w:hAnsiTheme="minorHAnsi"/>
          <w:szCs w:val="22"/>
          <w:lang w:eastAsia="en-AU"/>
        </w:rPr>
        <w:t>)</w:t>
      </w:r>
      <w:r w:rsidR="0077056C" w:rsidRPr="0077056C">
        <w:rPr>
          <w:rFonts w:asciiTheme="minorHAnsi" w:hAnsiTheme="minorHAnsi"/>
          <w:szCs w:val="22"/>
          <w:lang w:eastAsia="en-AU"/>
        </w:rPr>
        <w:t xml:space="preserve"> or </w:t>
      </w:r>
      <w:r w:rsidR="009F487C">
        <w:rPr>
          <w:rFonts w:asciiTheme="minorHAnsi" w:hAnsiTheme="minorHAnsi"/>
          <w:szCs w:val="22"/>
          <w:lang w:eastAsia="en-AU"/>
        </w:rPr>
        <w:t xml:space="preserve">with </w:t>
      </w:r>
      <w:r w:rsidR="0077056C" w:rsidRPr="0077056C">
        <w:rPr>
          <w:rFonts w:asciiTheme="minorHAnsi" w:hAnsiTheme="minorHAnsi"/>
          <w:szCs w:val="22"/>
          <w:lang w:eastAsia="en-AU"/>
        </w:rPr>
        <w:t>motor activit</w:t>
      </w:r>
      <w:r w:rsidR="009F487C">
        <w:rPr>
          <w:rFonts w:asciiTheme="minorHAnsi" w:hAnsiTheme="minorHAnsi"/>
          <w:szCs w:val="22"/>
          <w:lang w:eastAsia="en-AU"/>
        </w:rPr>
        <w:t xml:space="preserve">y, </w:t>
      </w:r>
      <w:r w:rsidR="0077056C" w:rsidRPr="0077056C">
        <w:rPr>
          <w:rFonts w:asciiTheme="minorHAnsi" w:hAnsiTheme="minorHAnsi"/>
          <w:szCs w:val="22"/>
          <w:lang w:eastAsia="en-AU"/>
        </w:rPr>
        <w:t xml:space="preserve">in acute </w:t>
      </w:r>
      <w:r w:rsidR="009F487C">
        <w:rPr>
          <w:rFonts w:asciiTheme="minorHAnsi" w:hAnsiTheme="minorHAnsi"/>
          <w:szCs w:val="22"/>
          <w:lang w:eastAsia="en-AU"/>
        </w:rPr>
        <w:t>and</w:t>
      </w:r>
      <w:r w:rsidR="0077056C" w:rsidRPr="0077056C">
        <w:rPr>
          <w:rFonts w:asciiTheme="minorHAnsi" w:hAnsiTheme="minorHAnsi"/>
          <w:szCs w:val="22"/>
          <w:lang w:eastAsia="en-AU"/>
        </w:rPr>
        <w:t xml:space="preserve"> repeat dose neurotoxicity studies in rats. There was no evidence of increased pre- or post-natal </w:t>
      </w:r>
      <w:r w:rsidR="0077056C" w:rsidRPr="0077056C">
        <w:rPr>
          <w:rFonts w:asciiTheme="minorHAnsi" w:hAnsiTheme="minorHAnsi"/>
          <w:szCs w:val="22"/>
          <w:lang w:eastAsia="en-AU"/>
        </w:rPr>
        <w:lastRenderedPageBreak/>
        <w:t xml:space="preserve">quantitative or qualitative susceptibility in rat or rabbit reproduction </w:t>
      </w:r>
      <w:r w:rsidR="00EC47F9">
        <w:rPr>
          <w:rFonts w:asciiTheme="minorHAnsi" w:hAnsiTheme="minorHAnsi"/>
          <w:szCs w:val="22"/>
          <w:lang w:eastAsia="en-AU"/>
        </w:rPr>
        <w:t>and</w:t>
      </w:r>
      <w:r w:rsidR="0077056C" w:rsidRPr="0077056C">
        <w:rPr>
          <w:rFonts w:asciiTheme="minorHAnsi" w:hAnsiTheme="minorHAnsi"/>
          <w:szCs w:val="22"/>
          <w:lang w:eastAsia="en-AU"/>
        </w:rPr>
        <w:t xml:space="preserve"> developmental studies. Famoxadone </w:t>
      </w:r>
      <w:r w:rsidR="00EC47F9">
        <w:t>was not found to be genotoxic on a weight-of-evidence basis from a battery of in vitro and in vivo studies and was not carcinogenic in mice and rats</w:t>
      </w:r>
      <w:r w:rsidR="00EC47F9">
        <w:rPr>
          <w:rFonts w:asciiTheme="minorHAnsi" w:hAnsiTheme="minorHAnsi"/>
          <w:szCs w:val="22"/>
          <w:lang w:eastAsia="en-AU"/>
        </w:rPr>
        <w:t>.</w:t>
      </w:r>
    </w:p>
    <w:p w14:paraId="29C75929" w14:textId="25D55DCF" w:rsidR="00EC47F9" w:rsidRPr="0077056C" w:rsidRDefault="00EC47F9" w:rsidP="0077056C">
      <w:pPr>
        <w:pStyle w:val="ListBullet"/>
        <w:numPr>
          <w:ilvl w:val="0"/>
          <w:numId w:val="1"/>
        </w:numPr>
        <w:rPr>
          <w:rFonts w:asciiTheme="minorHAnsi" w:hAnsiTheme="minorHAnsi"/>
          <w:szCs w:val="22"/>
          <w:lang w:eastAsia="en-AU"/>
        </w:rPr>
      </w:pPr>
      <w:r>
        <w:rPr>
          <w:rFonts w:asciiTheme="minorHAnsi" w:hAnsiTheme="minorHAnsi"/>
          <w:szCs w:val="22"/>
          <w:lang w:eastAsia="en-AU"/>
        </w:rPr>
        <w:t>A concentration-dependent cut-off for famoxadone to a lower schedule or exemption could not be determined from the data provided in the current application.</w:t>
      </w:r>
    </w:p>
    <w:p w14:paraId="4BAF0366" w14:textId="57939E43" w:rsidR="00081EFE" w:rsidRPr="000B1393" w:rsidRDefault="00081EFE" w:rsidP="00081EFE">
      <w:pPr>
        <w:pStyle w:val="ListBullet"/>
      </w:pPr>
      <w:r w:rsidRPr="000B1393">
        <w:t xml:space="preserve">An Acceptable Daily Intake (ADI) of </w:t>
      </w:r>
      <w:r w:rsidR="000B1393" w:rsidRPr="000B1393">
        <w:t xml:space="preserve">0.006 </w:t>
      </w:r>
      <w:r w:rsidRPr="000B1393">
        <w:t xml:space="preserve">mg/kg </w:t>
      </w:r>
      <w:proofErr w:type="spellStart"/>
      <w:r w:rsidRPr="000B1393">
        <w:t>bw</w:t>
      </w:r>
      <w:proofErr w:type="spellEnd"/>
      <w:r w:rsidRPr="000B1393">
        <w:t>/d has been established by the APVMA</w:t>
      </w:r>
      <w:r w:rsidR="00905AB4">
        <w:t>. N</w:t>
      </w:r>
      <w:r w:rsidR="000B1393" w:rsidRPr="000B1393">
        <w:t xml:space="preserve">o demonstratable adverse effects occurred following a single exposure to famoxadone at doses far exceeding those to which humans would likely be exposed. </w:t>
      </w:r>
      <w:r w:rsidRPr="000B1393">
        <w:t xml:space="preserve">Overall, the toxicity profile for </w:t>
      </w:r>
      <w:r w:rsidR="000B1393" w:rsidRPr="000B1393">
        <w:t xml:space="preserve">famoxadone </w:t>
      </w:r>
      <w:r w:rsidRPr="000B1393">
        <w:t>is consistent with a Schedule 6 entry.</w:t>
      </w:r>
    </w:p>
    <w:p w14:paraId="7EE8E54F" w14:textId="3B5B4FA9" w:rsidR="00081EFE" w:rsidRPr="00B57337" w:rsidRDefault="00081EFE" w:rsidP="00081EFE">
      <w:pPr>
        <w:pStyle w:val="ListBullet"/>
        <w:numPr>
          <w:ilvl w:val="0"/>
          <w:numId w:val="1"/>
        </w:numPr>
        <w:rPr>
          <w:lang w:eastAsia="en-AU"/>
        </w:rPr>
      </w:pPr>
      <w:r w:rsidRPr="00B57337">
        <w:rPr>
          <w:lang w:eastAsia="en-AU"/>
        </w:rPr>
        <w:t xml:space="preserve">I am satisfied that, for the purposes of paragraph 52E(1)(d) of the Act, the regulator (APVMA) will consider the </w:t>
      </w:r>
      <w:r w:rsidR="00EC47F9">
        <w:rPr>
          <w:lang w:eastAsia="en-AU"/>
        </w:rPr>
        <w:t xml:space="preserve">applicable </w:t>
      </w:r>
      <w:r w:rsidRPr="00B57337">
        <w:rPr>
          <w:lang w:eastAsia="en-AU"/>
        </w:rPr>
        <w:t xml:space="preserve">dosage (application rate), formulation, labelling, </w:t>
      </w:r>
      <w:proofErr w:type="gramStart"/>
      <w:r w:rsidRPr="00B57337">
        <w:rPr>
          <w:lang w:eastAsia="en-AU"/>
        </w:rPr>
        <w:t>packaging</w:t>
      </w:r>
      <w:proofErr w:type="gramEnd"/>
      <w:r w:rsidRPr="00B57337">
        <w:rPr>
          <w:lang w:eastAsia="en-AU"/>
        </w:rPr>
        <w:t xml:space="preserve"> and presentation of any commercial products.</w:t>
      </w:r>
    </w:p>
    <w:p w14:paraId="06219B2A" w14:textId="77777777" w:rsidR="00051879" w:rsidRDefault="00081EFE" w:rsidP="00051879">
      <w:pPr>
        <w:pStyle w:val="ListBullet"/>
        <w:numPr>
          <w:ilvl w:val="0"/>
          <w:numId w:val="1"/>
        </w:numPr>
        <w:rPr>
          <w:lang w:eastAsia="en-AU"/>
        </w:rPr>
      </w:pPr>
      <w:r w:rsidRPr="00B57337">
        <w:t xml:space="preserve">In relation to paragraph 52E(1)(e) of the Act, the substance has no human therapeutic value or significant pharmacological effect that would indicate a risk </w:t>
      </w:r>
      <w:r w:rsidR="00B57337" w:rsidRPr="00B57337">
        <w:t>of dependency, abuse or misuse or diversion into illicit use.</w:t>
      </w:r>
    </w:p>
    <w:p w14:paraId="47B20E0C" w14:textId="1A345BB4" w:rsidR="00081EFE" w:rsidRPr="00B57337" w:rsidRDefault="00051879" w:rsidP="00BE3F7C">
      <w:pPr>
        <w:pStyle w:val="ListBullet"/>
        <w:numPr>
          <w:ilvl w:val="0"/>
          <w:numId w:val="1"/>
        </w:numPr>
        <w:rPr>
          <w:lang w:eastAsia="en-AU"/>
        </w:rPr>
      </w:pPr>
      <w:r>
        <w:rPr>
          <w:lang w:eastAsia="en-AU"/>
        </w:rPr>
        <w:t xml:space="preserve">I also noted for the purposes of paragraph 52E(1)(f) of the Act, that an acceptable daily intake (ADI) for famoxadone of 0.006 mg/kg </w:t>
      </w:r>
      <w:proofErr w:type="spellStart"/>
      <w:r>
        <w:rPr>
          <w:lang w:eastAsia="en-AU"/>
        </w:rPr>
        <w:t>bw</w:t>
      </w:r>
      <w:proofErr w:type="spellEnd"/>
      <w:r>
        <w:rPr>
          <w:lang w:eastAsia="en-AU"/>
        </w:rPr>
        <w:t>/d has been established based on a No Observed Adverse Effect Level (NOAEL), from ophthalmological and histopathological changes in the lens in a 1-year dietary dog study. An acute reference dose (</w:t>
      </w:r>
      <w:proofErr w:type="spellStart"/>
      <w:r>
        <w:rPr>
          <w:lang w:eastAsia="en-AU"/>
        </w:rPr>
        <w:t>ARfD</w:t>
      </w:r>
      <w:proofErr w:type="spellEnd"/>
      <w:r>
        <w:rPr>
          <w:lang w:eastAsia="en-AU"/>
        </w:rPr>
        <w:t>) was not considered to be necessary, as no demonstrable adverse effects would be expected to occur following a single exposure to famoxadone in humans.</w:t>
      </w:r>
    </w:p>
    <w:p w14:paraId="452A46E9" w14:textId="6294D176" w:rsidR="00523152" w:rsidRPr="00DB4BE8" w:rsidRDefault="00B57337" w:rsidP="00727A7E">
      <w:pPr>
        <w:rPr>
          <w:rFonts w:asciiTheme="minorHAnsi" w:hAnsiTheme="minorHAnsi"/>
          <w:szCs w:val="22"/>
        </w:rPr>
      </w:pPr>
      <w:proofErr w:type="gramStart"/>
      <w:r>
        <w:t>O</w:t>
      </w:r>
      <w:r w:rsidR="00523152">
        <w:t>n the</w:t>
      </w:r>
      <w:r>
        <w:t xml:space="preserve"> basis of</w:t>
      </w:r>
      <w:proofErr w:type="gramEnd"/>
      <w:r>
        <w:t xml:space="preserve"> the above considerations and information provided in the</w:t>
      </w:r>
      <w:r w:rsidR="00523152">
        <w:t xml:space="preserve"> application, I have decided to amend the current Poisons Standard in the manner set out above. The proposed amendment was not referred to an expert advisory committee.</w:t>
      </w:r>
    </w:p>
    <w:p w14:paraId="2BA005D8" w14:textId="77777777" w:rsidR="006A70C4" w:rsidRPr="00B76897" w:rsidRDefault="006A70C4" w:rsidP="006A70C4">
      <w:pPr>
        <w:pStyle w:val="Heading4"/>
      </w:pPr>
      <w:r w:rsidRPr="00B76897">
        <w:t>Date of effect</w:t>
      </w:r>
    </w:p>
    <w:p w14:paraId="605A1B2E" w14:textId="65AED75D" w:rsidR="00113E24" w:rsidRDefault="006A70C4" w:rsidP="005254B4">
      <w:r w:rsidRPr="0094466C">
        <w:t xml:space="preserve">1 </w:t>
      </w:r>
      <w:r w:rsidR="00E61803">
        <w:t>October</w:t>
      </w:r>
      <w:r w:rsidRPr="0094466C">
        <w:t xml:space="preserve"> 2022</w:t>
      </w:r>
    </w:p>
    <w:sectPr w:rsidR="00113E24" w:rsidSect="003A48A2">
      <w:headerReference w:type="default" r:id="rId15"/>
      <w:footerReference w:type="default" r:id="rId16"/>
      <w:headerReference w:type="first" r:id="rId17"/>
      <w:footerReference w:type="first" r:id="rId18"/>
      <w:type w:val="continuous"/>
      <w:pgSz w:w="11906" w:h="16838" w:code="9"/>
      <w:pgMar w:top="1134" w:right="1418" w:bottom="1361" w:left="1418"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8E2E1" w14:textId="77777777" w:rsidR="002855FB" w:rsidRDefault="002855FB" w:rsidP="00C40A36">
      <w:pPr>
        <w:spacing w:after="0"/>
      </w:pPr>
      <w:r>
        <w:separator/>
      </w:r>
    </w:p>
  </w:endnote>
  <w:endnote w:type="continuationSeparator" w:id="0">
    <w:p w14:paraId="59A023CC" w14:textId="77777777" w:rsidR="002855FB" w:rsidRDefault="002855FB"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382"/>
    </w:tblGrid>
    <w:tr w:rsidR="005A03FF" w:rsidRPr="00257138" w14:paraId="14B40608" w14:textId="77777777" w:rsidTr="009B00CC">
      <w:trPr>
        <w:trHeight w:val="423"/>
      </w:trPr>
      <w:tc>
        <w:tcPr>
          <w:tcW w:w="7338" w:type="dxa"/>
          <w:tcBorders>
            <w:top w:val="single" w:sz="4" w:space="0" w:color="auto"/>
          </w:tcBorders>
        </w:tcPr>
        <w:p w14:paraId="01C0B506" w14:textId="77777777" w:rsidR="005A03FF" w:rsidRDefault="005A03FF" w:rsidP="003F3095">
          <w:pPr>
            <w:pStyle w:val="Footer"/>
          </w:pPr>
          <w:r>
            <w:t>Record of the 29th meeting of the Advisory Committee on Medicines Scheduling</w:t>
          </w:r>
        </w:p>
        <w:p w14:paraId="5C7A2176" w14:textId="13ECDCE6" w:rsidR="005A03FF" w:rsidRPr="00257138" w:rsidRDefault="005A03FF" w:rsidP="003F3095">
          <w:pPr>
            <w:pStyle w:val="Footer"/>
          </w:pPr>
          <w:r>
            <w:t>12 March 2020</w:t>
          </w:r>
          <w:r>
            <w:br/>
          </w:r>
        </w:p>
      </w:tc>
      <w:tc>
        <w:tcPr>
          <w:tcW w:w="1382" w:type="dxa"/>
          <w:tcBorders>
            <w:top w:val="single" w:sz="4" w:space="0" w:color="auto"/>
          </w:tcBorders>
        </w:tcPr>
        <w:sdt>
          <w:sdtPr>
            <w:id w:val="21514580"/>
            <w:docPartObj>
              <w:docPartGallery w:val="Page Numbers (Top of Page)"/>
              <w:docPartUnique/>
            </w:docPartObj>
          </w:sdtPr>
          <w:sdtEndPr/>
          <w:sdtContent>
            <w:p w14:paraId="54629571" w14:textId="77777777" w:rsidR="005A03FF" w:rsidRDefault="005A03FF" w:rsidP="00782870">
              <w:pPr>
                <w:pStyle w:val="Footer"/>
                <w:jc w:val="right"/>
              </w:pPr>
            </w:p>
            <w:p w14:paraId="650BE744" w14:textId="13D229EC" w:rsidR="005A03FF" w:rsidRPr="00257138" w:rsidRDefault="005A03FF" w:rsidP="0078287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8</w:t>
                </w:r>
              </w:fldSimple>
            </w:p>
          </w:sdtContent>
        </w:sdt>
      </w:tc>
    </w:tr>
    <w:tr w:rsidR="005A03FF" w:rsidRPr="00257138" w14:paraId="10AB8BED" w14:textId="77777777" w:rsidTr="009B00CC">
      <w:trPr>
        <w:trHeight w:val="263"/>
      </w:trPr>
      <w:tc>
        <w:tcPr>
          <w:tcW w:w="7338" w:type="dxa"/>
        </w:tcPr>
        <w:p w14:paraId="59580AB7" w14:textId="19B73688" w:rsidR="005A03FF" w:rsidRPr="00257138" w:rsidRDefault="005A03FF" w:rsidP="00782870">
          <w:pPr>
            <w:pStyle w:val="Footer"/>
          </w:pPr>
        </w:p>
      </w:tc>
      <w:tc>
        <w:tcPr>
          <w:tcW w:w="1382" w:type="dxa"/>
        </w:tcPr>
        <w:p w14:paraId="219FF5F5" w14:textId="77777777" w:rsidR="005A03FF" w:rsidRPr="00257138" w:rsidRDefault="005A03FF" w:rsidP="00782870">
          <w:pPr>
            <w:pStyle w:val="Footer"/>
            <w:jc w:val="right"/>
          </w:pPr>
        </w:p>
      </w:tc>
    </w:tr>
  </w:tbl>
  <w:p w14:paraId="2023C75C" w14:textId="77777777" w:rsidR="005A03FF" w:rsidRPr="00826007" w:rsidRDefault="005A03FF" w:rsidP="002001F1">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7338"/>
      <w:gridCol w:w="1382"/>
    </w:tblGrid>
    <w:tr w:rsidR="005A03FF" w:rsidRPr="00257138" w14:paraId="11075AFF" w14:textId="77777777" w:rsidTr="00BD5477">
      <w:trPr>
        <w:trHeight w:val="423"/>
      </w:trPr>
      <w:tc>
        <w:tcPr>
          <w:tcW w:w="7338" w:type="dxa"/>
        </w:tcPr>
        <w:p w14:paraId="61B06247" w14:textId="58B76DDC" w:rsidR="005A03FF" w:rsidRDefault="005A03FF" w:rsidP="00516E40">
          <w:pPr>
            <w:pStyle w:val="Footer"/>
          </w:pPr>
          <w:r>
            <w:t>Notification of proposed amendments to the Standard</w:t>
          </w:r>
        </w:p>
        <w:p w14:paraId="13E7B9DF" w14:textId="4DE973B8" w:rsidR="005A03FF" w:rsidRPr="00257138" w:rsidRDefault="00C37B0E">
          <w:pPr>
            <w:pStyle w:val="Footer"/>
          </w:pPr>
          <w:r w:rsidRPr="00C9608E">
            <w:t>September</w:t>
          </w:r>
          <w:r w:rsidR="005A03FF">
            <w:t xml:space="preserve"> 2022 </w:t>
          </w:r>
          <w:r w:rsidR="005A03FF">
            <w:br/>
          </w:r>
        </w:p>
      </w:tc>
      <w:tc>
        <w:tcPr>
          <w:tcW w:w="1382" w:type="dxa"/>
        </w:tcPr>
        <w:sdt>
          <w:sdtPr>
            <w:id w:val="6788836"/>
            <w:docPartObj>
              <w:docPartGallery w:val="Page Numbers (Top of Page)"/>
              <w:docPartUnique/>
            </w:docPartObj>
          </w:sdtPr>
          <w:sdtEndPr/>
          <w:sdtContent>
            <w:p w14:paraId="3BD26206" w14:textId="19C86CC7" w:rsidR="005A03FF" w:rsidRPr="00257138" w:rsidRDefault="005A03FF" w:rsidP="009468C6">
              <w:pPr>
                <w:pStyle w:val="Footer"/>
                <w:jc w:val="right"/>
              </w:pPr>
              <w:r w:rsidRPr="00257138">
                <w:t xml:space="preserve">Page </w:t>
              </w:r>
              <w:r>
                <w:fldChar w:fldCharType="begin"/>
              </w:r>
              <w:r>
                <w:instrText xml:space="preserve"> PAGE </w:instrText>
              </w:r>
              <w:r>
                <w:fldChar w:fldCharType="separate"/>
              </w:r>
              <w:r>
                <w:rPr>
                  <w:noProof/>
                </w:rPr>
                <w:t>5</w:t>
              </w:r>
              <w:r>
                <w:fldChar w:fldCharType="end"/>
              </w:r>
              <w:r w:rsidRPr="00257138">
                <w:t xml:space="preserve"> of </w:t>
              </w:r>
              <w:fldSimple w:instr=" NUMPAGES  ">
                <w:r>
                  <w:rPr>
                    <w:noProof/>
                  </w:rPr>
                  <w:t>5</w:t>
                </w:r>
              </w:fldSimple>
            </w:p>
          </w:sdtContent>
        </w:sdt>
      </w:tc>
    </w:tr>
  </w:tbl>
  <w:p w14:paraId="623AA1CE" w14:textId="77777777" w:rsidR="005A03FF" w:rsidRPr="00826007" w:rsidRDefault="005A03FF" w:rsidP="002001F1">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5A03FF" w:rsidRPr="00257138" w14:paraId="76052F65" w14:textId="77777777" w:rsidTr="003A48A2">
      <w:trPr>
        <w:trHeight w:val="423"/>
      </w:trPr>
      <w:tc>
        <w:tcPr>
          <w:tcW w:w="7338" w:type="dxa"/>
        </w:tcPr>
        <w:p w14:paraId="668CDD90" w14:textId="0A8B2CF9" w:rsidR="005A03FF" w:rsidRDefault="005A03FF" w:rsidP="00E81BC9">
          <w:pPr>
            <w:pStyle w:val="Footer"/>
          </w:pPr>
          <w:r>
            <w:t>Notification of proposed amendments to the Poisons Standard</w:t>
          </w:r>
        </w:p>
        <w:p w14:paraId="6A331473" w14:textId="05141C6A" w:rsidR="005A03FF" w:rsidRPr="00257138" w:rsidRDefault="00727A7E" w:rsidP="00335D6F">
          <w:pPr>
            <w:pStyle w:val="Footer"/>
          </w:pPr>
          <w:r>
            <w:t>September</w:t>
          </w:r>
          <w:r w:rsidR="005A03FF">
            <w:t xml:space="preserve"> 2022</w:t>
          </w:r>
          <w:r w:rsidR="005A03FF">
            <w:br/>
          </w:r>
        </w:p>
      </w:tc>
      <w:tc>
        <w:tcPr>
          <w:tcW w:w="1382" w:type="dxa"/>
        </w:tcPr>
        <w:sdt>
          <w:sdtPr>
            <w:id w:val="5342774"/>
            <w:docPartObj>
              <w:docPartGallery w:val="Page Numbers (Top of Page)"/>
              <w:docPartUnique/>
            </w:docPartObj>
          </w:sdtPr>
          <w:sdtEndPr/>
          <w:sdtContent>
            <w:p w14:paraId="44A48167" w14:textId="75EFF8BA" w:rsidR="005A03FF" w:rsidRPr="00257138" w:rsidRDefault="005A03FF" w:rsidP="003A48A2">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5</w:t>
                </w:r>
              </w:fldSimple>
            </w:p>
          </w:sdtContent>
        </w:sdt>
      </w:tc>
    </w:tr>
  </w:tbl>
  <w:p w14:paraId="3FF833DF" w14:textId="77777777" w:rsidR="005A03FF" w:rsidRDefault="005A0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08EA2" w14:textId="77777777" w:rsidR="002855FB" w:rsidRDefault="002855FB" w:rsidP="00C40A36">
      <w:pPr>
        <w:spacing w:after="0"/>
      </w:pPr>
      <w:r>
        <w:separator/>
      </w:r>
    </w:p>
  </w:footnote>
  <w:footnote w:type="continuationSeparator" w:id="0">
    <w:p w14:paraId="5C1318BE" w14:textId="77777777" w:rsidR="002855FB" w:rsidRDefault="002855FB" w:rsidP="00C40A36">
      <w:pPr>
        <w:spacing w:after="0"/>
      </w:pPr>
      <w:r>
        <w:continuationSeparator/>
      </w:r>
    </w:p>
  </w:footnote>
  <w:footnote w:id="1">
    <w:p w14:paraId="5FF7FB22" w14:textId="7892D174" w:rsidR="00CA403E" w:rsidRDefault="00CA403E">
      <w:pPr>
        <w:pStyle w:val="FootnoteText"/>
      </w:pPr>
      <w:r>
        <w:rPr>
          <w:rStyle w:val="FootnoteReference"/>
        </w:rPr>
        <w:footnoteRef/>
      </w:r>
      <w:r>
        <w:t xml:space="preserve"> FRAC = Fungicide Resistance Action Committee. </w:t>
      </w:r>
      <w:hyperlink r:id="rId1" w:history="1">
        <w:r w:rsidRPr="003D385E">
          <w:rPr>
            <w:rStyle w:val="Hyperlink"/>
          </w:rPr>
          <w:t>https://www.frac.info/frac-teams/working-groups/qol-fungicides/information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4035"/>
      <w:gridCol w:w="4685"/>
    </w:tblGrid>
    <w:tr w:rsidR="005A03FF" w:rsidRPr="00DA24C7" w14:paraId="081A8C01" w14:textId="77777777" w:rsidTr="00F923D6">
      <w:trPr>
        <w:trHeight w:val="709"/>
      </w:trPr>
      <w:tc>
        <w:tcPr>
          <w:tcW w:w="4035" w:type="dxa"/>
        </w:tcPr>
        <w:p w14:paraId="32A34B13" w14:textId="54FCF61C" w:rsidR="005A03FF" w:rsidRPr="00DA24C7" w:rsidRDefault="005A03FF" w:rsidP="00DA24C7">
          <w:pPr>
            <w:rPr>
              <w:rStyle w:val="HeaderChar"/>
              <w:sz w:val="32"/>
            </w:rPr>
          </w:pPr>
        </w:p>
      </w:tc>
      <w:tc>
        <w:tcPr>
          <w:tcW w:w="4685" w:type="dxa"/>
          <w:tcBorders>
            <w:bottom w:val="single" w:sz="4" w:space="0" w:color="auto"/>
          </w:tcBorders>
          <w:vAlign w:val="bottom"/>
        </w:tcPr>
        <w:p w14:paraId="3D83E5FA" w14:textId="3A406F5C" w:rsidR="005A03FF" w:rsidRPr="000F5176" w:rsidRDefault="005A03FF" w:rsidP="000F5176">
          <w:pPr>
            <w:pStyle w:val="HeaderNoLine"/>
            <w:rPr>
              <w:rStyle w:val="HeaderChar"/>
            </w:rPr>
          </w:pPr>
        </w:p>
      </w:tc>
    </w:tr>
  </w:tbl>
  <w:p w14:paraId="7D79B037" w14:textId="77777777" w:rsidR="005A03FF" w:rsidRDefault="005A03FF" w:rsidP="00F923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14CE" w14:textId="296B3518" w:rsidR="005A03FF" w:rsidRDefault="003B2840" w:rsidP="006E08B3">
    <w:pPr>
      <w:rPr>
        <w:noProof/>
      </w:rPr>
    </w:pPr>
    <w:r>
      <w:rPr>
        <w:noProof/>
      </w:rPr>
      <w:drawing>
        <wp:inline distT="0" distB="0" distL="0" distR="0" wp14:anchorId="7A8D3A2C" wp14:editId="54E32765">
          <wp:extent cx="3524250" cy="8191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819150"/>
                  </a:xfrm>
                  <a:prstGeom prst="rect">
                    <a:avLst/>
                  </a:prstGeom>
                  <a:noFill/>
                  <a:ln>
                    <a:noFill/>
                  </a:ln>
                </pic:spPr>
              </pic:pic>
            </a:graphicData>
          </a:graphic>
        </wp:inline>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5A03FF" w:rsidRPr="00DE02AE" w14:paraId="6C8DF45D" w14:textId="77777777" w:rsidTr="00782870">
      <w:trPr>
        <w:trHeight w:hRule="exact" w:val="8845"/>
      </w:trPr>
      <w:tc>
        <w:tcPr>
          <w:tcW w:w="11964" w:type="dxa"/>
        </w:tcPr>
        <w:p w14:paraId="1F71D1E5" w14:textId="7768038E" w:rsidR="005A03FF" w:rsidRPr="00DE02AE" w:rsidRDefault="005A03FF" w:rsidP="00782870">
          <w:pPr>
            <w:pStyle w:val="Date"/>
            <w:ind w:left="-28"/>
          </w:pPr>
          <w:r w:rsidRPr="002B29B2">
            <w:rPr>
              <w:noProof/>
              <w:lang w:eastAsia="en-AU"/>
            </w:rPr>
            <w:drawing>
              <wp:anchor distT="0" distB="0" distL="114300" distR="114300" simplePos="0" relativeHeight="251662336" behindDoc="0" locked="0" layoutInCell="0" allowOverlap="1" wp14:anchorId="61F4C4D4" wp14:editId="1206443C">
                <wp:simplePos x="0" y="0"/>
                <wp:positionH relativeFrom="page">
                  <wp:posOffset>-22437</wp:posOffset>
                </wp:positionH>
                <wp:positionV relativeFrom="page">
                  <wp:posOffset>-16087</wp:posOffset>
                </wp:positionV>
                <wp:extent cx="7581900" cy="2447925"/>
                <wp:effectExtent l="19050" t="0" r="0" b="0"/>
                <wp:wrapNone/>
                <wp:docPr id="51" name="Picture 51"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2"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sdt>
            <w:sdtPr>
              <w:id w:val="21514581"/>
              <w:picture/>
            </w:sdtPr>
            <w:sdtEndPr/>
            <w:sdtContent/>
          </w:sdt>
        </w:p>
      </w:tc>
    </w:tr>
  </w:tbl>
  <w:p w14:paraId="1CE47A24" w14:textId="6D657221" w:rsidR="005A03FF" w:rsidRDefault="005A03FF" w:rsidP="006D03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4035"/>
      <w:gridCol w:w="4685"/>
    </w:tblGrid>
    <w:tr w:rsidR="005A03FF" w:rsidRPr="00DA24C7" w14:paraId="7C724D59" w14:textId="77777777" w:rsidTr="00C6376F">
      <w:trPr>
        <w:trHeight w:val="558"/>
      </w:trPr>
      <w:tc>
        <w:tcPr>
          <w:tcW w:w="4035" w:type="dxa"/>
          <w:vAlign w:val="center"/>
        </w:tcPr>
        <w:p w14:paraId="047292FC" w14:textId="62B95FE3" w:rsidR="005A03FF" w:rsidRPr="00EB74A7" w:rsidRDefault="005A03FF" w:rsidP="00C6376F">
          <w:pPr>
            <w:rPr>
              <w:rStyle w:val="HeaderChar"/>
              <w:rFonts w:ascii="Arial" w:hAnsi="Arial" w:cs="Arial"/>
              <w:b/>
              <w:sz w:val="28"/>
              <w:szCs w:val="28"/>
            </w:rPr>
          </w:pPr>
        </w:p>
      </w:tc>
      <w:tc>
        <w:tcPr>
          <w:tcW w:w="4685" w:type="dxa"/>
          <w:vAlign w:val="center"/>
        </w:tcPr>
        <w:p w14:paraId="3A7D855E" w14:textId="77777777" w:rsidR="005A03FF" w:rsidRPr="000F5176" w:rsidRDefault="005A03FF" w:rsidP="00C6376F">
          <w:pPr>
            <w:pStyle w:val="HeaderNoLine"/>
            <w:rPr>
              <w:rStyle w:val="HeaderChar"/>
            </w:rPr>
          </w:pPr>
          <w:r w:rsidRPr="000F5176">
            <w:t>Therapeutic Goods Administration</w:t>
          </w:r>
        </w:p>
      </w:tc>
    </w:tr>
  </w:tbl>
  <w:p w14:paraId="480E463E" w14:textId="77777777" w:rsidR="005A03FF" w:rsidRDefault="005A03FF" w:rsidP="0010176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4035"/>
      <w:gridCol w:w="4685"/>
    </w:tblGrid>
    <w:tr w:rsidR="005A03FF" w:rsidRPr="00DA24C7" w14:paraId="28E03D4B" w14:textId="77777777" w:rsidTr="00C6376F">
      <w:trPr>
        <w:trHeight w:val="558"/>
      </w:trPr>
      <w:tc>
        <w:tcPr>
          <w:tcW w:w="4035" w:type="dxa"/>
        </w:tcPr>
        <w:p w14:paraId="02A4F856" w14:textId="69123A4C" w:rsidR="005A03FF" w:rsidRPr="00EB74A7" w:rsidRDefault="005A03FF" w:rsidP="00C6376F">
          <w:pPr>
            <w:pStyle w:val="HeaderNoLine"/>
            <w:jc w:val="left"/>
            <w:rPr>
              <w:rStyle w:val="HeaderChar"/>
              <w:rFonts w:ascii="Arial" w:hAnsi="Arial" w:cs="Arial"/>
              <w:b/>
              <w:sz w:val="28"/>
              <w:szCs w:val="28"/>
            </w:rPr>
          </w:pPr>
        </w:p>
      </w:tc>
      <w:tc>
        <w:tcPr>
          <w:tcW w:w="4685" w:type="dxa"/>
          <w:vAlign w:val="center"/>
        </w:tcPr>
        <w:p w14:paraId="0DD7BFA8" w14:textId="77777777" w:rsidR="005A03FF" w:rsidRPr="000F5176" w:rsidRDefault="005A03FF" w:rsidP="00C6376F">
          <w:pPr>
            <w:pStyle w:val="HeaderNoLine"/>
            <w:rPr>
              <w:rStyle w:val="HeaderChar"/>
            </w:rPr>
          </w:pPr>
          <w:r w:rsidRPr="000F5176">
            <w:t>Therapeutic Goods Administration</w:t>
          </w:r>
        </w:p>
      </w:tc>
    </w:tr>
  </w:tbl>
  <w:p w14:paraId="3D9C25A3" w14:textId="77777777" w:rsidR="005A03FF" w:rsidRDefault="005A03FF" w:rsidP="008D7B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F222F40"/>
    <w:lvl w:ilvl="0">
      <w:start w:val="1"/>
      <w:numFmt w:val="decimal"/>
      <w:pStyle w:val="ListNumber"/>
      <w:lvlText w:val="%1."/>
      <w:lvlJc w:val="left"/>
      <w:pPr>
        <w:tabs>
          <w:tab w:val="num" w:pos="360"/>
        </w:tabs>
        <w:ind w:left="360" w:hanging="360"/>
      </w:pPr>
      <w:rPr>
        <w:rFonts w:cs="Times New Roman"/>
        <w:b w:val="0"/>
      </w:rPr>
    </w:lvl>
  </w:abstractNum>
  <w:abstractNum w:abstractNumId="1" w15:restartNumberingAfterBreak="0">
    <w:nsid w:val="FFFFFF89"/>
    <w:multiLevelType w:val="singleLevel"/>
    <w:tmpl w:val="C3D2DB28"/>
    <w:lvl w:ilvl="0">
      <w:start w:val="1"/>
      <w:numFmt w:val="bullet"/>
      <w:pStyle w:val="ActionBullet"/>
      <w:lvlText w:val=""/>
      <w:lvlJc w:val="left"/>
      <w:pPr>
        <w:tabs>
          <w:tab w:val="num" w:pos="360"/>
        </w:tabs>
        <w:ind w:left="360" w:hanging="360"/>
      </w:pPr>
      <w:rPr>
        <w:rFonts w:ascii="Symbol" w:hAnsi="Symbol" w:hint="default"/>
      </w:rPr>
    </w:lvl>
  </w:abstractNum>
  <w:abstractNum w:abstractNumId="2" w15:restartNumberingAfterBreak="0">
    <w:nsid w:val="07347B6B"/>
    <w:multiLevelType w:val="hybridMultilevel"/>
    <w:tmpl w:val="23E2D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2964190"/>
    <w:multiLevelType w:val="singleLevel"/>
    <w:tmpl w:val="B6DA7470"/>
    <w:lvl w:ilvl="0">
      <w:start w:val="1"/>
      <w:numFmt w:val="decimal"/>
      <w:pStyle w:val="BodyText"/>
      <w:lvlText w:val="%1."/>
      <w:lvlJc w:val="left"/>
      <w:pPr>
        <w:tabs>
          <w:tab w:val="num" w:pos="360"/>
        </w:tabs>
        <w:ind w:left="0" w:firstLine="0"/>
      </w:pPr>
    </w:lvl>
  </w:abstractNum>
  <w:abstractNum w:abstractNumId="5"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7706662"/>
    <w:multiLevelType w:val="hybridMultilevel"/>
    <w:tmpl w:val="866A2D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1CEF3ACD"/>
    <w:multiLevelType w:val="multilevel"/>
    <w:tmpl w:val="0748BD50"/>
    <w:lvl w:ilvl="0">
      <w:start w:val="1"/>
      <w:numFmt w:val="decimal"/>
      <w:pStyle w:val="Heading2"/>
      <w:lvlText w:val="%1"/>
      <w:lvlJc w:val="left"/>
      <w:pPr>
        <w:ind w:left="432" w:hanging="432"/>
      </w:pPr>
    </w:lvl>
    <w:lvl w:ilvl="1">
      <w:start w:val="1"/>
      <w:numFmt w:val="decimal"/>
      <w:pStyle w:val="Heading3"/>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E5A1D75"/>
    <w:multiLevelType w:val="hybridMultilevel"/>
    <w:tmpl w:val="85DCC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6E501F"/>
    <w:multiLevelType w:val="hybridMultilevel"/>
    <w:tmpl w:val="F392D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924211"/>
    <w:multiLevelType w:val="hybridMultilevel"/>
    <w:tmpl w:val="34C493BE"/>
    <w:lvl w:ilvl="0" w:tplc="5E685644">
      <w:start w:val="1"/>
      <w:numFmt w:val="lowerLetter"/>
      <w:pStyle w:val="ListBulleta"/>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358209B1"/>
    <w:multiLevelType w:val="multilevel"/>
    <w:tmpl w:val="963C25C0"/>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276D3C"/>
    <w:multiLevelType w:val="multilevel"/>
    <w:tmpl w:val="963C25C0"/>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A01F2F"/>
    <w:multiLevelType w:val="hybridMultilevel"/>
    <w:tmpl w:val="095EC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8825CF"/>
    <w:multiLevelType w:val="hybridMultilevel"/>
    <w:tmpl w:val="72D27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5D0184"/>
    <w:multiLevelType w:val="hybridMultilevel"/>
    <w:tmpl w:val="CD3E5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A636F4"/>
    <w:multiLevelType w:val="multilevel"/>
    <w:tmpl w:val="963C25C0"/>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127267"/>
    <w:multiLevelType w:val="hybridMultilevel"/>
    <w:tmpl w:val="59966592"/>
    <w:lvl w:ilvl="0" w:tplc="1D56E958">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9" w15:restartNumberingAfterBreak="0">
    <w:nsid w:val="73363426"/>
    <w:multiLevelType w:val="multilevel"/>
    <w:tmpl w:val="963C25C0"/>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606C56"/>
    <w:multiLevelType w:val="hybridMultilevel"/>
    <w:tmpl w:val="C1600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7E367C"/>
    <w:multiLevelType w:val="hybridMultilevel"/>
    <w:tmpl w:val="D320F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5"/>
  </w:num>
  <w:num w:numId="4">
    <w:abstractNumId w:val="3"/>
  </w:num>
  <w:num w:numId="5">
    <w:abstractNumId w:val="8"/>
  </w:num>
  <w:num w:numId="6">
    <w:abstractNumId w:val="11"/>
  </w:num>
  <w:num w:numId="7">
    <w:abstractNumId w:val="7"/>
  </w:num>
  <w:num w:numId="8">
    <w:abstractNumId w:val="19"/>
  </w:num>
  <w:num w:numId="9">
    <w:abstractNumId w:val="16"/>
  </w:num>
  <w:num w:numId="10">
    <w:abstractNumId w:val="2"/>
  </w:num>
  <w:num w:numId="11">
    <w:abstractNumId w:val="21"/>
  </w:num>
  <w:num w:numId="12">
    <w:abstractNumId w:val="12"/>
  </w:num>
  <w:num w:numId="13">
    <w:abstractNumId w:val="17"/>
  </w:num>
  <w:num w:numId="14">
    <w:abstractNumId w:val="15"/>
  </w:num>
  <w:num w:numId="15">
    <w:abstractNumId w:val="0"/>
  </w:num>
  <w:num w:numId="16">
    <w:abstractNumId w:val="0"/>
    <w:lvlOverride w:ilvl="0">
      <w:startOverride w:val="1"/>
    </w:lvlOverride>
  </w:num>
  <w:num w:numId="17">
    <w:abstractNumId w:val="4"/>
  </w:num>
  <w:num w:numId="18">
    <w:abstractNumId w:val="1"/>
  </w:num>
  <w:num w:numId="19">
    <w:abstractNumId w:val="10"/>
  </w:num>
  <w:num w:numId="20">
    <w:abstractNumId w:val="9"/>
  </w:num>
  <w:num w:numId="21">
    <w:abstractNumId w:val="6"/>
  </w:num>
  <w:num w:numId="22">
    <w:abstractNumId w:val="11"/>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11"/>
    <w:lvlOverride w:ilvl="0">
      <w:startOverride w:val="1"/>
    </w:lvlOverride>
  </w:num>
  <w:num w:numId="27">
    <w:abstractNumId w:val="14"/>
  </w:num>
  <w:num w:numId="28">
    <w:abstractNumId w:val="13"/>
  </w:num>
  <w:num w:numId="29">
    <w:abstractNumId w:val="20"/>
  </w:num>
  <w:num w:numId="30">
    <w:abstractNumId w:val="18"/>
  </w:num>
  <w:num w:numId="31">
    <w:abstractNumId w:val="8"/>
    <w:lvlOverride w:ilvl="0">
      <w:startOverride w:val="3"/>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648"/>
    <w:rsid w:val="00001B6C"/>
    <w:rsid w:val="00001B7D"/>
    <w:rsid w:val="00002031"/>
    <w:rsid w:val="00003EE4"/>
    <w:rsid w:val="000042DA"/>
    <w:rsid w:val="00004734"/>
    <w:rsid w:val="00005188"/>
    <w:rsid w:val="00006AE7"/>
    <w:rsid w:val="00006B22"/>
    <w:rsid w:val="00006DF4"/>
    <w:rsid w:val="0001276A"/>
    <w:rsid w:val="00012D9E"/>
    <w:rsid w:val="00013BFF"/>
    <w:rsid w:val="00020B6F"/>
    <w:rsid w:val="00021E92"/>
    <w:rsid w:val="000226D3"/>
    <w:rsid w:val="00023C6E"/>
    <w:rsid w:val="000246AE"/>
    <w:rsid w:val="00025266"/>
    <w:rsid w:val="00025C67"/>
    <w:rsid w:val="00032875"/>
    <w:rsid w:val="000335FC"/>
    <w:rsid w:val="00033F14"/>
    <w:rsid w:val="00041297"/>
    <w:rsid w:val="00042573"/>
    <w:rsid w:val="000465B5"/>
    <w:rsid w:val="000471E8"/>
    <w:rsid w:val="0005081A"/>
    <w:rsid w:val="00051879"/>
    <w:rsid w:val="00052322"/>
    <w:rsid w:val="00053B34"/>
    <w:rsid w:val="00053C6C"/>
    <w:rsid w:val="0005559E"/>
    <w:rsid w:val="00056156"/>
    <w:rsid w:val="00057FFC"/>
    <w:rsid w:val="00061765"/>
    <w:rsid w:val="00061F55"/>
    <w:rsid w:val="0006423C"/>
    <w:rsid w:val="0006427F"/>
    <w:rsid w:val="00065585"/>
    <w:rsid w:val="00065D1A"/>
    <w:rsid w:val="00071642"/>
    <w:rsid w:val="00072BAE"/>
    <w:rsid w:val="00072D02"/>
    <w:rsid w:val="00074EBD"/>
    <w:rsid w:val="000755F8"/>
    <w:rsid w:val="00077548"/>
    <w:rsid w:val="00077775"/>
    <w:rsid w:val="00081131"/>
    <w:rsid w:val="00081EFE"/>
    <w:rsid w:val="0008417D"/>
    <w:rsid w:val="00085DD5"/>
    <w:rsid w:val="000860B4"/>
    <w:rsid w:val="000869F6"/>
    <w:rsid w:val="00090471"/>
    <w:rsid w:val="00090E66"/>
    <w:rsid w:val="000A1359"/>
    <w:rsid w:val="000A56BE"/>
    <w:rsid w:val="000A6C2F"/>
    <w:rsid w:val="000B0759"/>
    <w:rsid w:val="000B1393"/>
    <w:rsid w:val="000B240F"/>
    <w:rsid w:val="000B29C2"/>
    <w:rsid w:val="000B3532"/>
    <w:rsid w:val="000B3A75"/>
    <w:rsid w:val="000B47E7"/>
    <w:rsid w:val="000B56DE"/>
    <w:rsid w:val="000B5A74"/>
    <w:rsid w:val="000B7084"/>
    <w:rsid w:val="000C31F2"/>
    <w:rsid w:val="000C587E"/>
    <w:rsid w:val="000C5F0B"/>
    <w:rsid w:val="000C6B99"/>
    <w:rsid w:val="000C7DB4"/>
    <w:rsid w:val="000D0ABB"/>
    <w:rsid w:val="000D18E5"/>
    <w:rsid w:val="000D2B49"/>
    <w:rsid w:val="000D391B"/>
    <w:rsid w:val="000D3D6D"/>
    <w:rsid w:val="000D45F7"/>
    <w:rsid w:val="000D4FC7"/>
    <w:rsid w:val="000D5130"/>
    <w:rsid w:val="000D75AE"/>
    <w:rsid w:val="000F04C4"/>
    <w:rsid w:val="000F082C"/>
    <w:rsid w:val="000F180D"/>
    <w:rsid w:val="000F3A5D"/>
    <w:rsid w:val="000F4869"/>
    <w:rsid w:val="000F5176"/>
    <w:rsid w:val="000F5B42"/>
    <w:rsid w:val="000F63D2"/>
    <w:rsid w:val="000F6E6F"/>
    <w:rsid w:val="001003F2"/>
    <w:rsid w:val="00101762"/>
    <w:rsid w:val="0010210C"/>
    <w:rsid w:val="00105867"/>
    <w:rsid w:val="0010601F"/>
    <w:rsid w:val="00106BF9"/>
    <w:rsid w:val="00110AE1"/>
    <w:rsid w:val="00110EA5"/>
    <w:rsid w:val="00112440"/>
    <w:rsid w:val="00113A93"/>
    <w:rsid w:val="00113E24"/>
    <w:rsid w:val="00115240"/>
    <w:rsid w:val="001157F7"/>
    <w:rsid w:val="00116990"/>
    <w:rsid w:val="001169AC"/>
    <w:rsid w:val="00117127"/>
    <w:rsid w:val="00123BB2"/>
    <w:rsid w:val="00123E0C"/>
    <w:rsid w:val="00125091"/>
    <w:rsid w:val="00125148"/>
    <w:rsid w:val="00125318"/>
    <w:rsid w:val="00125739"/>
    <w:rsid w:val="0012669D"/>
    <w:rsid w:val="001268BE"/>
    <w:rsid w:val="001305A2"/>
    <w:rsid w:val="00130EB7"/>
    <w:rsid w:val="001327EC"/>
    <w:rsid w:val="00133238"/>
    <w:rsid w:val="00136D79"/>
    <w:rsid w:val="00140FE3"/>
    <w:rsid w:val="0014197B"/>
    <w:rsid w:val="001435C5"/>
    <w:rsid w:val="0014384C"/>
    <w:rsid w:val="00143B58"/>
    <w:rsid w:val="001447CD"/>
    <w:rsid w:val="00150A66"/>
    <w:rsid w:val="001516B1"/>
    <w:rsid w:val="001525B4"/>
    <w:rsid w:val="00155092"/>
    <w:rsid w:val="00155651"/>
    <w:rsid w:val="001556B0"/>
    <w:rsid w:val="00156316"/>
    <w:rsid w:val="00156847"/>
    <w:rsid w:val="00157601"/>
    <w:rsid w:val="001578C5"/>
    <w:rsid w:val="00161226"/>
    <w:rsid w:val="001613AC"/>
    <w:rsid w:val="00163265"/>
    <w:rsid w:val="00163E27"/>
    <w:rsid w:val="00165389"/>
    <w:rsid w:val="001653CE"/>
    <w:rsid w:val="00173049"/>
    <w:rsid w:val="00173C6A"/>
    <w:rsid w:val="00175F13"/>
    <w:rsid w:val="0017693F"/>
    <w:rsid w:val="00176CB0"/>
    <w:rsid w:val="0018056A"/>
    <w:rsid w:val="0018110E"/>
    <w:rsid w:val="00181684"/>
    <w:rsid w:val="00182A4A"/>
    <w:rsid w:val="001843C6"/>
    <w:rsid w:val="001850E0"/>
    <w:rsid w:val="00185CE9"/>
    <w:rsid w:val="00186517"/>
    <w:rsid w:val="00193183"/>
    <w:rsid w:val="001A1F66"/>
    <w:rsid w:val="001A2179"/>
    <w:rsid w:val="001A3925"/>
    <w:rsid w:val="001A525F"/>
    <w:rsid w:val="001A5FFE"/>
    <w:rsid w:val="001B09F9"/>
    <w:rsid w:val="001B0F8B"/>
    <w:rsid w:val="001B5CE3"/>
    <w:rsid w:val="001B6448"/>
    <w:rsid w:val="001B79F6"/>
    <w:rsid w:val="001C0D8C"/>
    <w:rsid w:val="001C2A9E"/>
    <w:rsid w:val="001C2D91"/>
    <w:rsid w:val="001C4E44"/>
    <w:rsid w:val="001C5266"/>
    <w:rsid w:val="001C5A9E"/>
    <w:rsid w:val="001C7F0A"/>
    <w:rsid w:val="001D31B3"/>
    <w:rsid w:val="001E07CF"/>
    <w:rsid w:val="001E51C6"/>
    <w:rsid w:val="001E5555"/>
    <w:rsid w:val="001E59F1"/>
    <w:rsid w:val="001E608B"/>
    <w:rsid w:val="001F04D7"/>
    <w:rsid w:val="001F32EC"/>
    <w:rsid w:val="001F3B31"/>
    <w:rsid w:val="001F3B52"/>
    <w:rsid w:val="001F3D96"/>
    <w:rsid w:val="001F49EB"/>
    <w:rsid w:val="001F4F04"/>
    <w:rsid w:val="001F6CBA"/>
    <w:rsid w:val="001F7B5C"/>
    <w:rsid w:val="001F7DB1"/>
    <w:rsid w:val="002001F1"/>
    <w:rsid w:val="0020028B"/>
    <w:rsid w:val="00200A9C"/>
    <w:rsid w:val="00201D4E"/>
    <w:rsid w:val="00202086"/>
    <w:rsid w:val="00202B6D"/>
    <w:rsid w:val="00204B54"/>
    <w:rsid w:val="00204DF0"/>
    <w:rsid w:val="0020793B"/>
    <w:rsid w:val="0020799C"/>
    <w:rsid w:val="002101CA"/>
    <w:rsid w:val="002147E0"/>
    <w:rsid w:val="00216178"/>
    <w:rsid w:val="0022019E"/>
    <w:rsid w:val="00220B8A"/>
    <w:rsid w:val="002226DD"/>
    <w:rsid w:val="00224FCC"/>
    <w:rsid w:val="002257F3"/>
    <w:rsid w:val="0023267B"/>
    <w:rsid w:val="00233456"/>
    <w:rsid w:val="002339A5"/>
    <w:rsid w:val="00236140"/>
    <w:rsid w:val="00240781"/>
    <w:rsid w:val="00242707"/>
    <w:rsid w:val="002445F4"/>
    <w:rsid w:val="002452B8"/>
    <w:rsid w:val="002458D4"/>
    <w:rsid w:val="00245CF3"/>
    <w:rsid w:val="00246313"/>
    <w:rsid w:val="00247223"/>
    <w:rsid w:val="00250A0F"/>
    <w:rsid w:val="0025120A"/>
    <w:rsid w:val="002535AC"/>
    <w:rsid w:val="0025660C"/>
    <w:rsid w:val="00257138"/>
    <w:rsid w:val="00257848"/>
    <w:rsid w:val="002609BE"/>
    <w:rsid w:val="00267925"/>
    <w:rsid w:val="0027084A"/>
    <w:rsid w:val="0027115A"/>
    <w:rsid w:val="00271FC7"/>
    <w:rsid w:val="002745B4"/>
    <w:rsid w:val="00274A3A"/>
    <w:rsid w:val="00275590"/>
    <w:rsid w:val="002855FB"/>
    <w:rsid w:val="00286434"/>
    <w:rsid w:val="00286C59"/>
    <w:rsid w:val="002929C2"/>
    <w:rsid w:val="00292BB3"/>
    <w:rsid w:val="002942D1"/>
    <w:rsid w:val="002A0556"/>
    <w:rsid w:val="002A3961"/>
    <w:rsid w:val="002A5857"/>
    <w:rsid w:val="002A5F56"/>
    <w:rsid w:val="002A6E38"/>
    <w:rsid w:val="002B0E0E"/>
    <w:rsid w:val="002B1638"/>
    <w:rsid w:val="002B27E1"/>
    <w:rsid w:val="002B3304"/>
    <w:rsid w:val="002B6AF8"/>
    <w:rsid w:val="002C07AF"/>
    <w:rsid w:val="002C1418"/>
    <w:rsid w:val="002C158A"/>
    <w:rsid w:val="002C383A"/>
    <w:rsid w:val="002C43C3"/>
    <w:rsid w:val="002C48BF"/>
    <w:rsid w:val="002C6D34"/>
    <w:rsid w:val="002C773E"/>
    <w:rsid w:val="002D0B05"/>
    <w:rsid w:val="002D110E"/>
    <w:rsid w:val="002D7CD2"/>
    <w:rsid w:val="002E335D"/>
    <w:rsid w:val="002E4291"/>
    <w:rsid w:val="002E430E"/>
    <w:rsid w:val="002E4C9A"/>
    <w:rsid w:val="002E5C31"/>
    <w:rsid w:val="002E69BE"/>
    <w:rsid w:val="002F11F8"/>
    <w:rsid w:val="002F1391"/>
    <w:rsid w:val="002F3F56"/>
    <w:rsid w:val="002F44B5"/>
    <w:rsid w:val="002F53E0"/>
    <w:rsid w:val="00302504"/>
    <w:rsid w:val="0030306D"/>
    <w:rsid w:val="00303CBB"/>
    <w:rsid w:val="0030508C"/>
    <w:rsid w:val="003055BD"/>
    <w:rsid w:val="00307693"/>
    <w:rsid w:val="00307B42"/>
    <w:rsid w:val="00311AC0"/>
    <w:rsid w:val="00314331"/>
    <w:rsid w:val="00316F8D"/>
    <w:rsid w:val="003208A0"/>
    <w:rsid w:val="003251D0"/>
    <w:rsid w:val="003261C8"/>
    <w:rsid w:val="00327070"/>
    <w:rsid w:val="00330A2E"/>
    <w:rsid w:val="003316D6"/>
    <w:rsid w:val="00331DBB"/>
    <w:rsid w:val="00334439"/>
    <w:rsid w:val="00335BEC"/>
    <w:rsid w:val="00335D6F"/>
    <w:rsid w:val="003367E4"/>
    <w:rsid w:val="00343736"/>
    <w:rsid w:val="003521E8"/>
    <w:rsid w:val="00352A2E"/>
    <w:rsid w:val="00353AC2"/>
    <w:rsid w:val="003555D7"/>
    <w:rsid w:val="00356F04"/>
    <w:rsid w:val="00360648"/>
    <w:rsid w:val="00360DFD"/>
    <w:rsid w:val="00362473"/>
    <w:rsid w:val="00362F16"/>
    <w:rsid w:val="003662D5"/>
    <w:rsid w:val="003664BF"/>
    <w:rsid w:val="003668CB"/>
    <w:rsid w:val="0036794C"/>
    <w:rsid w:val="0037034E"/>
    <w:rsid w:val="0037036E"/>
    <w:rsid w:val="00371F4B"/>
    <w:rsid w:val="0037215C"/>
    <w:rsid w:val="003728F3"/>
    <w:rsid w:val="00372C9C"/>
    <w:rsid w:val="00373D31"/>
    <w:rsid w:val="00374905"/>
    <w:rsid w:val="003764EB"/>
    <w:rsid w:val="0038110B"/>
    <w:rsid w:val="00386152"/>
    <w:rsid w:val="00390900"/>
    <w:rsid w:val="00391EFB"/>
    <w:rsid w:val="003964E2"/>
    <w:rsid w:val="003A0110"/>
    <w:rsid w:val="003A0B29"/>
    <w:rsid w:val="003A0B68"/>
    <w:rsid w:val="003A19BA"/>
    <w:rsid w:val="003A3B59"/>
    <w:rsid w:val="003A48A2"/>
    <w:rsid w:val="003B1089"/>
    <w:rsid w:val="003B1FAD"/>
    <w:rsid w:val="003B2840"/>
    <w:rsid w:val="003B3601"/>
    <w:rsid w:val="003B39E2"/>
    <w:rsid w:val="003B4C17"/>
    <w:rsid w:val="003B629A"/>
    <w:rsid w:val="003B6E20"/>
    <w:rsid w:val="003B7E39"/>
    <w:rsid w:val="003C04B2"/>
    <w:rsid w:val="003C1BBB"/>
    <w:rsid w:val="003C58DC"/>
    <w:rsid w:val="003C62FC"/>
    <w:rsid w:val="003C6F56"/>
    <w:rsid w:val="003C7673"/>
    <w:rsid w:val="003C7A68"/>
    <w:rsid w:val="003D1DEC"/>
    <w:rsid w:val="003D26B4"/>
    <w:rsid w:val="003D497F"/>
    <w:rsid w:val="003D5D86"/>
    <w:rsid w:val="003E0E6A"/>
    <w:rsid w:val="003E1189"/>
    <w:rsid w:val="003E1945"/>
    <w:rsid w:val="003E1A87"/>
    <w:rsid w:val="003E2889"/>
    <w:rsid w:val="003E3208"/>
    <w:rsid w:val="003E33D4"/>
    <w:rsid w:val="003E3CA3"/>
    <w:rsid w:val="003E7390"/>
    <w:rsid w:val="003F0B04"/>
    <w:rsid w:val="003F168D"/>
    <w:rsid w:val="003F1822"/>
    <w:rsid w:val="003F3092"/>
    <w:rsid w:val="003F3095"/>
    <w:rsid w:val="003F3758"/>
    <w:rsid w:val="003F48DD"/>
    <w:rsid w:val="0040134E"/>
    <w:rsid w:val="00402EF6"/>
    <w:rsid w:val="00403ACE"/>
    <w:rsid w:val="00403D3E"/>
    <w:rsid w:val="00404AD5"/>
    <w:rsid w:val="0040598C"/>
    <w:rsid w:val="00406780"/>
    <w:rsid w:val="0040726C"/>
    <w:rsid w:val="004072A5"/>
    <w:rsid w:val="00411710"/>
    <w:rsid w:val="0041244F"/>
    <w:rsid w:val="00412E40"/>
    <w:rsid w:val="00414BA2"/>
    <w:rsid w:val="00421B7E"/>
    <w:rsid w:val="00423F10"/>
    <w:rsid w:val="004244A3"/>
    <w:rsid w:val="004247DA"/>
    <w:rsid w:val="004302D7"/>
    <w:rsid w:val="0043074F"/>
    <w:rsid w:val="00430AAA"/>
    <w:rsid w:val="00430BA8"/>
    <w:rsid w:val="004320CD"/>
    <w:rsid w:val="00432CDD"/>
    <w:rsid w:val="00433211"/>
    <w:rsid w:val="00435B13"/>
    <w:rsid w:val="00436C41"/>
    <w:rsid w:val="004407B2"/>
    <w:rsid w:val="00440A2D"/>
    <w:rsid w:val="00441972"/>
    <w:rsid w:val="004422DF"/>
    <w:rsid w:val="004432FB"/>
    <w:rsid w:val="00444663"/>
    <w:rsid w:val="004446E3"/>
    <w:rsid w:val="004454B4"/>
    <w:rsid w:val="0044589C"/>
    <w:rsid w:val="0044722D"/>
    <w:rsid w:val="0044785B"/>
    <w:rsid w:val="00455ECA"/>
    <w:rsid w:val="004564A7"/>
    <w:rsid w:val="00457FE3"/>
    <w:rsid w:val="004617BF"/>
    <w:rsid w:val="004618AB"/>
    <w:rsid w:val="00461999"/>
    <w:rsid w:val="00464DFB"/>
    <w:rsid w:val="0046516E"/>
    <w:rsid w:val="004658BC"/>
    <w:rsid w:val="00470B21"/>
    <w:rsid w:val="00470EC2"/>
    <w:rsid w:val="00472080"/>
    <w:rsid w:val="00476069"/>
    <w:rsid w:val="00484BAB"/>
    <w:rsid w:val="00485BFD"/>
    <w:rsid w:val="00487716"/>
    <w:rsid w:val="004923FF"/>
    <w:rsid w:val="00494E60"/>
    <w:rsid w:val="0049508E"/>
    <w:rsid w:val="004970FD"/>
    <w:rsid w:val="004A2400"/>
    <w:rsid w:val="004A6F05"/>
    <w:rsid w:val="004B1A4C"/>
    <w:rsid w:val="004B211D"/>
    <w:rsid w:val="004B21D7"/>
    <w:rsid w:val="004B2BD3"/>
    <w:rsid w:val="004B3BEB"/>
    <w:rsid w:val="004B545E"/>
    <w:rsid w:val="004B6701"/>
    <w:rsid w:val="004B7B76"/>
    <w:rsid w:val="004C0070"/>
    <w:rsid w:val="004C241F"/>
    <w:rsid w:val="004C3BFD"/>
    <w:rsid w:val="004C4791"/>
    <w:rsid w:val="004C60B4"/>
    <w:rsid w:val="004C7EA5"/>
    <w:rsid w:val="004D3F80"/>
    <w:rsid w:val="004D51A6"/>
    <w:rsid w:val="004D6739"/>
    <w:rsid w:val="004D722C"/>
    <w:rsid w:val="004E10A3"/>
    <w:rsid w:val="004E4C7B"/>
    <w:rsid w:val="004E5145"/>
    <w:rsid w:val="004E5523"/>
    <w:rsid w:val="004F0F38"/>
    <w:rsid w:val="004F3163"/>
    <w:rsid w:val="004F4580"/>
    <w:rsid w:val="005009C0"/>
    <w:rsid w:val="00501179"/>
    <w:rsid w:val="00501921"/>
    <w:rsid w:val="00501CBA"/>
    <w:rsid w:val="00502914"/>
    <w:rsid w:val="005042C1"/>
    <w:rsid w:val="005069D2"/>
    <w:rsid w:val="005115A6"/>
    <w:rsid w:val="005118FB"/>
    <w:rsid w:val="005164BD"/>
    <w:rsid w:val="005168C9"/>
    <w:rsid w:val="00516E40"/>
    <w:rsid w:val="00520524"/>
    <w:rsid w:val="00520CF8"/>
    <w:rsid w:val="00520F6C"/>
    <w:rsid w:val="00521BEF"/>
    <w:rsid w:val="005220E5"/>
    <w:rsid w:val="005221E1"/>
    <w:rsid w:val="00522898"/>
    <w:rsid w:val="00523152"/>
    <w:rsid w:val="005254B4"/>
    <w:rsid w:val="005274DA"/>
    <w:rsid w:val="005302F5"/>
    <w:rsid w:val="00530354"/>
    <w:rsid w:val="00532AD4"/>
    <w:rsid w:val="0053393D"/>
    <w:rsid w:val="00533970"/>
    <w:rsid w:val="00534871"/>
    <w:rsid w:val="0053538C"/>
    <w:rsid w:val="00536FE4"/>
    <w:rsid w:val="0053781A"/>
    <w:rsid w:val="00541352"/>
    <w:rsid w:val="0054163A"/>
    <w:rsid w:val="005434C6"/>
    <w:rsid w:val="00543B39"/>
    <w:rsid w:val="00550096"/>
    <w:rsid w:val="00550A5B"/>
    <w:rsid w:val="00551F1D"/>
    <w:rsid w:val="00552DB2"/>
    <w:rsid w:val="005540F9"/>
    <w:rsid w:val="005576C9"/>
    <w:rsid w:val="00557FF9"/>
    <w:rsid w:val="005607E0"/>
    <w:rsid w:val="00560BAF"/>
    <w:rsid w:val="00561B1B"/>
    <w:rsid w:val="005645C7"/>
    <w:rsid w:val="005646AF"/>
    <w:rsid w:val="0056529B"/>
    <w:rsid w:val="0056531A"/>
    <w:rsid w:val="005729B0"/>
    <w:rsid w:val="00574B36"/>
    <w:rsid w:val="00575A6D"/>
    <w:rsid w:val="00576378"/>
    <w:rsid w:val="00576EF1"/>
    <w:rsid w:val="00577E38"/>
    <w:rsid w:val="00581897"/>
    <w:rsid w:val="005824DB"/>
    <w:rsid w:val="00582DB5"/>
    <w:rsid w:val="00585069"/>
    <w:rsid w:val="00585322"/>
    <w:rsid w:val="0058774D"/>
    <w:rsid w:val="0059004F"/>
    <w:rsid w:val="00591975"/>
    <w:rsid w:val="00591D57"/>
    <w:rsid w:val="00593AD1"/>
    <w:rsid w:val="00593E11"/>
    <w:rsid w:val="005955CF"/>
    <w:rsid w:val="00596FCA"/>
    <w:rsid w:val="00597B50"/>
    <w:rsid w:val="005A03FF"/>
    <w:rsid w:val="005A1131"/>
    <w:rsid w:val="005A3F2F"/>
    <w:rsid w:val="005A5916"/>
    <w:rsid w:val="005A5A5E"/>
    <w:rsid w:val="005A6611"/>
    <w:rsid w:val="005B1DEF"/>
    <w:rsid w:val="005C00B1"/>
    <w:rsid w:val="005C03F2"/>
    <w:rsid w:val="005C0499"/>
    <w:rsid w:val="005C07F8"/>
    <w:rsid w:val="005C1D90"/>
    <w:rsid w:val="005C22EA"/>
    <w:rsid w:val="005C2732"/>
    <w:rsid w:val="005C2FB2"/>
    <w:rsid w:val="005C3414"/>
    <w:rsid w:val="005C4994"/>
    <w:rsid w:val="005C5570"/>
    <w:rsid w:val="005C6864"/>
    <w:rsid w:val="005C6D87"/>
    <w:rsid w:val="005C79A4"/>
    <w:rsid w:val="005D060C"/>
    <w:rsid w:val="005D16DC"/>
    <w:rsid w:val="005D4DEE"/>
    <w:rsid w:val="005D4E06"/>
    <w:rsid w:val="005D5442"/>
    <w:rsid w:val="005E1A89"/>
    <w:rsid w:val="005E3393"/>
    <w:rsid w:val="005E5361"/>
    <w:rsid w:val="005E56A8"/>
    <w:rsid w:val="005E5885"/>
    <w:rsid w:val="005E5C7F"/>
    <w:rsid w:val="005E6395"/>
    <w:rsid w:val="005E6CE5"/>
    <w:rsid w:val="005F2FA2"/>
    <w:rsid w:val="005F3EA0"/>
    <w:rsid w:val="005F4689"/>
    <w:rsid w:val="005F539B"/>
    <w:rsid w:val="00601594"/>
    <w:rsid w:val="00601FD3"/>
    <w:rsid w:val="0060581D"/>
    <w:rsid w:val="00607DB5"/>
    <w:rsid w:val="00612B30"/>
    <w:rsid w:val="006131AB"/>
    <w:rsid w:val="00613211"/>
    <w:rsid w:val="006132E8"/>
    <w:rsid w:val="006210F2"/>
    <w:rsid w:val="0062266E"/>
    <w:rsid w:val="00623373"/>
    <w:rsid w:val="00623676"/>
    <w:rsid w:val="006238C7"/>
    <w:rsid w:val="006242F3"/>
    <w:rsid w:val="00627C06"/>
    <w:rsid w:val="0063052C"/>
    <w:rsid w:val="00632D4C"/>
    <w:rsid w:val="0063416E"/>
    <w:rsid w:val="006352D8"/>
    <w:rsid w:val="006400CB"/>
    <w:rsid w:val="00640FC3"/>
    <w:rsid w:val="00642020"/>
    <w:rsid w:val="00642EFA"/>
    <w:rsid w:val="00650434"/>
    <w:rsid w:val="00651316"/>
    <w:rsid w:val="00652CEE"/>
    <w:rsid w:val="0065337B"/>
    <w:rsid w:val="006540DE"/>
    <w:rsid w:val="0065419D"/>
    <w:rsid w:val="006544BE"/>
    <w:rsid w:val="006604D8"/>
    <w:rsid w:val="00664A5B"/>
    <w:rsid w:val="006664CB"/>
    <w:rsid w:val="00667942"/>
    <w:rsid w:val="006733CD"/>
    <w:rsid w:val="00673B12"/>
    <w:rsid w:val="00674BA2"/>
    <w:rsid w:val="00676E68"/>
    <w:rsid w:val="00677050"/>
    <w:rsid w:val="006804A8"/>
    <w:rsid w:val="00680C08"/>
    <w:rsid w:val="0068543D"/>
    <w:rsid w:val="00685EF3"/>
    <w:rsid w:val="00686C19"/>
    <w:rsid w:val="0068741A"/>
    <w:rsid w:val="00691DBE"/>
    <w:rsid w:val="00692FE6"/>
    <w:rsid w:val="006931B1"/>
    <w:rsid w:val="00693E59"/>
    <w:rsid w:val="00694E2C"/>
    <w:rsid w:val="00694F0A"/>
    <w:rsid w:val="00695C78"/>
    <w:rsid w:val="00697C48"/>
    <w:rsid w:val="006A0208"/>
    <w:rsid w:val="006A15C0"/>
    <w:rsid w:val="006A1DC0"/>
    <w:rsid w:val="006A336D"/>
    <w:rsid w:val="006A4163"/>
    <w:rsid w:val="006A64F4"/>
    <w:rsid w:val="006A70C4"/>
    <w:rsid w:val="006A7FD9"/>
    <w:rsid w:val="006B0B13"/>
    <w:rsid w:val="006B1BCF"/>
    <w:rsid w:val="006B3B74"/>
    <w:rsid w:val="006B3CF2"/>
    <w:rsid w:val="006B4B4E"/>
    <w:rsid w:val="006B562B"/>
    <w:rsid w:val="006C0A51"/>
    <w:rsid w:val="006C1A83"/>
    <w:rsid w:val="006C1AD9"/>
    <w:rsid w:val="006C1F3B"/>
    <w:rsid w:val="006C3E2A"/>
    <w:rsid w:val="006C450D"/>
    <w:rsid w:val="006C4621"/>
    <w:rsid w:val="006C57B7"/>
    <w:rsid w:val="006C642F"/>
    <w:rsid w:val="006C6D23"/>
    <w:rsid w:val="006D03E5"/>
    <w:rsid w:val="006D0897"/>
    <w:rsid w:val="006D08C1"/>
    <w:rsid w:val="006D5D3E"/>
    <w:rsid w:val="006D6A23"/>
    <w:rsid w:val="006E08B3"/>
    <w:rsid w:val="006E5071"/>
    <w:rsid w:val="006E5916"/>
    <w:rsid w:val="006E62FC"/>
    <w:rsid w:val="006F01FE"/>
    <w:rsid w:val="006F10D7"/>
    <w:rsid w:val="006F1A67"/>
    <w:rsid w:val="006F4AF2"/>
    <w:rsid w:val="006F572E"/>
    <w:rsid w:val="006F65A9"/>
    <w:rsid w:val="00700958"/>
    <w:rsid w:val="007046D6"/>
    <w:rsid w:val="00705AAD"/>
    <w:rsid w:val="00705DB0"/>
    <w:rsid w:val="00706AFE"/>
    <w:rsid w:val="007105C8"/>
    <w:rsid w:val="00711BAE"/>
    <w:rsid w:val="007127A7"/>
    <w:rsid w:val="00716AF8"/>
    <w:rsid w:val="00717545"/>
    <w:rsid w:val="00717B5D"/>
    <w:rsid w:val="00722059"/>
    <w:rsid w:val="00723703"/>
    <w:rsid w:val="007249F8"/>
    <w:rsid w:val="00727A7E"/>
    <w:rsid w:val="0073078A"/>
    <w:rsid w:val="0073205A"/>
    <w:rsid w:val="00732B06"/>
    <w:rsid w:val="0073345D"/>
    <w:rsid w:val="00736B85"/>
    <w:rsid w:val="00736EFA"/>
    <w:rsid w:val="007371C1"/>
    <w:rsid w:val="00737627"/>
    <w:rsid w:val="0074253D"/>
    <w:rsid w:val="0074429B"/>
    <w:rsid w:val="007442BB"/>
    <w:rsid w:val="007477F8"/>
    <w:rsid w:val="00750368"/>
    <w:rsid w:val="00751C34"/>
    <w:rsid w:val="007560C5"/>
    <w:rsid w:val="0075678F"/>
    <w:rsid w:val="007615BC"/>
    <w:rsid w:val="00761AA7"/>
    <w:rsid w:val="00762F05"/>
    <w:rsid w:val="007637F0"/>
    <w:rsid w:val="00763BB7"/>
    <w:rsid w:val="007652FF"/>
    <w:rsid w:val="00765C7B"/>
    <w:rsid w:val="00766729"/>
    <w:rsid w:val="00766888"/>
    <w:rsid w:val="0077025F"/>
    <w:rsid w:val="0077056C"/>
    <w:rsid w:val="00770B2C"/>
    <w:rsid w:val="00770CB9"/>
    <w:rsid w:val="00771329"/>
    <w:rsid w:val="00772774"/>
    <w:rsid w:val="00773EF7"/>
    <w:rsid w:val="007748DC"/>
    <w:rsid w:val="00774E1D"/>
    <w:rsid w:val="00775DC7"/>
    <w:rsid w:val="0077675A"/>
    <w:rsid w:val="00780355"/>
    <w:rsid w:val="00781751"/>
    <w:rsid w:val="00782870"/>
    <w:rsid w:val="00783116"/>
    <w:rsid w:val="00784124"/>
    <w:rsid w:val="00785721"/>
    <w:rsid w:val="007907BF"/>
    <w:rsid w:val="007918DB"/>
    <w:rsid w:val="00791E92"/>
    <w:rsid w:val="00793A59"/>
    <w:rsid w:val="00794519"/>
    <w:rsid w:val="007954D4"/>
    <w:rsid w:val="00797C67"/>
    <w:rsid w:val="007A2162"/>
    <w:rsid w:val="007A2B0B"/>
    <w:rsid w:val="007A3F42"/>
    <w:rsid w:val="007A58C5"/>
    <w:rsid w:val="007B0412"/>
    <w:rsid w:val="007B04CB"/>
    <w:rsid w:val="007B0A15"/>
    <w:rsid w:val="007B1ED1"/>
    <w:rsid w:val="007B5C43"/>
    <w:rsid w:val="007B7F38"/>
    <w:rsid w:val="007C0F3D"/>
    <w:rsid w:val="007C1AF7"/>
    <w:rsid w:val="007C6984"/>
    <w:rsid w:val="007D2CFA"/>
    <w:rsid w:val="007D31C7"/>
    <w:rsid w:val="007D404B"/>
    <w:rsid w:val="007D4385"/>
    <w:rsid w:val="007D7B54"/>
    <w:rsid w:val="007E1D89"/>
    <w:rsid w:val="007E29E1"/>
    <w:rsid w:val="007E3E3E"/>
    <w:rsid w:val="007E49A7"/>
    <w:rsid w:val="007E4DCE"/>
    <w:rsid w:val="007E662C"/>
    <w:rsid w:val="007F19C2"/>
    <w:rsid w:val="007F3C79"/>
    <w:rsid w:val="007F63D5"/>
    <w:rsid w:val="00800289"/>
    <w:rsid w:val="008030CD"/>
    <w:rsid w:val="00804357"/>
    <w:rsid w:val="0080449A"/>
    <w:rsid w:val="00811949"/>
    <w:rsid w:val="00812029"/>
    <w:rsid w:val="008122AC"/>
    <w:rsid w:val="00813BE4"/>
    <w:rsid w:val="00813E46"/>
    <w:rsid w:val="008145ED"/>
    <w:rsid w:val="00816E6E"/>
    <w:rsid w:val="00817471"/>
    <w:rsid w:val="00821776"/>
    <w:rsid w:val="00826007"/>
    <w:rsid w:val="0082653E"/>
    <w:rsid w:val="008266E2"/>
    <w:rsid w:val="00827C51"/>
    <w:rsid w:val="008317AD"/>
    <w:rsid w:val="0083209C"/>
    <w:rsid w:val="008321F5"/>
    <w:rsid w:val="00832369"/>
    <w:rsid w:val="00832486"/>
    <w:rsid w:val="0083329F"/>
    <w:rsid w:val="00834660"/>
    <w:rsid w:val="00835392"/>
    <w:rsid w:val="008357ED"/>
    <w:rsid w:val="00835AE7"/>
    <w:rsid w:val="00835BD8"/>
    <w:rsid w:val="00836BC2"/>
    <w:rsid w:val="0084109D"/>
    <w:rsid w:val="008423DC"/>
    <w:rsid w:val="00842746"/>
    <w:rsid w:val="00846E23"/>
    <w:rsid w:val="0085641B"/>
    <w:rsid w:val="00857136"/>
    <w:rsid w:val="00860761"/>
    <w:rsid w:val="008617CA"/>
    <w:rsid w:val="00864FCD"/>
    <w:rsid w:val="008702B3"/>
    <w:rsid w:val="008707DF"/>
    <w:rsid w:val="00871013"/>
    <w:rsid w:val="00871E49"/>
    <w:rsid w:val="00872807"/>
    <w:rsid w:val="00876005"/>
    <w:rsid w:val="00876EAC"/>
    <w:rsid w:val="00881EA0"/>
    <w:rsid w:val="00882C73"/>
    <w:rsid w:val="0088496A"/>
    <w:rsid w:val="0088678E"/>
    <w:rsid w:val="00892238"/>
    <w:rsid w:val="0089392A"/>
    <w:rsid w:val="00893C5D"/>
    <w:rsid w:val="00896018"/>
    <w:rsid w:val="00896E1F"/>
    <w:rsid w:val="008A00FE"/>
    <w:rsid w:val="008A2B9D"/>
    <w:rsid w:val="008A2D18"/>
    <w:rsid w:val="008A541B"/>
    <w:rsid w:val="008A5E0B"/>
    <w:rsid w:val="008A60C8"/>
    <w:rsid w:val="008A69D0"/>
    <w:rsid w:val="008A6A7F"/>
    <w:rsid w:val="008A6B96"/>
    <w:rsid w:val="008A6D59"/>
    <w:rsid w:val="008B0015"/>
    <w:rsid w:val="008B16C5"/>
    <w:rsid w:val="008B2B27"/>
    <w:rsid w:val="008B4B03"/>
    <w:rsid w:val="008B596F"/>
    <w:rsid w:val="008B7C43"/>
    <w:rsid w:val="008C0C69"/>
    <w:rsid w:val="008C159F"/>
    <w:rsid w:val="008C1623"/>
    <w:rsid w:val="008C2B58"/>
    <w:rsid w:val="008C51A9"/>
    <w:rsid w:val="008C5225"/>
    <w:rsid w:val="008C7E46"/>
    <w:rsid w:val="008D0620"/>
    <w:rsid w:val="008D1287"/>
    <w:rsid w:val="008D3724"/>
    <w:rsid w:val="008D3FCE"/>
    <w:rsid w:val="008D67F7"/>
    <w:rsid w:val="008D7BD4"/>
    <w:rsid w:val="008E2C70"/>
    <w:rsid w:val="008E6463"/>
    <w:rsid w:val="008F1CCC"/>
    <w:rsid w:val="008F2967"/>
    <w:rsid w:val="008F2AD4"/>
    <w:rsid w:val="008F2C4C"/>
    <w:rsid w:val="008F446B"/>
    <w:rsid w:val="008F4A62"/>
    <w:rsid w:val="008F57B4"/>
    <w:rsid w:val="00900E78"/>
    <w:rsid w:val="00904E42"/>
    <w:rsid w:val="00905AB4"/>
    <w:rsid w:val="00911537"/>
    <w:rsid w:val="0091165D"/>
    <w:rsid w:val="0091206B"/>
    <w:rsid w:val="0091270E"/>
    <w:rsid w:val="00915525"/>
    <w:rsid w:val="00917AB4"/>
    <w:rsid w:val="00920330"/>
    <w:rsid w:val="009207ED"/>
    <w:rsid w:val="00920FF4"/>
    <w:rsid w:val="009217F6"/>
    <w:rsid w:val="009219D7"/>
    <w:rsid w:val="00922D53"/>
    <w:rsid w:val="00923B70"/>
    <w:rsid w:val="0092465F"/>
    <w:rsid w:val="00924FB8"/>
    <w:rsid w:val="00925333"/>
    <w:rsid w:val="0092600B"/>
    <w:rsid w:val="00926BE5"/>
    <w:rsid w:val="00926F1C"/>
    <w:rsid w:val="00930237"/>
    <w:rsid w:val="009310B4"/>
    <w:rsid w:val="00935659"/>
    <w:rsid w:val="0093749E"/>
    <w:rsid w:val="00942751"/>
    <w:rsid w:val="00943A3F"/>
    <w:rsid w:val="0094466C"/>
    <w:rsid w:val="00944B14"/>
    <w:rsid w:val="00944EBB"/>
    <w:rsid w:val="00945041"/>
    <w:rsid w:val="009468C6"/>
    <w:rsid w:val="0094735E"/>
    <w:rsid w:val="009505BD"/>
    <w:rsid w:val="00951440"/>
    <w:rsid w:val="00951677"/>
    <w:rsid w:val="00952C3D"/>
    <w:rsid w:val="00953EA8"/>
    <w:rsid w:val="00955A46"/>
    <w:rsid w:val="009628B7"/>
    <w:rsid w:val="00963C08"/>
    <w:rsid w:val="00963C0D"/>
    <w:rsid w:val="00965421"/>
    <w:rsid w:val="00966970"/>
    <w:rsid w:val="00966BD0"/>
    <w:rsid w:val="00967C5A"/>
    <w:rsid w:val="00970367"/>
    <w:rsid w:val="00971628"/>
    <w:rsid w:val="009741DD"/>
    <w:rsid w:val="009752DD"/>
    <w:rsid w:val="00975379"/>
    <w:rsid w:val="00976248"/>
    <w:rsid w:val="00981AC6"/>
    <w:rsid w:val="00981D0A"/>
    <w:rsid w:val="009835B6"/>
    <w:rsid w:val="00984803"/>
    <w:rsid w:val="00984CAD"/>
    <w:rsid w:val="00985699"/>
    <w:rsid w:val="0098576A"/>
    <w:rsid w:val="00987D65"/>
    <w:rsid w:val="0099179E"/>
    <w:rsid w:val="009927F3"/>
    <w:rsid w:val="009931F6"/>
    <w:rsid w:val="00993AB0"/>
    <w:rsid w:val="009A15B1"/>
    <w:rsid w:val="009A190E"/>
    <w:rsid w:val="009A4825"/>
    <w:rsid w:val="009A4CED"/>
    <w:rsid w:val="009B00CC"/>
    <w:rsid w:val="009B1D12"/>
    <w:rsid w:val="009B20A0"/>
    <w:rsid w:val="009B2B3C"/>
    <w:rsid w:val="009B3475"/>
    <w:rsid w:val="009B3B14"/>
    <w:rsid w:val="009B416B"/>
    <w:rsid w:val="009B6348"/>
    <w:rsid w:val="009B6ACF"/>
    <w:rsid w:val="009C0691"/>
    <w:rsid w:val="009C4BD5"/>
    <w:rsid w:val="009C5F04"/>
    <w:rsid w:val="009C683C"/>
    <w:rsid w:val="009C74CD"/>
    <w:rsid w:val="009D0801"/>
    <w:rsid w:val="009D0A6D"/>
    <w:rsid w:val="009D0DC8"/>
    <w:rsid w:val="009D2144"/>
    <w:rsid w:val="009D2E04"/>
    <w:rsid w:val="009D3484"/>
    <w:rsid w:val="009D7B77"/>
    <w:rsid w:val="009D7C7E"/>
    <w:rsid w:val="009E009E"/>
    <w:rsid w:val="009E0BB0"/>
    <w:rsid w:val="009E2AC4"/>
    <w:rsid w:val="009E37F8"/>
    <w:rsid w:val="009E3FBB"/>
    <w:rsid w:val="009E6D22"/>
    <w:rsid w:val="009E70A2"/>
    <w:rsid w:val="009F018D"/>
    <w:rsid w:val="009F01FD"/>
    <w:rsid w:val="009F207B"/>
    <w:rsid w:val="009F20E4"/>
    <w:rsid w:val="009F487C"/>
    <w:rsid w:val="00A0156E"/>
    <w:rsid w:val="00A10C68"/>
    <w:rsid w:val="00A11086"/>
    <w:rsid w:val="00A1235B"/>
    <w:rsid w:val="00A14DF7"/>
    <w:rsid w:val="00A16C84"/>
    <w:rsid w:val="00A207F7"/>
    <w:rsid w:val="00A22E19"/>
    <w:rsid w:val="00A268CC"/>
    <w:rsid w:val="00A27082"/>
    <w:rsid w:val="00A27B10"/>
    <w:rsid w:val="00A31294"/>
    <w:rsid w:val="00A3246D"/>
    <w:rsid w:val="00A32C51"/>
    <w:rsid w:val="00A342E4"/>
    <w:rsid w:val="00A3501A"/>
    <w:rsid w:val="00A36E8D"/>
    <w:rsid w:val="00A36FA7"/>
    <w:rsid w:val="00A3725C"/>
    <w:rsid w:val="00A40944"/>
    <w:rsid w:val="00A41E88"/>
    <w:rsid w:val="00A426C5"/>
    <w:rsid w:val="00A4355C"/>
    <w:rsid w:val="00A45020"/>
    <w:rsid w:val="00A45C69"/>
    <w:rsid w:val="00A46A96"/>
    <w:rsid w:val="00A47209"/>
    <w:rsid w:val="00A475B7"/>
    <w:rsid w:val="00A47AF7"/>
    <w:rsid w:val="00A47C3E"/>
    <w:rsid w:val="00A50226"/>
    <w:rsid w:val="00A50992"/>
    <w:rsid w:val="00A520EB"/>
    <w:rsid w:val="00A52CEC"/>
    <w:rsid w:val="00A60BAD"/>
    <w:rsid w:val="00A62887"/>
    <w:rsid w:val="00A66207"/>
    <w:rsid w:val="00A66962"/>
    <w:rsid w:val="00A70A5B"/>
    <w:rsid w:val="00A73339"/>
    <w:rsid w:val="00A737A1"/>
    <w:rsid w:val="00A73A8D"/>
    <w:rsid w:val="00A76E69"/>
    <w:rsid w:val="00A77C79"/>
    <w:rsid w:val="00A8051A"/>
    <w:rsid w:val="00A806AE"/>
    <w:rsid w:val="00A8571D"/>
    <w:rsid w:val="00A85A41"/>
    <w:rsid w:val="00A87334"/>
    <w:rsid w:val="00A90370"/>
    <w:rsid w:val="00A92E6D"/>
    <w:rsid w:val="00A934D5"/>
    <w:rsid w:val="00A957C4"/>
    <w:rsid w:val="00A95BED"/>
    <w:rsid w:val="00A978FC"/>
    <w:rsid w:val="00AA0F8F"/>
    <w:rsid w:val="00AA33CB"/>
    <w:rsid w:val="00AA34FC"/>
    <w:rsid w:val="00AB201E"/>
    <w:rsid w:val="00AB3F92"/>
    <w:rsid w:val="00AB42C4"/>
    <w:rsid w:val="00AB51A6"/>
    <w:rsid w:val="00AB581C"/>
    <w:rsid w:val="00AB5C96"/>
    <w:rsid w:val="00AB641B"/>
    <w:rsid w:val="00AC262B"/>
    <w:rsid w:val="00AC2B40"/>
    <w:rsid w:val="00AC2BB2"/>
    <w:rsid w:val="00AC2C3C"/>
    <w:rsid w:val="00AC3BD9"/>
    <w:rsid w:val="00AC44FA"/>
    <w:rsid w:val="00AC54D1"/>
    <w:rsid w:val="00AC5FA7"/>
    <w:rsid w:val="00AC6EBE"/>
    <w:rsid w:val="00AC77F7"/>
    <w:rsid w:val="00AD2969"/>
    <w:rsid w:val="00AD2F18"/>
    <w:rsid w:val="00AD4722"/>
    <w:rsid w:val="00AD4E50"/>
    <w:rsid w:val="00AD5143"/>
    <w:rsid w:val="00AD58C6"/>
    <w:rsid w:val="00AD640A"/>
    <w:rsid w:val="00AD7E78"/>
    <w:rsid w:val="00AE0520"/>
    <w:rsid w:val="00AE0620"/>
    <w:rsid w:val="00AE0AF7"/>
    <w:rsid w:val="00AE2270"/>
    <w:rsid w:val="00AE2C01"/>
    <w:rsid w:val="00AE35CD"/>
    <w:rsid w:val="00AE4205"/>
    <w:rsid w:val="00AE6155"/>
    <w:rsid w:val="00AE65EB"/>
    <w:rsid w:val="00AE670F"/>
    <w:rsid w:val="00AF1D94"/>
    <w:rsid w:val="00AF27F0"/>
    <w:rsid w:val="00AF316D"/>
    <w:rsid w:val="00AF3A8C"/>
    <w:rsid w:val="00AF5A61"/>
    <w:rsid w:val="00AF60C5"/>
    <w:rsid w:val="00B009C6"/>
    <w:rsid w:val="00B01548"/>
    <w:rsid w:val="00B138BE"/>
    <w:rsid w:val="00B15AE2"/>
    <w:rsid w:val="00B15C1C"/>
    <w:rsid w:val="00B17A0B"/>
    <w:rsid w:val="00B17CB3"/>
    <w:rsid w:val="00B21D29"/>
    <w:rsid w:val="00B21FC5"/>
    <w:rsid w:val="00B25034"/>
    <w:rsid w:val="00B27B29"/>
    <w:rsid w:val="00B27EA3"/>
    <w:rsid w:val="00B3006C"/>
    <w:rsid w:val="00B325C7"/>
    <w:rsid w:val="00B33863"/>
    <w:rsid w:val="00B34F51"/>
    <w:rsid w:val="00B35B7F"/>
    <w:rsid w:val="00B3785E"/>
    <w:rsid w:val="00B37BA4"/>
    <w:rsid w:val="00B37D17"/>
    <w:rsid w:val="00B41628"/>
    <w:rsid w:val="00B4175E"/>
    <w:rsid w:val="00B41842"/>
    <w:rsid w:val="00B4454F"/>
    <w:rsid w:val="00B460EA"/>
    <w:rsid w:val="00B475F7"/>
    <w:rsid w:val="00B50EE7"/>
    <w:rsid w:val="00B510E1"/>
    <w:rsid w:val="00B5179B"/>
    <w:rsid w:val="00B5209B"/>
    <w:rsid w:val="00B54C25"/>
    <w:rsid w:val="00B55E71"/>
    <w:rsid w:val="00B57049"/>
    <w:rsid w:val="00B572B2"/>
    <w:rsid w:val="00B57337"/>
    <w:rsid w:val="00B60801"/>
    <w:rsid w:val="00B617AA"/>
    <w:rsid w:val="00B617EA"/>
    <w:rsid w:val="00B627EB"/>
    <w:rsid w:val="00B6409A"/>
    <w:rsid w:val="00B6569A"/>
    <w:rsid w:val="00B6677B"/>
    <w:rsid w:val="00B71B18"/>
    <w:rsid w:val="00B72539"/>
    <w:rsid w:val="00B72F9C"/>
    <w:rsid w:val="00B7359B"/>
    <w:rsid w:val="00B7672F"/>
    <w:rsid w:val="00B76897"/>
    <w:rsid w:val="00B76B91"/>
    <w:rsid w:val="00B77A19"/>
    <w:rsid w:val="00B800A8"/>
    <w:rsid w:val="00B83FC7"/>
    <w:rsid w:val="00B8473E"/>
    <w:rsid w:val="00B86800"/>
    <w:rsid w:val="00B869CF"/>
    <w:rsid w:val="00B86F81"/>
    <w:rsid w:val="00B929EB"/>
    <w:rsid w:val="00B941AA"/>
    <w:rsid w:val="00B94276"/>
    <w:rsid w:val="00B94618"/>
    <w:rsid w:val="00B978A9"/>
    <w:rsid w:val="00BA0FD6"/>
    <w:rsid w:val="00BA1E2C"/>
    <w:rsid w:val="00BA5336"/>
    <w:rsid w:val="00BB0BD8"/>
    <w:rsid w:val="00BB161C"/>
    <w:rsid w:val="00BB205A"/>
    <w:rsid w:val="00BB538A"/>
    <w:rsid w:val="00BB6DFC"/>
    <w:rsid w:val="00BB7F56"/>
    <w:rsid w:val="00BC1CAB"/>
    <w:rsid w:val="00BC2009"/>
    <w:rsid w:val="00BC50DB"/>
    <w:rsid w:val="00BC526C"/>
    <w:rsid w:val="00BC5AC3"/>
    <w:rsid w:val="00BC5AE6"/>
    <w:rsid w:val="00BC622A"/>
    <w:rsid w:val="00BD05E9"/>
    <w:rsid w:val="00BD48EC"/>
    <w:rsid w:val="00BD5477"/>
    <w:rsid w:val="00BD7B86"/>
    <w:rsid w:val="00BE0433"/>
    <w:rsid w:val="00BE0A78"/>
    <w:rsid w:val="00BE3F7C"/>
    <w:rsid w:val="00BE79F0"/>
    <w:rsid w:val="00BE7E2A"/>
    <w:rsid w:val="00BF046D"/>
    <w:rsid w:val="00BF0AD7"/>
    <w:rsid w:val="00BF46E4"/>
    <w:rsid w:val="00BF570E"/>
    <w:rsid w:val="00BF5D04"/>
    <w:rsid w:val="00BF6A11"/>
    <w:rsid w:val="00BF6D2F"/>
    <w:rsid w:val="00C007D3"/>
    <w:rsid w:val="00C019E6"/>
    <w:rsid w:val="00C0357E"/>
    <w:rsid w:val="00C0462C"/>
    <w:rsid w:val="00C12B78"/>
    <w:rsid w:val="00C1305B"/>
    <w:rsid w:val="00C13563"/>
    <w:rsid w:val="00C155A7"/>
    <w:rsid w:val="00C16CCE"/>
    <w:rsid w:val="00C17E00"/>
    <w:rsid w:val="00C17F66"/>
    <w:rsid w:val="00C21C37"/>
    <w:rsid w:val="00C24035"/>
    <w:rsid w:val="00C25FC2"/>
    <w:rsid w:val="00C26045"/>
    <w:rsid w:val="00C26746"/>
    <w:rsid w:val="00C31D44"/>
    <w:rsid w:val="00C32A88"/>
    <w:rsid w:val="00C333BC"/>
    <w:rsid w:val="00C33FDE"/>
    <w:rsid w:val="00C3534F"/>
    <w:rsid w:val="00C3536F"/>
    <w:rsid w:val="00C364D5"/>
    <w:rsid w:val="00C36810"/>
    <w:rsid w:val="00C37B0E"/>
    <w:rsid w:val="00C404A6"/>
    <w:rsid w:val="00C40A36"/>
    <w:rsid w:val="00C434EA"/>
    <w:rsid w:val="00C44419"/>
    <w:rsid w:val="00C44680"/>
    <w:rsid w:val="00C4563B"/>
    <w:rsid w:val="00C45E7B"/>
    <w:rsid w:val="00C4699B"/>
    <w:rsid w:val="00C471B1"/>
    <w:rsid w:val="00C53E11"/>
    <w:rsid w:val="00C54222"/>
    <w:rsid w:val="00C55437"/>
    <w:rsid w:val="00C55C1A"/>
    <w:rsid w:val="00C61449"/>
    <w:rsid w:val="00C6204C"/>
    <w:rsid w:val="00C62181"/>
    <w:rsid w:val="00C6316B"/>
    <w:rsid w:val="00C634A9"/>
    <w:rsid w:val="00C6376F"/>
    <w:rsid w:val="00C651B1"/>
    <w:rsid w:val="00C65768"/>
    <w:rsid w:val="00C669EE"/>
    <w:rsid w:val="00C67E19"/>
    <w:rsid w:val="00C73315"/>
    <w:rsid w:val="00C73ACA"/>
    <w:rsid w:val="00C741A3"/>
    <w:rsid w:val="00C74DD6"/>
    <w:rsid w:val="00C76BE3"/>
    <w:rsid w:val="00C76E42"/>
    <w:rsid w:val="00C772FF"/>
    <w:rsid w:val="00C801AF"/>
    <w:rsid w:val="00C80256"/>
    <w:rsid w:val="00C81696"/>
    <w:rsid w:val="00C8234B"/>
    <w:rsid w:val="00C87CA5"/>
    <w:rsid w:val="00C9061B"/>
    <w:rsid w:val="00C9183C"/>
    <w:rsid w:val="00C93228"/>
    <w:rsid w:val="00C9355B"/>
    <w:rsid w:val="00C94239"/>
    <w:rsid w:val="00C95D76"/>
    <w:rsid w:val="00C9608E"/>
    <w:rsid w:val="00CA068B"/>
    <w:rsid w:val="00CA0F79"/>
    <w:rsid w:val="00CA3A38"/>
    <w:rsid w:val="00CA403E"/>
    <w:rsid w:val="00CA62E0"/>
    <w:rsid w:val="00CA7F35"/>
    <w:rsid w:val="00CB23A7"/>
    <w:rsid w:val="00CB27FE"/>
    <w:rsid w:val="00CB6AD1"/>
    <w:rsid w:val="00CB6BC0"/>
    <w:rsid w:val="00CC1B7C"/>
    <w:rsid w:val="00CC314F"/>
    <w:rsid w:val="00CC3468"/>
    <w:rsid w:val="00CC50DE"/>
    <w:rsid w:val="00CC66CA"/>
    <w:rsid w:val="00CC727F"/>
    <w:rsid w:val="00CD3412"/>
    <w:rsid w:val="00CD3A7F"/>
    <w:rsid w:val="00CD6EB8"/>
    <w:rsid w:val="00CE3BEA"/>
    <w:rsid w:val="00CE5BB0"/>
    <w:rsid w:val="00CE5E4B"/>
    <w:rsid w:val="00CF08D4"/>
    <w:rsid w:val="00CF0FFF"/>
    <w:rsid w:val="00CF15C3"/>
    <w:rsid w:val="00CF2B6F"/>
    <w:rsid w:val="00CF3BC4"/>
    <w:rsid w:val="00CF6340"/>
    <w:rsid w:val="00D017ED"/>
    <w:rsid w:val="00D02AD9"/>
    <w:rsid w:val="00D049D1"/>
    <w:rsid w:val="00D059F5"/>
    <w:rsid w:val="00D07496"/>
    <w:rsid w:val="00D07BFC"/>
    <w:rsid w:val="00D10B3A"/>
    <w:rsid w:val="00D135F8"/>
    <w:rsid w:val="00D14B89"/>
    <w:rsid w:val="00D153B1"/>
    <w:rsid w:val="00D1617A"/>
    <w:rsid w:val="00D16B61"/>
    <w:rsid w:val="00D224FE"/>
    <w:rsid w:val="00D229BA"/>
    <w:rsid w:val="00D24C02"/>
    <w:rsid w:val="00D2723E"/>
    <w:rsid w:val="00D31D20"/>
    <w:rsid w:val="00D372FF"/>
    <w:rsid w:val="00D46E89"/>
    <w:rsid w:val="00D47415"/>
    <w:rsid w:val="00D51CD8"/>
    <w:rsid w:val="00D548D1"/>
    <w:rsid w:val="00D55A5F"/>
    <w:rsid w:val="00D616AD"/>
    <w:rsid w:val="00D624D6"/>
    <w:rsid w:val="00D63084"/>
    <w:rsid w:val="00D63F91"/>
    <w:rsid w:val="00D6493E"/>
    <w:rsid w:val="00D72783"/>
    <w:rsid w:val="00D73C01"/>
    <w:rsid w:val="00D74637"/>
    <w:rsid w:val="00D763E2"/>
    <w:rsid w:val="00D80DD3"/>
    <w:rsid w:val="00D82F24"/>
    <w:rsid w:val="00D834EE"/>
    <w:rsid w:val="00D84A25"/>
    <w:rsid w:val="00D855AE"/>
    <w:rsid w:val="00D86C12"/>
    <w:rsid w:val="00D87F31"/>
    <w:rsid w:val="00D90170"/>
    <w:rsid w:val="00D909E2"/>
    <w:rsid w:val="00D92175"/>
    <w:rsid w:val="00D97D00"/>
    <w:rsid w:val="00DA0045"/>
    <w:rsid w:val="00DA1124"/>
    <w:rsid w:val="00DA24C7"/>
    <w:rsid w:val="00DA2BE7"/>
    <w:rsid w:val="00DA3BFE"/>
    <w:rsid w:val="00DA453B"/>
    <w:rsid w:val="00DA5B9B"/>
    <w:rsid w:val="00DA7A0C"/>
    <w:rsid w:val="00DB06DC"/>
    <w:rsid w:val="00DB2DAE"/>
    <w:rsid w:val="00DB33CF"/>
    <w:rsid w:val="00DB34E4"/>
    <w:rsid w:val="00DB34F5"/>
    <w:rsid w:val="00DB4BE8"/>
    <w:rsid w:val="00DB5D51"/>
    <w:rsid w:val="00DB6D49"/>
    <w:rsid w:val="00DC38FE"/>
    <w:rsid w:val="00DC4B7C"/>
    <w:rsid w:val="00DC55B7"/>
    <w:rsid w:val="00DC7746"/>
    <w:rsid w:val="00DC79D6"/>
    <w:rsid w:val="00DC7EE4"/>
    <w:rsid w:val="00DD75A3"/>
    <w:rsid w:val="00DE02AE"/>
    <w:rsid w:val="00DE6A0C"/>
    <w:rsid w:val="00DE6C04"/>
    <w:rsid w:val="00DF1D7F"/>
    <w:rsid w:val="00DF2E07"/>
    <w:rsid w:val="00DF2F50"/>
    <w:rsid w:val="00DF445C"/>
    <w:rsid w:val="00E02FB4"/>
    <w:rsid w:val="00E05B04"/>
    <w:rsid w:val="00E06A1B"/>
    <w:rsid w:val="00E0739A"/>
    <w:rsid w:val="00E1165A"/>
    <w:rsid w:val="00E1340C"/>
    <w:rsid w:val="00E1493D"/>
    <w:rsid w:val="00E2020C"/>
    <w:rsid w:val="00E20571"/>
    <w:rsid w:val="00E207D9"/>
    <w:rsid w:val="00E21651"/>
    <w:rsid w:val="00E235F7"/>
    <w:rsid w:val="00E239D4"/>
    <w:rsid w:val="00E2405C"/>
    <w:rsid w:val="00E266CC"/>
    <w:rsid w:val="00E30245"/>
    <w:rsid w:val="00E30D82"/>
    <w:rsid w:val="00E313A8"/>
    <w:rsid w:val="00E40B22"/>
    <w:rsid w:val="00E40BD2"/>
    <w:rsid w:val="00E41AD2"/>
    <w:rsid w:val="00E42068"/>
    <w:rsid w:val="00E4307C"/>
    <w:rsid w:val="00E44F1E"/>
    <w:rsid w:val="00E4588F"/>
    <w:rsid w:val="00E46DA3"/>
    <w:rsid w:val="00E476C8"/>
    <w:rsid w:val="00E57B71"/>
    <w:rsid w:val="00E61803"/>
    <w:rsid w:val="00E66708"/>
    <w:rsid w:val="00E67E22"/>
    <w:rsid w:val="00E72FC4"/>
    <w:rsid w:val="00E73314"/>
    <w:rsid w:val="00E767CC"/>
    <w:rsid w:val="00E76C5C"/>
    <w:rsid w:val="00E81BC9"/>
    <w:rsid w:val="00E85439"/>
    <w:rsid w:val="00E85D5D"/>
    <w:rsid w:val="00E860E0"/>
    <w:rsid w:val="00E86A1F"/>
    <w:rsid w:val="00E8778C"/>
    <w:rsid w:val="00E9008E"/>
    <w:rsid w:val="00E9579B"/>
    <w:rsid w:val="00E97275"/>
    <w:rsid w:val="00EA0A0F"/>
    <w:rsid w:val="00EA16DE"/>
    <w:rsid w:val="00EA406B"/>
    <w:rsid w:val="00EA4687"/>
    <w:rsid w:val="00EA5776"/>
    <w:rsid w:val="00EA676D"/>
    <w:rsid w:val="00EB0798"/>
    <w:rsid w:val="00EB105B"/>
    <w:rsid w:val="00EB28AE"/>
    <w:rsid w:val="00EB2F97"/>
    <w:rsid w:val="00EB34F1"/>
    <w:rsid w:val="00EB40AD"/>
    <w:rsid w:val="00EB4571"/>
    <w:rsid w:val="00EB586E"/>
    <w:rsid w:val="00EB5FC8"/>
    <w:rsid w:val="00EB74A7"/>
    <w:rsid w:val="00EC0999"/>
    <w:rsid w:val="00EC384E"/>
    <w:rsid w:val="00EC47F9"/>
    <w:rsid w:val="00EC4910"/>
    <w:rsid w:val="00EC580A"/>
    <w:rsid w:val="00ED5A41"/>
    <w:rsid w:val="00ED5D05"/>
    <w:rsid w:val="00ED6B23"/>
    <w:rsid w:val="00EE00CA"/>
    <w:rsid w:val="00EE2CC3"/>
    <w:rsid w:val="00EE3577"/>
    <w:rsid w:val="00EE4912"/>
    <w:rsid w:val="00EF1963"/>
    <w:rsid w:val="00EF3C6A"/>
    <w:rsid w:val="00EF578B"/>
    <w:rsid w:val="00EF58D5"/>
    <w:rsid w:val="00EF6D99"/>
    <w:rsid w:val="00EF7B95"/>
    <w:rsid w:val="00F033EC"/>
    <w:rsid w:val="00F0438D"/>
    <w:rsid w:val="00F049A1"/>
    <w:rsid w:val="00F04F68"/>
    <w:rsid w:val="00F10A73"/>
    <w:rsid w:val="00F10BD8"/>
    <w:rsid w:val="00F12670"/>
    <w:rsid w:val="00F14B27"/>
    <w:rsid w:val="00F14C29"/>
    <w:rsid w:val="00F16455"/>
    <w:rsid w:val="00F20118"/>
    <w:rsid w:val="00F2020D"/>
    <w:rsid w:val="00F23105"/>
    <w:rsid w:val="00F25577"/>
    <w:rsid w:val="00F26C80"/>
    <w:rsid w:val="00F2700C"/>
    <w:rsid w:val="00F27DE1"/>
    <w:rsid w:val="00F3148D"/>
    <w:rsid w:val="00F3245D"/>
    <w:rsid w:val="00F32D36"/>
    <w:rsid w:val="00F3509E"/>
    <w:rsid w:val="00F35298"/>
    <w:rsid w:val="00F3529E"/>
    <w:rsid w:val="00F41DCE"/>
    <w:rsid w:val="00F443FD"/>
    <w:rsid w:val="00F45568"/>
    <w:rsid w:val="00F46F9A"/>
    <w:rsid w:val="00F47D14"/>
    <w:rsid w:val="00F47E37"/>
    <w:rsid w:val="00F50ADC"/>
    <w:rsid w:val="00F50B5E"/>
    <w:rsid w:val="00F50E69"/>
    <w:rsid w:val="00F53D11"/>
    <w:rsid w:val="00F53E24"/>
    <w:rsid w:val="00F563ED"/>
    <w:rsid w:val="00F56D63"/>
    <w:rsid w:val="00F57C0D"/>
    <w:rsid w:val="00F62047"/>
    <w:rsid w:val="00F640B6"/>
    <w:rsid w:val="00F647EA"/>
    <w:rsid w:val="00F65B15"/>
    <w:rsid w:val="00F67A84"/>
    <w:rsid w:val="00F70540"/>
    <w:rsid w:val="00F71152"/>
    <w:rsid w:val="00F76802"/>
    <w:rsid w:val="00F80E40"/>
    <w:rsid w:val="00F83BB2"/>
    <w:rsid w:val="00F87CE2"/>
    <w:rsid w:val="00F91585"/>
    <w:rsid w:val="00F923D6"/>
    <w:rsid w:val="00F942E9"/>
    <w:rsid w:val="00F95CA6"/>
    <w:rsid w:val="00F9705F"/>
    <w:rsid w:val="00FA029A"/>
    <w:rsid w:val="00FA144A"/>
    <w:rsid w:val="00FA2018"/>
    <w:rsid w:val="00FA3338"/>
    <w:rsid w:val="00FA5B82"/>
    <w:rsid w:val="00FA639E"/>
    <w:rsid w:val="00FA7DF1"/>
    <w:rsid w:val="00FB1B89"/>
    <w:rsid w:val="00FB3817"/>
    <w:rsid w:val="00FB6EEA"/>
    <w:rsid w:val="00FC03C8"/>
    <w:rsid w:val="00FC2589"/>
    <w:rsid w:val="00FC25E4"/>
    <w:rsid w:val="00FC2874"/>
    <w:rsid w:val="00FC42B9"/>
    <w:rsid w:val="00FC4EF7"/>
    <w:rsid w:val="00FC55F2"/>
    <w:rsid w:val="00FC7D16"/>
    <w:rsid w:val="00FD33BA"/>
    <w:rsid w:val="00FD56A0"/>
    <w:rsid w:val="00FD5947"/>
    <w:rsid w:val="00FD62E3"/>
    <w:rsid w:val="00FD64E9"/>
    <w:rsid w:val="00FE1DEE"/>
    <w:rsid w:val="00FE6747"/>
    <w:rsid w:val="00FE705F"/>
    <w:rsid w:val="00FF01FE"/>
    <w:rsid w:val="00FF1448"/>
    <w:rsid w:val="00FF2126"/>
    <w:rsid w:val="00FF251F"/>
    <w:rsid w:val="00FF25D3"/>
    <w:rsid w:val="00FF4170"/>
    <w:rsid w:val="00FF59FF"/>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5E7007"/>
  <w15:docId w15:val="{9FB8A505-8DA2-46F1-8113-1A546668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A7F35"/>
    <w:pPr>
      <w:spacing w:before="120" w:after="180" w:line="240" w:lineRule="atLeast"/>
    </w:pPr>
    <w:rPr>
      <w:sz w:val="22"/>
      <w:lang w:eastAsia="en-US"/>
    </w:rPr>
  </w:style>
  <w:style w:type="paragraph" w:styleId="Heading1">
    <w:name w:val="heading 1"/>
    <w:basedOn w:val="Heading2"/>
    <w:next w:val="Normal"/>
    <w:link w:val="Heading1Char"/>
    <w:rsid w:val="00D97D00"/>
    <w:pPr>
      <w:outlineLvl w:val="0"/>
    </w:pPr>
  </w:style>
  <w:style w:type="paragraph" w:styleId="Heading2">
    <w:name w:val="heading 2"/>
    <w:basedOn w:val="Normal"/>
    <w:next w:val="Normal"/>
    <w:link w:val="Heading2Char"/>
    <w:qFormat/>
    <w:rsid w:val="00BC2009"/>
    <w:pPr>
      <w:keepNext/>
      <w:keepLines/>
      <w:numPr>
        <w:numId w:val="5"/>
      </w:numPr>
      <w:spacing w:before="480" w:after="120"/>
      <w:outlineLvl w:val="1"/>
    </w:pPr>
    <w:rPr>
      <w:rFonts w:ascii="Arial" w:eastAsia="Times New Roman" w:hAnsi="Arial"/>
      <w:b/>
      <w:bCs/>
      <w:sz w:val="32"/>
      <w:szCs w:val="32"/>
    </w:rPr>
  </w:style>
  <w:style w:type="paragraph" w:styleId="Heading3">
    <w:name w:val="heading 3"/>
    <w:basedOn w:val="Normal"/>
    <w:next w:val="Normal"/>
    <w:link w:val="Heading3Char"/>
    <w:qFormat/>
    <w:rsid w:val="00BC2009"/>
    <w:pPr>
      <w:keepNext/>
      <w:keepLines/>
      <w:numPr>
        <w:ilvl w:val="1"/>
        <w:numId w:val="5"/>
      </w:numPr>
      <w:spacing w:before="480" w:after="120"/>
      <w:outlineLvl w:val="2"/>
    </w:pPr>
    <w:rPr>
      <w:rFonts w:ascii="Arial" w:eastAsia="Times New Roman" w:hAnsi="Arial"/>
      <w:b/>
      <w:bCs/>
      <w:sz w:val="28"/>
      <w:szCs w:val="32"/>
    </w:rPr>
  </w:style>
  <w:style w:type="paragraph" w:styleId="Heading4">
    <w:name w:val="heading 4"/>
    <w:basedOn w:val="Normal"/>
    <w:next w:val="Normal"/>
    <w:link w:val="Heading4Char"/>
    <w:qFormat/>
    <w:rsid w:val="00C333BC"/>
    <w:pPr>
      <w:keepNext/>
      <w:keepLines/>
      <w:spacing w:before="360" w:after="120"/>
      <w:outlineLvl w:val="3"/>
    </w:pPr>
    <w:rPr>
      <w:b/>
      <w:bCs/>
      <w:i/>
      <w:szCs w:val="26"/>
    </w:rPr>
  </w:style>
  <w:style w:type="paragraph" w:styleId="Heading5">
    <w:name w:val="heading 5"/>
    <w:basedOn w:val="Normal"/>
    <w:next w:val="Normal"/>
    <w:link w:val="Heading5Char"/>
    <w:uiPriority w:val="9"/>
    <w:rsid w:val="006C57B7"/>
    <w:pPr>
      <w:keepNext/>
      <w:keepLines/>
      <w:spacing w:before="240" w:after="120"/>
      <w:ind w:left="1008" w:hanging="1008"/>
      <w:outlineLvl w:val="4"/>
    </w:pPr>
    <w:rPr>
      <w:rFonts w:eastAsia="Times New Roman"/>
      <w:b/>
      <w:bCs/>
      <w:i/>
      <w:color w:val="001523"/>
      <w:szCs w:val="26"/>
    </w:rPr>
  </w:style>
  <w:style w:type="paragraph" w:styleId="Heading6">
    <w:name w:val="heading 6"/>
    <w:basedOn w:val="Normal"/>
    <w:next w:val="Normal"/>
    <w:link w:val="Heading6Char"/>
    <w:uiPriority w:val="9"/>
    <w:rsid w:val="00B138BE"/>
    <w:pPr>
      <w:keepNext/>
      <w:keepLines/>
      <w:numPr>
        <w:ilvl w:val="5"/>
        <w:numId w:val="5"/>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B138BE"/>
    <w:pPr>
      <w:keepNext/>
      <w:keepLines/>
      <w:numPr>
        <w:ilvl w:val="6"/>
        <w:numId w:val="5"/>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430AAA"/>
    <w:pPr>
      <w:keepNext/>
      <w:keepLines/>
      <w:numPr>
        <w:ilvl w:val="7"/>
        <w:numId w:val="5"/>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430AAA"/>
    <w:pPr>
      <w:keepNext/>
      <w:keepLines/>
      <w:numPr>
        <w:ilvl w:val="8"/>
        <w:numId w:val="5"/>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D00"/>
    <w:rPr>
      <w:rFonts w:ascii="Arial" w:eastAsia="Times New Roman" w:hAnsi="Arial"/>
      <w:b/>
      <w:bCs/>
      <w:sz w:val="32"/>
      <w:szCs w:val="32"/>
      <w:lang w:eastAsia="en-US"/>
    </w:rPr>
  </w:style>
  <w:style w:type="character" w:customStyle="1" w:styleId="Heading2Char">
    <w:name w:val="Heading 2 Char"/>
    <w:basedOn w:val="DefaultParagraphFont"/>
    <w:link w:val="Heading2"/>
    <w:rsid w:val="00BC2009"/>
    <w:rPr>
      <w:rFonts w:ascii="Arial" w:eastAsia="Times New Roman" w:hAnsi="Arial"/>
      <w:b/>
      <w:bCs/>
      <w:sz w:val="32"/>
      <w:szCs w:val="32"/>
      <w:lang w:eastAsia="en-US"/>
    </w:rPr>
  </w:style>
  <w:style w:type="character" w:customStyle="1" w:styleId="Heading3Char">
    <w:name w:val="Heading 3 Char"/>
    <w:basedOn w:val="DefaultParagraphFont"/>
    <w:link w:val="Heading3"/>
    <w:rsid w:val="00BC2009"/>
    <w:rPr>
      <w:rFonts w:ascii="Arial" w:eastAsia="Times New Roman" w:hAnsi="Arial"/>
      <w:b/>
      <w:bCs/>
      <w:sz w:val="28"/>
      <w:szCs w:val="32"/>
      <w:lang w:eastAsia="en-US"/>
    </w:rPr>
  </w:style>
  <w:style w:type="paragraph" w:customStyle="1" w:styleId="Figuredescription">
    <w:name w:val="Figure description"/>
    <w:basedOn w:val="Normal"/>
    <w:next w:val="Normal"/>
    <w:rsid w:val="00CA62E0"/>
    <w:pPr>
      <w:spacing w:after="240" w:line="180" w:lineRule="atLeast"/>
    </w:pPr>
    <w:rPr>
      <w:sz w:val="18"/>
    </w:rPr>
  </w:style>
  <w:style w:type="paragraph" w:customStyle="1" w:styleId="Figuretitle">
    <w:name w:val="Figure title"/>
    <w:basedOn w:val="Normal"/>
    <w:next w:val="Normal"/>
    <w:rsid w:val="00CA62E0"/>
    <w:pPr>
      <w:outlineLvl w:val="4"/>
    </w:pPr>
    <w:rPr>
      <w:b/>
    </w:rPr>
  </w:style>
  <w:style w:type="paragraph" w:styleId="DocumentMap">
    <w:name w:val="Document Map"/>
    <w:basedOn w:val="Normal"/>
    <w:link w:val="DocumentMapChar"/>
    <w:uiPriority w:val="99"/>
    <w:semiHidden/>
    <w:unhideWhenUsed/>
    <w:rsid w:val="001B5CE3"/>
    <w:pPr>
      <w:spacing w:before="0"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DocumentMapChar">
    <w:name w:val="Document Map Char"/>
    <w:basedOn w:val="DefaultParagraphFont"/>
    <w:link w:val="DocumentMap"/>
    <w:uiPriority w:val="99"/>
    <w:semiHidden/>
    <w:rsid w:val="001B5CE3"/>
    <w:rPr>
      <w:rFonts w:ascii="Tahoma" w:hAnsi="Tahoma" w:cs="Tahoma"/>
      <w:sz w:val="16"/>
      <w:szCs w:val="16"/>
      <w:lang w:eastAsia="en-US"/>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C333BC"/>
    <w:rPr>
      <w:b/>
      <w:bCs/>
      <w:i/>
      <w:sz w:val="22"/>
      <w:szCs w:val="26"/>
      <w:lang w:eastAsia="en-US"/>
    </w:rPr>
  </w:style>
  <w:style w:type="character" w:styleId="FollowedHyperlink">
    <w:name w:val="FollowedHyperlink"/>
    <w:basedOn w:val="DefaultParagraphFont"/>
    <w:semiHidden/>
    <w:unhideWhenUsed/>
    <w:rsid w:val="006B3CF2"/>
    <w:rPr>
      <w:color w:val="800080"/>
      <w:u w:val="single"/>
    </w:rPr>
  </w:style>
  <w:style w:type="paragraph" w:styleId="Footer">
    <w:name w:val="footer"/>
    <w:basedOn w:val="Normal"/>
    <w:link w:val="FooterChar"/>
    <w:uiPriority w:val="99"/>
    <w:rsid w:val="00B138BE"/>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B138BE"/>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EB74A7"/>
    <w:pPr>
      <w:pBdr>
        <w:bottom w:val="none" w:sz="0" w:space="0" w:color="auto"/>
      </w:pBdr>
      <w:spacing w:before="240" w:after="120"/>
    </w:pPr>
  </w:style>
  <w:style w:type="character" w:customStyle="1" w:styleId="Heading5Char">
    <w:name w:val="Heading 5 Char"/>
    <w:basedOn w:val="DefaultParagraphFont"/>
    <w:link w:val="Heading5"/>
    <w:uiPriority w:val="9"/>
    <w:rsid w:val="006C57B7"/>
    <w:rPr>
      <w:rFonts w:eastAsia="Times New Roman"/>
      <w:b/>
      <w:bCs/>
      <w:i/>
      <w:color w:val="001523"/>
      <w:sz w:val="22"/>
      <w:szCs w:val="26"/>
      <w:lang w:eastAsia="en-US"/>
    </w:rPr>
  </w:style>
  <w:style w:type="character" w:customStyle="1" w:styleId="Heading6Char">
    <w:name w:val="Heading 6 Char"/>
    <w:basedOn w:val="DefaultParagraphFont"/>
    <w:link w:val="Heading6"/>
    <w:uiPriority w:val="9"/>
    <w:rsid w:val="00F3148D"/>
    <w:rPr>
      <w:rFonts w:eastAsia="Times New Roman"/>
      <w:b/>
      <w:bCs/>
      <w:i/>
      <w:sz w:val="22"/>
      <w:szCs w:val="21"/>
      <w:lang w:eastAsia="en-US"/>
    </w:rPr>
  </w:style>
  <w:style w:type="character" w:customStyle="1" w:styleId="Heading7Char">
    <w:name w:val="Heading 7 Char"/>
    <w:basedOn w:val="DefaultParagraphFont"/>
    <w:link w:val="Heading7"/>
    <w:uiPriority w:val="9"/>
    <w:rsid w:val="00F3148D"/>
    <w:rPr>
      <w:rFonts w:eastAsia="Times New Roman"/>
      <w:bCs/>
      <w:i/>
      <w:sz w:val="22"/>
      <w:szCs w:val="22"/>
      <w:lang w:eastAsia="en-US"/>
    </w:rPr>
  </w:style>
  <w:style w:type="character" w:styleId="Hyperlink">
    <w:name w:val="Hyperlink"/>
    <w:aliases w:val="OECD Hyperlink"/>
    <w:basedOn w:val="DefaultParagraphFont"/>
    <w:uiPriority w:val="99"/>
    <w:unhideWhenUsed/>
    <w:rsid w:val="00B138BE"/>
    <w:rPr>
      <w:color w:val="0000FF"/>
      <w:u w:val="single"/>
    </w:rPr>
  </w:style>
  <w:style w:type="paragraph" w:customStyle="1" w:styleId="LegalCopy">
    <w:name w:val="Legal Copy"/>
    <w:basedOn w:val="Footer"/>
    <w:unhideWhenUsed/>
    <w:rsid w:val="006B3CF2"/>
  </w:style>
  <w:style w:type="paragraph" w:customStyle="1" w:styleId="LegalSubheading">
    <w:name w:val="Legal Subheading"/>
    <w:basedOn w:val="Footer"/>
    <w:unhideWhenUsed/>
    <w:rsid w:val="006B3CF2"/>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E313A8"/>
    <w:pPr>
      <w:numPr>
        <w:numId w:val="3"/>
      </w:numPr>
    </w:pPr>
  </w:style>
  <w:style w:type="paragraph" w:styleId="ListBullet2">
    <w:name w:val="List Bullet 2"/>
    <w:basedOn w:val="Normal"/>
    <w:uiPriority w:val="99"/>
    <w:qFormat/>
    <w:rsid w:val="00E313A8"/>
    <w:pPr>
      <w:numPr>
        <w:ilvl w:val="1"/>
        <w:numId w:val="3"/>
      </w:numPr>
    </w:pPr>
  </w:style>
  <w:style w:type="paragraph" w:styleId="ListBullet3">
    <w:name w:val="List Bullet 3"/>
    <w:basedOn w:val="Normal"/>
    <w:uiPriority w:val="99"/>
    <w:qFormat/>
    <w:rsid w:val="00E313A8"/>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313A8"/>
    <w:pPr>
      <w:numPr>
        <w:numId w:val="4"/>
      </w:numPr>
    </w:pPr>
  </w:style>
  <w:style w:type="paragraph" w:customStyle="1" w:styleId="Numberbullet2">
    <w:name w:val="Number bullet 2"/>
    <w:basedOn w:val="ListBullet2"/>
    <w:qFormat/>
    <w:rsid w:val="00E313A8"/>
    <w:pPr>
      <w:numPr>
        <w:numId w:val="4"/>
      </w:numPr>
      <w:ind w:left="850" w:hanging="425"/>
    </w:pPr>
  </w:style>
  <w:style w:type="paragraph" w:customStyle="1" w:styleId="Numberbullet3">
    <w:name w:val="Number bullet 3"/>
    <w:basedOn w:val="ListBullet3"/>
    <w:qFormat/>
    <w:rsid w:val="00E313A8"/>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B138BE"/>
    <w:pPr>
      <w:spacing w:before="40" w:after="0"/>
      <w:ind w:left="170" w:hanging="170"/>
    </w:pPr>
    <w:rPr>
      <w:sz w:val="19"/>
    </w:rPr>
  </w:style>
  <w:style w:type="paragraph" w:styleId="Subtitle">
    <w:name w:val="Subtitle"/>
    <w:basedOn w:val="Normal"/>
    <w:next w:val="Normal"/>
    <w:link w:val="SubtitleChar"/>
    <w:uiPriority w:val="11"/>
    <w:unhideWhenUsed/>
    <w:rsid w:val="001F04D7"/>
    <w:pPr>
      <w:numPr>
        <w:ilvl w:val="1"/>
      </w:numPr>
      <w:spacing w:after="12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1F04D7"/>
    <w:rPr>
      <w:rFonts w:ascii="Arial" w:eastAsia="Times New Roman" w:hAnsi="Arial"/>
      <w:bCs/>
      <w:iCs/>
      <w:color w:val="006DA7"/>
      <w:sz w:val="40"/>
      <w:szCs w:val="24"/>
      <w:lang w:eastAsia="en-US"/>
    </w:rPr>
  </w:style>
  <w:style w:type="table" w:styleId="TableGrid">
    <w:name w:val="Table Grid"/>
    <w:basedOn w:val="TableNormal"/>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E860E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E860E0"/>
    <w:pPr>
      <w:keepNext/>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itle">
    <w:name w:val="Title"/>
    <w:next w:val="Normal"/>
    <w:link w:val="TitleChar"/>
    <w:uiPriority w:val="10"/>
    <w:unhideWhenUsed/>
    <w:rsid w:val="009F20E4"/>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9F20E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D3724"/>
    <w:pPr>
      <w:keepNext/>
      <w:keepLines/>
      <w:tabs>
        <w:tab w:val="right" w:leader="underscore" w:pos="8505"/>
      </w:tabs>
      <w:spacing w:after="200"/>
    </w:pPr>
    <w:rPr>
      <w:rFonts w:ascii="Arial" w:hAnsi="Arial"/>
      <w:b/>
    </w:rPr>
  </w:style>
  <w:style w:type="paragraph" w:styleId="TOC2">
    <w:name w:val="toc 2"/>
    <w:basedOn w:val="Normal"/>
    <w:next w:val="Normal"/>
    <w:uiPriority w:val="39"/>
    <w:unhideWhenUsed/>
    <w:rsid w:val="008D3724"/>
    <w:pPr>
      <w:keepNext/>
      <w:keepLines/>
      <w:tabs>
        <w:tab w:val="right" w:leader="underscore" w:pos="8505"/>
      </w:tabs>
      <w:spacing w:after="100"/>
      <w:ind w:left="425"/>
    </w:pPr>
  </w:style>
  <w:style w:type="paragraph" w:styleId="TOC3">
    <w:name w:val="toc 3"/>
    <w:basedOn w:val="Normal"/>
    <w:next w:val="Normal"/>
    <w:uiPriority w:val="39"/>
    <w:unhideWhenUsed/>
    <w:rsid w:val="008D3724"/>
    <w:pPr>
      <w:keepNext/>
      <w:keepLines/>
      <w:tabs>
        <w:tab w:val="right" w:leader="hyphen" w:pos="8505"/>
      </w:tabs>
      <w:spacing w:after="100"/>
      <w:ind w:left="851"/>
    </w:pPr>
    <w:rPr>
      <w:sz w:val="20"/>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B138BE"/>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8D3724"/>
    <w:pPr>
      <w:keepNext/>
      <w:keepLines/>
      <w:spacing w:before="360"/>
    </w:pPr>
    <w:rPr>
      <w:rFonts w:ascii="Arial" w:hAnsi="Arial"/>
      <w:b/>
    </w:rPr>
  </w:style>
  <w:style w:type="paragraph" w:customStyle="1" w:styleId="Quotation">
    <w:name w:val="Quotation"/>
    <w:basedOn w:val="Normal"/>
    <w:next w:val="Normal"/>
    <w:uiPriority w:val="4"/>
    <w:qFormat/>
    <w:rsid w:val="00B138BE"/>
    <w:pPr>
      <w:ind w:left="425"/>
    </w:pPr>
    <w:rPr>
      <w:sz w:val="20"/>
    </w:rPr>
  </w:style>
  <w:style w:type="paragraph" w:customStyle="1" w:styleId="Tabledescription">
    <w:name w:val="Table description"/>
    <w:basedOn w:val="Figuredescription"/>
    <w:next w:val="Normal"/>
    <w:rsid w:val="00CA62E0"/>
  </w:style>
  <w:style w:type="paragraph" w:customStyle="1" w:styleId="Tabletitle">
    <w:name w:val="Table title"/>
    <w:basedOn w:val="Normal"/>
    <w:next w:val="Normal"/>
    <w:rsid w:val="00041297"/>
    <w:pPr>
      <w:keepNext/>
      <w:outlineLvl w:val="4"/>
    </w:pPr>
    <w:rPr>
      <w:b/>
    </w:rPr>
  </w:style>
  <w:style w:type="paragraph" w:styleId="TOC4">
    <w:name w:val="toc 4"/>
    <w:basedOn w:val="Normal"/>
    <w:next w:val="Normal"/>
    <w:autoRedefine/>
    <w:uiPriority w:val="39"/>
    <w:semiHidden/>
    <w:unhideWhenUsed/>
    <w:rsid w:val="00B138BE"/>
    <w:pPr>
      <w:tabs>
        <w:tab w:val="right" w:leader="hyphen" w:pos="8505"/>
      </w:tabs>
      <w:spacing w:after="100"/>
      <w:ind w:left="1276"/>
    </w:pPr>
  </w:style>
  <w:style w:type="paragraph" w:styleId="TOC5">
    <w:name w:val="toc 5"/>
    <w:basedOn w:val="Normal"/>
    <w:next w:val="Normal"/>
    <w:autoRedefine/>
    <w:uiPriority w:val="39"/>
    <w:semiHidden/>
    <w:unhideWhenUsed/>
    <w:rsid w:val="00B138BE"/>
    <w:pPr>
      <w:tabs>
        <w:tab w:val="right" w:leader="dot" w:pos="8505"/>
      </w:tabs>
      <w:spacing w:after="100"/>
      <w:ind w:left="1701"/>
    </w:pPr>
    <w:rPr>
      <w:noProof/>
    </w:rPr>
  </w:style>
  <w:style w:type="paragraph" w:styleId="TOC6">
    <w:name w:val="toc 6"/>
    <w:basedOn w:val="Normal"/>
    <w:next w:val="Normal"/>
    <w:autoRedefine/>
    <w:uiPriority w:val="39"/>
    <w:semiHidden/>
    <w:unhideWhenUsed/>
    <w:rsid w:val="00B138BE"/>
    <w:pPr>
      <w:tabs>
        <w:tab w:val="right" w:pos="8505"/>
      </w:tabs>
      <w:spacing w:after="100"/>
      <w:ind w:left="2126"/>
    </w:pPr>
  </w:style>
  <w:style w:type="paragraph" w:styleId="EndnoteText">
    <w:name w:val="endnote text"/>
    <w:basedOn w:val="FootnoteText"/>
    <w:link w:val="EndnoteTextChar"/>
    <w:semiHidden/>
    <w:unhideWhenUsed/>
    <w:rsid w:val="00732B06"/>
    <w:rPr>
      <w:rFonts w:asciiTheme="minorHAnsi" w:hAnsiTheme="minorHAnsi" w:cstheme="minorBidi"/>
      <w:szCs w:val="22"/>
    </w:rPr>
  </w:style>
  <w:style w:type="character" w:customStyle="1" w:styleId="EndnoteTextChar">
    <w:name w:val="Endnote Text Char"/>
    <w:basedOn w:val="DefaultParagraphFont"/>
    <w:link w:val="EndnoteText"/>
    <w:semiHidden/>
    <w:rsid w:val="00732B06"/>
    <w:rPr>
      <w:rFonts w:asciiTheme="minorHAnsi" w:hAnsiTheme="minorHAnsi" w:cstheme="minorBidi"/>
      <w:szCs w:val="22"/>
      <w:lang w:eastAsia="en-US"/>
    </w:rPr>
  </w:style>
  <w:style w:type="paragraph" w:styleId="ListParagraph">
    <w:name w:val="List Paragraph"/>
    <w:basedOn w:val="Normal"/>
    <w:uiPriority w:val="34"/>
    <w:qFormat/>
    <w:rsid w:val="008D3FCE"/>
    <w:pPr>
      <w:ind w:left="720"/>
      <w:contextualSpacing/>
    </w:pPr>
  </w:style>
  <w:style w:type="character" w:customStyle="1" w:styleId="Heading8Char">
    <w:name w:val="Heading 8 Char"/>
    <w:basedOn w:val="DefaultParagraphFont"/>
    <w:link w:val="Heading8"/>
    <w:uiPriority w:val="9"/>
    <w:semiHidden/>
    <w:rsid w:val="00430AAA"/>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430AAA"/>
    <w:rPr>
      <w:rFonts w:asciiTheme="majorHAnsi" w:eastAsiaTheme="majorEastAsia" w:hAnsiTheme="majorHAnsi" w:cstheme="majorBidi"/>
      <w:i/>
      <w:iCs/>
      <w:color w:val="0070B5" w:themeColor="text1" w:themeTint="BF"/>
      <w:lang w:eastAsia="en-US"/>
    </w:rPr>
  </w:style>
  <w:style w:type="character" w:styleId="CommentReference">
    <w:name w:val="annotation reference"/>
    <w:basedOn w:val="DefaultParagraphFont"/>
    <w:uiPriority w:val="99"/>
    <w:semiHidden/>
    <w:unhideWhenUsed/>
    <w:rsid w:val="00A342E4"/>
    <w:rPr>
      <w:sz w:val="16"/>
      <w:szCs w:val="16"/>
    </w:rPr>
  </w:style>
  <w:style w:type="paragraph" w:styleId="CommentText">
    <w:name w:val="annotation text"/>
    <w:basedOn w:val="Normal"/>
    <w:link w:val="CommentTextChar"/>
    <w:uiPriority w:val="99"/>
    <w:unhideWhenUsed/>
    <w:rsid w:val="00A342E4"/>
    <w:pPr>
      <w:spacing w:line="240" w:lineRule="auto"/>
    </w:pPr>
    <w:rPr>
      <w:sz w:val="20"/>
    </w:rPr>
  </w:style>
  <w:style w:type="character" w:customStyle="1" w:styleId="CommentTextChar">
    <w:name w:val="Comment Text Char"/>
    <w:basedOn w:val="DefaultParagraphFont"/>
    <w:link w:val="CommentText"/>
    <w:uiPriority w:val="99"/>
    <w:rsid w:val="00A342E4"/>
    <w:rPr>
      <w:lang w:eastAsia="en-US"/>
    </w:rPr>
  </w:style>
  <w:style w:type="paragraph" w:styleId="CommentSubject">
    <w:name w:val="annotation subject"/>
    <w:basedOn w:val="CommentText"/>
    <w:next w:val="CommentText"/>
    <w:link w:val="CommentSubjectChar"/>
    <w:uiPriority w:val="99"/>
    <w:semiHidden/>
    <w:unhideWhenUsed/>
    <w:rsid w:val="00A342E4"/>
    <w:rPr>
      <w:b/>
      <w:bCs/>
    </w:rPr>
  </w:style>
  <w:style w:type="character" w:customStyle="1" w:styleId="CommentSubjectChar">
    <w:name w:val="Comment Subject Char"/>
    <w:basedOn w:val="CommentTextChar"/>
    <w:link w:val="CommentSubject"/>
    <w:uiPriority w:val="99"/>
    <w:semiHidden/>
    <w:rsid w:val="00A342E4"/>
    <w:rPr>
      <w:b/>
      <w:bCs/>
      <w:lang w:eastAsia="en-US"/>
    </w:rPr>
  </w:style>
  <w:style w:type="table" w:styleId="LightList-Accent1">
    <w:name w:val="Light List Accent 1"/>
    <w:basedOn w:val="TableNormal"/>
    <w:uiPriority w:val="61"/>
    <w:rsid w:val="00D47415"/>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semiHidden/>
    <w:unhideWhenUsed/>
    <w:rsid w:val="008D3724"/>
    <w:pPr>
      <w:spacing w:after="100"/>
      <w:ind w:left="1760"/>
    </w:pPr>
  </w:style>
  <w:style w:type="paragraph" w:customStyle="1" w:styleId="TableTitle0">
    <w:name w:val="Table Title"/>
    <w:basedOn w:val="Normal"/>
    <w:next w:val="Normal"/>
    <w:qFormat/>
    <w:rsid w:val="00FA7DF1"/>
    <w:pPr>
      <w:spacing w:before="180"/>
    </w:pPr>
    <w:rPr>
      <w:b/>
    </w:rPr>
  </w:style>
  <w:style w:type="character" w:styleId="Strong">
    <w:name w:val="Strong"/>
    <w:basedOn w:val="DefaultParagraphFont"/>
    <w:uiPriority w:val="22"/>
    <w:qFormat/>
    <w:rsid w:val="00FA7DF1"/>
    <w:rPr>
      <w:b/>
      <w:bCs/>
    </w:rPr>
  </w:style>
  <w:style w:type="paragraph" w:customStyle="1" w:styleId="Default">
    <w:name w:val="Default"/>
    <w:rsid w:val="00AE6155"/>
    <w:pPr>
      <w:autoSpaceDE w:val="0"/>
      <w:autoSpaceDN w:val="0"/>
      <w:adjustRightInd w:val="0"/>
    </w:pPr>
    <w:rPr>
      <w:rFonts w:ascii="Times New Roman" w:hAnsi="Times New Roman"/>
      <w:color w:val="000000"/>
      <w:sz w:val="24"/>
      <w:szCs w:val="24"/>
    </w:rPr>
  </w:style>
  <w:style w:type="character" w:styleId="EndnoteReference">
    <w:name w:val="endnote reference"/>
    <w:basedOn w:val="DefaultParagraphFont"/>
    <w:uiPriority w:val="99"/>
    <w:semiHidden/>
    <w:unhideWhenUsed/>
    <w:rsid w:val="00871E49"/>
    <w:rPr>
      <w:vertAlign w:val="superscript"/>
    </w:rPr>
  </w:style>
  <w:style w:type="character" w:customStyle="1" w:styleId="fontstyle01">
    <w:name w:val="fontstyle01"/>
    <w:basedOn w:val="DefaultParagraphFont"/>
    <w:rsid w:val="002B3304"/>
    <w:rPr>
      <w:rFonts w:ascii="Cambria" w:hAnsi="Cambria" w:hint="default"/>
      <w:b w:val="0"/>
      <w:bCs w:val="0"/>
      <w:i w:val="0"/>
      <w:iCs w:val="0"/>
      <w:color w:val="000000"/>
      <w:sz w:val="22"/>
      <w:szCs w:val="22"/>
    </w:rPr>
  </w:style>
  <w:style w:type="character" w:customStyle="1" w:styleId="fontstyle21">
    <w:name w:val="fontstyle21"/>
    <w:basedOn w:val="DefaultParagraphFont"/>
    <w:rsid w:val="002B3304"/>
    <w:rPr>
      <w:rFonts w:ascii="Cambria-Bold" w:hAnsi="Cambria-Bold" w:hint="default"/>
      <w:b/>
      <w:bCs/>
      <w:i w:val="0"/>
      <w:iCs w:val="0"/>
      <w:color w:val="000000"/>
      <w:sz w:val="22"/>
      <w:szCs w:val="22"/>
    </w:rPr>
  </w:style>
  <w:style w:type="paragraph" w:styleId="Revision">
    <w:name w:val="Revision"/>
    <w:hidden/>
    <w:uiPriority w:val="99"/>
    <w:semiHidden/>
    <w:rsid w:val="002C48BF"/>
    <w:rPr>
      <w:sz w:val="22"/>
      <w:lang w:eastAsia="en-US"/>
    </w:rPr>
  </w:style>
  <w:style w:type="paragraph" w:customStyle="1" w:styleId="ListBulleta">
    <w:name w:val="List Bullet a)"/>
    <w:basedOn w:val="ListBullet"/>
    <w:uiPriority w:val="1"/>
    <w:qFormat/>
    <w:rsid w:val="005302F5"/>
    <w:pPr>
      <w:numPr>
        <w:numId w:val="6"/>
      </w:numPr>
    </w:pPr>
  </w:style>
  <w:style w:type="paragraph" w:customStyle="1" w:styleId="ListBulleti">
    <w:name w:val="List Bullet i)"/>
    <w:basedOn w:val="ListBullet"/>
    <w:uiPriority w:val="1"/>
    <w:qFormat/>
    <w:rsid w:val="005302F5"/>
    <w:pPr>
      <w:numPr>
        <w:numId w:val="7"/>
      </w:numPr>
    </w:pPr>
  </w:style>
  <w:style w:type="character" w:customStyle="1" w:styleId="Style1">
    <w:name w:val="Style1"/>
    <w:basedOn w:val="DefaultParagraphFont"/>
    <w:uiPriority w:val="1"/>
    <w:rsid w:val="005A5916"/>
    <w:rPr>
      <w:rFonts w:ascii="Cambria" w:hAnsi="Cambria"/>
      <w:sz w:val="22"/>
    </w:rPr>
  </w:style>
  <w:style w:type="paragraph" w:styleId="NormalWeb">
    <w:name w:val="Normal (Web)"/>
    <w:basedOn w:val="Normal"/>
    <w:uiPriority w:val="99"/>
    <w:unhideWhenUsed/>
    <w:rsid w:val="004B545E"/>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acthead5">
    <w:name w:val="acthead5"/>
    <w:basedOn w:val="Normal"/>
    <w:rsid w:val="00574B36"/>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harsectno">
    <w:name w:val="charsectno"/>
    <w:basedOn w:val="DefaultParagraphFont"/>
    <w:rsid w:val="00574B36"/>
  </w:style>
  <w:style w:type="paragraph" w:customStyle="1" w:styleId="subsection">
    <w:name w:val="subsection"/>
    <w:basedOn w:val="Normal"/>
    <w:rsid w:val="00574B36"/>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basedOn w:val="Normal"/>
    <w:rsid w:val="00574B36"/>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FigureTitle0">
    <w:name w:val="Figure Title"/>
    <w:basedOn w:val="Normal"/>
    <w:rsid w:val="00E73314"/>
    <w:pPr>
      <w:spacing w:before="180" w:line="220" w:lineRule="atLeast"/>
    </w:pPr>
    <w:rPr>
      <w:b/>
    </w:rPr>
  </w:style>
  <w:style w:type="table" w:customStyle="1" w:styleId="TableGrid1">
    <w:name w:val="Table Grid1"/>
    <w:basedOn w:val="TableNormal"/>
    <w:next w:val="TableGrid"/>
    <w:uiPriority w:val="59"/>
    <w:rsid w:val="00E73314"/>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E73314"/>
    <w:pPr>
      <w:numPr>
        <w:numId w:val="15"/>
      </w:numPr>
      <w:tabs>
        <w:tab w:val="clear" w:pos="360"/>
        <w:tab w:val="num" w:pos="432"/>
        <w:tab w:val="num" w:pos="720"/>
        <w:tab w:val="left" w:pos="1440"/>
      </w:tabs>
      <w:spacing w:before="0" w:after="240" w:line="240" w:lineRule="auto"/>
      <w:contextualSpacing/>
    </w:pPr>
    <w:rPr>
      <w:rFonts w:ascii="Times New Roman" w:eastAsia="Times New Roman" w:hAnsi="Times New Roman"/>
      <w:sz w:val="24"/>
      <w:szCs w:val="24"/>
      <w:lang w:eastAsia="en-AU"/>
    </w:rPr>
  </w:style>
  <w:style w:type="paragraph" w:styleId="BodyText">
    <w:name w:val="Body Text"/>
    <w:basedOn w:val="Normal"/>
    <w:link w:val="BodyTextChar"/>
    <w:rsid w:val="00E73314"/>
    <w:pPr>
      <w:numPr>
        <w:numId w:val="17"/>
      </w:numPr>
      <w:spacing w:before="0" w:after="240" w:line="240" w:lineRule="auto"/>
    </w:pPr>
    <w:rPr>
      <w:rFonts w:ascii="Times New Roman" w:eastAsia="Times New Roman" w:hAnsi="Times New Roman"/>
      <w:sz w:val="24"/>
      <w:lang w:eastAsia="en-AU"/>
    </w:rPr>
  </w:style>
  <w:style w:type="character" w:customStyle="1" w:styleId="BodyTextChar">
    <w:name w:val="Body Text Char"/>
    <w:basedOn w:val="DefaultParagraphFont"/>
    <w:link w:val="BodyText"/>
    <w:rsid w:val="00E73314"/>
    <w:rPr>
      <w:rFonts w:ascii="Times New Roman" w:eastAsia="Times New Roman" w:hAnsi="Times New Roman"/>
      <w:sz w:val="24"/>
    </w:rPr>
  </w:style>
  <w:style w:type="table" w:customStyle="1" w:styleId="TableTGAblue1">
    <w:name w:val="Table TGA blue1"/>
    <w:basedOn w:val="TableNormal"/>
    <w:uiPriority w:val="99"/>
    <w:qFormat/>
    <w:rsid w:val="00E73314"/>
    <w:rPr>
      <w:szCs w:val="21"/>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paragraph" w:customStyle="1" w:styleId="ActionBullet">
    <w:name w:val="Action Bullet"/>
    <w:basedOn w:val="Normal"/>
    <w:uiPriority w:val="99"/>
    <w:rsid w:val="00E73314"/>
    <w:pPr>
      <w:numPr>
        <w:numId w:val="18"/>
      </w:numPr>
      <w:tabs>
        <w:tab w:val="clear" w:pos="360"/>
        <w:tab w:val="num" w:pos="757"/>
        <w:tab w:val="left" w:pos="1440"/>
      </w:tabs>
      <w:spacing w:before="0" w:after="240" w:line="240" w:lineRule="auto"/>
      <w:ind w:left="737" w:hanging="340"/>
    </w:pPr>
    <w:rPr>
      <w:rFonts w:ascii="Times New Roman" w:eastAsia="Times New Roman" w:hAnsi="Times New Roman"/>
      <w:i/>
      <w:iCs/>
      <w:sz w:val="24"/>
      <w:szCs w:val="24"/>
      <w:lang w:eastAsia="en-AU"/>
    </w:rPr>
  </w:style>
  <w:style w:type="table" w:customStyle="1" w:styleId="TableTGAblue2">
    <w:name w:val="Table TGA blue2"/>
    <w:basedOn w:val="TableNormal"/>
    <w:uiPriority w:val="99"/>
    <w:qFormat/>
    <w:rsid w:val="00E73314"/>
    <w:rPr>
      <w:szCs w:val="21"/>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character" w:styleId="UnresolvedMention">
    <w:name w:val="Unresolved Mention"/>
    <w:basedOn w:val="DefaultParagraphFont"/>
    <w:uiPriority w:val="99"/>
    <w:semiHidden/>
    <w:unhideWhenUsed/>
    <w:rsid w:val="00E44F1E"/>
    <w:rPr>
      <w:color w:val="605E5C"/>
      <w:shd w:val="clear" w:color="auto" w:fill="E1DFDD"/>
    </w:rPr>
  </w:style>
  <w:style w:type="paragraph" w:styleId="TOC8">
    <w:name w:val="toc 8"/>
    <w:basedOn w:val="Normal"/>
    <w:next w:val="Normal"/>
    <w:autoRedefine/>
    <w:uiPriority w:val="39"/>
    <w:semiHidden/>
    <w:unhideWhenUsed/>
    <w:rsid w:val="00AC5FA7"/>
    <w:pPr>
      <w:spacing w:after="100"/>
      <w:ind w:left="1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86088">
      <w:bodyDiv w:val="1"/>
      <w:marLeft w:val="0"/>
      <w:marRight w:val="0"/>
      <w:marTop w:val="0"/>
      <w:marBottom w:val="0"/>
      <w:divBdr>
        <w:top w:val="none" w:sz="0" w:space="0" w:color="auto"/>
        <w:left w:val="none" w:sz="0" w:space="0" w:color="auto"/>
        <w:bottom w:val="none" w:sz="0" w:space="0" w:color="auto"/>
        <w:right w:val="none" w:sz="0" w:space="0" w:color="auto"/>
      </w:divBdr>
    </w:div>
    <w:div w:id="236133604">
      <w:bodyDiv w:val="1"/>
      <w:marLeft w:val="0"/>
      <w:marRight w:val="0"/>
      <w:marTop w:val="0"/>
      <w:marBottom w:val="0"/>
      <w:divBdr>
        <w:top w:val="none" w:sz="0" w:space="0" w:color="auto"/>
        <w:left w:val="none" w:sz="0" w:space="0" w:color="auto"/>
        <w:bottom w:val="none" w:sz="0" w:space="0" w:color="auto"/>
        <w:right w:val="none" w:sz="0" w:space="0" w:color="auto"/>
      </w:divBdr>
      <w:divsChild>
        <w:div w:id="1439183926">
          <w:marLeft w:val="0"/>
          <w:marRight w:val="0"/>
          <w:marTop w:val="0"/>
          <w:marBottom w:val="0"/>
          <w:divBdr>
            <w:top w:val="none" w:sz="0" w:space="0" w:color="auto"/>
            <w:left w:val="none" w:sz="0" w:space="0" w:color="auto"/>
            <w:bottom w:val="none" w:sz="0" w:space="0" w:color="auto"/>
            <w:right w:val="none" w:sz="0" w:space="0" w:color="auto"/>
          </w:divBdr>
        </w:div>
      </w:divsChild>
    </w:div>
    <w:div w:id="553199268">
      <w:bodyDiv w:val="1"/>
      <w:marLeft w:val="0"/>
      <w:marRight w:val="0"/>
      <w:marTop w:val="0"/>
      <w:marBottom w:val="0"/>
      <w:divBdr>
        <w:top w:val="none" w:sz="0" w:space="0" w:color="auto"/>
        <w:left w:val="none" w:sz="0" w:space="0" w:color="auto"/>
        <w:bottom w:val="none" w:sz="0" w:space="0" w:color="auto"/>
        <w:right w:val="none" w:sz="0" w:space="0" w:color="auto"/>
      </w:divBdr>
    </w:div>
    <w:div w:id="848642115">
      <w:bodyDiv w:val="1"/>
      <w:marLeft w:val="0"/>
      <w:marRight w:val="0"/>
      <w:marTop w:val="0"/>
      <w:marBottom w:val="0"/>
      <w:divBdr>
        <w:top w:val="none" w:sz="0" w:space="0" w:color="auto"/>
        <w:left w:val="none" w:sz="0" w:space="0" w:color="auto"/>
        <w:bottom w:val="none" w:sz="0" w:space="0" w:color="auto"/>
        <w:right w:val="none" w:sz="0" w:space="0" w:color="auto"/>
      </w:divBdr>
    </w:div>
    <w:div w:id="943348303">
      <w:bodyDiv w:val="1"/>
      <w:marLeft w:val="0"/>
      <w:marRight w:val="0"/>
      <w:marTop w:val="0"/>
      <w:marBottom w:val="0"/>
      <w:divBdr>
        <w:top w:val="none" w:sz="0" w:space="0" w:color="auto"/>
        <w:left w:val="none" w:sz="0" w:space="0" w:color="auto"/>
        <w:bottom w:val="none" w:sz="0" w:space="0" w:color="auto"/>
        <w:right w:val="none" w:sz="0" w:space="0" w:color="auto"/>
      </w:divBdr>
    </w:div>
    <w:div w:id="989166881">
      <w:bodyDiv w:val="1"/>
      <w:marLeft w:val="0"/>
      <w:marRight w:val="0"/>
      <w:marTop w:val="0"/>
      <w:marBottom w:val="0"/>
      <w:divBdr>
        <w:top w:val="none" w:sz="0" w:space="0" w:color="auto"/>
        <w:left w:val="none" w:sz="0" w:space="0" w:color="auto"/>
        <w:bottom w:val="none" w:sz="0" w:space="0" w:color="auto"/>
        <w:right w:val="none" w:sz="0" w:space="0" w:color="auto"/>
      </w:divBdr>
    </w:div>
    <w:div w:id="1171066873">
      <w:bodyDiv w:val="1"/>
      <w:marLeft w:val="0"/>
      <w:marRight w:val="0"/>
      <w:marTop w:val="0"/>
      <w:marBottom w:val="0"/>
      <w:divBdr>
        <w:top w:val="none" w:sz="0" w:space="0" w:color="auto"/>
        <w:left w:val="none" w:sz="0" w:space="0" w:color="auto"/>
        <w:bottom w:val="none" w:sz="0" w:space="0" w:color="auto"/>
        <w:right w:val="none" w:sz="0" w:space="0" w:color="auto"/>
      </w:divBdr>
    </w:div>
    <w:div w:id="1218779523">
      <w:bodyDiv w:val="1"/>
      <w:marLeft w:val="0"/>
      <w:marRight w:val="0"/>
      <w:marTop w:val="0"/>
      <w:marBottom w:val="0"/>
      <w:divBdr>
        <w:top w:val="none" w:sz="0" w:space="0" w:color="auto"/>
        <w:left w:val="none" w:sz="0" w:space="0" w:color="auto"/>
        <w:bottom w:val="none" w:sz="0" w:space="0" w:color="auto"/>
        <w:right w:val="none" w:sz="0" w:space="0" w:color="auto"/>
      </w:divBdr>
    </w:div>
    <w:div w:id="1461454495">
      <w:bodyDiv w:val="1"/>
      <w:marLeft w:val="0"/>
      <w:marRight w:val="0"/>
      <w:marTop w:val="0"/>
      <w:marBottom w:val="0"/>
      <w:divBdr>
        <w:top w:val="none" w:sz="0" w:space="0" w:color="auto"/>
        <w:left w:val="none" w:sz="0" w:space="0" w:color="auto"/>
        <w:bottom w:val="none" w:sz="0" w:space="0" w:color="auto"/>
        <w:right w:val="none" w:sz="0" w:space="0" w:color="auto"/>
      </w:divBdr>
    </w:div>
    <w:div w:id="1647196541">
      <w:bodyDiv w:val="1"/>
      <w:marLeft w:val="0"/>
      <w:marRight w:val="0"/>
      <w:marTop w:val="0"/>
      <w:marBottom w:val="0"/>
      <w:divBdr>
        <w:top w:val="none" w:sz="0" w:space="0" w:color="auto"/>
        <w:left w:val="none" w:sz="0" w:space="0" w:color="auto"/>
        <w:bottom w:val="none" w:sz="0" w:space="0" w:color="auto"/>
        <w:right w:val="none" w:sz="0" w:space="0" w:color="auto"/>
      </w:divBdr>
    </w:div>
    <w:div w:id="1658873431">
      <w:bodyDiv w:val="1"/>
      <w:marLeft w:val="0"/>
      <w:marRight w:val="0"/>
      <w:marTop w:val="0"/>
      <w:marBottom w:val="0"/>
      <w:divBdr>
        <w:top w:val="none" w:sz="0" w:space="0" w:color="auto"/>
        <w:left w:val="none" w:sz="0" w:space="0" w:color="auto"/>
        <w:bottom w:val="none" w:sz="0" w:space="0" w:color="auto"/>
        <w:right w:val="none" w:sz="0" w:space="0" w:color="auto"/>
      </w:divBdr>
    </w:div>
    <w:div w:id="1791514913">
      <w:bodyDiv w:val="1"/>
      <w:marLeft w:val="0"/>
      <w:marRight w:val="0"/>
      <w:marTop w:val="0"/>
      <w:marBottom w:val="0"/>
      <w:divBdr>
        <w:top w:val="none" w:sz="0" w:space="0" w:color="auto"/>
        <w:left w:val="none" w:sz="0" w:space="0" w:color="auto"/>
        <w:bottom w:val="none" w:sz="0" w:space="0" w:color="auto"/>
        <w:right w:val="none" w:sz="0" w:space="0" w:color="auto"/>
      </w:divBdr>
    </w:div>
    <w:div w:id="1795444495">
      <w:bodyDiv w:val="1"/>
      <w:marLeft w:val="0"/>
      <w:marRight w:val="0"/>
      <w:marTop w:val="0"/>
      <w:marBottom w:val="0"/>
      <w:divBdr>
        <w:top w:val="none" w:sz="0" w:space="0" w:color="auto"/>
        <w:left w:val="none" w:sz="0" w:space="0" w:color="auto"/>
        <w:bottom w:val="none" w:sz="0" w:space="0" w:color="auto"/>
        <w:right w:val="none" w:sz="0" w:space="0" w:color="auto"/>
      </w:divBdr>
    </w:div>
    <w:div w:id="1946495416">
      <w:bodyDiv w:val="1"/>
      <w:marLeft w:val="0"/>
      <w:marRight w:val="0"/>
      <w:marTop w:val="0"/>
      <w:marBottom w:val="0"/>
      <w:divBdr>
        <w:top w:val="none" w:sz="0" w:space="0" w:color="auto"/>
        <w:left w:val="none" w:sz="0" w:space="0" w:color="auto"/>
        <w:bottom w:val="none" w:sz="0" w:space="0" w:color="auto"/>
        <w:right w:val="none" w:sz="0" w:space="0" w:color="auto"/>
      </w:divBdr>
    </w:div>
    <w:div w:id="214310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publication/ahmac-scheduling-policy-framework-medicines-and-chemical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publication/scheduling-handbook-guidance-amending-poisons-standar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rac.info/frac-teams/working-groups/qol-fungicides/informat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mic\AppData\Local\Hewlett-Packard\HP%20TRIM\TEMP\HPTRIM.7372\R14%201178772%20%20Template%20%23011%20-%20Minutes%20-%20ACMS.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9E82D-5896-489A-ADE3-E2CC387FF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R14 1178772  Template #011 - Minutes - ACMS.DOTX</Template>
  <TotalTime>5474</TotalTime>
  <Pages>11</Pages>
  <Words>3010</Words>
  <Characters>17161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Notice of amendments to the Poisons Standard in relation to New Chemical Entities (NCEs) and Delegate-only decisions</vt:lpstr>
    </vt:vector>
  </TitlesOfParts>
  <Company>Department of Health and Aged Care</Company>
  <LinksUpToDate>false</LinksUpToDate>
  <CharactersWithSpaces>20131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amendments to the Poisons Standard in relation to New Chemical Entities (NCEs) and Delegate-only decisions</dc:title>
  <dc:creator>Therapeutic Goods Administration</dc:creator>
  <dc:description/>
  <cp:lastModifiedBy>PITKIN, Brendan</cp:lastModifiedBy>
  <cp:revision>190</cp:revision>
  <cp:lastPrinted>2020-05-01T05:17:00Z</cp:lastPrinted>
  <dcterms:created xsi:type="dcterms:W3CDTF">2021-12-21T00:27:00Z</dcterms:created>
  <dcterms:modified xsi:type="dcterms:W3CDTF">2022-09-14T00:20:00Z</dcterms:modified>
</cp:coreProperties>
</file>